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F9C2B4" w14:textId="659CF4FE" w:rsidR="009C530D" w:rsidRPr="009C530D" w:rsidRDefault="00243DC6" w:rsidP="009C530D">
      <w:pPr>
        <w:pStyle w:val="Title"/>
        <w:spacing w:line="360" w:lineRule="auto"/>
        <w:jc w:val="center"/>
        <w:rPr>
          <w:rFonts w:ascii="Times New Roman" w:hAnsi="Times New Roman" w:cs="Times New Roman"/>
        </w:rPr>
      </w:pPr>
      <w:r>
        <w:rPr>
          <w:rFonts w:ascii="Times New Roman" w:hAnsi="Times New Roman" w:cs="Times New Roman"/>
        </w:rPr>
        <w:t xml:space="preserve">Feasibility Plan for </w:t>
      </w:r>
      <w:r w:rsidR="009C530D">
        <w:rPr>
          <w:rFonts w:ascii="Times New Roman" w:hAnsi="Times New Roman" w:cs="Times New Roman"/>
        </w:rPr>
        <w:t>an International Meeting</w:t>
      </w:r>
    </w:p>
    <w:p w14:paraId="7A6A1BA3" w14:textId="77777777" w:rsidR="00291B7E" w:rsidRDefault="00291B7E" w:rsidP="00291B7E">
      <w:pPr>
        <w:spacing w:line="360" w:lineRule="auto"/>
        <w:jc w:val="center"/>
        <w:rPr>
          <w:rFonts w:ascii="Times New Roman" w:hAnsi="Times New Roman" w:cs="Times New Roman"/>
          <w:sz w:val="24"/>
          <w:szCs w:val="24"/>
        </w:rPr>
      </w:pPr>
    </w:p>
    <w:p w14:paraId="53B33F90" w14:textId="77777777" w:rsidR="00291B7E" w:rsidRDefault="00291B7E" w:rsidP="00291B7E">
      <w:pPr>
        <w:spacing w:line="360" w:lineRule="auto"/>
        <w:jc w:val="center"/>
        <w:rPr>
          <w:rFonts w:ascii="Times New Roman" w:hAnsi="Times New Roman" w:cs="Times New Roman"/>
          <w:sz w:val="24"/>
          <w:szCs w:val="24"/>
        </w:rPr>
      </w:pPr>
    </w:p>
    <w:p w14:paraId="1E9A6130" w14:textId="77777777" w:rsidR="00291B7E" w:rsidRDefault="00291B7E" w:rsidP="00291B7E">
      <w:pPr>
        <w:spacing w:line="360" w:lineRule="auto"/>
        <w:jc w:val="center"/>
        <w:rPr>
          <w:rFonts w:ascii="Times New Roman" w:hAnsi="Times New Roman" w:cs="Times New Roman"/>
          <w:sz w:val="24"/>
          <w:szCs w:val="24"/>
        </w:rPr>
      </w:pPr>
    </w:p>
    <w:p w14:paraId="238F3B2B" w14:textId="77777777" w:rsidR="00291B7E" w:rsidRDefault="00291B7E" w:rsidP="00291B7E">
      <w:pPr>
        <w:spacing w:line="360" w:lineRule="auto"/>
        <w:jc w:val="center"/>
        <w:rPr>
          <w:rFonts w:ascii="Times New Roman" w:hAnsi="Times New Roman" w:cs="Times New Roman"/>
          <w:sz w:val="24"/>
          <w:szCs w:val="24"/>
        </w:rPr>
      </w:pPr>
    </w:p>
    <w:p w14:paraId="48DD9419" w14:textId="77777777" w:rsidR="00291B7E" w:rsidRDefault="00291B7E" w:rsidP="00291B7E">
      <w:pPr>
        <w:spacing w:line="360" w:lineRule="auto"/>
        <w:jc w:val="center"/>
        <w:rPr>
          <w:rFonts w:ascii="Times New Roman" w:hAnsi="Times New Roman" w:cs="Times New Roman"/>
          <w:sz w:val="24"/>
          <w:szCs w:val="24"/>
        </w:rPr>
      </w:pPr>
    </w:p>
    <w:p w14:paraId="778754C0" w14:textId="77777777" w:rsidR="00291B7E" w:rsidRDefault="00291B7E" w:rsidP="00291B7E">
      <w:pPr>
        <w:spacing w:line="360" w:lineRule="auto"/>
        <w:jc w:val="center"/>
        <w:rPr>
          <w:rFonts w:ascii="Times New Roman" w:hAnsi="Times New Roman" w:cs="Times New Roman"/>
          <w:sz w:val="24"/>
          <w:szCs w:val="24"/>
        </w:rPr>
      </w:pPr>
    </w:p>
    <w:p w14:paraId="1DCB4981" w14:textId="77777777" w:rsidR="00291B7E" w:rsidRDefault="00291B7E" w:rsidP="00291B7E">
      <w:pPr>
        <w:spacing w:line="360" w:lineRule="auto"/>
        <w:jc w:val="center"/>
        <w:rPr>
          <w:rFonts w:ascii="Times New Roman" w:hAnsi="Times New Roman" w:cs="Times New Roman"/>
          <w:sz w:val="24"/>
          <w:szCs w:val="24"/>
        </w:rPr>
      </w:pPr>
    </w:p>
    <w:p w14:paraId="1ACFA82A" w14:textId="77777777" w:rsidR="00291B7E" w:rsidRDefault="00291B7E" w:rsidP="00291B7E">
      <w:pPr>
        <w:spacing w:line="360" w:lineRule="auto"/>
        <w:jc w:val="center"/>
        <w:rPr>
          <w:rFonts w:ascii="Times New Roman" w:hAnsi="Times New Roman" w:cs="Times New Roman"/>
          <w:sz w:val="24"/>
          <w:szCs w:val="24"/>
        </w:rPr>
      </w:pPr>
    </w:p>
    <w:p w14:paraId="2B7325FB" w14:textId="77777777" w:rsidR="00291B7E" w:rsidRDefault="00291B7E" w:rsidP="00291B7E">
      <w:pPr>
        <w:spacing w:line="360" w:lineRule="auto"/>
        <w:jc w:val="center"/>
        <w:rPr>
          <w:rFonts w:ascii="Times New Roman" w:hAnsi="Times New Roman" w:cs="Times New Roman"/>
          <w:sz w:val="24"/>
          <w:szCs w:val="24"/>
        </w:rPr>
      </w:pPr>
    </w:p>
    <w:p w14:paraId="7B84D609" w14:textId="77777777" w:rsidR="00291B7E" w:rsidRDefault="00291B7E" w:rsidP="00291B7E">
      <w:pPr>
        <w:spacing w:line="360" w:lineRule="auto"/>
        <w:jc w:val="center"/>
        <w:rPr>
          <w:rFonts w:ascii="Times New Roman" w:hAnsi="Times New Roman" w:cs="Times New Roman"/>
          <w:sz w:val="24"/>
          <w:szCs w:val="24"/>
        </w:rPr>
      </w:pPr>
    </w:p>
    <w:p w14:paraId="32141EE4" w14:textId="77777777" w:rsidR="00291B7E" w:rsidRDefault="00291B7E" w:rsidP="00291B7E">
      <w:pPr>
        <w:spacing w:line="360" w:lineRule="auto"/>
        <w:jc w:val="center"/>
        <w:rPr>
          <w:rFonts w:ascii="Times New Roman" w:hAnsi="Times New Roman" w:cs="Times New Roman"/>
          <w:sz w:val="24"/>
          <w:szCs w:val="24"/>
        </w:rPr>
      </w:pPr>
    </w:p>
    <w:p w14:paraId="48F1E1FA" w14:textId="77777777" w:rsidR="00291B7E" w:rsidRDefault="00291B7E" w:rsidP="00291B7E">
      <w:pPr>
        <w:spacing w:line="360" w:lineRule="auto"/>
        <w:jc w:val="center"/>
        <w:rPr>
          <w:rFonts w:ascii="Times New Roman" w:hAnsi="Times New Roman" w:cs="Times New Roman"/>
          <w:sz w:val="24"/>
          <w:szCs w:val="24"/>
        </w:rPr>
      </w:pPr>
    </w:p>
    <w:p w14:paraId="027702CC" w14:textId="77777777" w:rsidR="00291B7E" w:rsidRDefault="00291B7E" w:rsidP="00291B7E">
      <w:pPr>
        <w:spacing w:line="360" w:lineRule="auto"/>
        <w:rPr>
          <w:rFonts w:ascii="Times New Roman" w:hAnsi="Times New Roman" w:cs="Times New Roman"/>
          <w:sz w:val="24"/>
          <w:szCs w:val="24"/>
        </w:rPr>
      </w:pPr>
    </w:p>
    <w:p w14:paraId="2AB310D2" w14:textId="102B28F7" w:rsidR="00291B7E" w:rsidRPr="009C530D" w:rsidRDefault="00291B7E" w:rsidP="009C530D">
      <w:pPr>
        <w:spacing w:line="360" w:lineRule="auto"/>
        <w:rPr>
          <w:rFonts w:ascii="Times New Roman" w:hAnsi="Times New Roman" w:cs="Times New Roman"/>
          <w:b/>
          <w:sz w:val="28"/>
          <w:szCs w:val="28"/>
        </w:rPr>
      </w:pPr>
      <w:r w:rsidRPr="009C530D">
        <w:rPr>
          <w:rFonts w:ascii="Times New Roman" w:hAnsi="Times New Roman" w:cs="Times New Roman"/>
          <w:b/>
          <w:sz w:val="28"/>
          <w:szCs w:val="28"/>
        </w:rPr>
        <w:t>Student Name:</w:t>
      </w:r>
      <w:r w:rsidR="00243DC6" w:rsidRPr="009C530D">
        <w:rPr>
          <w:rFonts w:ascii="Times New Roman" w:hAnsi="Times New Roman" w:cs="Times New Roman"/>
          <w:b/>
          <w:sz w:val="28"/>
          <w:szCs w:val="28"/>
        </w:rPr>
        <w:t xml:space="preserve"> Vasile -Florin Apostol</w:t>
      </w:r>
    </w:p>
    <w:p w14:paraId="3299116C" w14:textId="4BF66926" w:rsidR="00291B7E" w:rsidRPr="009C530D" w:rsidRDefault="00243DC6" w:rsidP="009C530D">
      <w:pPr>
        <w:spacing w:line="360" w:lineRule="auto"/>
        <w:rPr>
          <w:rFonts w:ascii="Times New Roman" w:hAnsi="Times New Roman" w:cs="Times New Roman"/>
          <w:b/>
          <w:sz w:val="28"/>
          <w:szCs w:val="28"/>
        </w:rPr>
      </w:pPr>
      <w:r w:rsidRPr="009C530D">
        <w:rPr>
          <w:rFonts w:ascii="Times New Roman" w:hAnsi="Times New Roman" w:cs="Times New Roman"/>
          <w:b/>
          <w:sz w:val="28"/>
          <w:szCs w:val="28"/>
        </w:rPr>
        <w:t>Student ID: 2131343</w:t>
      </w:r>
    </w:p>
    <w:p w14:paraId="169311DC" w14:textId="0FCDE9BB" w:rsidR="00243DC6" w:rsidRPr="009C530D" w:rsidRDefault="00243DC6" w:rsidP="009C530D">
      <w:pPr>
        <w:spacing w:line="360" w:lineRule="auto"/>
        <w:rPr>
          <w:rFonts w:ascii="Times New Roman" w:hAnsi="Times New Roman" w:cs="Times New Roman"/>
          <w:b/>
          <w:sz w:val="28"/>
          <w:szCs w:val="28"/>
        </w:rPr>
      </w:pPr>
      <w:r w:rsidRPr="009C530D">
        <w:rPr>
          <w:rFonts w:ascii="Times New Roman" w:hAnsi="Times New Roman" w:cs="Times New Roman"/>
          <w:b/>
          <w:sz w:val="28"/>
          <w:szCs w:val="28"/>
        </w:rPr>
        <w:t>Module name: International Meetings Management for the Hotel Industry</w:t>
      </w:r>
    </w:p>
    <w:p w14:paraId="09F974A5" w14:textId="530BB909" w:rsidR="00243DC6" w:rsidRPr="009C530D" w:rsidRDefault="00243DC6" w:rsidP="009C530D">
      <w:pPr>
        <w:spacing w:line="360" w:lineRule="auto"/>
        <w:rPr>
          <w:rFonts w:ascii="Times New Roman" w:hAnsi="Times New Roman" w:cs="Times New Roman"/>
          <w:b/>
          <w:sz w:val="28"/>
          <w:szCs w:val="28"/>
        </w:rPr>
      </w:pPr>
      <w:r w:rsidRPr="009C530D">
        <w:rPr>
          <w:rFonts w:ascii="Times New Roman" w:hAnsi="Times New Roman" w:cs="Times New Roman"/>
          <w:b/>
          <w:sz w:val="28"/>
          <w:szCs w:val="28"/>
        </w:rPr>
        <w:t>Module Code: BMIH6007</w:t>
      </w:r>
    </w:p>
    <w:p w14:paraId="6CD71460" w14:textId="6BA88ABF" w:rsidR="00243DC6" w:rsidRPr="009C530D" w:rsidRDefault="00243DC6" w:rsidP="009C530D">
      <w:pPr>
        <w:spacing w:line="360" w:lineRule="auto"/>
        <w:rPr>
          <w:rFonts w:ascii="Times New Roman" w:hAnsi="Times New Roman" w:cs="Times New Roman"/>
          <w:b/>
          <w:sz w:val="28"/>
          <w:szCs w:val="28"/>
        </w:rPr>
      </w:pPr>
      <w:r w:rsidRPr="009C530D">
        <w:rPr>
          <w:rFonts w:ascii="Times New Roman" w:hAnsi="Times New Roman" w:cs="Times New Roman"/>
          <w:b/>
          <w:sz w:val="28"/>
          <w:szCs w:val="28"/>
        </w:rPr>
        <w:t>Lecturer name: Kathryn Flynn</w:t>
      </w:r>
    </w:p>
    <w:p w14:paraId="353E3181" w14:textId="77777777" w:rsidR="00291B7E" w:rsidRPr="00291B7E" w:rsidRDefault="00291B7E" w:rsidP="00291B7E">
      <w:pPr>
        <w:spacing w:line="360" w:lineRule="auto"/>
        <w:jc w:val="center"/>
        <w:rPr>
          <w:rFonts w:ascii="Times New Roman" w:hAnsi="Times New Roman" w:cs="Times New Roman"/>
          <w:sz w:val="24"/>
          <w:szCs w:val="24"/>
        </w:rPr>
      </w:pPr>
    </w:p>
    <w:p w14:paraId="2DFDF077" w14:textId="77777777" w:rsidR="00291B7E" w:rsidRPr="00291B7E" w:rsidRDefault="00291B7E" w:rsidP="00291B7E">
      <w:pPr>
        <w:spacing w:line="360" w:lineRule="auto"/>
        <w:rPr>
          <w:rFonts w:ascii="Times New Roman" w:hAnsi="Times New Roman" w:cs="Times New Roman"/>
          <w:sz w:val="24"/>
          <w:szCs w:val="24"/>
        </w:rPr>
      </w:pPr>
    </w:p>
    <w:p w14:paraId="4C059378" w14:textId="77777777" w:rsidR="00291B7E" w:rsidRPr="00291B7E" w:rsidRDefault="00291B7E" w:rsidP="00291B7E">
      <w:pPr>
        <w:pStyle w:val="Heading1"/>
        <w:spacing w:line="360" w:lineRule="auto"/>
        <w:rPr>
          <w:rFonts w:ascii="Times New Roman" w:hAnsi="Times New Roman" w:cs="Times New Roman"/>
          <w:sz w:val="24"/>
          <w:szCs w:val="24"/>
        </w:rPr>
      </w:pPr>
      <w:bookmarkStart w:id="0" w:name="_Toc165454666"/>
      <w:r w:rsidRPr="00291B7E">
        <w:rPr>
          <w:rFonts w:ascii="Times New Roman" w:hAnsi="Times New Roman" w:cs="Times New Roman"/>
          <w:sz w:val="24"/>
          <w:szCs w:val="24"/>
        </w:rPr>
        <w:lastRenderedPageBreak/>
        <w:t>Introduction</w:t>
      </w:r>
      <w:bookmarkEnd w:id="0"/>
      <w:r w:rsidRPr="00291B7E">
        <w:rPr>
          <w:rFonts w:ascii="Times New Roman" w:hAnsi="Times New Roman" w:cs="Times New Roman"/>
          <w:sz w:val="24"/>
          <w:szCs w:val="24"/>
        </w:rPr>
        <w:t xml:space="preserve"> </w:t>
      </w:r>
    </w:p>
    <w:p w14:paraId="0CF748A6" w14:textId="77777777" w:rsidR="00291B7E" w:rsidRPr="00291B7E" w:rsidRDefault="00291B7E" w:rsidP="00291B7E">
      <w:pPr>
        <w:spacing w:line="360" w:lineRule="auto"/>
        <w:rPr>
          <w:rFonts w:ascii="Times New Roman" w:hAnsi="Times New Roman" w:cs="Times New Roman"/>
          <w:sz w:val="24"/>
          <w:szCs w:val="24"/>
        </w:rPr>
      </w:pPr>
    </w:p>
    <w:p w14:paraId="05AACAEB"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445064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76598782" r:id="rId8"/>
        </w:object>
      </w:r>
    </w:p>
    <w:p w14:paraId="04375F35" w14:textId="77777777" w:rsidR="00291B7E" w:rsidRPr="00291B7E" w:rsidRDefault="00291B7E" w:rsidP="00291B7E">
      <w:pPr>
        <w:spacing w:line="360" w:lineRule="auto"/>
        <w:jc w:val="center"/>
        <w:rPr>
          <w:rFonts w:ascii="Times New Roman" w:hAnsi="Times New Roman" w:cs="Times New Roman"/>
          <w:sz w:val="24"/>
          <w:szCs w:val="24"/>
        </w:rPr>
      </w:pPr>
    </w:p>
    <w:p w14:paraId="5B4C32D1"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Tech-Inn Hospitality Expo 2024 feasibility study scrutinizes the potential of a two-day conference and exhibition dedicated to technological innovations in the UK's hospitality industry (Mordor Intelligence, 2024). With a focus on the transformative role of technology, the event aims to convene industry experts, technology providers, and innovators to explore its impact. The UK's hospitality sector, contributing £93 billion annually to the economy, underscores the event's significance (Statista, 2023). Market data from 2022 reveals the hotel industry's substantial £16.42 billion market size, indicating a fertile ground for technological advancements (Seraphin, 2021, Vol. 22, No. 1, pp. 3-35).</w:t>
      </w:r>
    </w:p>
    <w:p w14:paraId="15466F78"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This study critically evaluates market demand, operational needs, and financial considerations to gauge the event's viability. Drawing insights from industry trends and statistics, it aims to offer a comprehensive understanding of potential success factors and strategic planning requirements. (Coles et al., 2022, p. 814146) By leveraging data from reputable sources and Google Scholar like UK Hospitality, Statista, and industry reports, the study sets the stage for deeper analysis in subsequent slides. Through this presentation, the research embarks on a journey to assess the feasibility of the Tech-Inn Hospitality Expo 2024 and its potential to shape the future of the UK's hospitality landscape.</w:t>
      </w:r>
    </w:p>
    <w:p w14:paraId="4A2F0584"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08F37844"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7F597DF9" w14:textId="77777777" w:rsidR="00291B7E" w:rsidRPr="00291B7E" w:rsidRDefault="00291B7E" w:rsidP="00291B7E">
      <w:pPr>
        <w:spacing w:line="360" w:lineRule="auto"/>
        <w:rPr>
          <w:rFonts w:ascii="Times New Roman" w:hAnsi="Times New Roman" w:cs="Times New Roman"/>
          <w:sz w:val="24"/>
          <w:szCs w:val="24"/>
        </w:rPr>
      </w:pPr>
    </w:p>
    <w:p w14:paraId="2742BF48" w14:textId="77777777" w:rsidR="00291B7E" w:rsidRPr="00291B7E" w:rsidRDefault="00291B7E" w:rsidP="00291B7E">
      <w:pPr>
        <w:pStyle w:val="Heading1"/>
        <w:spacing w:line="360" w:lineRule="auto"/>
        <w:rPr>
          <w:rFonts w:ascii="Times New Roman" w:hAnsi="Times New Roman" w:cs="Times New Roman"/>
          <w:sz w:val="24"/>
          <w:szCs w:val="24"/>
        </w:rPr>
      </w:pPr>
      <w:bookmarkStart w:id="1" w:name="_Toc165454667"/>
      <w:r w:rsidRPr="00291B7E">
        <w:rPr>
          <w:rFonts w:ascii="Times New Roman" w:hAnsi="Times New Roman" w:cs="Times New Roman"/>
          <w:sz w:val="24"/>
          <w:szCs w:val="24"/>
        </w:rPr>
        <w:lastRenderedPageBreak/>
        <w:t>Event Overview</w:t>
      </w:r>
      <w:bookmarkEnd w:id="1"/>
      <w:r w:rsidRPr="00291B7E">
        <w:rPr>
          <w:rFonts w:ascii="Times New Roman" w:hAnsi="Times New Roman" w:cs="Times New Roman"/>
          <w:sz w:val="24"/>
          <w:szCs w:val="24"/>
        </w:rPr>
        <w:t xml:space="preserve"> </w:t>
      </w:r>
    </w:p>
    <w:p w14:paraId="46B0F084" w14:textId="77777777" w:rsidR="00291B7E" w:rsidRPr="00291B7E" w:rsidRDefault="00291B7E" w:rsidP="00291B7E">
      <w:pPr>
        <w:spacing w:line="360" w:lineRule="auto"/>
        <w:rPr>
          <w:rFonts w:ascii="Times New Roman" w:hAnsi="Times New Roman" w:cs="Times New Roman"/>
          <w:sz w:val="24"/>
          <w:szCs w:val="24"/>
        </w:rPr>
      </w:pPr>
    </w:p>
    <w:p w14:paraId="0D07DD1C"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5B3C059A">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76598783" r:id="rId10"/>
        </w:object>
      </w:r>
    </w:p>
    <w:p w14:paraId="01BA36E5" w14:textId="77777777" w:rsidR="00291B7E" w:rsidRPr="00291B7E" w:rsidRDefault="00291B7E" w:rsidP="00291B7E">
      <w:pPr>
        <w:spacing w:line="360" w:lineRule="auto"/>
        <w:jc w:val="center"/>
        <w:rPr>
          <w:rFonts w:ascii="Times New Roman" w:hAnsi="Times New Roman" w:cs="Times New Roman"/>
          <w:sz w:val="24"/>
          <w:szCs w:val="24"/>
        </w:rPr>
      </w:pPr>
    </w:p>
    <w:p w14:paraId="5FD899C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Tech-Inn Hospitality Expo 2024 is a proposed two-day conference and exhibition set to take place in London, UK. It aims to convene industry professionals, technology providers, and innovators within the hospitality sector.</w:t>
      </w:r>
    </w:p>
    <w:p w14:paraId="138F3B3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Purpose of the Event</w:t>
      </w:r>
    </w:p>
    <w:p w14:paraId="78DE6225"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event serves as a platform for dialogue and exploration centred around "Technology and Innovation within the Hospitality Sector" (Dillette &amp; Ponting, 2021, Vol. 22, No. 3, pp. 197-220). Its primary goal is to showcase cutting-edge technological advancements shaping the industry.</w:t>
      </w:r>
    </w:p>
    <w:p w14:paraId="0668311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Objectives of the Event:</w:t>
      </w:r>
    </w:p>
    <w:p w14:paraId="6630C8D3"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Showcase Innovation:</w:t>
      </w:r>
      <w:r w:rsidRPr="00291B7E">
        <w:rPr>
          <w:rFonts w:ascii="Times New Roman" w:hAnsi="Times New Roman" w:cs="Times New Roman"/>
          <w:kern w:val="24"/>
          <w:sz w:val="24"/>
          <w:szCs w:val="24"/>
        </w:rPr>
        <w:t xml:space="preserve"> Display the latest technological innovations in hospitality.</w:t>
      </w:r>
    </w:p>
    <w:p w14:paraId="789535B1"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Knowledge Sharing: </w:t>
      </w:r>
      <w:r w:rsidRPr="00291B7E">
        <w:rPr>
          <w:rFonts w:ascii="Times New Roman" w:hAnsi="Times New Roman" w:cs="Times New Roman"/>
          <w:kern w:val="24"/>
          <w:sz w:val="24"/>
          <w:szCs w:val="24"/>
        </w:rPr>
        <w:t>Foster the exchange of ideas and best practices among professionals (Su &amp; Chen, 2020, p. 104158).</w:t>
      </w:r>
    </w:p>
    <w:p w14:paraId="0F39CED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Networking:</w:t>
      </w:r>
      <w:r w:rsidRPr="00291B7E">
        <w:rPr>
          <w:rFonts w:ascii="Times New Roman" w:hAnsi="Times New Roman" w:cs="Times New Roman"/>
          <w:kern w:val="24"/>
          <w:sz w:val="24"/>
          <w:szCs w:val="24"/>
        </w:rPr>
        <w:t xml:space="preserve"> Create opportunities for collaboration and networking.</w:t>
      </w:r>
    </w:p>
    <w:p w14:paraId="37C124F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Promote Industry Growth:</w:t>
      </w:r>
      <w:r w:rsidRPr="00291B7E">
        <w:rPr>
          <w:rFonts w:ascii="Times New Roman" w:hAnsi="Times New Roman" w:cs="Times New Roman"/>
          <w:kern w:val="24"/>
          <w:sz w:val="24"/>
          <w:szCs w:val="24"/>
        </w:rPr>
        <w:t xml:space="preserve"> Contribute to the advancement of the UK's hospitality sector through technological innovation (Dowson et al., 2022).</w:t>
      </w:r>
    </w:p>
    <w:p w14:paraId="3375D5F3" w14:textId="77777777" w:rsidR="009C530D" w:rsidRDefault="00291B7E" w:rsidP="009C530D">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Targeting a diverse audience including hotel managers, restaurateurs, technology providers, consultants, and students, the event employs various formats like keynote speeches, panel discussions, and technology demonstrations to enlighten attendees about the future of technology in hospitality (Aharon et al., 2021, p. e0255819).</w:t>
      </w:r>
      <w:bookmarkStart w:id="2" w:name="_Toc165454668"/>
      <w:r w:rsidR="009C530D">
        <w:rPr>
          <w:rFonts w:ascii="Times New Roman" w:hAnsi="Times New Roman" w:cs="Times New Roman"/>
          <w:kern w:val="24"/>
          <w:sz w:val="24"/>
          <w:szCs w:val="24"/>
        </w:rPr>
        <w:t xml:space="preserve">                        </w:t>
      </w:r>
    </w:p>
    <w:p w14:paraId="6B602089" w14:textId="2F6792C2" w:rsidR="00291B7E" w:rsidRPr="009C530D" w:rsidRDefault="00291B7E" w:rsidP="009C530D">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sz w:val="24"/>
          <w:szCs w:val="24"/>
        </w:rPr>
        <w:lastRenderedPageBreak/>
        <w:t>Market Factors</w:t>
      </w:r>
      <w:bookmarkEnd w:id="2"/>
      <w:r w:rsidRPr="00291B7E">
        <w:rPr>
          <w:rFonts w:ascii="Times New Roman" w:hAnsi="Times New Roman" w:cs="Times New Roman"/>
          <w:sz w:val="24"/>
          <w:szCs w:val="24"/>
        </w:rPr>
        <w:t xml:space="preserve"> </w:t>
      </w:r>
    </w:p>
    <w:p w14:paraId="61CD19E2" w14:textId="77777777" w:rsidR="00291B7E" w:rsidRPr="00291B7E" w:rsidRDefault="00291B7E" w:rsidP="00291B7E">
      <w:pPr>
        <w:spacing w:line="360" w:lineRule="auto"/>
        <w:rPr>
          <w:rFonts w:ascii="Times New Roman" w:hAnsi="Times New Roman" w:cs="Times New Roman"/>
          <w:sz w:val="24"/>
          <w:szCs w:val="24"/>
        </w:rPr>
      </w:pPr>
    </w:p>
    <w:p w14:paraId="1466E585"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28AFBF50">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76598784" r:id="rId12"/>
        </w:object>
      </w:r>
    </w:p>
    <w:p w14:paraId="4A7FE0CE" w14:textId="77777777" w:rsidR="00291B7E" w:rsidRPr="00291B7E" w:rsidRDefault="00291B7E" w:rsidP="00291B7E">
      <w:pPr>
        <w:spacing w:line="360" w:lineRule="auto"/>
        <w:jc w:val="center"/>
        <w:rPr>
          <w:rFonts w:ascii="Times New Roman" w:hAnsi="Times New Roman" w:cs="Times New Roman"/>
          <w:sz w:val="24"/>
          <w:szCs w:val="24"/>
        </w:rPr>
      </w:pPr>
    </w:p>
    <w:p w14:paraId="26E00F3C"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target market for the “Tech-Inn Hospitality Expo 2024” is diverse, encompassing key stakeholders within the UK’s hospitality sector:</w:t>
      </w:r>
    </w:p>
    <w:p w14:paraId="7CB546D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Hospitality Professionals: </w:t>
      </w:r>
      <w:r w:rsidRPr="00291B7E">
        <w:rPr>
          <w:rFonts w:ascii="Times New Roman" w:hAnsi="Times New Roman" w:cs="Times New Roman"/>
          <w:kern w:val="24"/>
          <w:sz w:val="24"/>
          <w:szCs w:val="24"/>
        </w:rPr>
        <w:t>This includes hotel managers, restaurateurs, and other industry professionals keen on harnessing technology to enhance their operations (Dube et al., 2021, pp. 1487-1490).</w:t>
      </w:r>
    </w:p>
    <w:p w14:paraId="516A877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Technology Providers:</w:t>
      </w:r>
      <w:r w:rsidRPr="00291B7E">
        <w:rPr>
          <w:rFonts w:ascii="Times New Roman" w:hAnsi="Times New Roman" w:cs="Times New Roman"/>
          <w:kern w:val="24"/>
          <w:sz w:val="24"/>
          <w:szCs w:val="24"/>
        </w:rPr>
        <w:t xml:space="preserve"> Companies offering innovative tech solutions tailored for the hospitality sector form another segment of the target market (Rogers &amp; Wynn-Moylan, 2022, p. 378).</w:t>
      </w:r>
    </w:p>
    <w:p w14:paraId="7EDC658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Industry Consultants:</w:t>
      </w:r>
      <w:r w:rsidRPr="00291B7E">
        <w:rPr>
          <w:rFonts w:ascii="Times New Roman" w:hAnsi="Times New Roman" w:cs="Times New Roman"/>
          <w:kern w:val="24"/>
          <w:sz w:val="24"/>
          <w:szCs w:val="24"/>
        </w:rPr>
        <w:t xml:space="preserve"> Experts providing advisory services to hospitality businesses, particularly on technology integration strategies, are also part of the target audience (Modern Hospitality, 2024).</w:t>
      </w:r>
    </w:p>
    <w:p w14:paraId="682EEE5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Hospitality Students:</w:t>
      </w:r>
      <w:r w:rsidRPr="00291B7E">
        <w:rPr>
          <w:rFonts w:ascii="Times New Roman" w:hAnsi="Times New Roman" w:cs="Times New Roman"/>
          <w:kern w:val="24"/>
          <w:sz w:val="24"/>
          <w:szCs w:val="24"/>
        </w:rPr>
        <w:t xml:space="preserve"> Individuals studying hospitality management seek insights into the latest industry trends and innovations, making them a significant target group.</w:t>
      </w:r>
    </w:p>
    <w:p w14:paraId="6B7954FE"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The UK’s hospitality industry, contributing £93 billion annually to the economy, underscores the sector's importance. The hotel industry alone amassed £16.42 billion in market size in 2022. These figures highlight the industry's significance and the potential transformative impact of technological advancements (UKHospitality, 2023). Furthermore, the evolving landscape of hybrid and digital events accentuates the relevance and timeliness of the Tech-Inn Hospitality </w:t>
      </w:r>
      <w:r w:rsidRPr="00291B7E">
        <w:rPr>
          <w:rFonts w:ascii="Times New Roman" w:hAnsi="Times New Roman" w:cs="Times New Roman"/>
          <w:kern w:val="24"/>
          <w:sz w:val="24"/>
          <w:szCs w:val="24"/>
        </w:rPr>
        <w:lastRenderedPageBreak/>
        <w:t>Expo 2024. This trend underscores the necessity for technological integration even in on-site events, further validating the expo's value proposition.</w:t>
      </w:r>
    </w:p>
    <w:p w14:paraId="28BE7DA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2EE62596"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4E3CC9C0" w14:textId="77777777" w:rsidR="00291B7E" w:rsidRPr="00291B7E" w:rsidRDefault="00291B7E" w:rsidP="00291B7E">
      <w:pPr>
        <w:spacing w:line="360" w:lineRule="auto"/>
        <w:rPr>
          <w:rFonts w:ascii="Times New Roman" w:hAnsi="Times New Roman" w:cs="Times New Roman"/>
          <w:sz w:val="24"/>
          <w:szCs w:val="24"/>
        </w:rPr>
      </w:pPr>
    </w:p>
    <w:p w14:paraId="0D14B7ED"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6EE0A529" w14:textId="77777777" w:rsidR="00291B7E" w:rsidRPr="00291B7E" w:rsidRDefault="00291B7E" w:rsidP="00291B7E">
      <w:pPr>
        <w:pStyle w:val="Heading1"/>
        <w:spacing w:line="360" w:lineRule="auto"/>
        <w:rPr>
          <w:rFonts w:ascii="Times New Roman" w:hAnsi="Times New Roman" w:cs="Times New Roman"/>
          <w:sz w:val="24"/>
          <w:szCs w:val="24"/>
        </w:rPr>
      </w:pPr>
      <w:bookmarkStart w:id="3" w:name="_Toc165454669"/>
      <w:r w:rsidRPr="00291B7E">
        <w:rPr>
          <w:rFonts w:ascii="Times New Roman" w:hAnsi="Times New Roman" w:cs="Times New Roman"/>
          <w:sz w:val="24"/>
          <w:szCs w:val="24"/>
        </w:rPr>
        <w:lastRenderedPageBreak/>
        <w:t>Market factors: Demand and supply</w:t>
      </w:r>
      <w:bookmarkEnd w:id="3"/>
      <w:r w:rsidRPr="00291B7E">
        <w:rPr>
          <w:rFonts w:ascii="Times New Roman" w:hAnsi="Times New Roman" w:cs="Times New Roman"/>
          <w:sz w:val="24"/>
          <w:szCs w:val="24"/>
        </w:rPr>
        <w:t xml:space="preserve"> </w:t>
      </w:r>
    </w:p>
    <w:p w14:paraId="3B2CFA39" w14:textId="77777777" w:rsidR="00291B7E" w:rsidRPr="00291B7E" w:rsidRDefault="00291B7E" w:rsidP="00291B7E">
      <w:pPr>
        <w:spacing w:line="360" w:lineRule="auto"/>
        <w:rPr>
          <w:rFonts w:ascii="Times New Roman" w:hAnsi="Times New Roman" w:cs="Times New Roman"/>
          <w:sz w:val="24"/>
          <w:szCs w:val="24"/>
        </w:rPr>
      </w:pPr>
    </w:p>
    <w:p w14:paraId="47883EF0"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794B15C8">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76598785" r:id="rId14"/>
        </w:object>
      </w:r>
    </w:p>
    <w:p w14:paraId="50E35C0C" w14:textId="77777777" w:rsidR="00291B7E" w:rsidRPr="00291B7E" w:rsidRDefault="00291B7E" w:rsidP="00291B7E">
      <w:pPr>
        <w:spacing w:line="360" w:lineRule="auto"/>
        <w:jc w:val="center"/>
        <w:rPr>
          <w:rFonts w:ascii="Times New Roman" w:hAnsi="Times New Roman" w:cs="Times New Roman"/>
          <w:sz w:val="24"/>
          <w:szCs w:val="24"/>
        </w:rPr>
      </w:pPr>
    </w:p>
    <w:p w14:paraId="3D4F108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Demand Analysis</w:t>
      </w:r>
    </w:p>
    <w:p w14:paraId="1D3AC30C"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hospitality sector in the UK, contributing £93 billion annually to the economy, has been embracing technology as a key driver of innovation and resilience (Mordor Intelligence, 2024). With technology trends poised to significantly influence the industry, there's a notable surge in demand for events like the "Tech-Inn Hospitality Expo 2024" that spotlight technology and innovation.</w:t>
      </w:r>
    </w:p>
    <w:p w14:paraId="72596452"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Supply Analysis</w:t>
      </w:r>
    </w:p>
    <w:p w14:paraId="6A6A8A22"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While there exist events focusing on technology trends within hospitality, the availability of events specifically tailored to "Technology and Innovation within the Hospitality Sector" seems limited (Statista, 2023). This underscores an opportunity for the "Tech-Inn Hospitality Expo 2024" to fill this gap and cater to the burgeoning demand.</w:t>
      </w:r>
    </w:p>
    <w:p w14:paraId="14422D5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49D34205"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48988F9C" w14:textId="77777777" w:rsidR="00291B7E" w:rsidRPr="00291B7E" w:rsidRDefault="00291B7E" w:rsidP="00291B7E">
      <w:pPr>
        <w:spacing w:line="360" w:lineRule="auto"/>
        <w:rPr>
          <w:rFonts w:ascii="Times New Roman" w:hAnsi="Times New Roman" w:cs="Times New Roman"/>
          <w:sz w:val="24"/>
          <w:szCs w:val="24"/>
        </w:rPr>
      </w:pPr>
    </w:p>
    <w:p w14:paraId="1FCA2CB0"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2A212DB0" w14:textId="77777777" w:rsidR="00291B7E" w:rsidRPr="00291B7E" w:rsidRDefault="00291B7E" w:rsidP="00291B7E">
      <w:pPr>
        <w:pStyle w:val="Heading1"/>
        <w:spacing w:line="360" w:lineRule="auto"/>
        <w:rPr>
          <w:rFonts w:ascii="Times New Roman" w:hAnsi="Times New Roman" w:cs="Times New Roman"/>
          <w:sz w:val="24"/>
          <w:szCs w:val="24"/>
        </w:rPr>
      </w:pPr>
      <w:bookmarkStart w:id="4" w:name="_Toc165454670"/>
      <w:r w:rsidRPr="00291B7E">
        <w:rPr>
          <w:rFonts w:ascii="Times New Roman" w:hAnsi="Times New Roman" w:cs="Times New Roman"/>
          <w:sz w:val="24"/>
          <w:szCs w:val="24"/>
        </w:rPr>
        <w:lastRenderedPageBreak/>
        <w:t>Market factors: Competition</w:t>
      </w:r>
      <w:bookmarkEnd w:id="4"/>
    </w:p>
    <w:p w14:paraId="55E272EE" w14:textId="77777777" w:rsidR="00291B7E" w:rsidRPr="00291B7E" w:rsidRDefault="00291B7E" w:rsidP="00291B7E">
      <w:pPr>
        <w:spacing w:line="360" w:lineRule="auto"/>
        <w:rPr>
          <w:rFonts w:ascii="Times New Roman" w:hAnsi="Times New Roman" w:cs="Times New Roman"/>
          <w:sz w:val="24"/>
          <w:szCs w:val="24"/>
        </w:rPr>
      </w:pPr>
    </w:p>
    <w:p w14:paraId="6B6004ED"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508FA2ED">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76598786" r:id="rId16"/>
        </w:object>
      </w:r>
    </w:p>
    <w:p w14:paraId="5DA9EA96" w14:textId="77777777" w:rsidR="00291B7E" w:rsidRPr="00291B7E" w:rsidRDefault="00291B7E" w:rsidP="00291B7E">
      <w:pPr>
        <w:spacing w:line="360" w:lineRule="auto"/>
        <w:jc w:val="center"/>
        <w:rPr>
          <w:rFonts w:ascii="Times New Roman" w:hAnsi="Times New Roman" w:cs="Times New Roman"/>
          <w:sz w:val="24"/>
          <w:szCs w:val="24"/>
        </w:rPr>
      </w:pPr>
    </w:p>
    <w:p w14:paraId="5A996B4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“Tech-Inn Hospitality Expo 2024” faces competition from existing events in both the hospitality and technology sectors (Aigbedo, 2021, p. 103012). However, its distinctive focus on “Technology and Innovation within the Hospitality Sector” gives it a competitive edge.</w:t>
      </w:r>
    </w:p>
    <w:p w14:paraId="4AB6A857"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Key Competitors:</w:t>
      </w:r>
    </w:p>
    <w:p w14:paraId="5C64E7F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Hospitality Industry Technology Trends 2024:</w:t>
      </w:r>
      <w:r w:rsidRPr="00291B7E">
        <w:rPr>
          <w:rFonts w:ascii="Times New Roman" w:hAnsi="Times New Roman" w:cs="Times New Roman"/>
          <w:kern w:val="24"/>
          <w:sz w:val="24"/>
          <w:szCs w:val="24"/>
        </w:rPr>
        <w:t xml:space="preserve"> This event concentrates on technology trends impacting the hospitality industry (Seraphin, 2021, Vol. 22, No. 1, pp. 3-35). Although it shares a similar theme, it lacks a specific focus on the feasibility of implementing these technologies.</w:t>
      </w:r>
    </w:p>
    <w:p w14:paraId="26250C0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Food, Drink &amp; Hospitality Week:</w:t>
      </w:r>
      <w:r w:rsidRPr="00291B7E">
        <w:rPr>
          <w:rFonts w:ascii="Times New Roman" w:hAnsi="Times New Roman" w:cs="Times New Roman"/>
          <w:kern w:val="24"/>
          <w:sz w:val="24"/>
          <w:szCs w:val="24"/>
        </w:rPr>
        <w:t xml:space="preserve"> A notable event in the hospitality sector, highlighting industry innovation (Miles &amp; Shipway, 2020, pp. 537-552). However, its broad scope encompassing food, drink, and hospitality doesn't directly address the intersection of technology and hospitality (Kravariti et al., 2021, pp. 321-360).</w:t>
      </w:r>
    </w:p>
    <w:p w14:paraId="764B8C68"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Impact on Tech-Inn Hospitality Expo 2024</w:t>
      </w:r>
    </w:p>
    <w:p w14:paraId="4B567B8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While these events pose competition, they also validate the demand for an event like “Tech-Inn Hospitality Expo 2024”. Its unique focus on technology and innovation within the hospitality sector sets it apart.</w:t>
      </w:r>
    </w:p>
    <w:p w14:paraId="4FCCB1F2"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7AD35F96"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1A06F30F" w14:textId="77777777" w:rsidR="00291B7E" w:rsidRPr="00291B7E" w:rsidRDefault="00291B7E" w:rsidP="00291B7E">
      <w:pPr>
        <w:spacing w:line="360" w:lineRule="auto"/>
        <w:rPr>
          <w:rFonts w:ascii="Times New Roman" w:hAnsi="Times New Roman" w:cs="Times New Roman"/>
          <w:sz w:val="24"/>
          <w:szCs w:val="24"/>
        </w:rPr>
      </w:pPr>
    </w:p>
    <w:p w14:paraId="17A739C7"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05604B08" w14:textId="77777777" w:rsidR="00291B7E" w:rsidRPr="00291B7E" w:rsidRDefault="00291B7E" w:rsidP="00291B7E">
      <w:pPr>
        <w:pStyle w:val="Heading1"/>
        <w:spacing w:line="360" w:lineRule="auto"/>
        <w:rPr>
          <w:rFonts w:ascii="Times New Roman" w:hAnsi="Times New Roman" w:cs="Times New Roman"/>
          <w:sz w:val="24"/>
          <w:szCs w:val="24"/>
        </w:rPr>
      </w:pPr>
      <w:bookmarkStart w:id="5" w:name="_Toc165454671"/>
      <w:r w:rsidRPr="00291B7E">
        <w:rPr>
          <w:rFonts w:ascii="Times New Roman" w:hAnsi="Times New Roman" w:cs="Times New Roman"/>
          <w:sz w:val="24"/>
          <w:szCs w:val="24"/>
        </w:rPr>
        <w:lastRenderedPageBreak/>
        <w:t>Operational factors: Venue and date</w:t>
      </w:r>
      <w:bookmarkEnd w:id="5"/>
      <w:r w:rsidRPr="00291B7E">
        <w:rPr>
          <w:rFonts w:ascii="Times New Roman" w:hAnsi="Times New Roman" w:cs="Times New Roman"/>
          <w:sz w:val="24"/>
          <w:szCs w:val="24"/>
        </w:rPr>
        <w:t xml:space="preserve"> </w:t>
      </w:r>
    </w:p>
    <w:p w14:paraId="5A2B2D2C" w14:textId="77777777" w:rsidR="00291B7E" w:rsidRPr="00291B7E" w:rsidRDefault="00291B7E" w:rsidP="00291B7E">
      <w:pPr>
        <w:spacing w:line="360" w:lineRule="auto"/>
        <w:rPr>
          <w:rFonts w:ascii="Times New Roman" w:hAnsi="Times New Roman" w:cs="Times New Roman"/>
          <w:sz w:val="24"/>
          <w:szCs w:val="24"/>
        </w:rPr>
      </w:pPr>
    </w:p>
    <w:p w14:paraId="4570E4D3"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316A2EF2">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76598787" r:id="rId18"/>
        </w:object>
      </w:r>
    </w:p>
    <w:p w14:paraId="17074573" w14:textId="77777777" w:rsidR="00291B7E" w:rsidRPr="00291B7E" w:rsidRDefault="00291B7E" w:rsidP="00291B7E">
      <w:pPr>
        <w:spacing w:line="360" w:lineRule="auto"/>
        <w:jc w:val="center"/>
        <w:rPr>
          <w:rFonts w:ascii="Times New Roman" w:hAnsi="Times New Roman" w:cs="Times New Roman"/>
          <w:sz w:val="24"/>
          <w:szCs w:val="24"/>
        </w:rPr>
      </w:pPr>
    </w:p>
    <w:p w14:paraId="0D001B9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Proposed Venue: </w:t>
      </w:r>
      <w:r w:rsidRPr="00291B7E">
        <w:rPr>
          <w:rFonts w:ascii="Times New Roman" w:hAnsi="Times New Roman" w:cs="Times New Roman"/>
          <w:kern w:val="24"/>
          <w:sz w:val="24"/>
          <w:szCs w:val="24"/>
        </w:rPr>
        <w:t>The "Tech-Inn Hospitality Expo 2024" is proposed to be hosted at the Technology &amp; Innovation Centre, University Of Strathclyde (Le &amp; Phi, 2021, p. 102808). Situated in Glasgow, Scotland, this venue stands as a hub for technological research, rendering it an ideal location for an event emphasizing technology and innovation within the hospitality sector (González-Torres et al., 2021, p. 102733).</w:t>
      </w:r>
    </w:p>
    <w:p w14:paraId="582FC014"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Venue Suitability: </w:t>
      </w:r>
      <w:r w:rsidRPr="00291B7E">
        <w:rPr>
          <w:rFonts w:ascii="Times New Roman" w:hAnsi="Times New Roman" w:cs="Times New Roman"/>
          <w:kern w:val="24"/>
          <w:sz w:val="24"/>
          <w:szCs w:val="24"/>
        </w:rPr>
        <w:t>Renowned for its state-of-the-art facilities and track record in hosting technology-centric gatherings, the Technology &amp; Innovation Centre offers an apt setting for the expo (Seraphin, 2021, Vol. 22, No. 1, pp. 3-35). Its central location in Glasgow, a city synonymous with a dynamic hospitality landscape, further enhances its appeal (Mordor Intelligence, 2024).</w:t>
      </w:r>
    </w:p>
    <w:p w14:paraId="3AE8B70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Proposed Date: </w:t>
      </w:r>
      <w:r w:rsidRPr="00291B7E">
        <w:rPr>
          <w:rFonts w:ascii="Times New Roman" w:hAnsi="Times New Roman" w:cs="Times New Roman"/>
          <w:kern w:val="24"/>
          <w:sz w:val="24"/>
          <w:szCs w:val="24"/>
        </w:rPr>
        <w:t>The event is slated for October 2024, strategically aligning with other major industry expos like the Hotel &amp; Resort Innovation Expo and the Hospitality Tech Expo (Coles et al., 2022, p. 814146). This timing aims to capitalize on the presence of attendees already engaged in related events across the UK during this period.</w:t>
      </w:r>
    </w:p>
    <w:p w14:paraId="0CC15EE2"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7161BC72"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4D875208" w14:textId="77777777" w:rsidR="00291B7E" w:rsidRPr="00291B7E" w:rsidRDefault="00291B7E" w:rsidP="00291B7E">
      <w:pPr>
        <w:spacing w:line="360" w:lineRule="auto"/>
        <w:rPr>
          <w:rFonts w:ascii="Times New Roman" w:hAnsi="Times New Roman" w:cs="Times New Roman"/>
          <w:sz w:val="24"/>
          <w:szCs w:val="24"/>
        </w:rPr>
      </w:pPr>
    </w:p>
    <w:p w14:paraId="5B62D70B"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79E0AE8A" w14:textId="77777777" w:rsidR="00291B7E" w:rsidRPr="00291B7E" w:rsidRDefault="00291B7E" w:rsidP="00291B7E">
      <w:pPr>
        <w:pStyle w:val="Heading1"/>
        <w:spacing w:line="360" w:lineRule="auto"/>
        <w:rPr>
          <w:rFonts w:ascii="Times New Roman" w:hAnsi="Times New Roman" w:cs="Times New Roman"/>
          <w:sz w:val="24"/>
          <w:szCs w:val="24"/>
        </w:rPr>
      </w:pPr>
      <w:bookmarkStart w:id="6" w:name="_Toc165454672"/>
      <w:r w:rsidRPr="00291B7E">
        <w:rPr>
          <w:rFonts w:ascii="Times New Roman" w:hAnsi="Times New Roman" w:cs="Times New Roman"/>
          <w:sz w:val="24"/>
          <w:szCs w:val="24"/>
        </w:rPr>
        <w:lastRenderedPageBreak/>
        <w:t>Operational factors: skills and resources</w:t>
      </w:r>
      <w:bookmarkEnd w:id="6"/>
      <w:r w:rsidRPr="00291B7E">
        <w:rPr>
          <w:rFonts w:ascii="Times New Roman" w:hAnsi="Times New Roman" w:cs="Times New Roman"/>
          <w:sz w:val="24"/>
          <w:szCs w:val="24"/>
        </w:rPr>
        <w:t xml:space="preserve"> </w:t>
      </w:r>
    </w:p>
    <w:p w14:paraId="3B94D367" w14:textId="77777777" w:rsidR="00291B7E" w:rsidRPr="00291B7E" w:rsidRDefault="00291B7E" w:rsidP="00291B7E">
      <w:pPr>
        <w:spacing w:line="360" w:lineRule="auto"/>
        <w:rPr>
          <w:rFonts w:ascii="Times New Roman" w:hAnsi="Times New Roman" w:cs="Times New Roman"/>
          <w:sz w:val="24"/>
          <w:szCs w:val="24"/>
        </w:rPr>
      </w:pPr>
    </w:p>
    <w:p w14:paraId="577EE637" w14:textId="77777777" w:rsidR="00291B7E" w:rsidRPr="00291B7E" w:rsidRDefault="0027553E" w:rsidP="00291B7E">
      <w:pPr>
        <w:spacing w:line="360" w:lineRule="auto"/>
        <w:jc w:val="center"/>
        <w:rPr>
          <w:rFonts w:ascii="Times New Roman" w:hAnsi="Times New Roman" w:cs="Times New Roman"/>
          <w:sz w:val="24"/>
          <w:szCs w:val="24"/>
        </w:rPr>
      </w:pPr>
      <w:r w:rsidRPr="0027553E">
        <w:rPr>
          <w:rFonts w:ascii="Times New Roman" w:hAnsi="Times New Roman" w:cs="Times New Roman"/>
          <w:noProof/>
          <w:sz w:val="24"/>
          <w:szCs w:val="24"/>
        </w:rPr>
        <w:drawing>
          <wp:inline distT="0" distB="0" distL="0" distR="0" wp14:anchorId="5197D361" wp14:editId="4895056E">
            <wp:extent cx="4599296" cy="2587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7882" cy="2591870"/>
                    </a:xfrm>
                    <a:prstGeom prst="rect">
                      <a:avLst/>
                    </a:prstGeom>
                  </pic:spPr>
                </pic:pic>
              </a:graphicData>
            </a:graphic>
          </wp:inline>
        </w:drawing>
      </w:r>
    </w:p>
    <w:p w14:paraId="3A52B6FB" w14:textId="77777777" w:rsidR="00291B7E" w:rsidRPr="00291B7E" w:rsidRDefault="00291B7E" w:rsidP="00291B7E">
      <w:pPr>
        <w:spacing w:line="360" w:lineRule="auto"/>
        <w:jc w:val="center"/>
        <w:rPr>
          <w:rFonts w:ascii="Times New Roman" w:hAnsi="Times New Roman" w:cs="Times New Roman"/>
          <w:sz w:val="24"/>
          <w:szCs w:val="24"/>
        </w:rPr>
      </w:pPr>
    </w:p>
    <w:p w14:paraId="12427D5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Skills Required:</w:t>
      </w:r>
    </w:p>
    <w:p w14:paraId="1BCF81B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Executing the "Tech-Inn Hospitality Expo 2024" necessitates a proficient team equipped with diverse skills: </w:t>
      </w:r>
    </w:p>
    <w:p w14:paraId="02B04724"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Event Management:</w:t>
      </w:r>
      <w:r w:rsidRPr="00291B7E">
        <w:rPr>
          <w:rFonts w:ascii="Times New Roman" w:hAnsi="Times New Roman" w:cs="Times New Roman"/>
          <w:kern w:val="24"/>
          <w:sz w:val="24"/>
          <w:szCs w:val="24"/>
        </w:rPr>
        <w:t xml:space="preserve"> Proficiency in orchestrating large-scale events (UKHospitality, 2023). </w:t>
      </w:r>
    </w:p>
    <w:p w14:paraId="3FA5D4A5"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Technology Expertise:</w:t>
      </w:r>
      <w:r w:rsidRPr="00291B7E">
        <w:rPr>
          <w:rFonts w:ascii="Times New Roman" w:hAnsi="Times New Roman" w:cs="Times New Roman"/>
          <w:kern w:val="24"/>
          <w:sz w:val="24"/>
          <w:szCs w:val="24"/>
        </w:rPr>
        <w:t xml:space="preserve"> Insight into the latest technology trends within the hospitality domain (Modern Hospitality, 2024).</w:t>
      </w:r>
    </w:p>
    <w:p w14:paraId="57DB89F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Marketing and Promotion:</w:t>
      </w:r>
      <w:r w:rsidRPr="00291B7E">
        <w:rPr>
          <w:rFonts w:ascii="Times New Roman" w:hAnsi="Times New Roman" w:cs="Times New Roman"/>
          <w:kern w:val="24"/>
          <w:sz w:val="24"/>
          <w:szCs w:val="24"/>
        </w:rPr>
        <w:t xml:space="preserve"> Competence in effectively promoting the event to attract attendees (Dowson et al., 2022).</w:t>
      </w:r>
    </w:p>
    <w:p w14:paraId="1C49D421"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Customer Service:</w:t>
      </w:r>
      <w:r w:rsidRPr="00291B7E">
        <w:rPr>
          <w:rFonts w:ascii="Times New Roman" w:hAnsi="Times New Roman" w:cs="Times New Roman"/>
          <w:kern w:val="24"/>
          <w:sz w:val="24"/>
          <w:szCs w:val="24"/>
        </w:rPr>
        <w:t xml:space="preserve"> Exceptional customer service abilities to ensure attendee satisfaction.</w:t>
      </w:r>
    </w:p>
    <w:p w14:paraId="575BBD52"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Resources Needed:</w:t>
      </w:r>
    </w:p>
    <w:p w14:paraId="757AC9A1"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Several resources are imperative for the event's success:</w:t>
      </w:r>
    </w:p>
    <w:p w14:paraId="02961356"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Venue:</w:t>
      </w:r>
      <w:r w:rsidRPr="00291B7E">
        <w:rPr>
          <w:rFonts w:ascii="Times New Roman" w:hAnsi="Times New Roman" w:cs="Times New Roman"/>
          <w:kern w:val="24"/>
          <w:sz w:val="24"/>
          <w:szCs w:val="24"/>
        </w:rPr>
        <w:t xml:space="preserve"> The proposed Technology &amp; Innovation Centre, University Of Strathclyde, serves as the event's venue (Rogers &amp; Wynn-Moylan, 2022, p. 378).</w:t>
      </w:r>
    </w:p>
    <w:p w14:paraId="527088CE"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Technology:</w:t>
      </w:r>
      <w:r w:rsidRPr="00291B7E">
        <w:rPr>
          <w:rFonts w:ascii="Times New Roman" w:hAnsi="Times New Roman" w:cs="Times New Roman"/>
          <w:kern w:val="24"/>
          <w:sz w:val="24"/>
          <w:szCs w:val="24"/>
        </w:rPr>
        <w:t xml:space="preserve"> Essential equipment like projectors, screens, sound systems, and dependable Wi-Fi for presentations (Aharon et al., 2021, p. e0255819).</w:t>
      </w:r>
    </w:p>
    <w:p w14:paraId="423D3A61"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Catering:</w:t>
      </w:r>
      <w:r w:rsidRPr="00291B7E">
        <w:rPr>
          <w:rFonts w:ascii="Times New Roman" w:hAnsi="Times New Roman" w:cs="Times New Roman"/>
          <w:kern w:val="24"/>
          <w:sz w:val="24"/>
          <w:szCs w:val="24"/>
        </w:rPr>
        <w:t xml:space="preserve"> Provision of food and beverage services for attendees.</w:t>
      </w:r>
    </w:p>
    <w:p w14:paraId="41F5692A"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Promotional Materials:</w:t>
      </w:r>
      <w:r w:rsidRPr="00291B7E">
        <w:rPr>
          <w:rFonts w:ascii="Times New Roman" w:hAnsi="Times New Roman" w:cs="Times New Roman"/>
          <w:kern w:val="24"/>
          <w:sz w:val="24"/>
          <w:szCs w:val="24"/>
        </w:rPr>
        <w:t xml:space="preserve"> Development of brochures, banners, and digital assets for event marketing (Su &amp; Chen, 2020, p. 104158).</w:t>
      </w:r>
    </w:p>
    <w:p w14:paraId="7ED0467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lastRenderedPageBreak/>
        <w:t xml:space="preserve">Staff: </w:t>
      </w:r>
      <w:r w:rsidRPr="00291B7E">
        <w:rPr>
          <w:rFonts w:ascii="Times New Roman" w:hAnsi="Times New Roman" w:cs="Times New Roman"/>
          <w:kern w:val="24"/>
          <w:sz w:val="24"/>
          <w:szCs w:val="24"/>
        </w:rPr>
        <w:t>A proficient team comprising event planners, technology specialists, marketers, and customer service representatives (Dube et al., 2021, pp. 1487-1490).</w:t>
      </w:r>
    </w:p>
    <w:p w14:paraId="172D78F7" w14:textId="77777777" w:rsidR="0027553E" w:rsidRPr="004545DD" w:rsidRDefault="0027553E" w:rsidP="0027553E">
      <w:pPr>
        <w:autoSpaceDE w:val="0"/>
        <w:autoSpaceDN w:val="0"/>
        <w:adjustRightInd w:val="0"/>
        <w:spacing w:after="0" w:line="360" w:lineRule="auto"/>
        <w:jc w:val="both"/>
        <w:rPr>
          <w:rFonts w:ascii="Times New Roman" w:hAnsi="Times New Roman" w:cs="Times New Roman"/>
          <w:b/>
          <w:kern w:val="24"/>
          <w:sz w:val="24"/>
          <w:szCs w:val="24"/>
        </w:rPr>
      </w:pPr>
      <w:r w:rsidRPr="004545DD">
        <w:rPr>
          <w:rFonts w:ascii="Times New Roman" w:hAnsi="Times New Roman" w:cs="Times New Roman"/>
          <w:b/>
          <w:kern w:val="24"/>
          <w:sz w:val="24"/>
          <w:szCs w:val="24"/>
          <w:lang w:val="en-IN"/>
        </w:rPr>
        <w:t>For the Tech-Inn Hospitality Expo 2024, the STP model can be applied as follows:</w:t>
      </w:r>
    </w:p>
    <w:p w14:paraId="468654E7" w14:textId="0245F31D" w:rsidR="0027553E" w:rsidRPr="004545DD" w:rsidRDefault="0027553E" w:rsidP="0027553E">
      <w:pPr>
        <w:autoSpaceDE w:val="0"/>
        <w:autoSpaceDN w:val="0"/>
        <w:adjustRightInd w:val="0"/>
        <w:spacing w:after="0" w:line="360" w:lineRule="auto"/>
        <w:jc w:val="both"/>
        <w:rPr>
          <w:rFonts w:ascii="Times New Roman" w:hAnsi="Times New Roman" w:cs="Times New Roman"/>
          <w:kern w:val="24"/>
          <w:sz w:val="24"/>
          <w:szCs w:val="24"/>
        </w:rPr>
      </w:pPr>
      <w:r w:rsidRPr="004545DD">
        <w:rPr>
          <w:rFonts w:ascii="Times New Roman" w:hAnsi="Times New Roman" w:cs="Times New Roman"/>
          <w:b/>
          <w:bCs/>
          <w:kern w:val="24"/>
          <w:sz w:val="24"/>
          <w:szCs w:val="24"/>
          <w:lang w:val="en-IN"/>
        </w:rPr>
        <w:t xml:space="preserve">Segmentation: </w:t>
      </w:r>
      <w:r w:rsidRPr="004545DD">
        <w:rPr>
          <w:rFonts w:ascii="Times New Roman" w:hAnsi="Times New Roman" w:cs="Times New Roman"/>
          <w:kern w:val="24"/>
          <w:sz w:val="24"/>
          <w:szCs w:val="24"/>
          <w:lang w:val="en-IN"/>
        </w:rPr>
        <w:t>The event aims at hospitable workers, tech providers, industry consultants, and students in UK universities, in particular those who are interested in technological progress and staff efficiency (Mordor Intelligence, 2024).</w:t>
      </w:r>
    </w:p>
    <w:p w14:paraId="2A73EC19" w14:textId="77777777" w:rsidR="0027553E" w:rsidRPr="004545DD" w:rsidRDefault="0027553E" w:rsidP="0027553E">
      <w:pPr>
        <w:autoSpaceDE w:val="0"/>
        <w:autoSpaceDN w:val="0"/>
        <w:adjustRightInd w:val="0"/>
        <w:spacing w:after="0" w:line="360" w:lineRule="auto"/>
        <w:jc w:val="both"/>
        <w:rPr>
          <w:rFonts w:ascii="Times New Roman" w:hAnsi="Times New Roman" w:cs="Times New Roman"/>
          <w:kern w:val="24"/>
          <w:sz w:val="24"/>
          <w:szCs w:val="24"/>
        </w:rPr>
      </w:pPr>
      <w:r w:rsidRPr="004545DD">
        <w:rPr>
          <w:rFonts w:ascii="Times New Roman" w:hAnsi="Times New Roman" w:cs="Times New Roman"/>
          <w:b/>
          <w:bCs/>
          <w:kern w:val="24"/>
          <w:sz w:val="24"/>
          <w:szCs w:val="24"/>
          <w:lang w:val="en-IN"/>
        </w:rPr>
        <w:t xml:space="preserve">Targeting: </w:t>
      </w:r>
      <w:r w:rsidRPr="004545DD">
        <w:rPr>
          <w:rFonts w:ascii="Times New Roman" w:hAnsi="Times New Roman" w:cs="Times New Roman"/>
          <w:kern w:val="24"/>
          <w:sz w:val="24"/>
          <w:szCs w:val="24"/>
          <w:lang w:val="en-IN"/>
        </w:rPr>
        <w:t>The target audience is the hotel managers, restaurateurs, and technology vendors who are most likely to be the direct beneficiaries of the newest technology innovations, and who will also be participating in the conference to acquire knowledge and connections (Dillette &amp; Ponting, 2021, Vol. 22, No. 3, pp. 197-220).</w:t>
      </w:r>
    </w:p>
    <w:p w14:paraId="3C354E2E" w14:textId="2FE6C7F5" w:rsidR="0027553E" w:rsidRPr="0027553E" w:rsidRDefault="0027553E" w:rsidP="0027553E">
      <w:pPr>
        <w:autoSpaceDE w:val="0"/>
        <w:autoSpaceDN w:val="0"/>
        <w:adjustRightInd w:val="0"/>
        <w:spacing w:after="0" w:line="360" w:lineRule="auto"/>
        <w:jc w:val="both"/>
        <w:rPr>
          <w:rFonts w:ascii="Times New Roman" w:hAnsi="Times New Roman" w:cs="Times New Roman"/>
          <w:kern w:val="24"/>
          <w:sz w:val="24"/>
          <w:szCs w:val="24"/>
        </w:rPr>
      </w:pPr>
      <w:r w:rsidRPr="004545DD">
        <w:rPr>
          <w:rFonts w:ascii="Times New Roman" w:hAnsi="Times New Roman" w:cs="Times New Roman"/>
          <w:b/>
          <w:bCs/>
          <w:kern w:val="24"/>
          <w:sz w:val="24"/>
          <w:szCs w:val="24"/>
          <w:lang w:val="en-IN"/>
        </w:rPr>
        <w:t>Positioning:</w:t>
      </w:r>
      <w:r w:rsidRPr="004545DD">
        <w:rPr>
          <w:rFonts w:ascii="Times New Roman" w:hAnsi="Times New Roman" w:cs="Times New Roman"/>
          <w:kern w:val="24"/>
          <w:sz w:val="24"/>
          <w:szCs w:val="24"/>
          <w:lang w:val="en-IN"/>
        </w:rPr>
        <w:t xml:space="preserve"> The event will be showcased as the </w:t>
      </w:r>
      <w:r w:rsidR="00AB6E8C" w:rsidRPr="004545DD">
        <w:rPr>
          <w:rFonts w:ascii="Times New Roman" w:hAnsi="Times New Roman" w:cs="Times New Roman"/>
          <w:kern w:val="24"/>
          <w:sz w:val="24"/>
          <w:szCs w:val="24"/>
          <w:lang w:val="en-IN"/>
        </w:rPr>
        <w:t>premier</w:t>
      </w:r>
      <w:r w:rsidRPr="004545DD">
        <w:rPr>
          <w:rFonts w:ascii="Times New Roman" w:hAnsi="Times New Roman" w:cs="Times New Roman"/>
          <w:kern w:val="24"/>
          <w:sz w:val="24"/>
          <w:szCs w:val="24"/>
          <w:lang w:val="en-IN"/>
        </w:rPr>
        <w:t xml:space="preserve"> conference and exhibition devoted to the deployment of and the exploration of the </w:t>
      </w:r>
      <w:r w:rsidR="00AB6E8C" w:rsidRPr="004545DD">
        <w:rPr>
          <w:rFonts w:ascii="Times New Roman" w:hAnsi="Times New Roman" w:cs="Times New Roman"/>
          <w:kern w:val="24"/>
          <w:sz w:val="24"/>
          <w:szCs w:val="24"/>
          <w:lang w:val="en-IN"/>
        </w:rPr>
        <w:t>cutting-edge</w:t>
      </w:r>
      <w:r w:rsidRPr="004545DD">
        <w:rPr>
          <w:rFonts w:ascii="Times New Roman" w:hAnsi="Times New Roman" w:cs="Times New Roman"/>
          <w:kern w:val="24"/>
          <w:sz w:val="24"/>
          <w:szCs w:val="24"/>
          <w:lang w:val="en-IN"/>
        </w:rPr>
        <w:t xml:space="preserve"> technology used within the hospitality industry and it will be positioned as a pivotal platform for enhancement of innovation and professional development (Le &amp; Phi, 2021, p. 102808).</w:t>
      </w:r>
    </w:p>
    <w:p w14:paraId="6404FF0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2EB93C03"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134011F7" w14:textId="77777777" w:rsidR="00291B7E" w:rsidRPr="00291B7E" w:rsidRDefault="00291B7E" w:rsidP="00291B7E">
      <w:pPr>
        <w:spacing w:line="360" w:lineRule="auto"/>
        <w:rPr>
          <w:rFonts w:ascii="Times New Roman" w:hAnsi="Times New Roman" w:cs="Times New Roman"/>
          <w:sz w:val="24"/>
          <w:szCs w:val="24"/>
        </w:rPr>
      </w:pPr>
    </w:p>
    <w:p w14:paraId="1BFDE02A"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758D5DE8" w14:textId="77777777" w:rsidR="00291B7E" w:rsidRPr="00291B7E" w:rsidRDefault="00291B7E" w:rsidP="00291B7E">
      <w:pPr>
        <w:pStyle w:val="Heading1"/>
        <w:spacing w:line="360" w:lineRule="auto"/>
        <w:rPr>
          <w:rFonts w:ascii="Times New Roman" w:hAnsi="Times New Roman" w:cs="Times New Roman"/>
          <w:sz w:val="24"/>
          <w:szCs w:val="24"/>
        </w:rPr>
      </w:pPr>
      <w:bookmarkStart w:id="7" w:name="_Toc165454673"/>
      <w:r w:rsidRPr="00291B7E">
        <w:rPr>
          <w:rFonts w:ascii="Times New Roman" w:hAnsi="Times New Roman" w:cs="Times New Roman"/>
          <w:sz w:val="24"/>
          <w:szCs w:val="24"/>
        </w:rPr>
        <w:lastRenderedPageBreak/>
        <w:t>Financial factors: costs and revenues</w:t>
      </w:r>
      <w:bookmarkEnd w:id="7"/>
      <w:r w:rsidRPr="00291B7E">
        <w:rPr>
          <w:rFonts w:ascii="Times New Roman" w:hAnsi="Times New Roman" w:cs="Times New Roman"/>
          <w:sz w:val="24"/>
          <w:szCs w:val="24"/>
        </w:rPr>
        <w:t xml:space="preserve"> </w:t>
      </w:r>
    </w:p>
    <w:p w14:paraId="4B588564" w14:textId="77777777" w:rsidR="00291B7E" w:rsidRPr="00291B7E" w:rsidRDefault="00291B7E" w:rsidP="00291B7E">
      <w:pPr>
        <w:spacing w:line="360" w:lineRule="auto"/>
        <w:rPr>
          <w:rFonts w:ascii="Times New Roman" w:hAnsi="Times New Roman" w:cs="Times New Roman"/>
          <w:sz w:val="24"/>
          <w:szCs w:val="24"/>
        </w:rPr>
      </w:pPr>
    </w:p>
    <w:p w14:paraId="1E022DC3"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17FE3AF5">
          <v:shape id="_x0000_i1031"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76598788" r:id="rId21"/>
        </w:object>
      </w:r>
    </w:p>
    <w:p w14:paraId="54A262E9" w14:textId="77777777" w:rsidR="00291B7E" w:rsidRPr="00291B7E" w:rsidRDefault="00291B7E" w:rsidP="00291B7E">
      <w:pPr>
        <w:spacing w:line="360" w:lineRule="auto"/>
        <w:jc w:val="center"/>
        <w:rPr>
          <w:rFonts w:ascii="Times New Roman" w:hAnsi="Times New Roman" w:cs="Times New Roman"/>
          <w:sz w:val="24"/>
          <w:szCs w:val="24"/>
        </w:rPr>
      </w:pPr>
    </w:p>
    <w:p w14:paraId="74B97303"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Projected Costs:</w:t>
      </w:r>
    </w:p>
    <w:p w14:paraId="097E294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The primary expenses for the “Tech-Inn Hospitality Expo 2024” include:</w:t>
      </w:r>
    </w:p>
    <w:p w14:paraId="48029E46"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Venue Hire:</w:t>
      </w:r>
      <w:r w:rsidRPr="00291B7E">
        <w:rPr>
          <w:rFonts w:ascii="Times New Roman" w:hAnsi="Times New Roman" w:cs="Times New Roman"/>
          <w:kern w:val="24"/>
          <w:sz w:val="24"/>
          <w:szCs w:val="24"/>
        </w:rPr>
        <w:t xml:space="preserve"> Approximately £10,000 for securing the Technology &amp; Innovation Centre for two days.</w:t>
      </w:r>
    </w:p>
    <w:p w14:paraId="277ECB95"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Technology Equipment:</w:t>
      </w:r>
      <w:r w:rsidRPr="00291B7E">
        <w:rPr>
          <w:rFonts w:ascii="Times New Roman" w:hAnsi="Times New Roman" w:cs="Times New Roman"/>
          <w:kern w:val="24"/>
          <w:sz w:val="24"/>
          <w:szCs w:val="24"/>
        </w:rPr>
        <w:t xml:space="preserve"> Estimated at £5,000 for renting essential equipment like projectors, screens, and sound systems, and ensuring reliable Wi-Fi (Miles &amp; Shipway, 2020, pp. 537-552).</w:t>
      </w:r>
    </w:p>
    <w:p w14:paraId="4654D90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Catering Services:</w:t>
      </w:r>
      <w:r w:rsidRPr="00291B7E">
        <w:rPr>
          <w:rFonts w:ascii="Times New Roman" w:hAnsi="Times New Roman" w:cs="Times New Roman"/>
          <w:kern w:val="24"/>
          <w:sz w:val="24"/>
          <w:szCs w:val="24"/>
        </w:rPr>
        <w:t xml:space="preserve"> Around £7,000 was allocated for providing food and beverages to attendees (Aigbedo, 2021, p. 103012).</w:t>
      </w:r>
    </w:p>
    <w:p w14:paraId="40171A2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Promotional Materials:</w:t>
      </w:r>
      <w:r w:rsidRPr="00291B7E">
        <w:rPr>
          <w:rFonts w:ascii="Times New Roman" w:hAnsi="Times New Roman" w:cs="Times New Roman"/>
          <w:kern w:val="24"/>
          <w:sz w:val="24"/>
          <w:szCs w:val="24"/>
        </w:rPr>
        <w:t xml:space="preserve"> Estimated at £3,000 for producing brochures, banners, and digital assets for event marketing (Mordor Intelligence, 2024).</w:t>
      </w:r>
    </w:p>
    <w:p w14:paraId="5153ACA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Staffing:</w:t>
      </w:r>
      <w:r w:rsidRPr="00291B7E">
        <w:rPr>
          <w:rFonts w:ascii="Times New Roman" w:hAnsi="Times New Roman" w:cs="Times New Roman"/>
          <w:kern w:val="24"/>
          <w:sz w:val="24"/>
          <w:szCs w:val="24"/>
        </w:rPr>
        <w:t xml:space="preserve"> Estimated at £10,000 for hiring event planners, technology experts, marketing professionals, and customer service staff (Statista, 2023).</w:t>
      </w:r>
    </w:p>
    <w:p w14:paraId="12144683"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Total Estimated Costs: £35,000</w:t>
      </w:r>
    </w:p>
    <w:p w14:paraId="2EE1C504"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Projected Revenues:</w:t>
      </w:r>
    </w:p>
    <w:p w14:paraId="264FF17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Revenue sources for the expo include:</w:t>
      </w:r>
    </w:p>
    <w:p w14:paraId="63F0036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Ticket Sales</w:t>
      </w:r>
      <w:r w:rsidRPr="00291B7E">
        <w:rPr>
          <w:rFonts w:ascii="Times New Roman" w:hAnsi="Times New Roman" w:cs="Times New Roman"/>
          <w:kern w:val="24"/>
          <w:sz w:val="24"/>
          <w:szCs w:val="24"/>
        </w:rPr>
        <w:t>: With an estimated attendance of 500 people and tickets priced at £100 each, ticket sales could generate £50,000.</w:t>
      </w:r>
    </w:p>
    <w:p w14:paraId="09BE7835"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lastRenderedPageBreak/>
        <w:t xml:space="preserve">Sponsorships: </w:t>
      </w:r>
      <w:r w:rsidRPr="00291B7E">
        <w:rPr>
          <w:rFonts w:ascii="Times New Roman" w:hAnsi="Times New Roman" w:cs="Times New Roman"/>
          <w:kern w:val="24"/>
          <w:sz w:val="24"/>
          <w:szCs w:val="24"/>
        </w:rPr>
        <w:t>Anticipated sponsorships from technology providers and relevant businesses could yield around £20,000.</w:t>
      </w:r>
    </w:p>
    <w:p w14:paraId="6B16462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Exhibition Booths:</w:t>
      </w:r>
      <w:r w:rsidRPr="00291B7E">
        <w:rPr>
          <w:rFonts w:ascii="Times New Roman" w:hAnsi="Times New Roman" w:cs="Times New Roman"/>
          <w:kern w:val="24"/>
          <w:sz w:val="24"/>
          <w:szCs w:val="24"/>
        </w:rPr>
        <w:t xml:space="preserve"> Renting exhibition space to technology providers could bring in approximately £10,000 (Kravariti et al., 2021, pp. 321-360).</w:t>
      </w:r>
    </w:p>
    <w:p w14:paraId="508ED34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Total Estimated Revenues: £80,000</w:t>
      </w:r>
    </w:p>
    <w:p w14:paraId="124D68E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In conclusion, the financial feasibility of the “Tech-Inn Hospitality Expo 2024” is evident, with projected revenues significantly surpassing estimated costs (Seraphin, 2021, Vol. 22, No. 1, pp. 3-35).</w:t>
      </w:r>
    </w:p>
    <w:p w14:paraId="3EBEFCC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3FF520DC" w14:textId="77777777" w:rsidR="00291B7E" w:rsidRPr="00291B7E" w:rsidRDefault="00291B7E" w:rsidP="00291B7E">
      <w:pPr>
        <w:spacing w:line="360" w:lineRule="auto"/>
        <w:rPr>
          <w:rFonts w:ascii="Times New Roman" w:hAnsi="Times New Roman" w:cs="Times New Roman"/>
          <w:sz w:val="24"/>
          <w:szCs w:val="24"/>
        </w:rPr>
      </w:pPr>
    </w:p>
    <w:p w14:paraId="648F9192" w14:textId="77777777" w:rsidR="00873886" w:rsidRDefault="00873886" w:rsidP="00291B7E">
      <w:pPr>
        <w:pStyle w:val="Heading1"/>
        <w:spacing w:line="360" w:lineRule="auto"/>
        <w:rPr>
          <w:rFonts w:ascii="Times New Roman" w:hAnsi="Times New Roman" w:cs="Times New Roman"/>
          <w:sz w:val="24"/>
          <w:szCs w:val="24"/>
        </w:rPr>
      </w:pPr>
      <w:bookmarkStart w:id="8" w:name="_Toc165454674"/>
    </w:p>
    <w:p w14:paraId="43E289BC" w14:textId="77777777" w:rsidR="00873886" w:rsidRDefault="00873886" w:rsidP="00291B7E">
      <w:pPr>
        <w:pStyle w:val="Heading1"/>
        <w:spacing w:line="360" w:lineRule="auto"/>
        <w:rPr>
          <w:rFonts w:ascii="Times New Roman" w:hAnsi="Times New Roman" w:cs="Times New Roman"/>
          <w:sz w:val="24"/>
          <w:szCs w:val="24"/>
        </w:rPr>
      </w:pPr>
    </w:p>
    <w:p w14:paraId="50396DE8" w14:textId="77777777" w:rsidR="00873886" w:rsidRDefault="00873886" w:rsidP="00291B7E">
      <w:pPr>
        <w:pStyle w:val="Heading1"/>
        <w:spacing w:line="360" w:lineRule="auto"/>
        <w:rPr>
          <w:rFonts w:ascii="Times New Roman" w:hAnsi="Times New Roman" w:cs="Times New Roman"/>
          <w:sz w:val="24"/>
          <w:szCs w:val="24"/>
        </w:rPr>
      </w:pPr>
    </w:p>
    <w:p w14:paraId="44559B6E" w14:textId="77777777" w:rsidR="00873886" w:rsidRDefault="00873886" w:rsidP="00291B7E">
      <w:pPr>
        <w:pStyle w:val="Heading1"/>
        <w:spacing w:line="360" w:lineRule="auto"/>
        <w:rPr>
          <w:rFonts w:ascii="Times New Roman" w:hAnsi="Times New Roman" w:cs="Times New Roman"/>
          <w:sz w:val="24"/>
          <w:szCs w:val="24"/>
        </w:rPr>
      </w:pPr>
    </w:p>
    <w:p w14:paraId="50CC0A7C" w14:textId="77777777" w:rsidR="00873886" w:rsidRDefault="00873886" w:rsidP="00291B7E">
      <w:pPr>
        <w:pStyle w:val="Heading1"/>
        <w:spacing w:line="360" w:lineRule="auto"/>
        <w:rPr>
          <w:rFonts w:ascii="Times New Roman" w:hAnsi="Times New Roman" w:cs="Times New Roman"/>
          <w:sz w:val="24"/>
          <w:szCs w:val="24"/>
        </w:rPr>
      </w:pPr>
    </w:p>
    <w:p w14:paraId="2D4F3A6D" w14:textId="77777777" w:rsidR="00873886" w:rsidRDefault="00873886" w:rsidP="00291B7E">
      <w:pPr>
        <w:pStyle w:val="Heading1"/>
        <w:spacing w:line="360" w:lineRule="auto"/>
        <w:rPr>
          <w:rFonts w:ascii="Times New Roman" w:hAnsi="Times New Roman" w:cs="Times New Roman"/>
          <w:sz w:val="24"/>
          <w:szCs w:val="24"/>
        </w:rPr>
      </w:pPr>
    </w:p>
    <w:p w14:paraId="1EE0CC92" w14:textId="77777777" w:rsidR="00873886" w:rsidRDefault="00873886" w:rsidP="00291B7E">
      <w:pPr>
        <w:pStyle w:val="Heading1"/>
        <w:spacing w:line="360" w:lineRule="auto"/>
        <w:rPr>
          <w:rFonts w:ascii="Times New Roman" w:hAnsi="Times New Roman" w:cs="Times New Roman"/>
          <w:sz w:val="24"/>
          <w:szCs w:val="24"/>
        </w:rPr>
      </w:pPr>
    </w:p>
    <w:p w14:paraId="053FA18A" w14:textId="77777777" w:rsidR="00873886" w:rsidRDefault="00873886" w:rsidP="00291B7E">
      <w:pPr>
        <w:pStyle w:val="Heading1"/>
        <w:spacing w:line="360" w:lineRule="auto"/>
        <w:rPr>
          <w:rFonts w:ascii="Times New Roman" w:hAnsi="Times New Roman" w:cs="Times New Roman"/>
          <w:sz w:val="24"/>
          <w:szCs w:val="24"/>
        </w:rPr>
      </w:pPr>
    </w:p>
    <w:p w14:paraId="20B0ED0A" w14:textId="77777777" w:rsidR="00873886" w:rsidRDefault="00873886" w:rsidP="00291B7E">
      <w:pPr>
        <w:pStyle w:val="Heading1"/>
        <w:spacing w:line="360" w:lineRule="auto"/>
        <w:rPr>
          <w:rFonts w:ascii="Times New Roman" w:hAnsi="Times New Roman" w:cs="Times New Roman"/>
          <w:sz w:val="24"/>
          <w:szCs w:val="24"/>
        </w:rPr>
      </w:pPr>
    </w:p>
    <w:p w14:paraId="28B713F3" w14:textId="77777777" w:rsidR="00873886" w:rsidRDefault="00873886" w:rsidP="00291B7E">
      <w:pPr>
        <w:pStyle w:val="Heading1"/>
        <w:spacing w:line="360" w:lineRule="auto"/>
        <w:rPr>
          <w:rFonts w:ascii="Times New Roman" w:hAnsi="Times New Roman" w:cs="Times New Roman"/>
          <w:sz w:val="24"/>
          <w:szCs w:val="24"/>
        </w:rPr>
      </w:pPr>
    </w:p>
    <w:p w14:paraId="14AF6ACE" w14:textId="77777777" w:rsidR="00873886" w:rsidRDefault="00873886" w:rsidP="00291B7E">
      <w:pPr>
        <w:pStyle w:val="Heading1"/>
        <w:spacing w:line="360" w:lineRule="auto"/>
        <w:rPr>
          <w:rFonts w:ascii="Times New Roman" w:hAnsi="Times New Roman" w:cs="Times New Roman"/>
          <w:sz w:val="24"/>
          <w:szCs w:val="24"/>
        </w:rPr>
      </w:pPr>
    </w:p>
    <w:p w14:paraId="47A90652" w14:textId="77777777" w:rsidR="00873886" w:rsidRDefault="00873886" w:rsidP="00291B7E">
      <w:pPr>
        <w:pStyle w:val="Heading1"/>
        <w:spacing w:line="360" w:lineRule="auto"/>
        <w:rPr>
          <w:rFonts w:ascii="Times New Roman" w:hAnsi="Times New Roman" w:cs="Times New Roman"/>
          <w:sz w:val="24"/>
          <w:szCs w:val="24"/>
        </w:rPr>
      </w:pPr>
    </w:p>
    <w:bookmarkEnd w:id="8"/>
    <w:p w14:paraId="39FA7057" w14:textId="4AF5FA27" w:rsidR="00291B7E" w:rsidRPr="00291B7E" w:rsidRDefault="00291B7E" w:rsidP="00291B7E">
      <w:pPr>
        <w:pStyle w:val="Heading1"/>
        <w:spacing w:line="360" w:lineRule="auto"/>
        <w:rPr>
          <w:rFonts w:ascii="Times New Roman" w:hAnsi="Times New Roman" w:cs="Times New Roman"/>
          <w:sz w:val="24"/>
          <w:szCs w:val="24"/>
        </w:rPr>
      </w:pPr>
    </w:p>
    <w:p w14:paraId="57B479F8" w14:textId="77777777" w:rsidR="00291B7E" w:rsidRPr="00291B7E" w:rsidRDefault="00291B7E" w:rsidP="00291B7E">
      <w:pPr>
        <w:spacing w:line="360" w:lineRule="auto"/>
        <w:rPr>
          <w:rFonts w:ascii="Times New Roman" w:hAnsi="Times New Roman" w:cs="Times New Roman"/>
          <w:sz w:val="24"/>
          <w:szCs w:val="24"/>
        </w:rPr>
      </w:pPr>
    </w:p>
    <w:p w14:paraId="4D52007F" w14:textId="77777777" w:rsidR="00873886" w:rsidRPr="00291B7E" w:rsidRDefault="00291B7E" w:rsidP="00873886">
      <w:r w:rsidRPr="00291B7E">
        <w:object w:dxaOrig="9598" w:dyaOrig="5398" w14:anchorId="0F28955C">
          <v:shape id="_x0000_i1032"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76598789" r:id="rId23"/>
        </w:object>
      </w:r>
    </w:p>
    <w:p w14:paraId="7E531795" w14:textId="77777777" w:rsidR="00873886" w:rsidRPr="00291B7E" w:rsidRDefault="00873886" w:rsidP="00873886"/>
    <w:p w14:paraId="41B7FA0F" w14:textId="796712E2" w:rsidR="00291B7E" w:rsidRDefault="00291B7E" w:rsidP="00291B7E">
      <w:pPr>
        <w:spacing w:line="360" w:lineRule="auto"/>
        <w:jc w:val="center"/>
        <w:rPr>
          <w:rFonts w:ascii="Times New Roman" w:hAnsi="Times New Roman" w:cs="Times New Roman"/>
          <w:sz w:val="24"/>
          <w:szCs w:val="24"/>
        </w:rPr>
      </w:pPr>
    </w:p>
    <w:p w14:paraId="06B16D62" w14:textId="77777777" w:rsidR="00873886" w:rsidRPr="00291B7E" w:rsidRDefault="00873886" w:rsidP="00291B7E">
      <w:pPr>
        <w:spacing w:line="360" w:lineRule="auto"/>
        <w:jc w:val="center"/>
        <w:rPr>
          <w:rFonts w:ascii="Times New Roman" w:hAnsi="Times New Roman" w:cs="Times New Roman"/>
          <w:sz w:val="24"/>
          <w:szCs w:val="24"/>
        </w:rPr>
      </w:pPr>
    </w:p>
    <w:p w14:paraId="4A00D88E" w14:textId="77777777" w:rsidR="00291B7E" w:rsidRPr="00291B7E" w:rsidRDefault="00291B7E" w:rsidP="00291B7E">
      <w:pPr>
        <w:spacing w:line="360" w:lineRule="auto"/>
        <w:jc w:val="center"/>
        <w:rPr>
          <w:rFonts w:ascii="Times New Roman" w:hAnsi="Times New Roman" w:cs="Times New Roman"/>
          <w:sz w:val="24"/>
          <w:szCs w:val="24"/>
        </w:rPr>
      </w:pPr>
    </w:p>
    <w:p w14:paraId="59EF271B" w14:textId="77777777" w:rsidR="00873886" w:rsidRDefault="00873886" w:rsidP="00291B7E">
      <w:pPr>
        <w:autoSpaceDE w:val="0"/>
        <w:autoSpaceDN w:val="0"/>
        <w:adjustRightInd w:val="0"/>
        <w:spacing w:after="0" w:line="360" w:lineRule="auto"/>
        <w:jc w:val="both"/>
        <w:rPr>
          <w:rFonts w:ascii="Times New Roman" w:hAnsi="Times New Roman" w:cs="Times New Roman"/>
          <w:b/>
          <w:bCs/>
          <w:kern w:val="24"/>
          <w:sz w:val="24"/>
          <w:szCs w:val="24"/>
        </w:rPr>
      </w:pPr>
    </w:p>
    <w:p w14:paraId="38503C8C" w14:textId="77777777" w:rsidR="00873886" w:rsidRDefault="00873886" w:rsidP="00291B7E">
      <w:pPr>
        <w:autoSpaceDE w:val="0"/>
        <w:autoSpaceDN w:val="0"/>
        <w:adjustRightInd w:val="0"/>
        <w:spacing w:after="0" w:line="360" w:lineRule="auto"/>
        <w:jc w:val="both"/>
        <w:rPr>
          <w:rFonts w:ascii="Times New Roman" w:hAnsi="Times New Roman" w:cs="Times New Roman"/>
          <w:b/>
          <w:bCs/>
          <w:kern w:val="24"/>
          <w:sz w:val="24"/>
          <w:szCs w:val="24"/>
        </w:rPr>
      </w:pPr>
    </w:p>
    <w:p w14:paraId="3032675C" w14:textId="77777777" w:rsidR="00873886" w:rsidRDefault="00873886" w:rsidP="00291B7E">
      <w:pPr>
        <w:autoSpaceDE w:val="0"/>
        <w:autoSpaceDN w:val="0"/>
        <w:adjustRightInd w:val="0"/>
        <w:spacing w:after="0" w:line="360" w:lineRule="auto"/>
        <w:jc w:val="both"/>
        <w:rPr>
          <w:rFonts w:ascii="Times New Roman" w:hAnsi="Times New Roman" w:cs="Times New Roman"/>
          <w:b/>
          <w:bCs/>
          <w:kern w:val="24"/>
          <w:sz w:val="24"/>
          <w:szCs w:val="24"/>
        </w:rPr>
      </w:pPr>
    </w:p>
    <w:p w14:paraId="1D80A7E3" w14:textId="792F8C9D"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Ticket Sales: </w:t>
      </w:r>
      <w:r w:rsidRPr="00291B7E">
        <w:rPr>
          <w:rFonts w:ascii="Times New Roman" w:hAnsi="Times New Roman" w:cs="Times New Roman"/>
          <w:kern w:val="24"/>
          <w:sz w:val="24"/>
          <w:szCs w:val="24"/>
        </w:rPr>
        <w:t>Anticipated to be a significant revenue stream, ticket sales are estimated to generate approximately £50,000, with 500 attendees purchasing tickets priced at £100 each (Kravariti et al., 2021, pp. 321-360).</w:t>
      </w:r>
    </w:p>
    <w:p w14:paraId="6BB5834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Sponsorships: </w:t>
      </w:r>
      <w:r w:rsidRPr="00291B7E">
        <w:rPr>
          <w:rFonts w:ascii="Times New Roman" w:hAnsi="Times New Roman" w:cs="Times New Roman"/>
          <w:kern w:val="24"/>
          <w:sz w:val="24"/>
          <w:szCs w:val="24"/>
        </w:rPr>
        <w:t>Sponsorships from technology providers and relevant businesses are expected to contribute around £20,000. These sponsorships may include both monetary contributions and in-kind support (Seraphin, 2021, Vol. 22, No. 1, pp. 3-35).</w:t>
      </w:r>
    </w:p>
    <w:p w14:paraId="2D7B515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b/>
          <w:bCs/>
          <w:kern w:val="24"/>
          <w:sz w:val="24"/>
          <w:szCs w:val="24"/>
        </w:rPr>
        <w:t xml:space="preserve">Exhibition Booths: </w:t>
      </w:r>
      <w:r w:rsidRPr="00291B7E">
        <w:rPr>
          <w:rFonts w:ascii="Times New Roman" w:hAnsi="Times New Roman" w:cs="Times New Roman"/>
          <w:kern w:val="24"/>
          <w:sz w:val="24"/>
          <w:szCs w:val="24"/>
        </w:rPr>
        <w:t>Renting out exhibition space to technology providers is projected to generate around £10,000 in revenue (González-Torres et al., 2021, p. 102733).</w:t>
      </w:r>
    </w:p>
    <w:p w14:paraId="6EECDA03"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0F7489A6"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04D14FCB" w14:textId="77777777" w:rsidR="00291B7E" w:rsidRPr="00291B7E" w:rsidRDefault="00291B7E" w:rsidP="00291B7E">
      <w:pPr>
        <w:spacing w:line="360" w:lineRule="auto"/>
        <w:rPr>
          <w:rFonts w:ascii="Times New Roman" w:hAnsi="Times New Roman" w:cs="Times New Roman"/>
          <w:sz w:val="24"/>
          <w:szCs w:val="24"/>
        </w:rPr>
      </w:pPr>
    </w:p>
    <w:p w14:paraId="6CEED1D8" w14:textId="77777777" w:rsidR="00291B7E" w:rsidRPr="00291B7E" w:rsidRDefault="00291B7E" w:rsidP="00291B7E">
      <w:pPr>
        <w:spacing w:line="360" w:lineRule="auto"/>
        <w:rPr>
          <w:rFonts w:ascii="Times New Roman" w:hAnsi="Times New Roman" w:cs="Times New Roman"/>
          <w:sz w:val="24"/>
          <w:szCs w:val="24"/>
        </w:rPr>
      </w:pPr>
      <w:r w:rsidRPr="00291B7E">
        <w:rPr>
          <w:rFonts w:ascii="Times New Roman" w:hAnsi="Times New Roman" w:cs="Times New Roman"/>
          <w:sz w:val="24"/>
          <w:szCs w:val="24"/>
        </w:rPr>
        <w:br w:type="page"/>
      </w:r>
    </w:p>
    <w:p w14:paraId="20F54707" w14:textId="77777777" w:rsidR="00291B7E" w:rsidRPr="00291B7E" w:rsidRDefault="00291B7E" w:rsidP="00291B7E">
      <w:pPr>
        <w:pStyle w:val="Heading1"/>
        <w:spacing w:line="360" w:lineRule="auto"/>
        <w:rPr>
          <w:rFonts w:ascii="Times New Roman" w:hAnsi="Times New Roman" w:cs="Times New Roman"/>
          <w:sz w:val="24"/>
          <w:szCs w:val="24"/>
        </w:rPr>
      </w:pPr>
      <w:bookmarkStart w:id="9" w:name="_Toc165454675"/>
      <w:r w:rsidRPr="00291B7E">
        <w:rPr>
          <w:rFonts w:ascii="Times New Roman" w:hAnsi="Times New Roman" w:cs="Times New Roman"/>
          <w:sz w:val="24"/>
          <w:szCs w:val="24"/>
        </w:rPr>
        <w:lastRenderedPageBreak/>
        <w:t>Conclusion</w:t>
      </w:r>
      <w:bookmarkEnd w:id="9"/>
      <w:r w:rsidRPr="00291B7E">
        <w:rPr>
          <w:rFonts w:ascii="Times New Roman" w:hAnsi="Times New Roman" w:cs="Times New Roman"/>
          <w:sz w:val="24"/>
          <w:szCs w:val="24"/>
        </w:rPr>
        <w:t xml:space="preserve"> </w:t>
      </w:r>
    </w:p>
    <w:p w14:paraId="7CB29F3F" w14:textId="77777777" w:rsidR="00291B7E" w:rsidRPr="00291B7E" w:rsidRDefault="00291B7E" w:rsidP="00291B7E">
      <w:pPr>
        <w:spacing w:line="360" w:lineRule="auto"/>
        <w:rPr>
          <w:rFonts w:ascii="Times New Roman" w:hAnsi="Times New Roman" w:cs="Times New Roman"/>
          <w:sz w:val="24"/>
          <w:szCs w:val="24"/>
        </w:rPr>
      </w:pPr>
    </w:p>
    <w:p w14:paraId="6B942D91" w14:textId="77777777" w:rsidR="00291B7E" w:rsidRPr="00291B7E" w:rsidRDefault="00291B7E" w:rsidP="00291B7E">
      <w:pPr>
        <w:spacing w:line="360" w:lineRule="auto"/>
        <w:jc w:val="center"/>
        <w:rPr>
          <w:rFonts w:ascii="Times New Roman" w:hAnsi="Times New Roman" w:cs="Times New Roman"/>
          <w:sz w:val="24"/>
          <w:szCs w:val="24"/>
        </w:rPr>
      </w:pPr>
      <w:r w:rsidRPr="00291B7E">
        <w:rPr>
          <w:rFonts w:ascii="Times New Roman" w:hAnsi="Times New Roman" w:cs="Times New Roman"/>
          <w:sz w:val="24"/>
          <w:szCs w:val="24"/>
        </w:rPr>
        <w:object w:dxaOrig="9598" w:dyaOrig="5398" w14:anchorId="22F6A16C">
          <v:shape id="_x0000_i1033"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76598790" r:id="rId25"/>
        </w:object>
      </w:r>
    </w:p>
    <w:p w14:paraId="2EA51348" w14:textId="77777777" w:rsidR="00291B7E" w:rsidRPr="00291B7E" w:rsidRDefault="00291B7E" w:rsidP="00291B7E">
      <w:pPr>
        <w:spacing w:line="360" w:lineRule="auto"/>
        <w:jc w:val="center"/>
        <w:rPr>
          <w:rFonts w:ascii="Times New Roman" w:hAnsi="Times New Roman" w:cs="Times New Roman"/>
          <w:sz w:val="24"/>
          <w:szCs w:val="24"/>
        </w:rPr>
      </w:pPr>
    </w:p>
    <w:p w14:paraId="69BE0AF6" w14:textId="480DC1FD" w:rsidR="00291B7E" w:rsidRPr="009C530D" w:rsidRDefault="00291B7E" w:rsidP="009C530D">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In conclusion, the “Tech-Inn Hospitality Expo 2024” emerges as a feasible and promising event. Market demand is high, with limited supply in similar events. Operational aspects, including venue suitability and required resources, are well addressed. Financially, the event shows promise, with projected revenues surpassing costs. With a focus on technology and innovation, the expo is poised to contribute to the growth of the UK’s hospitality industry, offering a platform for innovation, knowledge sharing, a</w:t>
      </w:r>
      <w:r w:rsidR="009C530D">
        <w:rPr>
          <w:rFonts w:ascii="Times New Roman" w:hAnsi="Times New Roman" w:cs="Times New Roman"/>
          <w:kern w:val="24"/>
          <w:sz w:val="24"/>
          <w:szCs w:val="24"/>
        </w:rPr>
        <w:t xml:space="preserve">nd networking. </w:t>
      </w:r>
    </w:p>
    <w:p w14:paraId="3AB77681" w14:textId="77777777" w:rsidR="00291B7E" w:rsidRPr="00291B7E" w:rsidRDefault="00291B7E" w:rsidP="00291B7E">
      <w:pPr>
        <w:spacing w:line="360" w:lineRule="auto"/>
        <w:rPr>
          <w:rFonts w:ascii="Times New Roman" w:hAnsi="Times New Roman" w:cs="Times New Roman"/>
          <w:sz w:val="24"/>
          <w:szCs w:val="24"/>
        </w:rPr>
      </w:pPr>
    </w:p>
    <w:p w14:paraId="2B4A055C" w14:textId="4A9D8AF7" w:rsidR="00291B7E" w:rsidRPr="00291B7E" w:rsidRDefault="00291B7E" w:rsidP="00291B7E">
      <w:pPr>
        <w:spacing w:line="360" w:lineRule="auto"/>
        <w:jc w:val="center"/>
        <w:rPr>
          <w:rFonts w:ascii="Times New Roman" w:hAnsi="Times New Roman" w:cs="Times New Roman"/>
          <w:sz w:val="24"/>
          <w:szCs w:val="24"/>
        </w:rPr>
      </w:pPr>
    </w:p>
    <w:p w14:paraId="51BC73BC" w14:textId="77777777" w:rsidR="00291B7E" w:rsidRPr="00291B7E" w:rsidRDefault="00291B7E" w:rsidP="00291B7E">
      <w:pPr>
        <w:spacing w:line="360" w:lineRule="auto"/>
        <w:jc w:val="center"/>
        <w:rPr>
          <w:rFonts w:ascii="Times New Roman" w:hAnsi="Times New Roman" w:cs="Times New Roman"/>
          <w:sz w:val="24"/>
          <w:szCs w:val="24"/>
        </w:rPr>
      </w:pPr>
    </w:p>
    <w:p w14:paraId="45B0E0EB" w14:textId="77777777" w:rsidR="00291B7E" w:rsidRPr="00291B7E" w:rsidRDefault="00291B7E" w:rsidP="00291B7E">
      <w:pPr>
        <w:spacing w:line="360" w:lineRule="auto"/>
        <w:rPr>
          <w:rFonts w:ascii="Times New Roman" w:hAnsi="Times New Roman" w:cs="Times New Roman"/>
          <w:sz w:val="24"/>
          <w:szCs w:val="24"/>
        </w:rPr>
      </w:pPr>
    </w:p>
    <w:p w14:paraId="2DB1673F" w14:textId="18E90EB5" w:rsidR="00291B7E" w:rsidRPr="00291B7E" w:rsidRDefault="00291B7E" w:rsidP="00291B7E">
      <w:pPr>
        <w:spacing w:line="360" w:lineRule="auto"/>
        <w:rPr>
          <w:rFonts w:ascii="Times New Roman" w:hAnsi="Times New Roman" w:cs="Times New Roman"/>
          <w:sz w:val="24"/>
          <w:szCs w:val="24"/>
        </w:rPr>
      </w:pPr>
    </w:p>
    <w:p w14:paraId="3DF492F6" w14:textId="77777777" w:rsidR="009C530D" w:rsidRDefault="009C530D" w:rsidP="00AB6E8C">
      <w:pPr>
        <w:pStyle w:val="Heading1"/>
        <w:spacing w:line="360" w:lineRule="auto"/>
        <w:rPr>
          <w:rFonts w:ascii="Times New Roman" w:hAnsi="Times New Roman" w:cs="Times New Roman"/>
          <w:sz w:val="24"/>
          <w:szCs w:val="24"/>
        </w:rPr>
      </w:pPr>
      <w:bookmarkStart w:id="10" w:name="_Toc165454677"/>
    </w:p>
    <w:p w14:paraId="7FC8A3CD" w14:textId="77777777" w:rsidR="009C530D" w:rsidRDefault="009C530D" w:rsidP="00AB6E8C">
      <w:pPr>
        <w:pStyle w:val="Heading1"/>
        <w:spacing w:line="360" w:lineRule="auto"/>
        <w:rPr>
          <w:rFonts w:ascii="Times New Roman" w:hAnsi="Times New Roman" w:cs="Times New Roman"/>
          <w:sz w:val="24"/>
          <w:szCs w:val="24"/>
        </w:rPr>
      </w:pPr>
    </w:p>
    <w:p w14:paraId="0A6E03A1" w14:textId="77777777" w:rsidR="009C530D" w:rsidRDefault="009C530D" w:rsidP="00AB6E8C">
      <w:pPr>
        <w:pStyle w:val="Heading1"/>
        <w:spacing w:line="360" w:lineRule="auto"/>
        <w:rPr>
          <w:rFonts w:ascii="Times New Roman" w:hAnsi="Times New Roman" w:cs="Times New Roman"/>
          <w:sz w:val="24"/>
          <w:szCs w:val="24"/>
        </w:rPr>
      </w:pPr>
    </w:p>
    <w:p w14:paraId="32EE91C9" w14:textId="4F40F7C4" w:rsidR="00291B7E" w:rsidRPr="00291B7E" w:rsidRDefault="00291B7E" w:rsidP="00AB6E8C">
      <w:pPr>
        <w:pStyle w:val="Heading1"/>
        <w:spacing w:line="360" w:lineRule="auto"/>
        <w:rPr>
          <w:rFonts w:ascii="Times New Roman" w:hAnsi="Times New Roman" w:cs="Times New Roman"/>
          <w:sz w:val="24"/>
          <w:szCs w:val="24"/>
        </w:rPr>
      </w:pPr>
      <w:r w:rsidRPr="00291B7E">
        <w:rPr>
          <w:rFonts w:ascii="Times New Roman" w:hAnsi="Times New Roman" w:cs="Times New Roman"/>
          <w:sz w:val="24"/>
          <w:szCs w:val="24"/>
        </w:rPr>
        <w:t>References</w:t>
      </w:r>
      <w:bookmarkEnd w:id="10"/>
      <w:r w:rsidRPr="00291B7E">
        <w:rPr>
          <w:rFonts w:ascii="Times New Roman" w:hAnsi="Times New Roman" w:cs="Times New Roman"/>
          <w:sz w:val="24"/>
          <w:szCs w:val="24"/>
        </w:rPr>
        <w:t xml:space="preserve"> </w:t>
      </w:r>
    </w:p>
    <w:p w14:paraId="055B8964"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Aharon, D.Y., Jacobi, A., Cohen, E., Tzur, J. and Qadan, M. (2021) COVID-19, government measures and hospitality industry performance. PloS one, 16(8), p.e0255819. Available at: </w:t>
      </w:r>
      <w:r w:rsidRPr="00291B7E">
        <w:rPr>
          <w:rFonts w:ascii="Times New Roman" w:hAnsi="Times New Roman" w:cs="Times New Roman"/>
          <w:kern w:val="24"/>
          <w:sz w:val="24"/>
          <w:szCs w:val="24"/>
          <w:u w:val="single"/>
        </w:rPr>
        <w:t>https://doi.org/10.1371/journal.pone.0255819</w:t>
      </w:r>
      <w:r w:rsidRPr="00291B7E">
        <w:rPr>
          <w:rFonts w:ascii="Times New Roman" w:hAnsi="Times New Roman" w:cs="Times New Roman"/>
          <w:kern w:val="24"/>
          <w:sz w:val="24"/>
          <w:szCs w:val="24"/>
        </w:rPr>
        <w:t>.</w:t>
      </w:r>
    </w:p>
    <w:p w14:paraId="23B26BB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Aigbedo, H. (2021) Impact of COVID-19 on the hospitality industry: A supply chain resilience perspective. International Journal of Hospitality Management, 98, p.103012. Available at: </w:t>
      </w:r>
      <w:r w:rsidRPr="00291B7E">
        <w:rPr>
          <w:rFonts w:ascii="Times New Roman" w:hAnsi="Times New Roman" w:cs="Times New Roman"/>
          <w:kern w:val="24"/>
          <w:sz w:val="24"/>
          <w:szCs w:val="24"/>
          <w:u w:val="single"/>
        </w:rPr>
        <w:t>https://doi.org/10.1016/j.ijhm.2021.103012</w:t>
      </w:r>
      <w:r w:rsidRPr="00291B7E">
        <w:rPr>
          <w:rFonts w:ascii="Times New Roman" w:hAnsi="Times New Roman" w:cs="Times New Roman"/>
          <w:kern w:val="24"/>
          <w:sz w:val="24"/>
          <w:szCs w:val="24"/>
        </w:rPr>
        <w:t>.</w:t>
      </w:r>
    </w:p>
    <w:p w14:paraId="0EDC042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Coles, T., Garcia, G., O'Malley, E. and Turner, C. (2022) Experiencing event management during the coronavirus pandemic: A public sector perspective. Frontiers in Sports and Active Living, 3, p.814146. Available at: </w:t>
      </w:r>
      <w:r w:rsidRPr="00291B7E">
        <w:rPr>
          <w:rFonts w:ascii="Times New Roman" w:hAnsi="Times New Roman" w:cs="Times New Roman"/>
          <w:kern w:val="24"/>
          <w:sz w:val="24"/>
          <w:szCs w:val="24"/>
          <w:u w:val="single"/>
        </w:rPr>
        <w:t>https://doi.org/10.3389/fspor.2021.814146</w:t>
      </w:r>
      <w:r w:rsidRPr="00291B7E">
        <w:rPr>
          <w:rFonts w:ascii="Times New Roman" w:hAnsi="Times New Roman" w:cs="Times New Roman"/>
          <w:kern w:val="24"/>
          <w:sz w:val="24"/>
          <w:szCs w:val="24"/>
        </w:rPr>
        <w:t>.</w:t>
      </w:r>
    </w:p>
    <w:p w14:paraId="29984BD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Dillette, A. and Ponting, S.S.A. (2021) June. Diffusing innovation in times of disasters: Considerations for event management professionals. In Journal of Convention &amp; Event Tourism (Vol. 22, No. 3, pp. 197-220). Routledge. Available at: </w:t>
      </w:r>
      <w:r w:rsidRPr="00291B7E">
        <w:rPr>
          <w:rFonts w:ascii="Times New Roman" w:hAnsi="Times New Roman" w:cs="Times New Roman"/>
          <w:kern w:val="24"/>
          <w:sz w:val="24"/>
          <w:szCs w:val="24"/>
          <w:u w:val="single"/>
        </w:rPr>
        <w:t>https://doi.org/10.1080/15470148.2020.1860847</w:t>
      </w:r>
      <w:r w:rsidRPr="00291B7E">
        <w:rPr>
          <w:rFonts w:ascii="Times New Roman" w:hAnsi="Times New Roman" w:cs="Times New Roman"/>
          <w:kern w:val="24"/>
          <w:sz w:val="24"/>
          <w:szCs w:val="24"/>
        </w:rPr>
        <w:t>.</w:t>
      </w:r>
    </w:p>
    <w:p w14:paraId="52A28B17"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Dowson, R., Albert, B. and Lomax, D. (2022) Event planning and management: Principles, planning and practice. Kogan Page Publishers. </w:t>
      </w:r>
    </w:p>
    <w:p w14:paraId="40BEC13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Dube, K., Nhamo, G. and Chikodzi, D. (2021) COVID-19 cripples global restaurant and hospitality industry. Current Issues in Tourism, 24(11), pp.1487-1490. Available at: </w:t>
      </w:r>
      <w:r w:rsidRPr="00291B7E">
        <w:rPr>
          <w:rFonts w:ascii="Times New Roman" w:hAnsi="Times New Roman" w:cs="Times New Roman"/>
          <w:kern w:val="24"/>
          <w:sz w:val="24"/>
          <w:szCs w:val="24"/>
          <w:u w:val="single"/>
        </w:rPr>
        <w:t>https://doi.org/10.1080/13683500.2020.1773416</w:t>
      </w:r>
      <w:r w:rsidRPr="00291B7E">
        <w:rPr>
          <w:rFonts w:ascii="Times New Roman" w:hAnsi="Times New Roman" w:cs="Times New Roman"/>
          <w:kern w:val="24"/>
          <w:sz w:val="24"/>
          <w:szCs w:val="24"/>
        </w:rPr>
        <w:t>.</w:t>
      </w:r>
    </w:p>
    <w:p w14:paraId="7107C00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González-Torres, T., Rodríguez-Sánchez, J.L. and Pelechano-Barahona, E. (2021) Managing relationships in the Tourism Supply Chain to overcome epidemic outbreaks: The case of COVID-19 and the hospitality industry in European Countries. International journal of hospitality management, 92, p.102733. Available at: </w:t>
      </w:r>
      <w:r w:rsidRPr="00291B7E">
        <w:rPr>
          <w:rFonts w:ascii="Times New Roman" w:hAnsi="Times New Roman" w:cs="Times New Roman"/>
          <w:kern w:val="24"/>
          <w:sz w:val="24"/>
          <w:szCs w:val="24"/>
          <w:u w:val="single"/>
        </w:rPr>
        <w:t>https://doi.org/10.1016/j.ijhm.2020.102733</w:t>
      </w:r>
      <w:r w:rsidRPr="00291B7E">
        <w:rPr>
          <w:rFonts w:ascii="Times New Roman" w:hAnsi="Times New Roman" w:cs="Times New Roman"/>
          <w:kern w:val="24"/>
          <w:sz w:val="24"/>
          <w:szCs w:val="24"/>
        </w:rPr>
        <w:t>,</w:t>
      </w:r>
    </w:p>
    <w:p w14:paraId="515EFDAC"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Kravariti, F., Voutsina, K., Tasoulis, K., Dibia, C. and Johnston, K. (2021) Talent management in hospitality and tourism: a systematic literature review and research agenda. International Journal of Contemporary Hospitality Management, 34(1), pp.321-360. Available at: </w:t>
      </w:r>
      <w:r w:rsidRPr="00291B7E">
        <w:rPr>
          <w:rFonts w:ascii="Times New Roman" w:hAnsi="Times New Roman" w:cs="Times New Roman"/>
          <w:kern w:val="24"/>
          <w:sz w:val="24"/>
          <w:szCs w:val="24"/>
          <w:u w:val="single"/>
        </w:rPr>
        <w:t>https://doi.org/10.1080/15470148.2020.1776657</w:t>
      </w:r>
      <w:r w:rsidRPr="00291B7E">
        <w:rPr>
          <w:rFonts w:ascii="Times New Roman" w:hAnsi="Times New Roman" w:cs="Times New Roman"/>
          <w:kern w:val="24"/>
          <w:sz w:val="24"/>
          <w:szCs w:val="24"/>
        </w:rPr>
        <w:t>.</w:t>
      </w:r>
    </w:p>
    <w:p w14:paraId="4436989C"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lastRenderedPageBreak/>
        <w:t>Le, D. and Phi, G. (2021) Strategic responses of the hotel sector to COVID-19: Toward a refined pandemic crisis management framework. </w:t>
      </w:r>
      <w:r w:rsidRPr="00291B7E">
        <w:rPr>
          <w:rFonts w:ascii="Times New Roman" w:hAnsi="Times New Roman" w:cs="Times New Roman"/>
          <w:i/>
          <w:iCs/>
          <w:kern w:val="24"/>
          <w:sz w:val="24"/>
          <w:szCs w:val="24"/>
        </w:rPr>
        <w:t>International Journal of Hospitality Management</w:t>
      </w:r>
      <w:r w:rsidRPr="00291B7E">
        <w:rPr>
          <w:rFonts w:ascii="Times New Roman" w:hAnsi="Times New Roman" w:cs="Times New Roman"/>
          <w:kern w:val="24"/>
          <w:sz w:val="24"/>
          <w:szCs w:val="24"/>
        </w:rPr>
        <w:t>, </w:t>
      </w:r>
      <w:r w:rsidRPr="00291B7E">
        <w:rPr>
          <w:rFonts w:ascii="Times New Roman" w:hAnsi="Times New Roman" w:cs="Times New Roman"/>
          <w:i/>
          <w:iCs/>
          <w:kern w:val="24"/>
          <w:sz w:val="24"/>
          <w:szCs w:val="24"/>
        </w:rPr>
        <w:t>94</w:t>
      </w:r>
      <w:r w:rsidRPr="00291B7E">
        <w:rPr>
          <w:rFonts w:ascii="Times New Roman" w:hAnsi="Times New Roman" w:cs="Times New Roman"/>
          <w:kern w:val="24"/>
          <w:sz w:val="24"/>
          <w:szCs w:val="24"/>
        </w:rPr>
        <w:t xml:space="preserve">, p.102808. Available at: </w:t>
      </w:r>
      <w:r w:rsidRPr="00291B7E">
        <w:rPr>
          <w:rFonts w:ascii="Times New Roman" w:hAnsi="Times New Roman" w:cs="Times New Roman"/>
          <w:kern w:val="24"/>
          <w:sz w:val="24"/>
          <w:szCs w:val="24"/>
          <w:u w:val="single"/>
        </w:rPr>
        <w:t>https://doi.org/10.1016/j.ijhm.2020.102808</w:t>
      </w:r>
      <w:r w:rsidRPr="00291B7E">
        <w:rPr>
          <w:rFonts w:ascii="Times New Roman" w:hAnsi="Times New Roman" w:cs="Times New Roman"/>
          <w:kern w:val="24"/>
          <w:sz w:val="24"/>
          <w:szCs w:val="24"/>
        </w:rPr>
        <w:t>.</w:t>
      </w:r>
    </w:p>
    <w:p w14:paraId="7D896C7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Miles, L. and Shipway, R. (2020) Exploring the COVID-19 pandemic as a catalyst for stimulating future research agendas for managing crises and disasters at international sport events. Event Management, 24(4), pp.537-552. Available at: </w:t>
      </w:r>
      <w:r w:rsidRPr="00291B7E">
        <w:rPr>
          <w:rFonts w:ascii="Times New Roman" w:hAnsi="Times New Roman" w:cs="Times New Roman"/>
          <w:kern w:val="24"/>
          <w:sz w:val="24"/>
          <w:szCs w:val="24"/>
          <w:u w:val="single"/>
        </w:rPr>
        <w:t>https://doi.org/10.3727/152599519X15506259856688</w:t>
      </w:r>
      <w:r w:rsidRPr="00291B7E">
        <w:rPr>
          <w:rFonts w:ascii="Times New Roman" w:hAnsi="Times New Roman" w:cs="Times New Roman"/>
          <w:kern w:val="24"/>
          <w:sz w:val="24"/>
          <w:szCs w:val="24"/>
        </w:rPr>
        <w:t>.</w:t>
      </w:r>
    </w:p>
    <w:p w14:paraId="1C1207BD"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Modern Hospitality (2024). Modern Hospitality. [online] Modern Hospitality. Available at: https://modernhospitality.co.uk/hospitality-industry-technology-trends-2024/ [Accessed 24 Apr. 2024].</w:t>
      </w:r>
    </w:p>
    <w:p w14:paraId="7ABFABA8"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Mordor Intelligence (2024). Hospitality Industry in UK - Statistics &amp; Analysis &amp; Market Share. [online] Mordorintelligence.com. Available at: https://www.mordorintelligence.com/industry-reports/hospitality-industry-in-the-united-kingdom [Accessed 24 Apr. 2024].</w:t>
      </w:r>
    </w:p>
    <w:p w14:paraId="26294F9B"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Rogers, T. and Wynn-Moylan, P. (2022) Conferences and conventions: A global industry. pp. 378. Routledge. Available at: </w:t>
      </w:r>
      <w:r w:rsidRPr="00291B7E">
        <w:rPr>
          <w:rFonts w:ascii="Times New Roman" w:hAnsi="Times New Roman" w:cs="Times New Roman"/>
          <w:kern w:val="24"/>
          <w:sz w:val="24"/>
          <w:szCs w:val="24"/>
          <w:u w:val="single"/>
        </w:rPr>
        <w:t>https://doi.org/10.4324/9781003298953</w:t>
      </w:r>
      <w:r w:rsidRPr="00291B7E">
        <w:rPr>
          <w:rFonts w:ascii="Times New Roman" w:hAnsi="Times New Roman" w:cs="Times New Roman"/>
          <w:kern w:val="24"/>
          <w:sz w:val="24"/>
          <w:szCs w:val="24"/>
        </w:rPr>
        <w:t>.</w:t>
      </w:r>
    </w:p>
    <w:p w14:paraId="19DFC5A7"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Şengel, Ü., Çevrimkaya, M., Zengin, B., Sarıışık, M. and Işkın, M. (2020) The effects of novel coronavirus (COVID-19) on hospitality industry: a case study. </w:t>
      </w:r>
      <w:r w:rsidRPr="00291B7E">
        <w:rPr>
          <w:rFonts w:ascii="Times New Roman" w:hAnsi="Times New Roman" w:cs="Times New Roman"/>
          <w:i/>
          <w:iCs/>
          <w:kern w:val="24"/>
          <w:sz w:val="24"/>
          <w:szCs w:val="24"/>
        </w:rPr>
        <w:t>Journal of Tourism and Gastronomy Studies</w:t>
      </w:r>
      <w:r w:rsidRPr="00291B7E">
        <w:rPr>
          <w:rFonts w:ascii="Times New Roman" w:hAnsi="Times New Roman" w:cs="Times New Roman"/>
          <w:kern w:val="24"/>
          <w:sz w:val="24"/>
          <w:szCs w:val="24"/>
        </w:rPr>
        <w:t xml:space="preserve">. Available at: </w:t>
      </w:r>
      <w:r w:rsidRPr="00291B7E">
        <w:rPr>
          <w:rFonts w:ascii="Times New Roman" w:hAnsi="Times New Roman" w:cs="Times New Roman"/>
          <w:kern w:val="24"/>
          <w:sz w:val="24"/>
          <w:szCs w:val="24"/>
          <w:u w:val="single"/>
        </w:rPr>
        <w:t>https://doi.org/10.21325/jotags.2020.626</w:t>
      </w:r>
      <w:r w:rsidRPr="00291B7E">
        <w:rPr>
          <w:rFonts w:ascii="Times New Roman" w:hAnsi="Times New Roman" w:cs="Times New Roman"/>
          <w:kern w:val="24"/>
          <w:sz w:val="24"/>
          <w:szCs w:val="24"/>
        </w:rPr>
        <w:t>.</w:t>
      </w:r>
    </w:p>
    <w:p w14:paraId="38AE5110"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Seraphin, H. (2021) January. COVID-19: An opportunity to review existing grounded theories in event studies. In Journal of Convention &amp; Event Tourism (Vol. 22, No. 1, pp. 3-35). Routledge. Available at: </w:t>
      </w:r>
      <w:r w:rsidRPr="00291B7E">
        <w:rPr>
          <w:rFonts w:ascii="Times New Roman" w:hAnsi="Times New Roman" w:cs="Times New Roman"/>
          <w:kern w:val="24"/>
          <w:sz w:val="24"/>
          <w:szCs w:val="24"/>
          <w:u w:val="single"/>
        </w:rPr>
        <w:t>https://doi.org/10.1016/j.ijhm.2020.102733</w:t>
      </w:r>
      <w:r w:rsidRPr="00291B7E">
        <w:rPr>
          <w:rFonts w:ascii="Times New Roman" w:hAnsi="Times New Roman" w:cs="Times New Roman"/>
          <w:kern w:val="24"/>
          <w:sz w:val="24"/>
          <w:szCs w:val="24"/>
        </w:rPr>
        <w:t>.</w:t>
      </w:r>
    </w:p>
    <w:p w14:paraId="1268B1E6"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Statista. (2023). Topic: Hotel industry in the UK. [online] Available at: https://www.statista.com/topics/3146/hotel-industry-in-the-united-kingdom-uk/#topicOverview [Accessed 24 Apr. 2024].</w:t>
      </w:r>
    </w:p>
    <w:p w14:paraId="557D8B49"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 xml:space="preserve">Su, C.H.J. and Chen, C.D. (2020) Does sustainability index matter to the hospitality industry?. Tourism Management, 81, p.104158. Available at: </w:t>
      </w:r>
      <w:r w:rsidRPr="00291B7E">
        <w:rPr>
          <w:rFonts w:ascii="Times New Roman" w:hAnsi="Times New Roman" w:cs="Times New Roman"/>
          <w:kern w:val="24"/>
          <w:sz w:val="24"/>
          <w:szCs w:val="24"/>
          <w:u w:val="single"/>
        </w:rPr>
        <w:t>https://doi.org/10.1016/j.tourman.2020.104158</w:t>
      </w:r>
      <w:r w:rsidRPr="00291B7E">
        <w:rPr>
          <w:rFonts w:ascii="Times New Roman" w:hAnsi="Times New Roman" w:cs="Times New Roman"/>
          <w:kern w:val="24"/>
          <w:sz w:val="24"/>
          <w:szCs w:val="24"/>
        </w:rPr>
        <w:t>.</w:t>
      </w:r>
    </w:p>
    <w:p w14:paraId="4C555B57"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r w:rsidRPr="00291B7E">
        <w:rPr>
          <w:rFonts w:ascii="Times New Roman" w:hAnsi="Times New Roman" w:cs="Times New Roman"/>
          <w:kern w:val="24"/>
          <w:sz w:val="24"/>
          <w:szCs w:val="24"/>
        </w:rPr>
        <w:t>UKHospitality. (2023). Facts and stats - UKHospitality. [online] Available at: https://www.ukhospitality.org.uk/media-centre/facts-and-stats/ [Accessed 24 Apr. 2024].</w:t>
      </w:r>
    </w:p>
    <w:p w14:paraId="019E010F" w14:textId="77777777" w:rsidR="00291B7E" w:rsidRPr="00291B7E" w:rsidRDefault="00291B7E" w:rsidP="00291B7E">
      <w:pPr>
        <w:autoSpaceDE w:val="0"/>
        <w:autoSpaceDN w:val="0"/>
        <w:adjustRightInd w:val="0"/>
        <w:spacing w:after="0" w:line="360" w:lineRule="auto"/>
        <w:jc w:val="both"/>
        <w:rPr>
          <w:rFonts w:ascii="Times New Roman" w:hAnsi="Times New Roman" w:cs="Times New Roman"/>
          <w:kern w:val="24"/>
          <w:sz w:val="24"/>
          <w:szCs w:val="24"/>
        </w:rPr>
      </w:pPr>
    </w:p>
    <w:p w14:paraId="259B57DF" w14:textId="77777777" w:rsidR="00291B7E" w:rsidRPr="00291B7E" w:rsidRDefault="00291B7E" w:rsidP="00291B7E">
      <w:pPr>
        <w:autoSpaceDE w:val="0"/>
        <w:autoSpaceDN w:val="0"/>
        <w:adjustRightInd w:val="0"/>
        <w:spacing w:after="0" w:line="360" w:lineRule="auto"/>
        <w:rPr>
          <w:rFonts w:ascii="Times New Roman" w:hAnsi="Times New Roman" w:cs="Times New Roman"/>
          <w:sz w:val="24"/>
          <w:szCs w:val="24"/>
        </w:rPr>
      </w:pPr>
    </w:p>
    <w:p w14:paraId="5386BB10" w14:textId="77777777" w:rsidR="00291B7E" w:rsidRPr="00291B7E" w:rsidRDefault="00291B7E" w:rsidP="00291B7E">
      <w:pPr>
        <w:spacing w:line="360" w:lineRule="auto"/>
        <w:rPr>
          <w:rFonts w:ascii="Times New Roman" w:hAnsi="Times New Roman" w:cs="Times New Roman"/>
          <w:sz w:val="24"/>
          <w:szCs w:val="24"/>
        </w:rPr>
      </w:pPr>
    </w:p>
    <w:p w14:paraId="72C32ADD" w14:textId="77777777" w:rsidR="00291B7E" w:rsidRPr="00291B7E" w:rsidRDefault="00291B7E" w:rsidP="00291B7E">
      <w:pPr>
        <w:spacing w:line="360" w:lineRule="auto"/>
        <w:rPr>
          <w:rFonts w:ascii="Times New Roman" w:hAnsi="Times New Roman" w:cs="Times New Roman"/>
          <w:sz w:val="24"/>
          <w:szCs w:val="24"/>
        </w:rPr>
      </w:pPr>
    </w:p>
    <w:sectPr w:rsidR="00291B7E" w:rsidRPr="00291B7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2B53F0" w14:textId="77777777" w:rsidR="00AC3945" w:rsidRDefault="00AC3945" w:rsidP="00291B7E">
      <w:pPr>
        <w:spacing w:after="0" w:line="240" w:lineRule="auto"/>
      </w:pPr>
      <w:r>
        <w:separator/>
      </w:r>
    </w:p>
  </w:endnote>
  <w:endnote w:type="continuationSeparator" w:id="0">
    <w:p w14:paraId="14D576F1" w14:textId="77777777" w:rsidR="00AC3945" w:rsidRDefault="00AC3945" w:rsidP="00291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5655648"/>
      <w:docPartObj>
        <w:docPartGallery w:val="Page Numbers (Bottom of Page)"/>
        <w:docPartUnique/>
      </w:docPartObj>
    </w:sdtPr>
    <w:sdtEndPr>
      <w:rPr>
        <w:noProof/>
      </w:rPr>
    </w:sdtEndPr>
    <w:sdtContent>
      <w:p w14:paraId="02470553" w14:textId="77777777" w:rsidR="00291B7E" w:rsidRDefault="00291B7E">
        <w:pPr>
          <w:pStyle w:val="Footer"/>
          <w:jc w:val="center"/>
        </w:pPr>
        <w:r>
          <w:fldChar w:fldCharType="begin"/>
        </w:r>
        <w:r>
          <w:instrText xml:space="preserve"> PAGE   \* MERGEFORMAT </w:instrText>
        </w:r>
        <w:r>
          <w:fldChar w:fldCharType="separate"/>
        </w:r>
        <w:r w:rsidR="0027553E">
          <w:rPr>
            <w:noProof/>
          </w:rPr>
          <w:t>1</w:t>
        </w:r>
        <w:r>
          <w:rPr>
            <w:noProof/>
          </w:rPr>
          <w:fldChar w:fldCharType="end"/>
        </w:r>
      </w:p>
    </w:sdtContent>
  </w:sdt>
  <w:p w14:paraId="79A40482" w14:textId="77777777" w:rsidR="00291B7E" w:rsidRDefault="00291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60138C" w14:textId="77777777" w:rsidR="00AC3945" w:rsidRDefault="00AC3945" w:rsidP="00291B7E">
      <w:pPr>
        <w:spacing w:after="0" w:line="240" w:lineRule="auto"/>
      </w:pPr>
      <w:r>
        <w:separator/>
      </w:r>
    </w:p>
  </w:footnote>
  <w:footnote w:type="continuationSeparator" w:id="0">
    <w:p w14:paraId="20ECC462" w14:textId="77777777" w:rsidR="00AC3945" w:rsidRDefault="00AC3945" w:rsidP="00291B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B7E"/>
    <w:rsid w:val="00243DC6"/>
    <w:rsid w:val="0027553E"/>
    <w:rsid w:val="00291B7E"/>
    <w:rsid w:val="004545DD"/>
    <w:rsid w:val="00672903"/>
    <w:rsid w:val="00873886"/>
    <w:rsid w:val="008F1CC1"/>
    <w:rsid w:val="009C530D"/>
    <w:rsid w:val="009E3C11"/>
    <w:rsid w:val="00AB6E8C"/>
    <w:rsid w:val="00AC3945"/>
    <w:rsid w:val="00AD6A21"/>
    <w:rsid w:val="00B560DC"/>
    <w:rsid w:val="00D25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258DB2"/>
  <w15:chartTrackingRefBased/>
  <w15:docId w15:val="{312EFE6D-D594-4186-A7FD-85A81E245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B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B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1B7E"/>
    <w:pPr>
      <w:outlineLvl w:val="9"/>
    </w:pPr>
    <w:rPr>
      <w:lang w:val="en-US"/>
    </w:rPr>
  </w:style>
  <w:style w:type="paragraph" w:styleId="TOC1">
    <w:name w:val="toc 1"/>
    <w:basedOn w:val="Normal"/>
    <w:next w:val="Normal"/>
    <w:autoRedefine/>
    <w:uiPriority w:val="39"/>
    <w:unhideWhenUsed/>
    <w:rsid w:val="00291B7E"/>
    <w:pPr>
      <w:spacing w:after="100"/>
    </w:pPr>
  </w:style>
  <w:style w:type="character" w:styleId="Hyperlink">
    <w:name w:val="Hyperlink"/>
    <w:basedOn w:val="DefaultParagraphFont"/>
    <w:uiPriority w:val="99"/>
    <w:unhideWhenUsed/>
    <w:rsid w:val="00291B7E"/>
    <w:rPr>
      <w:color w:val="0563C1" w:themeColor="hyperlink"/>
      <w:u w:val="single"/>
    </w:rPr>
  </w:style>
  <w:style w:type="paragraph" w:styleId="Title">
    <w:name w:val="Title"/>
    <w:basedOn w:val="Normal"/>
    <w:next w:val="Normal"/>
    <w:link w:val="TitleChar"/>
    <w:uiPriority w:val="10"/>
    <w:qFormat/>
    <w:rsid w:val="00291B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B7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91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B7E"/>
  </w:style>
  <w:style w:type="paragraph" w:styleId="Footer">
    <w:name w:val="footer"/>
    <w:basedOn w:val="Normal"/>
    <w:link w:val="FooterChar"/>
    <w:uiPriority w:val="99"/>
    <w:unhideWhenUsed/>
    <w:rsid w:val="00291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2260843">
      <w:bodyDiv w:val="1"/>
      <w:marLeft w:val="0"/>
      <w:marRight w:val="0"/>
      <w:marTop w:val="0"/>
      <w:marBottom w:val="0"/>
      <w:divBdr>
        <w:top w:val="none" w:sz="0" w:space="0" w:color="auto"/>
        <w:left w:val="none" w:sz="0" w:space="0" w:color="auto"/>
        <w:bottom w:val="none" w:sz="0" w:space="0" w:color="auto"/>
        <w:right w:val="none" w:sz="0" w:space="0" w:color="auto"/>
      </w:divBdr>
    </w:div>
    <w:div w:id="170289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package" Target="embeddings/Microsoft_PowerPoint_Slide6.sldx"/><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package" Target="embeddings/Microsoft_PowerPoint_Slide8.sldx"/><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image" Target="media/image10.emf"/><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package" Target="embeddings/Microsoft_PowerPoint_Slide7.sldx"/><Relationship Id="rId28" Type="http://schemas.openxmlformats.org/officeDocument/2006/relationships/theme" Target="theme/theme1.xml"/><Relationship Id="rId10" Type="http://schemas.openxmlformats.org/officeDocument/2006/relationships/package" Target="embeddings/Microsoft_PowerPoint_Slide1.sldx"/><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image" Target="media/image9.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1BE54-9306-4610-A525-BE26C1410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2578</Words>
  <Characters>14697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Lavinia-Mariana Apostol (2131344)</cp:lastModifiedBy>
  <cp:revision>2</cp:revision>
  <dcterms:created xsi:type="dcterms:W3CDTF">2024-05-07T13:53:00Z</dcterms:created>
  <dcterms:modified xsi:type="dcterms:W3CDTF">2024-05-07T13:53:00Z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d98cb161b12a5c01eee13e298fe8454a0aadfc5f5f1693e24d6d9d80b80be97a</vt:lpwstr>
  </property>
</Properties>
</file>