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rFonts w:ascii="Times New Roman" w:cs="Times New Roman" w:eastAsia="Times New Roman" w:hAnsi="Times New Roman"/>
          <w:b w:val="1"/>
          <w:bCs w:val="1"/>
          <w:sz w:val="36"/>
          <w:szCs w:val="36"/>
        </w:rPr>
      </w:pPr>
      <w:bookmarkStart w:colFirst="0" w:colLast="0" w:name="_elpw343xmgwh" w:id="0"/>
      <w:bookmarkEnd w:id="0"/>
      <w:r w:rsidDel="00000000" w:rsidR="00000000" w:rsidRPr="00000000">
        <w:rPr>
          <w:color w:val="000000"/>
        </w:rPr>
        <w:drawing>
          <wp:inline distB="0" distT="0" distL="0" distR="0">
            <wp:extent cx="1809750" cy="7239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09750" cy="723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480" w:lineRule="auto"/>
        <w:jc w:val="center"/>
        <w:rPr>
          <w:b w:val="1"/>
          <w:bCs w:val="1"/>
          <w:sz w:val="32"/>
          <w:szCs w:val="32"/>
        </w:rPr>
      </w:pPr>
      <w:r w:rsidDel="00000000" w:rsidR="00000000" w:rsidRPr="00000000">
        <w:rPr>
          <w:b w:val="1"/>
          <w:bCs w:val="1"/>
          <w:sz w:val="32"/>
          <w:szCs w:val="32"/>
          <w:rtl w:val="0"/>
        </w:rPr>
        <w:t xml:space="preserve">Programme: MSc Public Health and Social Care in Practice</w:t>
      </w:r>
    </w:p>
    <w:p w:rsidR="00000000" w:rsidDel="00000000" w:rsidP="00000000" w:rsidRDefault="00000000" w:rsidRPr="00000000" w14:paraId="00000003">
      <w:pPr>
        <w:spacing w:line="480" w:lineRule="auto"/>
        <w:jc w:val="center"/>
        <w:rPr>
          <w:b w:val="1"/>
          <w:bCs w:val="1"/>
          <w:sz w:val="32"/>
          <w:szCs w:val="32"/>
        </w:rPr>
      </w:pPr>
      <w:r w:rsidDel="00000000" w:rsidR="00000000" w:rsidRPr="00000000">
        <w:rPr>
          <w:b w:val="1"/>
          <w:bCs w:val="1"/>
          <w:sz w:val="32"/>
          <w:szCs w:val="32"/>
          <w:rtl w:val="0"/>
        </w:rPr>
        <w:t xml:space="preserve">Module: Quality Assurance and Service Improvements</w:t>
      </w:r>
    </w:p>
    <w:p w:rsidR="00000000" w:rsidDel="00000000" w:rsidP="00000000" w:rsidRDefault="00000000" w:rsidRPr="00000000" w14:paraId="00000004">
      <w:pPr>
        <w:spacing w:line="480" w:lineRule="auto"/>
        <w:jc w:val="center"/>
        <w:rPr>
          <w:b w:val="1"/>
          <w:bCs w:val="1"/>
          <w:sz w:val="32"/>
          <w:szCs w:val="32"/>
        </w:rPr>
      </w:pPr>
      <w:r w:rsidDel="00000000" w:rsidR="00000000" w:rsidRPr="00000000">
        <w:rPr>
          <w:b w:val="1"/>
          <w:bCs w:val="1"/>
          <w:sz w:val="32"/>
          <w:szCs w:val="32"/>
          <w:rtl w:val="0"/>
        </w:rPr>
        <w:t xml:space="preserve">Module code: LCHS7006</w:t>
      </w:r>
    </w:p>
    <w:p w:rsidR="00000000" w:rsidDel="00000000" w:rsidP="00000000" w:rsidRDefault="00000000" w:rsidRPr="00000000" w14:paraId="00000005">
      <w:pPr>
        <w:spacing w:line="480" w:lineRule="auto"/>
        <w:jc w:val="center"/>
        <w:rPr>
          <w:b w:val="1"/>
          <w:bCs w:val="1"/>
          <w:sz w:val="32"/>
          <w:szCs w:val="32"/>
        </w:rPr>
      </w:pPr>
      <w:r w:rsidDel="00000000" w:rsidR="00000000" w:rsidRPr="00000000">
        <w:rPr>
          <w:b w:val="1"/>
          <w:bCs w:val="1"/>
          <w:sz w:val="32"/>
          <w:szCs w:val="32"/>
          <w:rtl w:val="0"/>
        </w:rPr>
        <w:t xml:space="preserve">Topic: Shrewsbury and Telford Hospital NHS Trust (UK) — Maternity Scandal</w:t>
      </w:r>
    </w:p>
    <w:p w:rsidR="00000000" w:rsidDel="00000000" w:rsidP="00000000" w:rsidRDefault="00000000" w:rsidRPr="00000000" w14:paraId="00000006">
      <w:pPr>
        <w:spacing w:line="480" w:lineRule="auto"/>
        <w:jc w:val="center"/>
        <w:rPr>
          <w:b w:val="1"/>
          <w:bCs w:val="1"/>
          <w:sz w:val="32"/>
          <w:szCs w:val="32"/>
        </w:rPr>
      </w:pPr>
      <w:r w:rsidDel="00000000" w:rsidR="00000000" w:rsidRPr="00000000">
        <w:rPr>
          <w:b w:val="1"/>
          <w:bCs w:val="1"/>
          <w:sz w:val="32"/>
          <w:szCs w:val="32"/>
          <w:rtl w:val="0"/>
        </w:rPr>
        <w:t xml:space="preserve">Student Name: Jatin Makwana </w:t>
      </w:r>
    </w:p>
    <w:p w:rsidR="00000000" w:rsidDel="00000000" w:rsidP="00000000" w:rsidRDefault="00000000" w:rsidRPr="00000000" w14:paraId="00000007">
      <w:pPr>
        <w:spacing w:line="480" w:lineRule="auto"/>
        <w:jc w:val="center"/>
        <w:rPr>
          <w:b w:val="1"/>
          <w:bCs w:val="1"/>
          <w:sz w:val="32"/>
          <w:szCs w:val="32"/>
        </w:rPr>
      </w:pPr>
      <w:r w:rsidDel="00000000" w:rsidR="00000000" w:rsidRPr="00000000">
        <w:rPr>
          <w:b w:val="1"/>
          <w:bCs w:val="1"/>
          <w:sz w:val="32"/>
          <w:szCs w:val="32"/>
          <w:rtl w:val="0"/>
        </w:rPr>
        <w:t xml:space="preserve">Student ID: 2521166</w:t>
      </w:r>
    </w:p>
    <w:p w:rsidR="00000000" w:rsidDel="00000000" w:rsidP="00000000" w:rsidRDefault="00000000" w:rsidRPr="00000000" w14:paraId="00000008">
      <w:pPr>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76"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44682212"/>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fknrmtr8c5f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Abbreviations</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fjs7q6ffbxb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f31y8zeln38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 Background to the Shrewsbury and Telford Maternity Scandal</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31jn3pwvlh9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Main Body</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abqff1u2xoz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Swiss Cheese Model</w:t>
              <w:tab/>
              <w:t xml:space="preserve">8</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up9vd8hsx1f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Root Cause Analysis and the Fishbone (Ishikawa) Diagram</w:t>
              <w:tab/>
              <w:t xml:space="preserve">9</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cfydak81ph1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The Donabedian Framework: Structure, Process and Outcome</w:t>
              <w:tab/>
              <w:t xml:space="preserve">12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yl5gu7fbwtd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SWOT Analysis</w:t>
              <w:tab/>
              <w:t xml:space="preserve">14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4hzxz651xny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Clinical Governance Failures and Consequences</w:t>
              <w:tab/>
              <w:t xml:space="preserve">14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ngzmp8iozf8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Recommendation</w:t>
              <w:tab/>
              <w:t xml:space="preserve">15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74wil2h0yls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Conclusion</w:t>
              <w:tab/>
              <w:t xml:space="preserve">18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435chpuy6sr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20</w:t>
            </w:r>
          </w:hyperlink>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pStyle w:val="Heading1"/>
        <w:rPr/>
      </w:pPr>
      <w:r w:rsidDel="00000000" w:rsidR="00000000" w:rsidRPr="00000000">
        <w:rPr>
          <w:rtl w:val="0"/>
        </w:rPr>
      </w:r>
    </w:p>
    <w:p w:rsidR="00000000" w:rsidDel="00000000" w:rsidP="00000000" w:rsidRDefault="00000000" w:rsidRPr="00000000" w14:paraId="00000018">
      <w:pPr>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fknrmtr8c5fk" w:id="1"/>
      <w:bookmarkEnd w:id="1"/>
      <w:r w:rsidDel="00000000" w:rsidR="00000000" w:rsidRPr="00000000">
        <w:rPr>
          <w:rtl w:val="0"/>
        </w:rPr>
        <w:t xml:space="preserve">Abbreviations </w:t>
      </w:r>
    </w:p>
    <w:p w:rsidR="00000000" w:rsidDel="00000000" w:rsidP="00000000" w:rsidRDefault="00000000" w:rsidRPr="00000000" w14:paraId="0000001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 National Health Service </w:t>
      </w:r>
      <w:r w:rsidDel="00000000" w:rsidR="00000000" w:rsidRPr="00000000">
        <w:rPr>
          <w:rtl w:val="0"/>
        </w:rPr>
      </w:r>
    </w:p>
    <w:p w:rsidR="00000000" w:rsidDel="00000000" w:rsidP="00000000" w:rsidRDefault="00000000" w:rsidRPr="00000000" w14:paraId="0000001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SaTH – Shrewsbury and Telford Hospital NHS Trust </w:t>
      </w:r>
    </w:p>
    <w:p w:rsidR="00000000" w:rsidDel="00000000" w:rsidP="00000000" w:rsidRDefault="00000000" w:rsidRPr="00000000" w14:paraId="0000001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QA – Quality Assurance </w:t>
      </w:r>
    </w:p>
    <w:p w:rsidR="00000000" w:rsidDel="00000000" w:rsidP="00000000" w:rsidRDefault="00000000" w:rsidRPr="00000000" w14:paraId="0000001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RCA – Root Cause Analysis </w:t>
      </w:r>
    </w:p>
    <w:p w:rsidR="00000000" w:rsidDel="00000000" w:rsidP="00000000" w:rsidRDefault="00000000" w:rsidRPr="00000000" w14:paraId="0000001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CTG – Cardiotocography </w:t>
      </w:r>
    </w:p>
    <w:p w:rsidR="00000000" w:rsidDel="00000000" w:rsidP="00000000" w:rsidRDefault="00000000" w:rsidRPr="00000000" w14:paraId="0000001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PDSA – Plan-Do-Study-Act </w:t>
      </w:r>
    </w:p>
    <w:p w:rsidR="00000000" w:rsidDel="00000000" w:rsidP="00000000" w:rsidRDefault="00000000" w:rsidRPr="00000000" w14:paraId="0000002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QI – Quality Improvement</w:t>
      </w:r>
    </w:p>
    <w:p w:rsidR="00000000" w:rsidDel="00000000" w:rsidP="00000000" w:rsidRDefault="00000000" w:rsidRPr="00000000" w14:paraId="00000021">
      <w:pPr>
        <w:rPr>
          <w:rFonts w:ascii="Times New Roman" w:cs="Times New Roman" w:eastAsia="Times New Roman" w:hAnsi="Times New Roman"/>
          <w:b w:val="1"/>
          <w:bCs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b w:val="0"/>
          <w:bCs w:val="0"/>
          <w:sz w:val="22"/>
          <w:szCs w:val="22"/>
        </w:rPr>
      </w:pPr>
      <w:bookmarkStart w:colFirst="0" w:colLast="0" w:name="_fjs7q6ffbxbi" w:id="2"/>
      <w:bookmarkEnd w:id="2"/>
      <w:r w:rsidDel="00000000" w:rsidR="00000000" w:rsidRPr="00000000">
        <w:rPr>
          <w:sz w:val="22"/>
          <w:szCs w:val="22"/>
          <w:rtl w:val="0"/>
        </w:rPr>
        <w:t xml:space="preserve">1. Introduction</w:t>
      </w:r>
      <w:r w:rsidDel="00000000" w:rsidR="00000000" w:rsidRPr="00000000">
        <w:rPr>
          <w:rtl w:val="0"/>
        </w:rPr>
      </w:r>
    </w:p>
    <w:p w:rsidR="00000000" w:rsidDel="00000000" w:rsidP="00000000" w:rsidRDefault="00000000" w:rsidRPr="00000000" w14:paraId="00000023">
      <w:pPr>
        <w:spacing w:after="200" w:line="360" w:lineRule="auto"/>
        <w:jc w:val="both"/>
        <w:rPr/>
      </w:pPr>
      <w:r w:rsidDel="00000000" w:rsidR="00000000" w:rsidRPr="00000000">
        <w:rPr>
          <w:rtl w:val="0"/>
        </w:rPr>
        <w:t xml:space="preserve">Quality Assurance (QA) is understanding and managing the systematic monitoring, evaluation, and improvement of clinical services in hospitals to support mothers and babies entering the world in a safe, effective, and respectful way (Sreedharan et al., 2022; Mianda, Todowede, and Schneider, 2023).</w:t>
      </w:r>
    </w:p>
    <w:p w:rsidR="00000000" w:rsidDel="00000000" w:rsidP="00000000" w:rsidRDefault="00000000" w:rsidRPr="00000000" w14:paraId="00000024">
      <w:pPr>
        <w:spacing w:after="200" w:line="360" w:lineRule="auto"/>
        <w:jc w:val="center"/>
        <w:rPr>
          <w:b w:val="1"/>
          <w:bCs w:val="1"/>
        </w:rPr>
      </w:pPr>
      <w:r w:rsidDel="00000000" w:rsidR="00000000" w:rsidRPr="00000000">
        <w:rPr>
          <w:b w:val="1"/>
          <w:bCs w:val="1"/>
        </w:rPr>
        <w:drawing>
          <wp:inline distB="114300" distT="114300" distL="114300" distR="114300">
            <wp:extent cx="5281613" cy="3521075"/>
            <wp:effectExtent b="38100" l="38100" r="38100" t="381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281613" cy="352107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5">
      <w:pPr>
        <w:spacing w:after="200" w:line="360" w:lineRule="auto"/>
        <w:jc w:val="center"/>
        <w:rPr>
          <w:b w:val="1"/>
          <w:bCs w:val="1"/>
        </w:rPr>
      </w:pPr>
      <w:r w:rsidDel="00000000" w:rsidR="00000000" w:rsidRPr="00000000">
        <w:rPr>
          <w:b w:val="1"/>
          <w:bCs w:val="1"/>
          <w:rtl w:val="0"/>
        </w:rPr>
        <w:t xml:space="preserve">Figure 1: Shrewsbury and Telford NHS Hospital Trust</w:t>
      </w:r>
    </w:p>
    <w:p w:rsidR="00000000" w:rsidDel="00000000" w:rsidP="00000000" w:rsidRDefault="00000000" w:rsidRPr="00000000" w14:paraId="00000026">
      <w:pPr>
        <w:spacing w:after="200" w:line="360" w:lineRule="auto"/>
        <w:jc w:val="center"/>
        <w:rPr/>
      </w:pPr>
      <w:r w:rsidDel="00000000" w:rsidR="00000000" w:rsidRPr="00000000">
        <w:rPr>
          <w:rtl w:val="0"/>
        </w:rPr>
        <w:t xml:space="preserve">Source: (Ihprojects.co.uk, 2024) </w:t>
      </w:r>
    </w:p>
    <w:p w:rsidR="00000000" w:rsidDel="00000000" w:rsidP="00000000" w:rsidRDefault="00000000" w:rsidRPr="00000000" w14:paraId="00000027">
      <w:pPr>
        <w:spacing w:after="200" w:line="360" w:lineRule="auto"/>
        <w:jc w:val="both"/>
        <w:rPr/>
      </w:pPr>
      <w:r w:rsidDel="00000000" w:rsidR="00000000" w:rsidRPr="00000000">
        <w:rPr>
          <w:rtl w:val="0"/>
        </w:rPr>
        <w:t xml:space="preserve">The effects of deficient QA can be disastrous, and this was clearly shown in the maternity scandal involving the Shrewsbury and Telford Hospital NHS Trust (SaTH), which is widely recognized as the largest maternity care failure in National Health Service (NHS) history (Sath.nhs.uk, 2026).</w:t>
      </w:r>
    </w:p>
    <w:p w:rsidR="00000000" w:rsidDel="00000000" w:rsidP="00000000" w:rsidRDefault="00000000" w:rsidRPr="00000000" w14:paraId="00000028">
      <w:pPr>
        <w:spacing w:after="200" w:line="360" w:lineRule="auto"/>
        <w:jc w:val="center"/>
        <w:rPr/>
      </w:pPr>
      <w:r w:rsidDel="00000000" w:rsidR="00000000" w:rsidRPr="00000000">
        <w:rPr/>
        <w:drawing>
          <wp:inline distB="114300" distT="114300" distL="114300" distR="114300">
            <wp:extent cx="5882640" cy="1920240"/>
            <wp:effectExtent b="38100" l="38100" r="38100" t="381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882640" cy="192024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9">
      <w:pPr>
        <w:spacing w:after="200" w:line="360" w:lineRule="auto"/>
        <w:jc w:val="center"/>
        <w:rPr>
          <w:b w:val="1"/>
          <w:bCs w:val="1"/>
        </w:rPr>
      </w:pPr>
      <w:r w:rsidDel="00000000" w:rsidR="00000000" w:rsidRPr="00000000">
        <w:rPr>
          <w:b w:val="1"/>
          <w:bCs w:val="1"/>
          <w:rtl w:val="0"/>
        </w:rPr>
        <w:t xml:space="preserve">Figure 2: Time period of family cases included in this review</w:t>
      </w:r>
    </w:p>
    <w:p w:rsidR="00000000" w:rsidDel="00000000" w:rsidP="00000000" w:rsidRDefault="00000000" w:rsidRPr="00000000" w14:paraId="0000002A">
      <w:pPr>
        <w:spacing w:after="200" w:line="360" w:lineRule="auto"/>
        <w:jc w:val="center"/>
        <w:rPr/>
      </w:pPr>
      <w:r w:rsidDel="00000000" w:rsidR="00000000" w:rsidRPr="00000000">
        <w:rPr>
          <w:rtl w:val="0"/>
        </w:rPr>
        <w:t xml:space="preserve">Source: (Ockenden, 2022)</w:t>
      </w:r>
    </w:p>
    <w:p w:rsidR="00000000" w:rsidDel="00000000" w:rsidP="00000000" w:rsidRDefault="00000000" w:rsidRPr="00000000" w14:paraId="0000002B">
      <w:pPr>
        <w:spacing w:after="200" w:line="360" w:lineRule="auto"/>
        <w:jc w:val="both"/>
        <w:rPr>
          <w:b w:val="1"/>
          <w:bCs w:val="1"/>
        </w:rPr>
      </w:pPr>
      <w:r w:rsidDel="00000000" w:rsidR="00000000" w:rsidRPr="00000000">
        <w:rPr>
          <w:rtl w:val="0"/>
        </w:rPr>
        <w:t xml:space="preserve">It was an independent review looking at care for over 20 years, and the evidence examined by the review, from 1486 families, revealed deep-rooted flaws in leadership, communication, staffing, and ongoing culture within the care (Ockenden, 2022). </w:t>
      </w:r>
      <w:r w:rsidDel="00000000" w:rsidR="00000000" w:rsidRPr="00000000">
        <w:rPr>
          <w:rtl w:val="0"/>
        </w:rPr>
      </w:r>
    </w:p>
    <w:p w:rsidR="00000000" w:rsidDel="00000000" w:rsidP="00000000" w:rsidRDefault="00000000" w:rsidRPr="00000000" w14:paraId="0000002C">
      <w:pPr>
        <w:pStyle w:val="Heading2"/>
        <w:rPr>
          <w:rFonts w:ascii="Arial" w:cs="Arial" w:eastAsia="Arial" w:hAnsi="Arial"/>
          <w:sz w:val="22"/>
          <w:szCs w:val="22"/>
        </w:rPr>
      </w:pPr>
      <w:bookmarkStart w:colFirst="0" w:colLast="0" w:name="_ejcrsip4o0l8" w:id="3"/>
      <w:bookmarkEnd w:id="3"/>
      <w:r w:rsidDel="00000000" w:rsidR="00000000" w:rsidRPr="00000000">
        <w:rPr>
          <w:rFonts w:ascii="Arial" w:cs="Arial" w:eastAsia="Arial" w:hAnsi="Arial"/>
          <w:sz w:val="22"/>
          <w:szCs w:val="22"/>
          <w:rtl w:val="0"/>
        </w:rPr>
        <w:t xml:space="preserve">1.1 Background to the Shrewsbury and Telford Maternity Scandal</w:t>
      </w:r>
    </w:p>
    <w:p w:rsidR="00000000" w:rsidDel="00000000" w:rsidP="00000000" w:rsidRDefault="00000000" w:rsidRPr="00000000" w14:paraId="0000002D">
      <w:pPr>
        <w:spacing w:after="200" w:line="360" w:lineRule="auto"/>
        <w:jc w:val="both"/>
        <w:rPr/>
      </w:pPr>
      <w:r w:rsidDel="00000000" w:rsidR="00000000" w:rsidRPr="00000000">
        <w:rPr>
          <w:rtl w:val="0"/>
        </w:rPr>
        <w:t xml:space="preserve">SaTH has two sites: Royal Shrewsbury Hospital and the Princess Royal Hospital in Telford, offering pregnancy and childbirth services for the Shropshire, Telford and Wrekin, and mid-Wales areas (Thenhsalliance.org, 2023). A campaign by bereaved parents Rhiannon Davies and Richard Stanton and by senior midwife Donna Ockenden (Page, 2025) prompted concerns to be raised after baby Kate Stanton-Davies died in 2009 and is the reason for the 2017 independent investigation. The final Ockenden Report (March 2022) analyzed 1,486 families (2000–2019) and uncovered 201 themes and 15 immediate and essential actions for the national level (Ockenden, 2022). More than 200 baby deaths, nine maternal deaths, and serious brain injury cases resulted from avoidable errors (Lawless, 2022). The culture was defensive, warning signs were disregarded, and litigation was used to avoid accountability (Løland et al., 2023; Harris et al., 2022). These results highlight the importance of strong governance, as well as safe reporting cultures and organizational learning (Løland et al., 2023). </w:t>
      </w:r>
    </w:p>
    <w:p w:rsidR="00000000" w:rsidDel="00000000" w:rsidP="00000000" w:rsidRDefault="00000000" w:rsidRPr="00000000" w14:paraId="0000002E">
      <w:pPr>
        <w:spacing w:after="200" w:line="360" w:lineRule="auto"/>
        <w:jc w:val="center"/>
        <w:rPr/>
      </w:pPr>
      <w:r w:rsidDel="00000000" w:rsidR="00000000" w:rsidRPr="00000000">
        <w:rPr/>
        <w:drawing>
          <wp:inline distB="114300" distT="114300" distL="114300" distR="114300">
            <wp:extent cx="5224463" cy="3524838"/>
            <wp:effectExtent b="38100" l="38100" r="38100" t="3810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224463" cy="3524838"/>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F">
      <w:pPr>
        <w:spacing w:after="200" w:line="360" w:lineRule="auto"/>
        <w:jc w:val="center"/>
        <w:rPr>
          <w:b w:val="1"/>
          <w:bCs w:val="1"/>
        </w:rPr>
      </w:pPr>
      <w:r w:rsidDel="00000000" w:rsidR="00000000" w:rsidRPr="00000000">
        <w:rPr>
          <w:b w:val="1"/>
          <w:bCs w:val="1"/>
          <w:rtl w:val="0"/>
        </w:rPr>
        <w:t xml:space="preserve">Figure 3: Maternal mortality rate against 2025 maternity safety ambitions</w:t>
      </w:r>
    </w:p>
    <w:p w:rsidR="00000000" w:rsidDel="00000000" w:rsidP="00000000" w:rsidRDefault="00000000" w:rsidRPr="00000000" w14:paraId="00000030">
      <w:pPr>
        <w:spacing w:after="200" w:line="360" w:lineRule="auto"/>
        <w:jc w:val="center"/>
        <w:rPr/>
      </w:pPr>
      <w:r w:rsidDel="00000000" w:rsidR="00000000" w:rsidRPr="00000000">
        <w:rPr>
          <w:rtl w:val="0"/>
        </w:rPr>
        <w:t xml:space="preserve">Source: (Kumpunen and Best, 2026) </w:t>
      </w:r>
    </w:p>
    <w:p w:rsidR="00000000" w:rsidDel="00000000" w:rsidP="00000000" w:rsidRDefault="00000000" w:rsidRPr="00000000" w14:paraId="00000031">
      <w:pPr>
        <w:spacing w:after="200" w:line="360" w:lineRule="auto"/>
        <w:jc w:val="both"/>
        <w:rPr/>
      </w:pPr>
      <w:r w:rsidDel="00000000" w:rsidR="00000000" w:rsidRPr="00000000">
        <w:rPr>
          <w:rtl w:val="0"/>
        </w:rPr>
        <w:t xml:space="preserve">Moreover, the UK maternal mortality rate stood at 12.80 per 100,000 maternities in 2022-24, a 20% rise from the 2009-11 baseline.</w:t>
      </w:r>
    </w:p>
    <w:p w:rsidR="00000000" w:rsidDel="00000000" w:rsidP="00000000" w:rsidRDefault="00000000" w:rsidRPr="00000000" w14:paraId="00000032">
      <w:pPr>
        <w:spacing w:after="200" w:line="360" w:lineRule="auto"/>
        <w:jc w:val="center"/>
        <w:rPr/>
      </w:pPr>
      <w:r w:rsidDel="00000000" w:rsidR="00000000" w:rsidRPr="00000000">
        <w:rPr/>
        <w:drawing>
          <wp:inline distB="114300" distT="114300" distL="114300" distR="114300">
            <wp:extent cx="5631180" cy="3436620"/>
            <wp:effectExtent b="38100" l="38100" r="38100" t="3810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631180" cy="343662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3">
      <w:pPr>
        <w:spacing w:after="200" w:line="360" w:lineRule="auto"/>
        <w:jc w:val="center"/>
        <w:rPr>
          <w:b w:val="1"/>
          <w:bCs w:val="1"/>
        </w:rPr>
      </w:pPr>
      <w:r w:rsidDel="00000000" w:rsidR="00000000" w:rsidRPr="00000000">
        <w:rPr>
          <w:b w:val="1"/>
          <w:bCs w:val="1"/>
          <w:rtl w:val="0"/>
        </w:rPr>
        <w:t xml:space="preserve">Figure 4: Stillbirth, neonatal and extended perinatal mortality rates for the UK and by country of residence, 2013 to 2024</w:t>
      </w:r>
    </w:p>
    <w:p w:rsidR="00000000" w:rsidDel="00000000" w:rsidP="00000000" w:rsidRDefault="00000000" w:rsidRPr="00000000" w14:paraId="00000034">
      <w:pPr>
        <w:spacing w:after="200" w:line="360" w:lineRule="auto"/>
        <w:jc w:val="center"/>
        <w:rPr/>
      </w:pPr>
      <w:r w:rsidDel="00000000" w:rsidR="00000000" w:rsidRPr="00000000">
        <w:rPr>
          <w:rtl w:val="0"/>
        </w:rPr>
        <w:t xml:space="preserve">Source: (Timms.le.ac.uk, 2023)</w:t>
      </w:r>
    </w:p>
    <w:p w:rsidR="00000000" w:rsidDel="00000000" w:rsidP="00000000" w:rsidRDefault="00000000" w:rsidRPr="00000000" w14:paraId="00000035">
      <w:pPr>
        <w:spacing w:after="200" w:line="360" w:lineRule="auto"/>
        <w:jc w:val="both"/>
        <w:rPr/>
      </w:pPr>
      <w:r w:rsidDel="00000000" w:rsidR="00000000" w:rsidRPr="00000000">
        <w:rPr>
          <w:rtl w:val="0"/>
        </w:rPr>
        <w:t xml:space="preserve">The official line charts show that the UK stillbirth rate has fallen over the longer term to 3.22 per 1,000 total births in 2023, following a downward trend since 2013. </w:t>
      </w:r>
    </w:p>
    <w:p w:rsidR="00000000" w:rsidDel="00000000" w:rsidP="00000000" w:rsidRDefault="00000000" w:rsidRPr="00000000" w14:paraId="00000036">
      <w:pPr>
        <w:spacing w:after="200" w:line="360" w:lineRule="auto"/>
        <w:jc w:val="both"/>
        <w:rPr/>
      </w:pPr>
      <w:r w:rsidDel="00000000" w:rsidR="00000000" w:rsidRPr="00000000">
        <w:rPr>
          <w:rtl w:val="0"/>
        </w:rPr>
        <w:t xml:space="preserve">So, the SaTH maternity scandal is demagnified in a critical analysis through the lens of established quality improvement frameworks, which include the Fishbone (Ishikawa) diagram and Root Cause Analysis (RCA), the Donabedian structure-process-outcome framework, and the Swiss Cheese Model. The report also identifies the implications of these failures on patient safety and recommends steps for improvement based on peer-reviewed literature since 2022.</w:t>
      </w:r>
    </w:p>
    <w:p w:rsidR="00000000" w:rsidDel="00000000" w:rsidP="00000000" w:rsidRDefault="00000000" w:rsidRPr="00000000" w14:paraId="00000037">
      <w:pPr>
        <w:pStyle w:val="Heading1"/>
        <w:rPr>
          <w:sz w:val="22"/>
          <w:szCs w:val="22"/>
        </w:rPr>
      </w:pPr>
      <w:bookmarkStart w:colFirst="0" w:colLast="0" w:name="_31jn3pwvlh9f" w:id="4"/>
      <w:bookmarkEnd w:id="4"/>
      <w:r w:rsidDel="00000000" w:rsidR="00000000" w:rsidRPr="00000000">
        <w:rPr>
          <w:sz w:val="22"/>
          <w:szCs w:val="22"/>
          <w:rtl w:val="0"/>
        </w:rPr>
        <w:t xml:space="preserve">2. Main Body</w:t>
      </w:r>
    </w:p>
    <w:p w:rsidR="00000000" w:rsidDel="00000000" w:rsidP="00000000" w:rsidRDefault="00000000" w:rsidRPr="00000000" w14:paraId="00000038">
      <w:pPr>
        <w:pStyle w:val="Heading2"/>
        <w:rPr>
          <w:rFonts w:ascii="Arial" w:cs="Arial" w:eastAsia="Arial" w:hAnsi="Arial"/>
          <w:sz w:val="22"/>
          <w:szCs w:val="22"/>
        </w:rPr>
      </w:pPr>
      <w:bookmarkStart w:colFirst="0" w:colLast="0" w:name="_mp8o0beo3kfs" w:id="5"/>
      <w:bookmarkEnd w:id="5"/>
      <w:r w:rsidDel="00000000" w:rsidR="00000000" w:rsidRPr="00000000">
        <w:rPr>
          <w:rFonts w:ascii="Arial" w:cs="Arial" w:eastAsia="Arial" w:hAnsi="Arial"/>
          <w:sz w:val="22"/>
          <w:szCs w:val="22"/>
          <w:rtl w:val="0"/>
        </w:rPr>
        <w:t xml:space="preserve">2.1 Swiss Cheese Model</w:t>
      </w:r>
    </w:p>
    <w:p w:rsidR="00000000" w:rsidDel="00000000" w:rsidP="00000000" w:rsidRDefault="00000000" w:rsidRPr="00000000" w14:paraId="00000039">
      <w:pPr>
        <w:spacing w:after="200" w:line="360" w:lineRule="auto"/>
        <w:jc w:val="center"/>
        <w:rPr>
          <w:b w:val="1"/>
          <w:bCs w:val="1"/>
        </w:rPr>
      </w:pPr>
      <w:r w:rsidDel="00000000" w:rsidR="00000000" w:rsidRPr="00000000">
        <w:rPr>
          <w:b w:val="1"/>
          <w:bCs w:val="1"/>
        </w:rPr>
        <w:drawing>
          <wp:inline distB="114300" distT="114300" distL="114300" distR="114300">
            <wp:extent cx="5334781" cy="3635272"/>
            <wp:effectExtent b="38100" l="38100" r="38100" t="3810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334781" cy="3635272"/>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A">
      <w:pPr>
        <w:spacing w:after="200" w:line="360" w:lineRule="auto"/>
        <w:jc w:val="center"/>
        <w:rPr>
          <w:b w:val="1"/>
          <w:bCs w:val="1"/>
        </w:rPr>
      </w:pPr>
      <w:r w:rsidDel="00000000" w:rsidR="00000000" w:rsidRPr="00000000">
        <w:rPr>
          <w:b w:val="1"/>
          <w:bCs w:val="1"/>
          <w:rtl w:val="0"/>
        </w:rPr>
        <w:t xml:space="preserve">Figure 5: Swiss Cheese Model</w:t>
      </w:r>
    </w:p>
    <w:p w:rsidR="00000000" w:rsidDel="00000000" w:rsidP="00000000" w:rsidRDefault="00000000" w:rsidRPr="00000000" w14:paraId="0000003B">
      <w:pPr>
        <w:spacing w:after="200" w:line="360" w:lineRule="auto"/>
        <w:jc w:val="center"/>
        <w:rPr/>
      </w:pPr>
      <w:r w:rsidDel="00000000" w:rsidR="00000000" w:rsidRPr="00000000">
        <w:rPr>
          <w:rtl w:val="0"/>
        </w:rPr>
        <w:t xml:space="preserve">Source: (Stucki, 2025) </w:t>
      </w:r>
    </w:p>
    <w:p w:rsidR="00000000" w:rsidDel="00000000" w:rsidP="00000000" w:rsidRDefault="00000000" w:rsidRPr="00000000" w14:paraId="0000003C">
      <w:pPr>
        <w:spacing w:after="200" w:line="360" w:lineRule="auto"/>
        <w:jc w:val="both"/>
        <w:rPr/>
      </w:pPr>
      <w:r w:rsidDel="00000000" w:rsidR="00000000" w:rsidRPr="00000000">
        <w:rPr>
          <w:rtl w:val="0"/>
        </w:rPr>
        <w:t xml:space="preserve">In patient safety research, the </w:t>
      </w:r>
      <w:r w:rsidDel="00000000" w:rsidR="00000000" w:rsidRPr="00000000">
        <w:rPr>
          <w:b w:val="1"/>
          <w:bCs w:val="1"/>
          <w:rtl w:val="0"/>
        </w:rPr>
        <w:t xml:space="preserve">Swiss Cheese Model</w:t>
      </w:r>
      <w:r w:rsidDel="00000000" w:rsidR="00000000" w:rsidRPr="00000000">
        <w:rPr>
          <w:rtl w:val="0"/>
        </w:rPr>
        <w:t xml:space="preserve"> is used to conceptualize organizational safety as a series of defensive layers with an array of weaknesses or "holes" in each barrier (Mossialos et al., 2025). When the holes in different layers are not aligned but a hazard passes through and by chance causes harm, the occurrence is known as an accident (Buist and Arnold, 2022). The application of this model to SaTH demonstrates that the issue is not about a single failure in this scandal but about a series of staffing issues, dominant clinical supervision, lax incident investigations, structural weaknesses in external oversight, and a lack of leadership in organizations, which came one after another over 20 years. </w:t>
      </w:r>
    </w:p>
    <w:p w:rsidR="00000000" w:rsidDel="00000000" w:rsidP="00000000" w:rsidRDefault="00000000" w:rsidRPr="00000000" w14:paraId="0000003D">
      <w:pPr>
        <w:spacing w:after="200" w:line="360" w:lineRule="auto"/>
        <w:jc w:val="both"/>
        <w:rPr/>
      </w:pPr>
      <w:r w:rsidDel="00000000" w:rsidR="00000000" w:rsidRPr="00000000">
        <w:rPr>
          <w:rtl w:val="0"/>
        </w:rPr>
        <w:t xml:space="preserve">It illustrates how things like the lack of adequate staffing or a blame culture slowly chip away at an organization's “dams” for a long period of time before it is “overtaken by the flood” and a real failure like acting too late during labour leads to harm.” (Wiegmann et al., 2022). Key latent factors were lack of consultant obstetric cover, reliance on inexperienced junior staff, and lack of decisive action by external regulators, like the Care Quality Commission and Local Clinical Commissioning Groups, on recurrent warning signs (Buist and Arnold, 2022). Indeed, each occasion that the Trust failed to intervene resulted in weakening the layers of defence around children, as noted by the Ockenden Report, as they identified patterns of unsafe care that happened over a significant period. </w:t>
      </w:r>
    </w:p>
    <w:p w:rsidR="00000000" w:rsidDel="00000000" w:rsidP="00000000" w:rsidRDefault="00000000" w:rsidRPr="00000000" w14:paraId="0000003E">
      <w:pPr>
        <w:pStyle w:val="Heading2"/>
        <w:rPr>
          <w:rFonts w:ascii="Arial" w:cs="Arial" w:eastAsia="Arial" w:hAnsi="Arial"/>
          <w:sz w:val="22"/>
          <w:szCs w:val="22"/>
        </w:rPr>
      </w:pPr>
      <w:bookmarkStart w:colFirst="0" w:colLast="0" w:name="_rrpvlzyq7sfp" w:id="6"/>
      <w:bookmarkEnd w:id="6"/>
      <w:r w:rsidDel="00000000" w:rsidR="00000000" w:rsidRPr="00000000">
        <w:rPr>
          <w:rFonts w:ascii="Arial" w:cs="Arial" w:eastAsia="Arial" w:hAnsi="Arial"/>
          <w:sz w:val="22"/>
          <w:szCs w:val="22"/>
          <w:rtl w:val="0"/>
        </w:rPr>
        <w:t xml:space="preserve">2.2 Root Cause Analysis and the Fishbone (Ishikawa) Diagram</w:t>
      </w:r>
    </w:p>
    <w:p w:rsidR="00000000" w:rsidDel="00000000" w:rsidP="00000000" w:rsidRDefault="00000000" w:rsidRPr="00000000" w14:paraId="0000003F">
      <w:pPr>
        <w:spacing w:after="200" w:line="360" w:lineRule="auto"/>
        <w:jc w:val="both"/>
        <w:rPr/>
      </w:pPr>
      <w:r w:rsidDel="00000000" w:rsidR="00000000" w:rsidRPr="00000000">
        <w:rPr>
          <w:b w:val="1"/>
          <w:bCs w:val="1"/>
          <w:rtl w:val="0"/>
        </w:rPr>
        <w:t xml:space="preserve">Root Cause Analysis (RCA) </w:t>
      </w:r>
      <w:r w:rsidDel="00000000" w:rsidR="00000000" w:rsidRPr="00000000">
        <w:rPr>
          <w:rtl w:val="0"/>
        </w:rPr>
        <w:t xml:space="preserve">is a formal process of investigation that aims to uncover and narrow down the underlying systems and organizational causes leading to poor results in healthcare instead of just looking at the fault on a small level that occurred (Pazhayattil and Sharma, 2025; Tamata and Mohammadnezhad, 2022; Yusoff et al., 2023). The fishbone, also known as the Ishikawa, diagram is a popular RCA technique in healthcare quality initiatives that allows for potential cause and effect relationships to be figured out and plotted within the defined categories (Rodríguez-Álvarez et al., 2024). Reviewing the SaTH maternity scandal through the lens of the 6 conventional categories: People (Manpower), Methods, Machines (Equipment), Materials, Measurements, and Environment offers a complete framework for the understanding of these failures that have contributed over time (Tamata and Mohammadnezhad, 2022).</w:t>
      </w:r>
    </w:p>
    <w:p w:rsidR="00000000" w:rsidDel="00000000" w:rsidP="00000000" w:rsidRDefault="00000000" w:rsidRPr="00000000" w14:paraId="00000040">
      <w:pPr>
        <w:spacing w:after="200" w:line="360" w:lineRule="auto"/>
        <w:jc w:val="center"/>
        <w:rPr>
          <w:b w:val="1"/>
          <w:bCs w:val="1"/>
        </w:rPr>
      </w:pPr>
      <w:r w:rsidDel="00000000" w:rsidR="00000000" w:rsidRPr="00000000">
        <w:rPr>
          <w:b w:val="1"/>
          <w:bCs w:val="1"/>
        </w:rPr>
        <w:drawing>
          <wp:inline distB="114300" distT="114300" distL="114300" distR="114300">
            <wp:extent cx="5730240" cy="4107180"/>
            <wp:effectExtent b="38100" l="38100" r="38100" t="3810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730240" cy="410718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1">
      <w:pPr>
        <w:spacing w:after="200" w:line="360" w:lineRule="auto"/>
        <w:jc w:val="center"/>
        <w:rPr>
          <w:b w:val="1"/>
          <w:bCs w:val="1"/>
        </w:rPr>
      </w:pPr>
      <w:r w:rsidDel="00000000" w:rsidR="00000000" w:rsidRPr="00000000">
        <w:rPr>
          <w:b w:val="1"/>
          <w:bCs w:val="1"/>
          <w:rtl w:val="0"/>
        </w:rPr>
        <w:t xml:space="preserve">Figure 6: Root Cause Analysis (RCA)</w:t>
      </w:r>
    </w:p>
    <w:p w:rsidR="00000000" w:rsidDel="00000000" w:rsidP="00000000" w:rsidRDefault="00000000" w:rsidRPr="00000000" w14:paraId="00000042">
      <w:pPr>
        <w:spacing w:after="200" w:line="360" w:lineRule="auto"/>
        <w:jc w:val="center"/>
        <w:rPr/>
      </w:pPr>
      <w:r w:rsidDel="00000000" w:rsidR="00000000" w:rsidRPr="00000000">
        <w:rPr>
          <w:rtl w:val="0"/>
        </w:rPr>
        <w:t xml:space="preserve">Source: (Self-Created)</w:t>
      </w:r>
    </w:p>
    <w:p w:rsidR="00000000" w:rsidDel="00000000" w:rsidP="00000000" w:rsidRDefault="00000000" w:rsidRPr="00000000" w14:paraId="00000043">
      <w:pPr>
        <w:spacing w:after="200" w:line="360" w:lineRule="auto"/>
        <w:jc w:val="both"/>
        <w:rPr/>
      </w:pPr>
      <w:r w:rsidDel="00000000" w:rsidR="00000000" w:rsidRPr="00000000">
        <w:rPr>
          <w:rtl w:val="0"/>
        </w:rPr>
        <w:t xml:space="preserve">In so far as people (manpower) are concerned, the Ockenden Report commented on no fewer than 1/5 midwives in each unit and mentioned consultant obstetricians were in short supply, which meant they were overstretched and unable to give continuous and vigilant care during labour. The shortage of both midwives and nurses is a longstanding problem and predictor of unsafe care worldwide (Tamata &amp; Mohammadnezhad, 2022), and at SaTH it was related to poorly supervised locum and training nurses who lacked proper supervision (Yusoff et al., 2023) and to nurses and midwives who expressed concern about safe care being ignored or silenced (Yusoff et al., 2023). Challenges and hesitations to reporting were compounded by workplace influences and pressures, including hostility towards escalation as outlined by Yusoff et al., (2023).</w:t>
      </w:r>
    </w:p>
    <w:p w:rsidR="00000000" w:rsidDel="00000000" w:rsidP="00000000" w:rsidRDefault="00000000" w:rsidRPr="00000000" w14:paraId="00000044">
      <w:pPr>
        <w:spacing w:after="200" w:line="360" w:lineRule="auto"/>
        <w:jc w:val="both"/>
        <w:rPr/>
      </w:pPr>
      <w:r w:rsidDel="00000000" w:rsidR="00000000" w:rsidRPr="00000000">
        <w:rPr>
          <w:rtl w:val="0"/>
        </w:rPr>
        <w:t xml:space="preserve">The review under Methods identified inconsistent implementation of clinical guidelines regarding fetal monitoring, handover of high-risk pregnancies, and decision-making by a multidisciplinary team. Risk assessment tools were not consistently used, and there was a recorded tendency to approach normal birth goals routinely in a way that was unsafe for both the mother and baby with an interdisciplinary, evidence-based approach.</w:t>
      </w:r>
    </w:p>
    <w:p w:rsidR="00000000" w:rsidDel="00000000" w:rsidP="00000000" w:rsidRDefault="00000000" w:rsidRPr="00000000" w14:paraId="00000045">
      <w:pPr>
        <w:spacing w:after="200" w:line="360" w:lineRule="auto"/>
        <w:jc w:val="both"/>
        <w:rPr/>
      </w:pPr>
      <w:r w:rsidDel="00000000" w:rsidR="00000000" w:rsidRPr="00000000">
        <w:rPr>
          <w:rtl w:val="0"/>
        </w:rPr>
        <w:t xml:space="preserve">It stated that under Machines (Equipment), the scandal was more a 'Human and Organisational Failure' as there were inconsistencies regarding the availability and correct use of cardiotocography (CTG) equipment for monitoring fetal heart rates, a lack of training in the interpretation of CTG traces and late recognition of fetal distress (Jepsen et al., 2022).</w:t>
      </w:r>
    </w:p>
    <w:p w:rsidR="00000000" w:rsidDel="00000000" w:rsidP="00000000" w:rsidRDefault="00000000" w:rsidRPr="00000000" w14:paraId="00000046">
      <w:pPr>
        <w:spacing w:after="200" w:line="360" w:lineRule="auto"/>
        <w:jc w:val="both"/>
        <w:rPr/>
      </w:pPr>
      <w:r w:rsidDel="00000000" w:rsidR="00000000" w:rsidRPr="00000000">
        <w:rPr>
          <w:rtl w:val="0"/>
        </w:rPr>
        <w:t xml:space="preserve">Materials was also a category of concern under items that enable safe care, which revealed gaps in materials used to inform care, such as incomplete or inaccurate medical records, poor documentation for handover between shifts, and not enough investment in evidence-based material to train staff to give them information in real time to make an informed decision.</w:t>
      </w:r>
    </w:p>
    <w:p w:rsidR="00000000" w:rsidDel="00000000" w:rsidP="00000000" w:rsidRDefault="00000000" w:rsidRPr="00000000" w14:paraId="00000047">
      <w:pPr>
        <w:spacing w:after="200" w:line="360" w:lineRule="auto"/>
        <w:jc w:val="both"/>
        <w:rPr/>
      </w:pPr>
      <w:r w:rsidDel="00000000" w:rsidR="00000000" w:rsidRPr="00000000">
        <w:rPr>
          <w:rtl w:val="0"/>
        </w:rPr>
        <w:t xml:space="preserve">Measurements: The Trust has had a weak culture for clinical audits and outcome monitoring. There were frequent incidents where serious incidents were assessed lower than they should have been, independent investigations were not conducted or sufficiently robust, it was not possible to systematically compare local findings with external standards, and potentially recurring patterns of harm were only uncovered in the course of the independent inquiry (Ockenden, 2022).</w:t>
      </w:r>
    </w:p>
    <w:p w:rsidR="00000000" w:rsidDel="00000000" w:rsidP="00000000" w:rsidRDefault="00000000" w:rsidRPr="00000000" w14:paraId="00000048">
      <w:pPr>
        <w:spacing w:after="200" w:line="360" w:lineRule="auto"/>
        <w:jc w:val="both"/>
        <w:rPr/>
      </w:pPr>
      <w:r w:rsidDel="00000000" w:rsidR="00000000" w:rsidRPr="00000000">
        <w:rPr>
          <w:rtl w:val="0"/>
        </w:rPr>
        <w:t xml:space="preserve">In the final domain of environment, the organizational culture was described as one that was defensive, hierarchical, and feared blame, thereby not encouraging honest reflection and organizational learning (Horwood et al., 2025). Families reported that they were treated with a lack of compassion and with little respect, and that members of staff reported a lack of respect for raising safety concerns, a workplace attitude that would result in risk (Løland et al., 2023).</w:t>
      </w:r>
    </w:p>
    <w:tbl>
      <w:tblPr>
        <w:tblStyle w:val="Table1"/>
        <w:tblW w:w="933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600"/>
      </w:tblPr>
      <w:tblGrid>
        <w:gridCol w:w="2160"/>
        <w:gridCol w:w="7170"/>
        <w:tblGridChange w:id="0">
          <w:tblGrid>
            <w:gridCol w:w="2160"/>
            <w:gridCol w:w="7170"/>
          </w:tblGrid>
        </w:tblGridChange>
      </w:tblGrid>
      <w:tr>
        <w:trPr>
          <w:cantSplit w:val="0"/>
          <w:trHeight w:val="450" w:hRule="atLeast"/>
          <w:tblHeader w:val="0"/>
        </w:trPr>
        <w:tc>
          <w:tcPr/>
          <w:p w:rsidR="00000000" w:rsidDel="00000000" w:rsidP="00000000" w:rsidRDefault="00000000" w:rsidRPr="00000000" w14:paraId="00000049">
            <w:pPr>
              <w:spacing w:line="360" w:lineRule="auto"/>
              <w:jc w:val="center"/>
              <w:rPr>
                <w:b w:val="1"/>
                <w:bCs w:val="1"/>
                <w:u w:val="single"/>
              </w:rPr>
            </w:pPr>
            <w:r w:rsidDel="00000000" w:rsidR="00000000" w:rsidRPr="00000000">
              <w:rPr>
                <w:b w:val="1"/>
                <w:bCs w:val="1"/>
                <w:u w:val="single"/>
                <w:rtl w:val="0"/>
              </w:rPr>
              <w:t xml:space="preserve">Fishbone Category</w:t>
            </w:r>
          </w:p>
        </w:tc>
        <w:tc>
          <w:tcPr/>
          <w:p w:rsidR="00000000" w:rsidDel="00000000" w:rsidP="00000000" w:rsidRDefault="00000000" w:rsidRPr="00000000" w14:paraId="0000004A">
            <w:pPr>
              <w:spacing w:line="360" w:lineRule="auto"/>
              <w:jc w:val="center"/>
              <w:rPr>
                <w:b w:val="1"/>
                <w:bCs w:val="1"/>
                <w:u w:val="single"/>
              </w:rPr>
            </w:pPr>
            <w:r w:rsidDel="00000000" w:rsidR="00000000" w:rsidRPr="00000000">
              <w:rPr>
                <w:b w:val="1"/>
                <w:bCs w:val="1"/>
                <w:u w:val="single"/>
                <w:rtl w:val="0"/>
              </w:rPr>
              <w:t xml:space="preserve">Failure Identified at SaTH</w:t>
            </w:r>
          </w:p>
        </w:tc>
      </w:tr>
      <w:tr>
        <w:trPr>
          <w:cantSplit w:val="0"/>
          <w:trHeight w:val="1170" w:hRule="atLeast"/>
          <w:tblHeader w:val="0"/>
        </w:trPr>
        <w:tc>
          <w:tcPr/>
          <w:p w:rsidR="00000000" w:rsidDel="00000000" w:rsidP="00000000" w:rsidRDefault="00000000" w:rsidRPr="00000000" w14:paraId="0000004B">
            <w:pPr>
              <w:spacing w:line="360" w:lineRule="auto"/>
              <w:jc w:val="center"/>
              <w:rPr/>
            </w:pPr>
            <w:r w:rsidDel="00000000" w:rsidR="00000000" w:rsidRPr="00000000">
              <w:rPr>
                <w:rtl w:val="0"/>
              </w:rPr>
              <w:t xml:space="preserve">People (Manpower)</w:t>
            </w:r>
          </w:p>
        </w:tc>
        <w:tc>
          <w:tcPr/>
          <w:p w:rsidR="00000000" w:rsidDel="00000000" w:rsidP="00000000" w:rsidRDefault="00000000" w:rsidRPr="00000000" w14:paraId="0000004C">
            <w:pPr>
              <w:spacing w:line="360" w:lineRule="auto"/>
              <w:jc w:val="both"/>
              <w:rPr/>
            </w:pPr>
            <w:r w:rsidDel="00000000" w:rsidR="00000000" w:rsidRPr="00000000">
              <w:rPr>
                <w:rtl w:val="0"/>
              </w:rPr>
              <w:t xml:space="preserve">Chronic midwife and consultant shortages; over-reliance on unsupervised junior/locum staff; staff discouraged from escalating concerns</w:t>
            </w:r>
          </w:p>
        </w:tc>
      </w:tr>
      <w:tr>
        <w:trPr>
          <w:cantSplit w:val="0"/>
          <w:trHeight w:val="1170" w:hRule="atLeast"/>
          <w:tblHeader w:val="0"/>
        </w:trPr>
        <w:tc>
          <w:tcPr/>
          <w:p w:rsidR="00000000" w:rsidDel="00000000" w:rsidP="00000000" w:rsidRDefault="00000000" w:rsidRPr="00000000" w14:paraId="0000004D">
            <w:pPr>
              <w:spacing w:line="360" w:lineRule="auto"/>
              <w:jc w:val="center"/>
              <w:rPr/>
            </w:pPr>
            <w:r w:rsidDel="00000000" w:rsidR="00000000" w:rsidRPr="00000000">
              <w:rPr>
                <w:rtl w:val="0"/>
              </w:rPr>
              <w:t xml:space="preserve">Methods</w:t>
            </w:r>
          </w:p>
        </w:tc>
        <w:tc>
          <w:tcPr/>
          <w:p w:rsidR="00000000" w:rsidDel="00000000" w:rsidP="00000000" w:rsidRDefault="00000000" w:rsidRPr="00000000" w14:paraId="0000004E">
            <w:pPr>
              <w:spacing w:line="360" w:lineRule="auto"/>
              <w:jc w:val="both"/>
              <w:rPr/>
            </w:pPr>
            <w:r w:rsidDel="00000000" w:rsidR="00000000" w:rsidRPr="00000000">
              <w:rPr>
                <w:rtl w:val="0"/>
              </w:rPr>
              <w:t xml:space="preserve">Inconsistent application of fetal monitoring and escalation guidelines; unsafe pursuit of vaginal birth over clinically indicated caesarean section</w:t>
            </w:r>
          </w:p>
        </w:tc>
      </w:tr>
      <w:tr>
        <w:trPr>
          <w:cantSplit w:val="0"/>
          <w:trHeight w:val="930" w:hRule="atLeast"/>
          <w:tblHeader w:val="0"/>
        </w:trPr>
        <w:tc>
          <w:tcPr/>
          <w:p w:rsidR="00000000" w:rsidDel="00000000" w:rsidP="00000000" w:rsidRDefault="00000000" w:rsidRPr="00000000" w14:paraId="0000004F">
            <w:pPr>
              <w:spacing w:line="360" w:lineRule="auto"/>
              <w:jc w:val="center"/>
              <w:rPr/>
            </w:pPr>
            <w:r w:rsidDel="00000000" w:rsidR="00000000" w:rsidRPr="00000000">
              <w:rPr>
                <w:rtl w:val="0"/>
              </w:rPr>
              <w:t xml:space="preserve">Machines (Equipment)</w:t>
            </w:r>
          </w:p>
        </w:tc>
        <w:tc>
          <w:tcPr/>
          <w:p w:rsidR="00000000" w:rsidDel="00000000" w:rsidP="00000000" w:rsidRDefault="00000000" w:rsidRPr="00000000" w14:paraId="00000050">
            <w:pPr>
              <w:spacing w:line="360" w:lineRule="auto"/>
              <w:jc w:val="both"/>
              <w:rPr/>
            </w:pPr>
            <w:r w:rsidDel="00000000" w:rsidR="00000000" w:rsidRPr="00000000">
              <w:rPr>
                <w:rtl w:val="0"/>
              </w:rPr>
              <w:t xml:space="preserve">Inconsistent availability/use of CTG equipment; inadequate training in CTG trace interpretation</w:t>
            </w:r>
          </w:p>
        </w:tc>
      </w:tr>
      <w:tr>
        <w:trPr>
          <w:cantSplit w:val="0"/>
          <w:trHeight w:val="930" w:hRule="atLeast"/>
          <w:tblHeader w:val="0"/>
        </w:trPr>
        <w:tc>
          <w:tcPr/>
          <w:p w:rsidR="00000000" w:rsidDel="00000000" w:rsidP="00000000" w:rsidRDefault="00000000" w:rsidRPr="00000000" w14:paraId="00000051">
            <w:pPr>
              <w:spacing w:line="360" w:lineRule="auto"/>
              <w:jc w:val="center"/>
              <w:rPr/>
            </w:pPr>
            <w:r w:rsidDel="00000000" w:rsidR="00000000" w:rsidRPr="00000000">
              <w:rPr>
                <w:rtl w:val="0"/>
              </w:rPr>
              <w:t xml:space="preserve">Materials</w:t>
            </w:r>
          </w:p>
        </w:tc>
        <w:tc>
          <w:tcPr/>
          <w:p w:rsidR="00000000" w:rsidDel="00000000" w:rsidP="00000000" w:rsidRDefault="00000000" w:rsidRPr="00000000" w14:paraId="00000052">
            <w:pPr>
              <w:spacing w:line="360" w:lineRule="auto"/>
              <w:jc w:val="both"/>
              <w:rPr/>
            </w:pPr>
            <w:r w:rsidDel="00000000" w:rsidR="00000000" w:rsidRPr="00000000">
              <w:rPr>
                <w:rtl w:val="0"/>
              </w:rPr>
              <w:t xml:space="preserve">Incomplete or inaccurate medical records; poor shift handover documentation; insufficient training resources</w:t>
            </w:r>
          </w:p>
        </w:tc>
      </w:tr>
      <w:tr>
        <w:trPr>
          <w:cantSplit w:val="0"/>
          <w:trHeight w:val="930" w:hRule="atLeast"/>
          <w:tblHeader w:val="0"/>
        </w:trPr>
        <w:tc>
          <w:tcPr/>
          <w:p w:rsidR="00000000" w:rsidDel="00000000" w:rsidP="00000000" w:rsidRDefault="00000000" w:rsidRPr="00000000" w14:paraId="00000053">
            <w:pPr>
              <w:spacing w:line="360" w:lineRule="auto"/>
              <w:jc w:val="center"/>
              <w:rPr/>
            </w:pPr>
            <w:r w:rsidDel="00000000" w:rsidR="00000000" w:rsidRPr="00000000">
              <w:rPr>
                <w:rtl w:val="0"/>
              </w:rPr>
              <w:t xml:space="preserve">Measurements</w:t>
            </w:r>
          </w:p>
        </w:tc>
        <w:tc>
          <w:tcPr/>
          <w:p w:rsidR="00000000" w:rsidDel="00000000" w:rsidP="00000000" w:rsidRDefault="00000000" w:rsidRPr="00000000" w14:paraId="00000054">
            <w:pPr>
              <w:spacing w:line="360" w:lineRule="auto"/>
              <w:jc w:val="both"/>
              <w:rPr/>
            </w:pPr>
            <w:r w:rsidDel="00000000" w:rsidR="00000000" w:rsidRPr="00000000">
              <w:rPr>
                <w:rtl w:val="0"/>
              </w:rPr>
              <w:t xml:space="preserve">Weak clinical audit culture; incidents under-graded; poor triangulation of outcome data with external benchmarks</w:t>
            </w:r>
          </w:p>
        </w:tc>
      </w:tr>
      <w:tr>
        <w:trPr>
          <w:cantSplit w:val="0"/>
          <w:trHeight w:val="930" w:hRule="atLeast"/>
          <w:tblHeader w:val="0"/>
        </w:trPr>
        <w:tc>
          <w:tcPr/>
          <w:p w:rsidR="00000000" w:rsidDel="00000000" w:rsidP="00000000" w:rsidRDefault="00000000" w:rsidRPr="00000000" w14:paraId="00000055">
            <w:pPr>
              <w:spacing w:line="360" w:lineRule="auto"/>
              <w:jc w:val="center"/>
              <w:rPr/>
            </w:pPr>
            <w:r w:rsidDel="00000000" w:rsidR="00000000" w:rsidRPr="00000000">
              <w:rPr>
                <w:rtl w:val="0"/>
              </w:rPr>
              <w:t xml:space="preserve">Environment</w:t>
            </w:r>
          </w:p>
        </w:tc>
        <w:tc>
          <w:tcPr/>
          <w:p w:rsidR="00000000" w:rsidDel="00000000" w:rsidP="00000000" w:rsidRDefault="00000000" w:rsidRPr="00000000" w14:paraId="00000056">
            <w:pPr>
              <w:spacing w:line="360" w:lineRule="auto"/>
              <w:jc w:val="both"/>
              <w:rPr/>
            </w:pPr>
            <w:r w:rsidDel="00000000" w:rsidR="00000000" w:rsidRPr="00000000">
              <w:rPr>
                <w:rtl w:val="0"/>
              </w:rPr>
              <w:t xml:space="preserve">Defensive, hierarchical culture; fear of blame; lack of compassion toward families raising concerns</w:t>
            </w:r>
          </w:p>
        </w:tc>
      </w:tr>
    </w:tbl>
    <w:p w:rsidR="00000000" w:rsidDel="00000000" w:rsidP="00000000" w:rsidRDefault="00000000" w:rsidRPr="00000000" w14:paraId="00000057">
      <w:pPr>
        <w:spacing w:after="200" w:line="360" w:lineRule="auto"/>
        <w:jc w:val="center"/>
        <w:rPr>
          <w:b w:val="1"/>
          <w:bCs w:val="1"/>
        </w:rPr>
      </w:pPr>
      <w:r w:rsidDel="00000000" w:rsidR="00000000" w:rsidRPr="00000000">
        <w:rPr>
          <w:b w:val="1"/>
          <w:bCs w:val="1"/>
          <w:rtl w:val="0"/>
        </w:rPr>
        <w:t xml:space="preserve">Table 1: Fishbone (Ishikawa) analysis of organisational causes underlying the SaTH maternity scandal</w:t>
      </w:r>
    </w:p>
    <w:p w:rsidR="00000000" w:rsidDel="00000000" w:rsidP="00000000" w:rsidRDefault="00000000" w:rsidRPr="00000000" w14:paraId="00000058">
      <w:pPr>
        <w:spacing w:after="200" w:line="360" w:lineRule="auto"/>
        <w:jc w:val="center"/>
        <w:rPr>
          <w:shd w:fill="ff9900" w:val="clear"/>
        </w:rPr>
      </w:pPr>
      <w:r w:rsidDel="00000000" w:rsidR="00000000" w:rsidRPr="00000000">
        <w:rPr>
          <w:rtl w:val="0"/>
        </w:rPr>
        <w:t xml:space="preserve">Source: (Self-Created)</w:t>
      </w:r>
      <w:r w:rsidDel="00000000" w:rsidR="00000000" w:rsidRPr="00000000">
        <w:rPr>
          <w:rtl w:val="0"/>
        </w:rPr>
      </w:r>
    </w:p>
    <w:p w:rsidR="00000000" w:rsidDel="00000000" w:rsidP="00000000" w:rsidRDefault="00000000" w:rsidRPr="00000000" w14:paraId="00000059">
      <w:pPr>
        <w:pStyle w:val="Heading2"/>
        <w:rPr>
          <w:rFonts w:ascii="Arial" w:cs="Arial" w:eastAsia="Arial" w:hAnsi="Arial"/>
          <w:sz w:val="22"/>
          <w:szCs w:val="22"/>
        </w:rPr>
      </w:pPr>
      <w:bookmarkStart w:colFirst="0" w:colLast="0" w:name="_v5q8s9tnenvs" w:id="7"/>
      <w:bookmarkEnd w:id="7"/>
      <w:r w:rsidDel="00000000" w:rsidR="00000000" w:rsidRPr="00000000">
        <w:rPr>
          <w:rFonts w:ascii="Arial" w:cs="Arial" w:eastAsia="Arial" w:hAnsi="Arial"/>
          <w:sz w:val="22"/>
          <w:szCs w:val="22"/>
          <w:rtl w:val="0"/>
        </w:rPr>
        <w:t xml:space="preserve">2.3 The Donabedian Framework: Structure, Process and Outcome</w:t>
      </w:r>
    </w:p>
    <w:p w:rsidR="00000000" w:rsidDel="00000000" w:rsidP="00000000" w:rsidRDefault="00000000" w:rsidRPr="00000000" w14:paraId="0000005A">
      <w:pPr>
        <w:spacing w:after="200" w:line="360" w:lineRule="auto"/>
        <w:jc w:val="both"/>
        <w:rPr/>
      </w:pPr>
      <w:r w:rsidDel="00000000" w:rsidR="00000000" w:rsidRPr="00000000">
        <w:rPr>
          <w:rtl w:val="0"/>
        </w:rPr>
        <w:t xml:space="preserve">Another lens through which the Donabedian Framework can be used to understand the SaTH failures is through the three interrelated dimensions of structure (physical and organizational resources available), process (the activities involved in delivering care), and outcome (the resulting effects on patient health) (Rosis, 2023). This example illustrates how gaps at the structural level magnified at the process level and led to adverse outcomes. SaTH was structurally understaffed, lacked the presence of sufficient consultants on labour wards, and failed to invest in the development of training infrastructures. Multidisciplinary teamwork was suboptimal, particularly within obstetric and midwifery teams where there was a divide between physiological and medicalized approaches to birth and giving birth (Rosis, 2023). </w:t>
      </w:r>
    </w:p>
    <w:p w:rsidR="00000000" w:rsidDel="00000000" w:rsidP="00000000" w:rsidRDefault="00000000" w:rsidRPr="00000000" w14:paraId="0000005B">
      <w:pPr>
        <w:spacing w:after="200" w:line="360" w:lineRule="auto"/>
        <w:jc w:val="center"/>
        <w:rPr>
          <w:b w:val="1"/>
          <w:bCs w:val="1"/>
        </w:rPr>
      </w:pPr>
      <w:r w:rsidDel="00000000" w:rsidR="00000000" w:rsidRPr="00000000">
        <w:rPr>
          <w:b w:val="1"/>
          <w:bCs w:val="1"/>
        </w:rPr>
        <w:drawing>
          <wp:inline distB="114300" distT="114300" distL="114300" distR="114300">
            <wp:extent cx="5715000" cy="3246120"/>
            <wp:effectExtent b="38100" l="38100" r="38100" t="3810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715000" cy="324612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C">
      <w:pPr>
        <w:spacing w:after="200" w:line="360" w:lineRule="auto"/>
        <w:jc w:val="center"/>
        <w:rPr>
          <w:b w:val="1"/>
          <w:bCs w:val="1"/>
        </w:rPr>
      </w:pPr>
      <w:r w:rsidDel="00000000" w:rsidR="00000000" w:rsidRPr="00000000">
        <w:rPr>
          <w:b w:val="1"/>
          <w:bCs w:val="1"/>
          <w:rtl w:val="0"/>
        </w:rPr>
        <w:t xml:space="preserve">Figure 7: Donabedian Framework</w:t>
      </w:r>
    </w:p>
    <w:p w:rsidR="00000000" w:rsidDel="00000000" w:rsidP="00000000" w:rsidRDefault="00000000" w:rsidRPr="00000000" w14:paraId="0000005D">
      <w:pPr>
        <w:spacing w:after="200" w:line="360" w:lineRule="auto"/>
        <w:jc w:val="center"/>
        <w:rPr/>
      </w:pPr>
      <w:r w:rsidDel="00000000" w:rsidR="00000000" w:rsidRPr="00000000">
        <w:rPr>
          <w:rtl w:val="0"/>
        </w:rPr>
        <w:t xml:space="preserve">Source: (Tossaint-Schoenmakers et al., 2021) </w:t>
      </w:r>
    </w:p>
    <w:p w:rsidR="00000000" w:rsidDel="00000000" w:rsidP="00000000" w:rsidRDefault="00000000" w:rsidRPr="00000000" w14:paraId="0000005E">
      <w:pPr>
        <w:spacing w:after="200" w:line="360" w:lineRule="auto"/>
        <w:jc w:val="both"/>
        <w:rPr/>
      </w:pPr>
      <w:r w:rsidDel="00000000" w:rsidR="00000000" w:rsidRPr="00000000">
        <w:rPr>
          <w:rtl w:val="0"/>
        </w:rPr>
        <w:t xml:space="preserve">The consequences of these were disastrous: neonatal deaths that could have been avoided; a number of maternal deaths; and lifelong disability, for example, cerebral palsy resulting from intrapartum hypoxia. The Donabedian model compels organizations to consider quality in a broader context than just adverse events; therefore, they need to address any structural and process issues that could lead to adverse events before they occur in order to improve quality sustainably. Table 2 is the application of the Donabedian Framework directly to the SaTH case in terms of deficits in structure and processes that led to reported outcomes.</w:t>
      </w:r>
    </w:p>
    <w:tbl>
      <w:tblPr>
        <w:tblStyle w:val="Table2"/>
        <w:tblW w:w="936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600"/>
      </w:tblPr>
      <w:tblGrid>
        <w:gridCol w:w="2190"/>
        <w:gridCol w:w="7170"/>
        <w:tblGridChange w:id="0">
          <w:tblGrid>
            <w:gridCol w:w="2190"/>
            <w:gridCol w:w="7170"/>
          </w:tblGrid>
        </w:tblGridChange>
      </w:tblGrid>
      <w:tr>
        <w:trPr>
          <w:cantSplit w:val="0"/>
          <w:trHeight w:val="450" w:hRule="atLeast"/>
          <w:tblHeader w:val="0"/>
        </w:trPr>
        <w:tc>
          <w:tcPr/>
          <w:p w:rsidR="00000000" w:rsidDel="00000000" w:rsidP="00000000" w:rsidRDefault="00000000" w:rsidRPr="00000000" w14:paraId="0000005F">
            <w:pPr>
              <w:spacing w:line="360" w:lineRule="auto"/>
              <w:jc w:val="center"/>
              <w:rPr>
                <w:b w:val="1"/>
                <w:bCs w:val="1"/>
                <w:u w:val="single"/>
              </w:rPr>
            </w:pPr>
            <w:r w:rsidDel="00000000" w:rsidR="00000000" w:rsidRPr="00000000">
              <w:rPr>
                <w:b w:val="1"/>
                <w:bCs w:val="1"/>
                <w:u w:val="single"/>
                <w:rtl w:val="0"/>
              </w:rPr>
              <w:t xml:space="preserve">Donabedian Dimension</w:t>
            </w:r>
          </w:p>
        </w:tc>
        <w:tc>
          <w:tcPr/>
          <w:p w:rsidR="00000000" w:rsidDel="00000000" w:rsidP="00000000" w:rsidRDefault="00000000" w:rsidRPr="00000000" w14:paraId="00000060">
            <w:pPr>
              <w:spacing w:line="360" w:lineRule="auto"/>
              <w:jc w:val="center"/>
              <w:rPr>
                <w:b w:val="1"/>
                <w:bCs w:val="1"/>
                <w:u w:val="single"/>
              </w:rPr>
            </w:pPr>
            <w:r w:rsidDel="00000000" w:rsidR="00000000" w:rsidRPr="00000000">
              <w:rPr>
                <w:b w:val="1"/>
                <w:bCs w:val="1"/>
                <w:u w:val="single"/>
                <w:rtl w:val="0"/>
              </w:rPr>
              <w:t xml:space="preserve">Application to SaTH</w:t>
            </w:r>
          </w:p>
        </w:tc>
      </w:tr>
      <w:tr>
        <w:trPr>
          <w:cantSplit w:val="0"/>
          <w:trHeight w:val="930" w:hRule="atLeast"/>
          <w:tblHeader w:val="0"/>
        </w:trPr>
        <w:tc>
          <w:tcPr/>
          <w:p w:rsidR="00000000" w:rsidDel="00000000" w:rsidP="00000000" w:rsidRDefault="00000000" w:rsidRPr="00000000" w14:paraId="00000061">
            <w:pPr>
              <w:spacing w:line="360" w:lineRule="auto"/>
              <w:jc w:val="center"/>
              <w:rPr>
                <w:b w:val="1"/>
                <w:bCs w:val="1"/>
              </w:rPr>
            </w:pPr>
            <w:r w:rsidDel="00000000" w:rsidR="00000000" w:rsidRPr="00000000">
              <w:rPr>
                <w:b w:val="1"/>
                <w:bCs w:val="1"/>
                <w:rtl w:val="0"/>
              </w:rPr>
              <w:t xml:space="preserve">Structure</w:t>
            </w:r>
          </w:p>
        </w:tc>
        <w:tc>
          <w:tcPr/>
          <w:p w:rsidR="00000000" w:rsidDel="00000000" w:rsidP="00000000" w:rsidRDefault="00000000" w:rsidRPr="00000000" w14:paraId="00000062">
            <w:pPr>
              <w:spacing w:line="360" w:lineRule="auto"/>
              <w:jc w:val="both"/>
              <w:rPr/>
            </w:pPr>
            <w:r w:rsidDel="00000000" w:rsidR="00000000" w:rsidRPr="00000000">
              <w:rPr>
                <w:rtl w:val="0"/>
              </w:rPr>
              <w:t xml:space="preserve">Understaffed labour wards; insufficient consultant obstetric presence; underinvestment in training infrastructure</w:t>
            </w:r>
          </w:p>
        </w:tc>
      </w:tr>
      <w:tr>
        <w:trPr>
          <w:cantSplit w:val="0"/>
          <w:trHeight w:val="930" w:hRule="atLeast"/>
          <w:tblHeader w:val="0"/>
        </w:trPr>
        <w:tc>
          <w:tcPr/>
          <w:p w:rsidR="00000000" w:rsidDel="00000000" w:rsidP="00000000" w:rsidRDefault="00000000" w:rsidRPr="00000000" w14:paraId="00000063">
            <w:pPr>
              <w:spacing w:line="360" w:lineRule="auto"/>
              <w:jc w:val="center"/>
              <w:rPr>
                <w:b w:val="1"/>
                <w:bCs w:val="1"/>
              </w:rPr>
            </w:pPr>
            <w:r w:rsidDel="00000000" w:rsidR="00000000" w:rsidRPr="00000000">
              <w:rPr>
                <w:b w:val="1"/>
                <w:bCs w:val="1"/>
                <w:rtl w:val="0"/>
              </w:rPr>
              <w:t xml:space="preserve">Process</w:t>
            </w:r>
          </w:p>
        </w:tc>
        <w:tc>
          <w:tcPr/>
          <w:p w:rsidR="00000000" w:rsidDel="00000000" w:rsidP="00000000" w:rsidRDefault="00000000" w:rsidRPr="00000000" w14:paraId="00000064">
            <w:pPr>
              <w:spacing w:line="360" w:lineRule="auto"/>
              <w:jc w:val="both"/>
              <w:rPr/>
            </w:pPr>
            <w:r w:rsidDel="00000000" w:rsidR="00000000" w:rsidRPr="00000000">
              <w:rPr>
                <w:rtl w:val="0"/>
              </w:rPr>
              <w:t xml:space="preserve">Incomplete risk assessments; inconsistent escalation pathways; poor multidisciplinary team working between obstetric and midwifery staff</w:t>
            </w:r>
          </w:p>
        </w:tc>
      </w:tr>
      <w:tr>
        <w:trPr>
          <w:cantSplit w:val="0"/>
          <w:trHeight w:val="930" w:hRule="atLeast"/>
          <w:tblHeader w:val="0"/>
        </w:trPr>
        <w:tc>
          <w:tcPr/>
          <w:p w:rsidR="00000000" w:rsidDel="00000000" w:rsidP="00000000" w:rsidRDefault="00000000" w:rsidRPr="00000000" w14:paraId="00000065">
            <w:pPr>
              <w:spacing w:line="360" w:lineRule="auto"/>
              <w:jc w:val="center"/>
              <w:rPr>
                <w:b w:val="1"/>
                <w:bCs w:val="1"/>
              </w:rPr>
            </w:pPr>
            <w:r w:rsidDel="00000000" w:rsidR="00000000" w:rsidRPr="00000000">
              <w:rPr>
                <w:b w:val="1"/>
                <w:bCs w:val="1"/>
                <w:rtl w:val="0"/>
              </w:rPr>
              <w:t xml:space="preserve">Outcome</w:t>
            </w:r>
          </w:p>
        </w:tc>
        <w:tc>
          <w:tcPr/>
          <w:p w:rsidR="00000000" w:rsidDel="00000000" w:rsidP="00000000" w:rsidRDefault="00000000" w:rsidRPr="00000000" w14:paraId="00000066">
            <w:pPr>
              <w:spacing w:line="360" w:lineRule="auto"/>
              <w:jc w:val="both"/>
              <w:rPr/>
            </w:pPr>
            <w:r w:rsidDel="00000000" w:rsidR="00000000" w:rsidRPr="00000000">
              <w:rPr>
                <w:rtl w:val="0"/>
              </w:rPr>
              <w:t xml:space="preserve">Avoidable neonatal and maternal deaths; severe brain injury; lifelong disability (e.g., cerebral palsy from intrapartum hypoxia)</w:t>
            </w:r>
          </w:p>
        </w:tc>
      </w:tr>
    </w:tbl>
    <w:p w:rsidR="00000000" w:rsidDel="00000000" w:rsidP="00000000" w:rsidRDefault="00000000" w:rsidRPr="00000000" w14:paraId="00000067">
      <w:pPr>
        <w:spacing w:after="200" w:line="360" w:lineRule="auto"/>
        <w:jc w:val="center"/>
        <w:rPr>
          <w:b w:val="1"/>
          <w:bCs w:val="1"/>
        </w:rPr>
      </w:pPr>
      <w:r w:rsidDel="00000000" w:rsidR="00000000" w:rsidRPr="00000000">
        <w:rPr>
          <w:b w:val="1"/>
          <w:bCs w:val="1"/>
          <w:rtl w:val="0"/>
        </w:rPr>
        <w:t xml:space="preserve">Table 2: Donabedian structure-process-outcome analysis applied to the SaTH maternity scandal</w:t>
      </w:r>
    </w:p>
    <w:p w:rsidR="00000000" w:rsidDel="00000000" w:rsidP="00000000" w:rsidRDefault="00000000" w:rsidRPr="00000000" w14:paraId="00000068">
      <w:pPr>
        <w:spacing w:after="200" w:line="360" w:lineRule="auto"/>
        <w:jc w:val="center"/>
        <w:rPr/>
      </w:pPr>
      <w:r w:rsidDel="00000000" w:rsidR="00000000" w:rsidRPr="00000000">
        <w:rPr>
          <w:rtl w:val="0"/>
        </w:rPr>
        <w:t xml:space="preserve">Source: (Self-Created)</w:t>
      </w:r>
    </w:p>
    <w:p w:rsidR="00000000" w:rsidDel="00000000" w:rsidP="00000000" w:rsidRDefault="00000000" w:rsidRPr="00000000" w14:paraId="00000069">
      <w:pPr>
        <w:pStyle w:val="Heading2"/>
        <w:rPr>
          <w:rFonts w:ascii="Arial" w:cs="Arial" w:eastAsia="Arial" w:hAnsi="Arial"/>
          <w:sz w:val="22"/>
          <w:szCs w:val="22"/>
        </w:rPr>
      </w:pPr>
      <w:bookmarkStart w:colFirst="0" w:colLast="0" w:name="_uauqvuxcd9k0" w:id="8"/>
      <w:bookmarkEnd w:id="8"/>
      <w:r w:rsidDel="00000000" w:rsidR="00000000" w:rsidRPr="00000000">
        <w:rPr>
          <w:rFonts w:ascii="Arial" w:cs="Arial" w:eastAsia="Arial" w:hAnsi="Arial"/>
          <w:sz w:val="22"/>
          <w:szCs w:val="22"/>
          <w:rtl w:val="0"/>
        </w:rPr>
        <w:t xml:space="preserve">2.4 SWOT Analysis</w:t>
      </w:r>
    </w:p>
    <w:tbl>
      <w:tblPr>
        <w:tblStyle w:val="Table3"/>
        <w:tblW w:w="92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445"/>
        <w:gridCol w:w="4790"/>
        <w:tblGridChange w:id="0">
          <w:tblGrid>
            <w:gridCol w:w="4445"/>
            <w:gridCol w:w="4790"/>
          </w:tblGrid>
        </w:tblGridChange>
      </w:tblGrid>
      <w:tr>
        <w:trPr>
          <w:cantSplit w:val="0"/>
          <w:trHeight w:val="500" w:hRule="atLeast"/>
          <w:tblHeader w:val="0"/>
        </w:trPr>
        <w:tc>
          <w:tcPr/>
          <w:p w:rsidR="00000000" w:rsidDel="00000000" w:rsidP="00000000" w:rsidRDefault="00000000" w:rsidRPr="00000000" w14:paraId="0000006A">
            <w:pPr>
              <w:spacing w:line="360" w:lineRule="auto"/>
              <w:jc w:val="center"/>
              <w:rPr>
                <w:u w:val="single"/>
              </w:rPr>
            </w:pPr>
            <w:r w:rsidDel="00000000" w:rsidR="00000000" w:rsidRPr="00000000">
              <w:rPr>
                <w:b w:val="1"/>
                <w:bCs w:val="1"/>
                <w:u w:val="single"/>
                <w:rtl w:val="0"/>
              </w:rPr>
              <w:t xml:space="preserve">Strengths</w:t>
            </w:r>
            <w:r w:rsidDel="00000000" w:rsidR="00000000" w:rsidRPr="00000000">
              <w:rPr>
                <w:rtl w:val="0"/>
              </w:rPr>
            </w:r>
          </w:p>
        </w:tc>
        <w:tc>
          <w:tcPr/>
          <w:p w:rsidR="00000000" w:rsidDel="00000000" w:rsidP="00000000" w:rsidRDefault="00000000" w:rsidRPr="00000000" w14:paraId="0000006B">
            <w:pPr>
              <w:spacing w:line="360" w:lineRule="auto"/>
              <w:jc w:val="center"/>
              <w:rPr>
                <w:u w:val="single"/>
              </w:rPr>
            </w:pPr>
            <w:r w:rsidDel="00000000" w:rsidR="00000000" w:rsidRPr="00000000">
              <w:rPr>
                <w:b w:val="1"/>
                <w:bCs w:val="1"/>
                <w:u w:val="single"/>
                <w:rtl w:val="0"/>
              </w:rPr>
              <w:t xml:space="preserve">Weaknesses</w:t>
            </w:r>
            <w:r w:rsidDel="00000000" w:rsidR="00000000" w:rsidRPr="00000000">
              <w:rPr>
                <w:rtl w:val="0"/>
              </w:rPr>
            </w:r>
          </w:p>
        </w:tc>
      </w:tr>
      <w:tr>
        <w:trPr>
          <w:cantSplit w:val="0"/>
          <w:trHeight w:val="1340" w:hRule="atLeast"/>
          <w:tblHeader w:val="0"/>
        </w:trPr>
        <w:tc>
          <w:tcPr/>
          <w:p w:rsidR="00000000" w:rsidDel="00000000" w:rsidP="00000000" w:rsidRDefault="00000000" w:rsidRPr="00000000" w14:paraId="0000006C">
            <w:pPr>
              <w:spacing w:line="360" w:lineRule="auto"/>
              <w:jc w:val="both"/>
              <w:rPr/>
            </w:pPr>
            <w:r w:rsidDel="00000000" w:rsidR="00000000" w:rsidRPr="00000000">
              <w:rPr>
                <w:rtl w:val="0"/>
              </w:rPr>
              <w:t xml:space="preserve">Independent Ockenden Review (2022) led to the development of 15 national Immediate and Essential Actions; eventual system-wide scrutiny and learning platform.</w:t>
            </w:r>
          </w:p>
        </w:tc>
        <w:tc>
          <w:tcPr/>
          <w:p w:rsidR="00000000" w:rsidDel="00000000" w:rsidP="00000000" w:rsidRDefault="00000000" w:rsidRPr="00000000" w14:paraId="0000006D">
            <w:pPr>
              <w:spacing w:line="360" w:lineRule="auto"/>
              <w:jc w:val="both"/>
              <w:rPr/>
            </w:pPr>
            <w:r w:rsidDel="00000000" w:rsidR="00000000" w:rsidRPr="00000000">
              <w:rPr>
                <w:rtl w:val="0"/>
              </w:rPr>
              <w:t xml:space="preserve">Chronic under-staffing, weak governance, defensive culture, inconsistent guidelines, and poor escalation and silencing of issues for 20 years (Ockenden 2022).</w:t>
            </w:r>
          </w:p>
        </w:tc>
      </w:tr>
      <w:tr>
        <w:trPr>
          <w:cantSplit w:val="0"/>
          <w:trHeight w:val="240" w:hRule="atLeast"/>
          <w:tblHeader w:val="0"/>
        </w:trPr>
        <w:tc>
          <w:tcPr/>
          <w:p w:rsidR="00000000" w:rsidDel="00000000" w:rsidP="00000000" w:rsidRDefault="00000000" w:rsidRPr="00000000" w14:paraId="0000006E">
            <w:pPr>
              <w:spacing w:line="360" w:lineRule="auto"/>
              <w:jc w:val="center"/>
              <w:rPr>
                <w:u w:val="single"/>
              </w:rPr>
            </w:pPr>
            <w:r w:rsidDel="00000000" w:rsidR="00000000" w:rsidRPr="00000000">
              <w:rPr>
                <w:b w:val="1"/>
                <w:bCs w:val="1"/>
                <w:u w:val="single"/>
                <w:rtl w:val="0"/>
              </w:rPr>
              <w:t xml:space="preserve">Opportunities </w:t>
            </w:r>
            <w:r w:rsidDel="00000000" w:rsidR="00000000" w:rsidRPr="00000000">
              <w:rPr>
                <w:rtl w:val="0"/>
              </w:rPr>
            </w:r>
          </w:p>
        </w:tc>
        <w:tc>
          <w:tcPr/>
          <w:p w:rsidR="00000000" w:rsidDel="00000000" w:rsidP="00000000" w:rsidRDefault="00000000" w:rsidRPr="00000000" w14:paraId="0000006F">
            <w:pPr>
              <w:spacing w:line="360" w:lineRule="auto"/>
              <w:jc w:val="center"/>
              <w:rPr>
                <w:u w:val="single"/>
              </w:rPr>
            </w:pPr>
            <w:r w:rsidDel="00000000" w:rsidR="00000000" w:rsidRPr="00000000">
              <w:rPr>
                <w:b w:val="1"/>
                <w:bCs w:val="1"/>
                <w:u w:val="single"/>
                <w:rtl w:val="0"/>
              </w:rPr>
              <w:t xml:space="preserve">Threats </w:t>
            </w:r>
            <w:r w:rsidDel="00000000" w:rsidR="00000000" w:rsidRPr="00000000">
              <w:rPr>
                <w:rtl w:val="0"/>
              </w:rPr>
            </w:r>
          </w:p>
        </w:tc>
      </w:tr>
      <w:tr>
        <w:trPr>
          <w:cantSplit w:val="0"/>
          <w:trHeight w:val="2232" w:hRule="atLeast"/>
          <w:tblHeader w:val="0"/>
        </w:trPr>
        <w:tc>
          <w:tcPr/>
          <w:p w:rsidR="00000000" w:rsidDel="00000000" w:rsidP="00000000" w:rsidRDefault="00000000" w:rsidRPr="00000000" w14:paraId="00000070">
            <w:pPr>
              <w:spacing w:line="360" w:lineRule="auto"/>
              <w:jc w:val="both"/>
              <w:rPr>
                <w:b w:val="1"/>
                <w:bCs w:val="1"/>
              </w:rPr>
            </w:pPr>
            <w:r w:rsidDel="00000000" w:rsidR="00000000" w:rsidRPr="00000000">
              <w:rPr>
                <w:rtl w:val="0"/>
              </w:rPr>
              <w:t xml:space="preserve">National implementation of Ockenden actions; workforce investment; PDSA/Lean tools; increased psychological safety focus (Tay, Joham &amp; Teede, 2025).</w:t>
            </w:r>
            <w:r w:rsidDel="00000000" w:rsidR="00000000" w:rsidRPr="00000000">
              <w:rPr>
                <w:rtl w:val="0"/>
              </w:rPr>
            </w:r>
          </w:p>
        </w:tc>
        <w:tc>
          <w:tcPr/>
          <w:p w:rsidR="00000000" w:rsidDel="00000000" w:rsidP="00000000" w:rsidRDefault="00000000" w:rsidRPr="00000000" w14:paraId="00000071">
            <w:pPr>
              <w:spacing w:line="360" w:lineRule="auto"/>
              <w:jc w:val="both"/>
              <w:rPr>
                <w:b w:val="1"/>
                <w:bCs w:val="1"/>
              </w:rPr>
            </w:pPr>
            <w:r w:rsidDel="00000000" w:rsidR="00000000" w:rsidRPr="00000000">
              <w:rPr>
                <w:rtl w:val="0"/>
              </w:rPr>
              <w:t xml:space="preserve">Inherent problems in the NHS workforce shortage; risk of partial or partial/unintentional implementation (Habib et al., 2023); maternal/perinatal inequalities; reputational damage.</w:t>
            </w:r>
            <w:r w:rsidDel="00000000" w:rsidR="00000000" w:rsidRPr="00000000">
              <w:rPr>
                <w:rtl w:val="0"/>
              </w:rPr>
            </w:r>
          </w:p>
        </w:tc>
      </w:tr>
    </w:tbl>
    <w:p w:rsidR="00000000" w:rsidDel="00000000" w:rsidP="00000000" w:rsidRDefault="00000000" w:rsidRPr="00000000" w14:paraId="00000072">
      <w:pPr>
        <w:spacing w:after="200" w:line="360" w:lineRule="auto"/>
        <w:jc w:val="center"/>
        <w:rPr>
          <w:b w:val="1"/>
          <w:bCs w:val="1"/>
        </w:rPr>
      </w:pPr>
      <w:r w:rsidDel="00000000" w:rsidR="00000000" w:rsidRPr="00000000">
        <w:rPr>
          <w:b w:val="1"/>
          <w:bCs w:val="1"/>
          <w:rtl w:val="0"/>
        </w:rPr>
        <w:t xml:space="preserve">Table 3: SWOT Analysis</w:t>
      </w:r>
    </w:p>
    <w:p w:rsidR="00000000" w:rsidDel="00000000" w:rsidP="00000000" w:rsidRDefault="00000000" w:rsidRPr="00000000" w14:paraId="00000073">
      <w:pPr>
        <w:spacing w:after="200" w:line="360" w:lineRule="auto"/>
        <w:jc w:val="center"/>
        <w:rPr/>
      </w:pPr>
      <w:r w:rsidDel="00000000" w:rsidR="00000000" w:rsidRPr="00000000">
        <w:rPr>
          <w:rtl w:val="0"/>
        </w:rPr>
        <w:t xml:space="preserve">Source: (Self-Created)</w:t>
      </w:r>
    </w:p>
    <w:p w:rsidR="00000000" w:rsidDel="00000000" w:rsidP="00000000" w:rsidRDefault="00000000" w:rsidRPr="00000000" w14:paraId="00000074">
      <w:pPr>
        <w:pStyle w:val="Heading2"/>
        <w:rPr>
          <w:rFonts w:ascii="Arial" w:cs="Arial" w:eastAsia="Arial" w:hAnsi="Arial"/>
          <w:sz w:val="22"/>
          <w:szCs w:val="22"/>
        </w:rPr>
      </w:pPr>
      <w:bookmarkStart w:colFirst="0" w:colLast="0" w:name="_4hzxz651xnyw" w:id="9"/>
      <w:bookmarkEnd w:id="9"/>
      <w:r w:rsidDel="00000000" w:rsidR="00000000" w:rsidRPr="00000000">
        <w:rPr>
          <w:rFonts w:ascii="Arial" w:cs="Arial" w:eastAsia="Arial" w:hAnsi="Arial"/>
          <w:sz w:val="22"/>
          <w:szCs w:val="22"/>
          <w:rtl w:val="0"/>
        </w:rPr>
        <w:t xml:space="preserve">2.5 Clinical Governance Failures and Consequences</w:t>
      </w:r>
    </w:p>
    <w:p w:rsidR="00000000" w:rsidDel="00000000" w:rsidP="00000000" w:rsidRDefault="00000000" w:rsidRPr="00000000" w14:paraId="00000075">
      <w:pPr>
        <w:spacing w:after="200" w:line="360" w:lineRule="auto"/>
        <w:jc w:val="both"/>
        <w:rPr/>
      </w:pPr>
      <w:r w:rsidDel="00000000" w:rsidR="00000000" w:rsidRPr="00000000">
        <w:rPr>
          <w:rtl w:val="0"/>
        </w:rPr>
        <w:t xml:space="preserve">In the NHS, clinical governance ensures an NHS organization takes responsibility for continually improving quality of care by implementing seven interlinked pillars: patient involvement, clinical audit, risk management, staffing, education, clinical effectiveness, and the use of information (Tay, Joham and Teede, 2025; Timothy, Lloyd and Bradshaw, 2025). Within SaTH, the Ockenden Report noted that there were systemic failings for nearly all pillars, such as not elevating risk patterns, separating audits from practice change, and only engaging with family involvement when external pressure was being applied (Ockenden, 2022). The lack of training and psychologizing of the professionals affected their ability to identify and respond to potential risks as they arose.</w:t>
      </w:r>
    </w:p>
    <w:p w:rsidR="00000000" w:rsidDel="00000000" w:rsidP="00000000" w:rsidRDefault="00000000" w:rsidRPr="00000000" w14:paraId="00000076">
      <w:pPr>
        <w:spacing w:after="200" w:line="360" w:lineRule="auto"/>
        <w:jc w:val="center"/>
        <w:rPr>
          <w:b w:val="1"/>
          <w:bCs w:val="1"/>
        </w:rPr>
      </w:pPr>
      <w:r w:rsidDel="00000000" w:rsidR="00000000" w:rsidRPr="00000000">
        <w:rPr>
          <w:b w:val="1"/>
          <w:bCs w:val="1"/>
        </w:rPr>
        <w:drawing>
          <wp:inline distB="114300" distT="114300" distL="114300" distR="114300">
            <wp:extent cx="5646420" cy="3375660"/>
            <wp:effectExtent b="38100" l="38100" r="38100" t="3810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646420" cy="337566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7">
      <w:pPr>
        <w:spacing w:after="200" w:line="360" w:lineRule="auto"/>
        <w:jc w:val="center"/>
        <w:rPr>
          <w:b w:val="1"/>
          <w:bCs w:val="1"/>
        </w:rPr>
      </w:pPr>
      <w:r w:rsidDel="00000000" w:rsidR="00000000" w:rsidRPr="00000000">
        <w:rPr>
          <w:b w:val="1"/>
          <w:bCs w:val="1"/>
          <w:rtl w:val="0"/>
        </w:rPr>
        <w:t xml:space="preserve">Figure 7: Infant mortality rate in England and Wales remains stable</w:t>
      </w:r>
    </w:p>
    <w:p w:rsidR="00000000" w:rsidDel="00000000" w:rsidP="00000000" w:rsidRDefault="00000000" w:rsidRPr="00000000" w14:paraId="00000078">
      <w:pPr>
        <w:spacing w:after="200" w:line="360" w:lineRule="auto"/>
        <w:jc w:val="center"/>
        <w:rPr/>
      </w:pPr>
      <w:r w:rsidDel="00000000" w:rsidR="00000000" w:rsidRPr="00000000">
        <w:rPr>
          <w:rtl w:val="0"/>
        </w:rPr>
        <w:t xml:space="preserve">Source: (Ons.gov.uk, 2026) </w:t>
      </w:r>
    </w:p>
    <w:p w:rsidR="00000000" w:rsidDel="00000000" w:rsidP="00000000" w:rsidRDefault="00000000" w:rsidRPr="00000000" w14:paraId="00000079">
      <w:pPr>
        <w:spacing w:after="200" w:line="360" w:lineRule="auto"/>
        <w:jc w:val="both"/>
        <w:rPr/>
      </w:pPr>
      <w:r w:rsidDel="00000000" w:rsidR="00000000" w:rsidRPr="00000000">
        <w:rPr>
          <w:rtl w:val="0"/>
        </w:rPr>
        <w:t xml:space="preserve">These failures led to the deaths of more than 200 babies that could have been prevented and nine deaths and severe brain injury among mothers (Ockenden, 2022). In 2024, there were 3.9 stillbirths per 1000 children born in England and Wales (Ons.gov.uk, 2026). Unsafe care also resulted in a loss of public trust, psychological damage, and disproportionately impacted vulnerable groups (Habib et al., 2023; Yiğit and Unutkan, 2026).</w:t>
      </w:r>
    </w:p>
    <w:p w:rsidR="00000000" w:rsidDel="00000000" w:rsidP="00000000" w:rsidRDefault="00000000" w:rsidRPr="00000000" w14:paraId="0000007A">
      <w:pPr>
        <w:pStyle w:val="Heading1"/>
        <w:rPr>
          <w:b w:val="0"/>
          <w:bCs w:val="0"/>
          <w:sz w:val="22"/>
          <w:szCs w:val="22"/>
        </w:rPr>
      </w:pPr>
      <w:bookmarkStart w:colFirst="0" w:colLast="0" w:name="_da9kypjsvpag" w:id="10"/>
      <w:bookmarkEnd w:id="10"/>
      <w:r w:rsidDel="00000000" w:rsidR="00000000" w:rsidRPr="00000000">
        <w:rPr>
          <w:sz w:val="22"/>
          <w:szCs w:val="22"/>
          <w:rtl w:val="0"/>
        </w:rPr>
        <w:t xml:space="preserve">3. Recommendation</w:t>
      </w:r>
      <w:r w:rsidDel="00000000" w:rsidR="00000000" w:rsidRPr="00000000">
        <w:rPr>
          <w:rtl w:val="0"/>
        </w:rPr>
      </w:r>
    </w:p>
    <w:p w:rsidR="00000000" w:rsidDel="00000000" w:rsidP="00000000" w:rsidRDefault="00000000" w:rsidRPr="00000000" w14:paraId="0000007B">
      <w:pPr>
        <w:spacing w:after="200" w:line="360" w:lineRule="auto"/>
        <w:jc w:val="both"/>
        <w:rPr/>
      </w:pPr>
      <w:r w:rsidDel="00000000" w:rsidR="00000000" w:rsidRPr="00000000">
        <w:rPr>
          <w:rtl w:val="0"/>
        </w:rPr>
        <w:t xml:space="preserve">The size and scope of the quality failure that SaTH has identified need sustained action at a range of levels, not simply point solutions, to address the issue. The recommendations below are directly derived from the Fishbone and Donabedian analyses and SWOT analysis and are operationalized using two well-known quality-improvement tools: the Plan-Do-Study-Act (PDSA) cycle and the Lean methodology.</w:t>
      </w:r>
    </w:p>
    <w:p w:rsidR="00000000" w:rsidDel="00000000" w:rsidP="00000000" w:rsidRDefault="00000000" w:rsidRPr="00000000" w14:paraId="0000007C">
      <w:pPr>
        <w:numPr>
          <w:ilvl w:val="0"/>
          <w:numId w:val="4"/>
        </w:numPr>
        <w:spacing w:after="200" w:line="360" w:lineRule="auto"/>
        <w:ind w:left="720" w:hanging="360"/>
        <w:jc w:val="both"/>
        <w:rPr>
          <w:b w:val="1"/>
          <w:bCs w:val="1"/>
        </w:rPr>
      </w:pPr>
      <w:r w:rsidDel="00000000" w:rsidR="00000000" w:rsidRPr="00000000">
        <w:rPr>
          <w:b w:val="1"/>
          <w:bCs w:val="1"/>
          <w:rtl w:val="0"/>
        </w:rPr>
        <w:t xml:space="preserve">Workforce investment and safe staffing</w:t>
      </w:r>
    </w:p>
    <w:p w:rsidR="00000000" w:rsidDel="00000000" w:rsidP="00000000" w:rsidRDefault="00000000" w:rsidRPr="00000000" w14:paraId="0000007D">
      <w:pPr>
        <w:spacing w:after="200" w:line="360" w:lineRule="auto"/>
        <w:jc w:val="both"/>
        <w:rPr/>
      </w:pPr>
      <w:r w:rsidDel="00000000" w:rsidR="00000000" w:rsidRPr="00000000">
        <w:rPr>
          <w:rtl w:val="0"/>
        </w:rPr>
        <w:t xml:space="preserve">One major factor behind unsafe care was due to chronic shortages of midwives and consultants (Tamata and Mohammadnezhad, 2022). Safe staffing levels and the ability to work continuously and vigilantly 24/7 should therefore be high priority. Rostering and bank/locum processes should be mapped first and waste and unnecessary variation removed, as per Lean principles. A PDSA cycle can then be used to trial a dependency model of staffing in one labour ward. Plan the level of midwifery consultancy staff required, by level of dependency. Do a trial of the midwifery and obstetric consultant staffing model for 3 months with real-time acuity monitoring. Study – analyze the response time for staff, escalation, continuous CTG coverage, and staff well-being measurements; Act – adjust the model based on the analysis and then roll it out trust-wide. Success indicators: less escalation delay and less high-cost locum cover.</w:t>
      </w:r>
    </w:p>
    <w:p w:rsidR="00000000" w:rsidDel="00000000" w:rsidP="00000000" w:rsidRDefault="00000000" w:rsidRPr="00000000" w14:paraId="0000007E">
      <w:pPr>
        <w:numPr>
          <w:ilvl w:val="0"/>
          <w:numId w:val="5"/>
        </w:numPr>
        <w:spacing w:after="200" w:line="360" w:lineRule="auto"/>
        <w:ind w:left="720" w:hanging="360"/>
        <w:jc w:val="both"/>
        <w:rPr>
          <w:b w:val="1"/>
          <w:bCs w:val="1"/>
        </w:rPr>
      </w:pPr>
      <w:r w:rsidDel="00000000" w:rsidR="00000000" w:rsidRPr="00000000">
        <w:rPr>
          <w:b w:val="1"/>
          <w:bCs w:val="1"/>
          <w:rtl w:val="0"/>
        </w:rPr>
        <w:t xml:space="preserve">Open reporting culture and psychological safety</w:t>
      </w:r>
    </w:p>
    <w:p w:rsidR="00000000" w:rsidDel="00000000" w:rsidP="00000000" w:rsidRDefault="00000000" w:rsidRPr="00000000" w14:paraId="0000007F">
      <w:pPr>
        <w:spacing w:after="200" w:line="360" w:lineRule="auto"/>
        <w:jc w:val="both"/>
        <w:rPr/>
      </w:pPr>
      <w:r w:rsidDel="00000000" w:rsidR="00000000" w:rsidRPr="00000000">
        <w:rPr>
          <w:rtl w:val="0"/>
        </w:rPr>
        <w:t xml:space="preserve">A latent condition was a defensive culture that was voiced off for staff and families (Horwood et al., 2025). In order for concerns to be heard without punishment, psychological safety needs to be cultivated by the organization. Leadership is crucial in modelling behaviour. A PDSA is recommended: Plan a network of trained speaking-up champions and a confidential, non-punitive reporting pathway; Do a pilot over 1 quarter, collecting evidence of board-level responses to all complaints. Study the volume and nature of reports received, numbers of complaints resolved and staff survey scores of psychological safety; and Act by incorporating successful aspects into policy and board-level assurance processes. Real-time reporting trends can be presented on lean visual-management boards for transparency.</w:t>
      </w:r>
    </w:p>
    <w:p w:rsidR="00000000" w:rsidDel="00000000" w:rsidP="00000000" w:rsidRDefault="00000000" w:rsidRPr="00000000" w14:paraId="00000080">
      <w:pPr>
        <w:numPr>
          <w:ilvl w:val="0"/>
          <w:numId w:val="2"/>
        </w:numPr>
        <w:spacing w:after="200" w:line="360" w:lineRule="auto"/>
        <w:ind w:left="720" w:hanging="360"/>
        <w:jc w:val="both"/>
        <w:rPr>
          <w:b w:val="1"/>
          <w:bCs w:val="1"/>
        </w:rPr>
      </w:pPr>
      <w:r w:rsidDel="00000000" w:rsidR="00000000" w:rsidRPr="00000000">
        <w:rPr>
          <w:b w:val="1"/>
          <w:bCs w:val="1"/>
          <w:rtl w:val="0"/>
        </w:rPr>
        <w:t xml:space="preserve">Strengthened clinical governance and independent audit</w:t>
      </w:r>
    </w:p>
    <w:p w:rsidR="00000000" w:rsidDel="00000000" w:rsidP="00000000" w:rsidRDefault="00000000" w:rsidRPr="00000000" w14:paraId="00000081">
      <w:pPr>
        <w:spacing w:after="200" w:line="360" w:lineRule="auto"/>
        <w:jc w:val="both"/>
        <w:rPr/>
      </w:pPr>
      <w:r w:rsidDel="00000000" w:rsidR="00000000" w:rsidRPr="00000000">
        <w:rPr>
          <w:rtl w:val="0"/>
        </w:rPr>
        <w:t xml:space="preserve">However, there were failures in risk management in developing recurring patterns, audits were split, and family involvement was low (Tay, Joham and Teede, 2025; Ockenden, 2022). Governance structures need to be changed, therefore, to that end. Independent clinical audit templates, independent multidisciplinary incident review processes, and formal family co-production of investigation reports should be implemented. PDSA cycles can be used to develop and evaluate new national benchmarks for incident-grading and triangulation techniques. Deploying lean standard-work documentation will help close the gap within the measurements categorized on the fishbone, which can reduce confusion about how to classify and investigate serious incidents.</w:t>
      </w:r>
    </w:p>
    <w:p w:rsidR="00000000" w:rsidDel="00000000" w:rsidP="00000000" w:rsidRDefault="00000000" w:rsidRPr="00000000" w14:paraId="00000082">
      <w:pPr>
        <w:numPr>
          <w:ilvl w:val="0"/>
          <w:numId w:val="1"/>
        </w:numPr>
        <w:spacing w:after="200" w:line="360" w:lineRule="auto"/>
        <w:ind w:left="720" w:hanging="360"/>
        <w:jc w:val="both"/>
        <w:rPr>
          <w:b w:val="1"/>
          <w:bCs w:val="1"/>
        </w:rPr>
      </w:pPr>
      <w:r w:rsidDel="00000000" w:rsidR="00000000" w:rsidRPr="00000000">
        <w:rPr>
          <w:b w:val="1"/>
          <w:bCs w:val="1"/>
          <w:rtl w:val="0"/>
        </w:rPr>
        <w:t xml:space="preserve">Standardised multidisciplinary training in fetal monitoring and escalation</w:t>
      </w:r>
    </w:p>
    <w:p w:rsidR="00000000" w:rsidDel="00000000" w:rsidP="00000000" w:rsidRDefault="00000000" w:rsidRPr="00000000" w14:paraId="00000083">
      <w:pPr>
        <w:spacing w:after="200" w:line="360" w:lineRule="auto"/>
        <w:jc w:val="both"/>
        <w:rPr/>
      </w:pPr>
      <w:r w:rsidDel="00000000" w:rsidR="00000000" w:rsidRPr="00000000">
        <w:rPr>
          <w:rtl w:val="0"/>
        </w:rPr>
        <w:t xml:space="preserve">Over- or under-interpretation of CTG and guidelines for escalation were major factors in delayed recognition of fetal distress. This training requires multidisciplinary simulation training, refreshed regularly and mandatory. Lean process mapping can help shorten the training process and eliminate unnecessary steps. Before widespread adoption, the effects of each of the several simulated cohorts on recognition of abnormal trace and prompt escalation should be evaluated by the PDSA cycles.</w:t>
      </w:r>
    </w:p>
    <w:p w:rsidR="00000000" w:rsidDel="00000000" w:rsidP="00000000" w:rsidRDefault="00000000" w:rsidRPr="00000000" w14:paraId="00000084">
      <w:pPr>
        <w:numPr>
          <w:ilvl w:val="0"/>
          <w:numId w:val="3"/>
        </w:numPr>
        <w:spacing w:after="200" w:line="360" w:lineRule="auto"/>
        <w:ind w:left="720" w:hanging="360"/>
        <w:jc w:val="both"/>
        <w:rPr>
          <w:b w:val="1"/>
          <w:bCs w:val="1"/>
        </w:rPr>
      </w:pPr>
      <w:r w:rsidDel="00000000" w:rsidR="00000000" w:rsidRPr="00000000">
        <w:rPr>
          <w:b w:val="1"/>
          <w:bCs w:val="1"/>
          <w:rtl w:val="0"/>
        </w:rPr>
        <w:t xml:space="preserve">Full implementation of the Ockenden 15 Immediate and Essential Actions with continuous monitoring</w:t>
      </w:r>
    </w:p>
    <w:p w:rsidR="00000000" w:rsidDel="00000000" w:rsidP="00000000" w:rsidRDefault="00000000" w:rsidRPr="00000000" w14:paraId="00000085">
      <w:pPr>
        <w:spacing w:after="200" w:line="360" w:lineRule="auto"/>
        <w:jc w:val="both"/>
        <w:rPr/>
      </w:pPr>
      <w:r w:rsidDel="00000000" w:rsidR="00000000" w:rsidRPr="00000000">
        <w:rPr>
          <w:rtl w:val="0"/>
        </w:rPr>
        <w:t xml:space="preserve">The most coherent system-level response continues to be the national recommendations (Ockenden, 2022; Sabina De Rosis, 2023). Board-level ownership, as tied to the Donabedian structure-process-outcome model, is key. Regulators and commissioners need to be more able to identify poor performance over a sustained period sooner and not as a result of families campaigning that the whole situation has been identified and rectified. The use of structured approaches designed to improve quality, conducted as part of ongoing processes with programmed review cycles that use data to drive improvement, and bolstered by constant leadership buy-in, have proved to be effective at lowering institutional maternal mortality (Borem et al., 2025).</w:t>
      </w:r>
    </w:p>
    <w:tbl>
      <w:tblPr>
        <w:tblStyle w:val="Table4"/>
        <w:tblW w:w="936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600"/>
      </w:tblPr>
      <w:tblGrid>
        <w:gridCol w:w="1644"/>
        <w:gridCol w:w="1975"/>
        <w:gridCol w:w="1803"/>
        <w:gridCol w:w="2091"/>
        <w:gridCol w:w="1847"/>
        <w:tblGridChange w:id="0">
          <w:tblGrid>
            <w:gridCol w:w="1644"/>
            <w:gridCol w:w="1975"/>
            <w:gridCol w:w="1803"/>
            <w:gridCol w:w="2091"/>
            <w:gridCol w:w="1847"/>
          </w:tblGrid>
        </w:tblGridChange>
      </w:tblGrid>
      <w:tr>
        <w:trPr>
          <w:cantSplit w:val="0"/>
          <w:trHeight w:val="1055" w:hRule="atLeast"/>
          <w:tblHeader w:val="0"/>
        </w:trPr>
        <w:tc>
          <w:tcPr/>
          <w:p w:rsidR="00000000" w:rsidDel="00000000" w:rsidP="00000000" w:rsidRDefault="00000000" w:rsidRPr="00000000" w14:paraId="00000086">
            <w:pPr>
              <w:spacing w:after="200" w:line="360" w:lineRule="auto"/>
              <w:jc w:val="center"/>
              <w:rPr>
                <w:u w:val="single"/>
              </w:rPr>
            </w:pPr>
            <w:r w:rsidDel="00000000" w:rsidR="00000000" w:rsidRPr="00000000">
              <w:rPr>
                <w:b w:val="1"/>
                <w:bCs w:val="1"/>
                <w:u w:val="single"/>
                <w:rtl w:val="0"/>
              </w:rPr>
              <w:t xml:space="preserve">Priority Area</w:t>
            </w:r>
            <w:r w:rsidDel="00000000" w:rsidR="00000000" w:rsidRPr="00000000">
              <w:rPr>
                <w:rtl w:val="0"/>
              </w:rPr>
            </w:r>
          </w:p>
        </w:tc>
        <w:tc>
          <w:tcPr/>
          <w:p w:rsidR="00000000" w:rsidDel="00000000" w:rsidP="00000000" w:rsidRDefault="00000000" w:rsidRPr="00000000" w14:paraId="00000087">
            <w:pPr>
              <w:spacing w:after="200" w:line="360" w:lineRule="auto"/>
              <w:jc w:val="center"/>
              <w:rPr>
                <w:u w:val="single"/>
              </w:rPr>
            </w:pPr>
            <w:r w:rsidDel="00000000" w:rsidR="00000000" w:rsidRPr="00000000">
              <w:rPr>
                <w:b w:val="1"/>
                <w:bCs w:val="1"/>
                <w:u w:val="single"/>
                <w:rtl w:val="0"/>
              </w:rPr>
              <w:t xml:space="preserve">Root-cause link (Fishbone / Donabedian)</w:t>
            </w:r>
            <w:r w:rsidDel="00000000" w:rsidR="00000000" w:rsidRPr="00000000">
              <w:rPr>
                <w:rtl w:val="0"/>
              </w:rPr>
            </w:r>
          </w:p>
        </w:tc>
        <w:tc>
          <w:tcPr/>
          <w:p w:rsidR="00000000" w:rsidDel="00000000" w:rsidP="00000000" w:rsidRDefault="00000000" w:rsidRPr="00000000" w14:paraId="00000088">
            <w:pPr>
              <w:spacing w:after="200" w:line="360" w:lineRule="auto"/>
              <w:jc w:val="center"/>
              <w:rPr>
                <w:u w:val="single"/>
              </w:rPr>
            </w:pPr>
            <w:r w:rsidDel="00000000" w:rsidR="00000000" w:rsidRPr="00000000">
              <w:rPr>
                <w:b w:val="1"/>
                <w:bCs w:val="1"/>
                <w:u w:val="single"/>
                <w:rtl w:val="0"/>
              </w:rPr>
              <w:t xml:space="preserve">QI Tool Application</w:t>
            </w:r>
            <w:r w:rsidDel="00000000" w:rsidR="00000000" w:rsidRPr="00000000">
              <w:rPr>
                <w:rtl w:val="0"/>
              </w:rPr>
            </w:r>
          </w:p>
        </w:tc>
        <w:tc>
          <w:tcPr/>
          <w:p w:rsidR="00000000" w:rsidDel="00000000" w:rsidP="00000000" w:rsidRDefault="00000000" w:rsidRPr="00000000" w14:paraId="00000089">
            <w:pPr>
              <w:spacing w:after="200" w:line="360" w:lineRule="auto"/>
              <w:jc w:val="center"/>
              <w:rPr>
                <w:u w:val="single"/>
              </w:rPr>
            </w:pPr>
            <w:r w:rsidDel="00000000" w:rsidR="00000000" w:rsidRPr="00000000">
              <w:rPr>
                <w:b w:val="1"/>
                <w:bCs w:val="1"/>
                <w:u w:val="single"/>
                <w:rtl w:val="0"/>
              </w:rPr>
              <w:t xml:space="preserve">Key Practical Steps</w:t>
            </w:r>
            <w:r w:rsidDel="00000000" w:rsidR="00000000" w:rsidRPr="00000000">
              <w:rPr>
                <w:rtl w:val="0"/>
              </w:rPr>
            </w:r>
          </w:p>
        </w:tc>
        <w:tc>
          <w:tcPr/>
          <w:p w:rsidR="00000000" w:rsidDel="00000000" w:rsidP="00000000" w:rsidRDefault="00000000" w:rsidRPr="00000000" w14:paraId="0000008A">
            <w:pPr>
              <w:spacing w:after="200" w:line="360" w:lineRule="auto"/>
              <w:jc w:val="center"/>
              <w:rPr>
                <w:u w:val="single"/>
              </w:rPr>
            </w:pPr>
            <w:r w:rsidDel="00000000" w:rsidR="00000000" w:rsidRPr="00000000">
              <w:rPr>
                <w:b w:val="1"/>
                <w:bCs w:val="1"/>
                <w:u w:val="single"/>
                <w:rtl w:val="0"/>
              </w:rPr>
              <w:t xml:space="preserve">Expected Outcome</w:t>
            </w:r>
            <w:r w:rsidDel="00000000" w:rsidR="00000000" w:rsidRPr="00000000">
              <w:rPr>
                <w:rtl w:val="0"/>
              </w:rPr>
            </w:r>
          </w:p>
        </w:tc>
      </w:tr>
      <w:tr>
        <w:trPr>
          <w:cantSplit w:val="0"/>
          <w:trHeight w:val="1340" w:hRule="atLeast"/>
          <w:tblHeader w:val="0"/>
        </w:trPr>
        <w:tc>
          <w:tcPr/>
          <w:p w:rsidR="00000000" w:rsidDel="00000000" w:rsidP="00000000" w:rsidRDefault="00000000" w:rsidRPr="00000000" w14:paraId="0000008B">
            <w:pPr>
              <w:spacing w:after="200" w:line="360" w:lineRule="auto"/>
              <w:jc w:val="center"/>
              <w:rPr/>
            </w:pPr>
            <w:r w:rsidDel="00000000" w:rsidR="00000000" w:rsidRPr="00000000">
              <w:rPr>
                <w:rtl w:val="0"/>
              </w:rPr>
              <w:t xml:space="preserve">Safe staffing</w:t>
            </w:r>
          </w:p>
        </w:tc>
        <w:tc>
          <w:tcPr/>
          <w:p w:rsidR="00000000" w:rsidDel="00000000" w:rsidP="00000000" w:rsidRDefault="00000000" w:rsidRPr="00000000" w14:paraId="0000008C">
            <w:pPr>
              <w:spacing w:after="200" w:line="360" w:lineRule="auto"/>
              <w:jc w:val="center"/>
              <w:rPr/>
            </w:pPr>
            <w:r w:rsidDel="00000000" w:rsidR="00000000" w:rsidRPr="00000000">
              <w:rPr>
                <w:rtl w:val="0"/>
              </w:rPr>
              <w:t xml:space="preserve">People / Structure</w:t>
            </w:r>
          </w:p>
        </w:tc>
        <w:tc>
          <w:tcPr/>
          <w:p w:rsidR="00000000" w:rsidDel="00000000" w:rsidP="00000000" w:rsidRDefault="00000000" w:rsidRPr="00000000" w14:paraId="0000008D">
            <w:pPr>
              <w:spacing w:after="200" w:line="360" w:lineRule="auto"/>
              <w:jc w:val="center"/>
              <w:rPr/>
            </w:pPr>
            <w:r w:rsidDel="00000000" w:rsidR="00000000" w:rsidRPr="00000000">
              <w:rPr>
                <w:rtl w:val="0"/>
              </w:rPr>
              <w:t xml:space="preserve">Lean + PDSA</w:t>
            </w:r>
          </w:p>
        </w:tc>
        <w:tc>
          <w:tcPr/>
          <w:p w:rsidR="00000000" w:rsidDel="00000000" w:rsidP="00000000" w:rsidRDefault="00000000" w:rsidRPr="00000000" w14:paraId="0000008E">
            <w:pPr>
              <w:spacing w:after="200" w:line="360" w:lineRule="auto"/>
              <w:jc w:val="center"/>
              <w:rPr/>
            </w:pPr>
            <w:r w:rsidDel="00000000" w:rsidR="00000000" w:rsidRPr="00000000">
              <w:rPr>
                <w:rtl w:val="0"/>
              </w:rPr>
              <w:t xml:space="preserve">Map roster waste; pilot acuity-based ratios; study escalation times</w:t>
            </w:r>
          </w:p>
        </w:tc>
        <w:tc>
          <w:tcPr/>
          <w:p w:rsidR="00000000" w:rsidDel="00000000" w:rsidP="00000000" w:rsidRDefault="00000000" w:rsidRPr="00000000" w14:paraId="0000008F">
            <w:pPr>
              <w:spacing w:after="200" w:line="360" w:lineRule="auto"/>
              <w:jc w:val="center"/>
              <w:rPr/>
            </w:pPr>
            <w:r w:rsidDel="00000000" w:rsidR="00000000" w:rsidRPr="00000000">
              <w:rPr>
                <w:rtl w:val="0"/>
              </w:rPr>
              <w:t xml:space="preserve">Continuous cover; reduced locum spend</w:t>
            </w:r>
          </w:p>
        </w:tc>
      </w:tr>
      <w:tr>
        <w:trPr>
          <w:cantSplit w:val="0"/>
          <w:trHeight w:val="1340" w:hRule="atLeast"/>
          <w:tblHeader w:val="0"/>
        </w:trPr>
        <w:tc>
          <w:tcPr/>
          <w:p w:rsidR="00000000" w:rsidDel="00000000" w:rsidP="00000000" w:rsidRDefault="00000000" w:rsidRPr="00000000" w14:paraId="00000090">
            <w:pPr>
              <w:spacing w:after="200" w:line="360" w:lineRule="auto"/>
              <w:jc w:val="center"/>
              <w:rPr/>
            </w:pPr>
            <w:r w:rsidDel="00000000" w:rsidR="00000000" w:rsidRPr="00000000">
              <w:rPr>
                <w:rtl w:val="0"/>
              </w:rPr>
              <w:t xml:space="preserve">Speaking-up culture</w:t>
            </w:r>
          </w:p>
        </w:tc>
        <w:tc>
          <w:tcPr/>
          <w:p w:rsidR="00000000" w:rsidDel="00000000" w:rsidP="00000000" w:rsidRDefault="00000000" w:rsidRPr="00000000" w14:paraId="00000091">
            <w:pPr>
              <w:spacing w:after="200" w:line="360" w:lineRule="auto"/>
              <w:jc w:val="center"/>
              <w:rPr/>
            </w:pPr>
            <w:r w:rsidDel="00000000" w:rsidR="00000000" w:rsidRPr="00000000">
              <w:rPr>
                <w:rtl w:val="0"/>
              </w:rPr>
              <w:t xml:space="preserve">Environment / Process</w:t>
            </w:r>
          </w:p>
        </w:tc>
        <w:tc>
          <w:tcPr/>
          <w:p w:rsidR="00000000" w:rsidDel="00000000" w:rsidP="00000000" w:rsidRDefault="00000000" w:rsidRPr="00000000" w14:paraId="00000092">
            <w:pPr>
              <w:spacing w:after="200" w:line="360" w:lineRule="auto"/>
              <w:jc w:val="center"/>
              <w:rPr/>
            </w:pPr>
            <w:r w:rsidDel="00000000" w:rsidR="00000000" w:rsidRPr="00000000">
              <w:rPr>
                <w:rtl w:val="0"/>
              </w:rPr>
              <w:t xml:space="preserve">PDSA + Lean visual management</w:t>
            </w:r>
          </w:p>
        </w:tc>
        <w:tc>
          <w:tcPr/>
          <w:p w:rsidR="00000000" w:rsidDel="00000000" w:rsidP="00000000" w:rsidRDefault="00000000" w:rsidRPr="00000000" w14:paraId="00000093">
            <w:pPr>
              <w:spacing w:after="200" w:line="360" w:lineRule="auto"/>
              <w:jc w:val="center"/>
              <w:rPr/>
            </w:pPr>
            <w:r w:rsidDel="00000000" w:rsidR="00000000" w:rsidRPr="00000000">
              <w:rPr>
                <w:rtl w:val="0"/>
              </w:rPr>
              <w:t xml:space="preserve">Champion network; confidential pathway; display trends</w:t>
            </w:r>
          </w:p>
        </w:tc>
        <w:tc>
          <w:tcPr/>
          <w:p w:rsidR="00000000" w:rsidDel="00000000" w:rsidP="00000000" w:rsidRDefault="00000000" w:rsidRPr="00000000" w14:paraId="00000094">
            <w:pPr>
              <w:spacing w:after="200" w:line="360" w:lineRule="auto"/>
              <w:jc w:val="center"/>
              <w:rPr/>
            </w:pPr>
            <w:r w:rsidDel="00000000" w:rsidR="00000000" w:rsidRPr="00000000">
              <w:rPr>
                <w:rtl w:val="0"/>
              </w:rPr>
              <w:t xml:space="preserve">Higher reporting rates; improved safety scores</w:t>
            </w:r>
          </w:p>
        </w:tc>
      </w:tr>
      <w:tr>
        <w:trPr>
          <w:cantSplit w:val="0"/>
          <w:trHeight w:val="1340" w:hRule="atLeast"/>
          <w:tblHeader w:val="0"/>
        </w:trPr>
        <w:tc>
          <w:tcPr/>
          <w:p w:rsidR="00000000" w:rsidDel="00000000" w:rsidP="00000000" w:rsidRDefault="00000000" w:rsidRPr="00000000" w14:paraId="00000095">
            <w:pPr>
              <w:spacing w:after="200" w:line="360" w:lineRule="auto"/>
              <w:jc w:val="center"/>
              <w:rPr/>
            </w:pPr>
            <w:r w:rsidDel="00000000" w:rsidR="00000000" w:rsidRPr="00000000">
              <w:rPr>
                <w:rtl w:val="0"/>
              </w:rPr>
              <w:t xml:space="preserve">Independent audit &amp; governance</w:t>
            </w:r>
          </w:p>
        </w:tc>
        <w:tc>
          <w:tcPr/>
          <w:p w:rsidR="00000000" w:rsidDel="00000000" w:rsidP="00000000" w:rsidRDefault="00000000" w:rsidRPr="00000000" w14:paraId="00000096">
            <w:pPr>
              <w:spacing w:after="200" w:line="360" w:lineRule="auto"/>
              <w:jc w:val="center"/>
              <w:rPr/>
            </w:pPr>
            <w:r w:rsidDel="00000000" w:rsidR="00000000" w:rsidRPr="00000000">
              <w:rPr>
                <w:rtl w:val="0"/>
              </w:rPr>
              <w:t xml:space="preserve">Measurements / Process</w:t>
            </w:r>
          </w:p>
        </w:tc>
        <w:tc>
          <w:tcPr/>
          <w:p w:rsidR="00000000" w:rsidDel="00000000" w:rsidP="00000000" w:rsidRDefault="00000000" w:rsidRPr="00000000" w14:paraId="00000097">
            <w:pPr>
              <w:spacing w:after="200" w:line="360" w:lineRule="auto"/>
              <w:jc w:val="center"/>
              <w:rPr/>
            </w:pPr>
            <w:r w:rsidDel="00000000" w:rsidR="00000000" w:rsidRPr="00000000">
              <w:rPr>
                <w:rtl w:val="0"/>
              </w:rPr>
              <w:t xml:space="preserve">PDSA + Lean standard work</w:t>
            </w:r>
          </w:p>
        </w:tc>
        <w:tc>
          <w:tcPr/>
          <w:p w:rsidR="00000000" w:rsidDel="00000000" w:rsidP="00000000" w:rsidRDefault="00000000" w:rsidRPr="00000000" w14:paraId="00000098">
            <w:pPr>
              <w:spacing w:after="200" w:line="360" w:lineRule="auto"/>
              <w:jc w:val="center"/>
              <w:rPr/>
            </w:pPr>
            <w:r w:rsidDel="00000000" w:rsidR="00000000" w:rsidRPr="00000000">
              <w:rPr>
                <w:rtl w:val="0"/>
              </w:rPr>
              <w:t xml:space="preserve">New grading templates; family co-production; triangulate data</w:t>
            </w:r>
          </w:p>
        </w:tc>
        <w:tc>
          <w:tcPr/>
          <w:p w:rsidR="00000000" w:rsidDel="00000000" w:rsidP="00000000" w:rsidRDefault="00000000" w:rsidRPr="00000000" w14:paraId="00000099">
            <w:pPr>
              <w:spacing w:after="200" w:line="360" w:lineRule="auto"/>
              <w:jc w:val="center"/>
              <w:rPr/>
            </w:pPr>
            <w:r w:rsidDel="00000000" w:rsidR="00000000" w:rsidRPr="00000000">
              <w:rPr>
                <w:rtl w:val="0"/>
              </w:rPr>
              <w:t xml:space="preserve">Earlier pattern detection; accurate grading</w:t>
            </w:r>
          </w:p>
        </w:tc>
      </w:tr>
      <w:tr>
        <w:trPr>
          <w:cantSplit w:val="0"/>
          <w:trHeight w:val="1340" w:hRule="atLeast"/>
          <w:tblHeader w:val="0"/>
        </w:trPr>
        <w:tc>
          <w:tcPr/>
          <w:p w:rsidR="00000000" w:rsidDel="00000000" w:rsidP="00000000" w:rsidRDefault="00000000" w:rsidRPr="00000000" w14:paraId="0000009A">
            <w:pPr>
              <w:spacing w:after="200" w:line="360" w:lineRule="auto"/>
              <w:jc w:val="center"/>
              <w:rPr/>
            </w:pPr>
            <w:r w:rsidDel="00000000" w:rsidR="00000000" w:rsidRPr="00000000">
              <w:rPr>
                <w:rtl w:val="0"/>
              </w:rPr>
              <w:t xml:space="preserve">CTG &amp; escalation training</w:t>
            </w:r>
          </w:p>
        </w:tc>
        <w:tc>
          <w:tcPr/>
          <w:p w:rsidR="00000000" w:rsidDel="00000000" w:rsidP="00000000" w:rsidRDefault="00000000" w:rsidRPr="00000000" w14:paraId="0000009B">
            <w:pPr>
              <w:spacing w:after="200" w:line="360" w:lineRule="auto"/>
              <w:jc w:val="center"/>
              <w:rPr/>
            </w:pPr>
            <w:r w:rsidDel="00000000" w:rsidR="00000000" w:rsidRPr="00000000">
              <w:rPr>
                <w:rtl w:val="0"/>
              </w:rPr>
              <w:t xml:space="preserve">Methods &amp; Machines / Process</w:t>
            </w:r>
          </w:p>
        </w:tc>
        <w:tc>
          <w:tcPr/>
          <w:p w:rsidR="00000000" w:rsidDel="00000000" w:rsidP="00000000" w:rsidRDefault="00000000" w:rsidRPr="00000000" w14:paraId="0000009C">
            <w:pPr>
              <w:spacing w:after="200" w:line="360" w:lineRule="auto"/>
              <w:jc w:val="center"/>
              <w:rPr/>
            </w:pPr>
            <w:r w:rsidDel="00000000" w:rsidR="00000000" w:rsidRPr="00000000">
              <w:rPr>
                <w:rtl w:val="0"/>
              </w:rPr>
              <w:t xml:space="preserve">Lean + PDSA simulation cycles</w:t>
            </w:r>
          </w:p>
        </w:tc>
        <w:tc>
          <w:tcPr/>
          <w:p w:rsidR="00000000" w:rsidDel="00000000" w:rsidP="00000000" w:rsidRDefault="00000000" w:rsidRPr="00000000" w14:paraId="0000009D">
            <w:pPr>
              <w:spacing w:after="200" w:line="360" w:lineRule="auto"/>
              <w:jc w:val="center"/>
              <w:rPr/>
            </w:pPr>
            <w:r w:rsidDel="00000000" w:rsidR="00000000" w:rsidRPr="00000000">
              <w:rPr>
                <w:rtl w:val="0"/>
              </w:rPr>
              <w:t xml:space="preserve">Streamline pathway; test simulation impact; refine</w:t>
            </w:r>
          </w:p>
        </w:tc>
        <w:tc>
          <w:tcPr/>
          <w:p w:rsidR="00000000" w:rsidDel="00000000" w:rsidP="00000000" w:rsidRDefault="00000000" w:rsidRPr="00000000" w14:paraId="0000009E">
            <w:pPr>
              <w:spacing w:after="200" w:line="360" w:lineRule="auto"/>
              <w:jc w:val="center"/>
              <w:rPr/>
            </w:pPr>
            <w:r w:rsidDel="00000000" w:rsidR="00000000" w:rsidRPr="00000000">
              <w:rPr>
                <w:rtl w:val="0"/>
              </w:rPr>
              <w:t xml:space="preserve">Faster recognition of fetal distress</w:t>
            </w:r>
          </w:p>
        </w:tc>
      </w:tr>
      <w:tr>
        <w:trPr>
          <w:cantSplit w:val="0"/>
          <w:trHeight w:val="1340" w:hRule="atLeast"/>
          <w:tblHeader w:val="0"/>
        </w:trPr>
        <w:tc>
          <w:tcPr/>
          <w:p w:rsidR="00000000" w:rsidDel="00000000" w:rsidP="00000000" w:rsidRDefault="00000000" w:rsidRPr="00000000" w14:paraId="0000009F">
            <w:pPr>
              <w:spacing w:after="200" w:line="360" w:lineRule="auto"/>
              <w:jc w:val="center"/>
              <w:rPr/>
            </w:pPr>
            <w:r w:rsidDel="00000000" w:rsidR="00000000" w:rsidRPr="00000000">
              <w:rPr>
                <w:rtl w:val="0"/>
              </w:rPr>
              <w:t xml:space="preserve">Ockenden 15 IEAs monitoring</w:t>
            </w:r>
          </w:p>
        </w:tc>
        <w:tc>
          <w:tcPr/>
          <w:p w:rsidR="00000000" w:rsidDel="00000000" w:rsidP="00000000" w:rsidRDefault="00000000" w:rsidRPr="00000000" w14:paraId="000000A0">
            <w:pPr>
              <w:spacing w:after="200" w:line="360" w:lineRule="auto"/>
              <w:jc w:val="center"/>
              <w:rPr/>
            </w:pPr>
            <w:r w:rsidDel="00000000" w:rsidR="00000000" w:rsidRPr="00000000">
              <w:rPr>
                <w:rtl w:val="0"/>
              </w:rPr>
              <w:t xml:space="preserve">All categories / Structure-Process-Outcome</w:t>
            </w:r>
          </w:p>
        </w:tc>
        <w:tc>
          <w:tcPr/>
          <w:p w:rsidR="00000000" w:rsidDel="00000000" w:rsidP="00000000" w:rsidRDefault="00000000" w:rsidRPr="00000000" w14:paraId="000000A1">
            <w:pPr>
              <w:spacing w:after="200" w:line="360" w:lineRule="auto"/>
              <w:jc w:val="center"/>
              <w:rPr/>
            </w:pPr>
            <w:r w:rsidDel="00000000" w:rsidR="00000000" w:rsidRPr="00000000">
              <w:rPr>
                <w:rtl w:val="0"/>
              </w:rPr>
              <w:t xml:space="preserve">PDSA dashboard + Lean continuous flow</w:t>
            </w:r>
          </w:p>
        </w:tc>
        <w:tc>
          <w:tcPr/>
          <w:p w:rsidR="00000000" w:rsidDel="00000000" w:rsidP="00000000" w:rsidRDefault="00000000" w:rsidRPr="00000000" w14:paraId="000000A2">
            <w:pPr>
              <w:spacing w:after="200" w:line="360" w:lineRule="auto"/>
              <w:jc w:val="center"/>
              <w:rPr/>
            </w:pPr>
            <w:r w:rsidDel="00000000" w:rsidR="00000000" w:rsidRPr="00000000">
              <w:rPr>
                <w:rtl w:val="0"/>
              </w:rPr>
              <w:t xml:space="preserve">Board-level metrics; monthly review cycles</w:t>
            </w:r>
          </w:p>
        </w:tc>
        <w:tc>
          <w:tcPr/>
          <w:p w:rsidR="00000000" w:rsidDel="00000000" w:rsidP="00000000" w:rsidRDefault="00000000" w:rsidRPr="00000000" w14:paraId="000000A3">
            <w:pPr>
              <w:spacing w:after="200" w:line="360" w:lineRule="auto"/>
              <w:jc w:val="center"/>
              <w:rPr/>
            </w:pPr>
            <w:r w:rsidDel="00000000" w:rsidR="00000000" w:rsidRPr="00000000">
              <w:rPr>
                <w:rtl w:val="0"/>
              </w:rPr>
              <w:t xml:space="preserve">Sustained compliance; reduced avoidable harm</w:t>
            </w:r>
          </w:p>
        </w:tc>
      </w:tr>
    </w:tbl>
    <w:p w:rsidR="00000000" w:rsidDel="00000000" w:rsidP="00000000" w:rsidRDefault="00000000" w:rsidRPr="00000000" w14:paraId="000000A4">
      <w:pPr>
        <w:spacing w:after="200" w:line="360" w:lineRule="auto"/>
        <w:jc w:val="center"/>
        <w:rPr>
          <w:b w:val="1"/>
          <w:bCs w:val="1"/>
        </w:rPr>
      </w:pPr>
      <w:r w:rsidDel="00000000" w:rsidR="00000000" w:rsidRPr="00000000">
        <w:rPr>
          <w:b w:val="1"/>
          <w:bCs w:val="1"/>
          <w:rtl w:val="0"/>
        </w:rPr>
        <w:t xml:space="preserve">Table 4: Implementation roadmap linking root-cause categories to PDSA and Lean actions</w:t>
      </w:r>
    </w:p>
    <w:p w:rsidR="00000000" w:rsidDel="00000000" w:rsidP="00000000" w:rsidRDefault="00000000" w:rsidRPr="00000000" w14:paraId="000000A5">
      <w:pPr>
        <w:spacing w:after="200" w:line="360" w:lineRule="auto"/>
        <w:jc w:val="center"/>
        <w:rPr/>
      </w:pPr>
      <w:r w:rsidDel="00000000" w:rsidR="00000000" w:rsidRPr="00000000">
        <w:rPr>
          <w:rtl w:val="0"/>
        </w:rPr>
        <w:t xml:space="preserve">Source: (Self-Created)</w:t>
      </w:r>
    </w:p>
    <w:p w:rsidR="00000000" w:rsidDel="00000000" w:rsidP="00000000" w:rsidRDefault="00000000" w:rsidRPr="00000000" w14:paraId="000000A6">
      <w:pPr>
        <w:pStyle w:val="Heading1"/>
        <w:rPr>
          <w:b w:val="0"/>
          <w:bCs w:val="0"/>
          <w:sz w:val="22"/>
          <w:szCs w:val="22"/>
        </w:rPr>
      </w:pPr>
      <w:bookmarkStart w:colFirst="0" w:colLast="0" w:name="_7bp1sc3vtjcb" w:id="11"/>
      <w:bookmarkEnd w:id="11"/>
      <w:r w:rsidDel="00000000" w:rsidR="00000000" w:rsidRPr="00000000">
        <w:rPr>
          <w:sz w:val="22"/>
          <w:szCs w:val="22"/>
          <w:rtl w:val="0"/>
        </w:rPr>
        <w:t xml:space="preserve">4. Conclusion</w:t>
      </w:r>
      <w:r w:rsidDel="00000000" w:rsidR="00000000" w:rsidRPr="00000000">
        <w:rPr>
          <w:rtl w:val="0"/>
        </w:rPr>
      </w:r>
    </w:p>
    <w:p w:rsidR="00000000" w:rsidDel="00000000" w:rsidP="00000000" w:rsidRDefault="00000000" w:rsidRPr="00000000" w14:paraId="000000A7">
      <w:pPr>
        <w:spacing w:line="360" w:lineRule="auto"/>
        <w:jc w:val="both"/>
        <w:rPr/>
      </w:pPr>
      <w:r w:rsidDel="00000000" w:rsidR="00000000" w:rsidRPr="00000000">
        <w:rPr>
          <w:rtl w:val="0"/>
        </w:rPr>
        <w:t xml:space="preserve">As shown in the Shrewsbury Hospital and Telford Hospital (SaTH) maternity scandal, serious patient harm events can be caused by a combination of long-term organizational, structural, and cultural problems, rather than a single clinical incident. The Swiss Cheese (SC) Model, Root Cause Analysis (RCA), and Fishbone diagrams were used to analyze the problems that were identified and the gaps between them, highlighting interconnected issues including chronic staffing shortages, inconsistent clinical processes, lack of equipment and training, weak monitoring, poor documentation, and a culture of defensiveness that did not encourage staff and families to raise concerns. The Donabedian framework also showed the way organizational weaknesses and weaknesses in the processes of care lead to devastating maternal and neonatal outcomes.</w:t>
      </w:r>
    </w:p>
    <w:p w:rsidR="00000000" w:rsidDel="00000000" w:rsidP="00000000" w:rsidRDefault="00000000" w:rsidRPr="00000000" w14:paraId="000000A8">
      <w:pPr>
        <w:spacing w:line="360" w:lineRule="auto"/>
        <w:jc w:val="both"/>
        <w:rPr/>
      </w:pPr>
      <w:r w:rsidDel="00000000" w:rsidR="00000000" w:rsidRPr="00000000">
        <w:rPr>
          <w:rtl w:val="0"/>
        </w:rPr>
        <w:t xml:space="preserve">Overall the report shows that sustainable maternity quality improvement needs system-wide, not single, interventions. Safe staffing of the workforce, psychological safety for staff, open reporting, multidisciplinary CTG and escalation training, enhanced independent clinical governance, and fully implementing the Ockenden 15 Immediate and Essential actions should be priorities. Continuous monitoring, process variation reduction and testing, and measuring and embedding improvements can be achieved with PDSA and Lean methodologies. Finally, strong leadership, accountability, learning from incidents, and a genuine partnership with families are vital to gaining trust and preventing unnecessary harm.</w:t>
      </w:r>
      <w:r w:rsidDel="00000000" w:rsidR="00000000" w:rsidRPr="00000000">
        <w:br w:type="page"/>
      </w:r>
      <w:r w:rsidDel="00000000" w:rsidR="00000000" w:rsidRPr="00000000">
        <w:rPr>
          <w:rtl w:val="0"/>
        </w:rPr>
      </w:r>
    </w:p>
    <w:p w:rsidR="00000000" w:rsidDel="00000000" w:rsidP="00000000" w:rsidRDefault="00000000" w:rsidRPr="00000000" w14:paraId="000000A9">
      <w:pPr>
        <w:pStyle w:val="Heading1"/>
        <w:rPr>
          <w:b w:val="0"/>
          <w:bCs w:val="0"/>
          <w:sz w:val="22"/>
          <w:szCs w:val="22"/>
        </w:rPr>
      </w:pPr>
      <w:bookmarkStart w:colFirst="0" w:colLast="0" w:name="_vui5qri1hpb3" w:id="12"/>
      <w:bookmarkEnd w:id="12"/>
      <w:r w:rsidDel="00000000" w:rsidR="00000000" w:rsidRPr="00000000">
        <w:rPr>
          <w:sz w:val="22"/>
          <w:szCs w:val="22"/>
          <w:rtl w:val="0"/>
        </w:rPr>
        <w:t xml:space="preserve">Reference List</w:t>
      </w:r>
      <w:r w:rsidDel="00000000" w:rsidR="00000000" w:rsidRPr="00000000">
        <w:rPr>
          <w:rtl w:val="0"/>
        </w:rPr>
      </w:r>
    </w:p>
    <w:p w:rsidR="00000000" w:rsidDel="00000000" w:rsidP="00000000" w:rsidRDefault="00000000" w:rsidRPr="00000000" w14:paraId="000000AA">
      <w:pPr>
        <w:spacing w:after="240" w:line="360" w:lineRule="auto"/>
        <w:jc w:val="both"/>
        <w:rPr/>
      </w:pPr>
      <w:r w:rsidDel="00000000" w:rsidR="00000000" w:rsidRPr="00000000">
        <w:rPr>
          <w:rtl w:val="0"/>
        </w:rPr>
        <w:t xml:space="preserve">Borem, P., Fujinami Gushken, A.K., Gushken, A.P., Carvalho Pacagnella, R. de, Petenate, A.J., Tuma, P., Sanches Pedrilio, L., Nariño, S., Barker, P., de Barros, C.G. and Vernal, S. (2025). A comprehensive strategy to mitigate institutional maternal mortality: Lessons from a quality improvement initiative in Brazilian maternity hospitals. </w:t>
      </w:r>
      <w:r w:rsidDel="00000000" w:rsidR="00000000" w:rsidRPr="00000000">
        <w:rPr>
          <w:i w:val="1"/>
          <w:iCs w:val="1"/>
          <w:rtl w:val="0"/>
        </w:rPr>
        <w:t xml:space="preserve">Global Health: Science and Practice</w:t>
      </w:r>
      <w:r w:rsidDel="00000000" w:rsidR="00000000" w:rsidRPr="00000000">
        <w:rPr>
          <w:rtl w:val="0"/>
        </w:rPr>
        <w:t xml:space="preserve">, [online] 13(2), p.2400130. doi:10.9745/GHSP-D-24-00130.</w:t>
      </w:r>
    </w:p>
    <w:p w:rsidR="00000000" w:rsidDel="00000000" w:rsidP="00000000" w:rsidRDefault="00000000" w:rsidRPr="00000000" w14:paraId="000000AB">
      <w:pPr>
        <w:spacing w:after="240" w:line="360" w:lineRule="auto"/>
        <w:jc w:val="both"/>
        <w:rPr/>
      </w:pPr>
      <w:r w:rsidDel="00000000" w:rsidR="00000000" w:rsidRPr="00000000">
        <w:rPr>
          <w:rtl w:val="0"/>
        </w:rPr>
        <w:t xml:space="preserve">Buist, M. and Arnold, G. (2022). </w:t>
      </w:r>
      <w:r w:rsidDel="00000000" w:rsidR="00000000" w:rsidRPr="00000000">
        <w:rPr>
          <w:i w:val="1"/>
          <w:iCs w:val="1"/>
          <w:rtl w:val="0"/>
        </w:rPr>
        <w:t xml:space="preserve">Clinical futile cycles: Systematic microeconomic reform of health care by reform of the traditional hierarchical referral model of care</w:t>
      </w:r>
      <w:r w:rsidDel="00000000" w:rsidR="00000000" w:rsidRPr="00000000">
        <w:rPr>
          <w:rtl w:val="0"/>
        </w:rPr>
        <w:t xml:space="preserve">. [online] </w:t>
      </w:r>
      <w:r w:rsidDel="00000000" w:rsidR="00000000" w:rsidRPr="00000000">
        <w:rPr>
          <w:i w:val="1"/>
          <w:iCs w:val="1"/>
          <w:rtl w:val="0"/>
        </w:rPr>
        <w:t xml:space="preserve">www.intechopen.com</w:t>
      </w:r>
      <w:r w:rsidDel="00000000" w:rsidR="00000000" w:rsidRPr="00000000">
        <w:rPr>
          <w:rtl w:val="0"/>
        </w:rPr>
        <w:t xml:space="preserve">. IntechOpen. Available at: </w:t>
      </w:r>
      <w:hyperlink r:id="rId15">
        <w:r w:rsidDel="00000000" w:rsidR="00000000" w:rsidRPr="00000000">
          <w:rPr>
            <w:color w:val="1155cc"/>
            <w:u w:val="single"/>
            <w:rtl w:val="0"/>
          </w:rPr>
          <w:t xml:space="preserve">https://www.intechopen.com/chapters/82848</w:t>
        </w:r>
      </w:hyperlink>
      <w:r w:rsidDel="00000000" w:rsidR="00000000" w:rsidRPr="00000000">
        <w:rPr>
          <w:rtl w:val="0"/>
        </w:rPr>
        <w:t xml:space="preserve"> [Accessed 12 Aug. 2026].</w:t>
      </w:r>
    </w:p>
    <w:p w:rsidR="00000000" w:rsidDel="00000000" w:rsidP="00000000" w:rsidRDefault="00000000" w:rsidRPr="00000000" w14:paraId="000000AC">
      <w:pPr>
        <w:spacing w:after="240" w:line="360" w:lineRule="auto"/>
        <w:jc w:val="both"/>
        <w:rPr/>
      </w:pPr>
      <w:r w:rsidDel="00000000" w:rsidR="00000000" w:rsidRPr="00000000">
        <w:rPr>
          <w:rtl w:val="0"/>
        </w:rPr>
        <w:t xml:space="preserve">Habib, H.H., Mwaisaka, J., Torpey, K., Maya, E.T. and Ankomah, A. (2023). Are respectful maternity care (RMC) interventions effective in reducing intrapartum mistreatment against adolescents? A systematic review. </w:t>
      </w:r>
      <w:r w:rsidDel="00000000" w:rsidR="00000000" w:rsidRPr="00000000">
        <w:rPr>
          <w:i w:val="1"/>
          <w:iCs w:val="1"/>
          <w:rtl w:val="0"/>
        </w:rPr>
        <w:t xml:space="preserve">Frontiers in Global Women’s Health</w:t>
      </w:r>
      <w:r w:rsidDel="00000000" w:rsidR="00000000" w:rsidRPr="00000000">
        <w:rPr>
          <w:rtl w:val="0"/>
        </w:rPr>
        <w:t xml:space="preserve">, [online] 4, p.1048441. doi:10.3389/fgwh.2023.1048441.</w:t>
      </w:r>
    </w:p>
    <w:p w:rsidR="00000000" w:rsidDel="00000000" w:rsidP="00000000" w:rsidRDefault="00000000" w:rsidRPr="00000000" w14:paraId="000000AD">
      <w:pPr>
        <w:spacing w:after="240" w:line="360" w:lineRule="auto"/>
        <w:jc w:val="both"/>
        <w:rPr/>
      </w:pPr>
      <w:r w:rsidDel="00000000" w:rsidR="00000000" w:rsidRPr="00000000">
        <w:rPr>
          <w:rtl w:val="0"/>
        </w:rPr>
        <w:t xml:space="preserve">Harris, J., Beck, S., Ayers, N., Bick, D., Lamb, B., Aref-Adib, M., Kelly, T., Green, J. and Taylor, C. (2022). Improving teamwork in maternity services: A rapid review of interventions. </w:t>
      </w:r>
      <w:r w:rsidDel="00000000" w:rsidR="00000000" w:rsidRPr="00000000">
        <w:rPr>
          <w:i w:val="1"/>
          <w:iCs w:val="1"/>
          <w:rtl w:val="0"/>
        </w:rPr>
        <w:t xml:space="preserve">Midwifery</w:t>
      </w:r>
      <w:r w:rsidDel="00000000" w:rsidR="00000000" w:rsidRPr="00000000">
        <w:rPr>
          <w:rtl w:val="0"/>
        </w:rPr>
        <w:t xml:space="preserve">, [online] 108, p.103285. Available at: </w:t>
      </w:r>
      <w:hyperlink r:id="rId16">
        <w:r w:rsidDel="00000000" w:rsidR="00000000" w:rsidRPr="00000000">
          <w:rPr>
            <w:color w:val="1155cc"/>
            <w:u w:val="single"/>
            <w:rtl w:val="0"/>
          </w:rPr>
          <w:t xml:space="preserve">https://www.sciencedirect.com/science/article/pii/S0266613822000377</w:t>
        </w:r>
      </w:hyperlink>
      <w:r w:rsidDel="00000000" w:rsidR="00000000" w:rsidRPr="00000000">
        <w:rPr>
          <w:rtl w:val="0"/>
        </w:rPr>
        <w:t xml:space="preserve"> [Accessed 12 Aug. 2026].</w:t>
      </w:r>
    </w:p>
    <w:p w:rsidR="00000000" w:rsidDel="00000000" w:rsidP="00000000" w:rsidRDefault="00000000" w:rsidRPr="00000000" w14:paraId="000000AE">
      <w:pPr>
        <w:spacing w:after="240" w:line="360" w:lineRule="auto"/>
        <w:jc w:val="both"/>
        <w:rPr/>
      </w:pPr>
      <w:r w:rsidDel="00000000" w:rsidR="00000000" w:rsidRPr="00000000">
        <w:rPr>
          <w:rtl w:val="0"/>
        </w:rPr>
        <w:t xml:space="preserve">Horwood, C., Haskins, L., Filippi, V., Penn-Kekana, L., Manda, S., Mapumulo, S., Luthuli, S., Petrus, R. and Doherty, T. (2025). Organisational learning culture in maternity units: A mixed-method study in rural district hospitals in KwaZulu-Natal, South Africa. </w:t>
      </w:r>
      <w:r w:rsidDel="00000000" w:rsidR="00000000" w:rsidRPr="00000000">
        <w:rPr>
          <w:i w:val="1"/>
          <w:iCs w:val="1"/>
          <w:rtl w:val="0"/>
        </w:rPr>
        <w:t xml:space="preserve">SSM - Health Systems</w:t>
      </w:r>
      <w:r w:rsidDel="00000000" w:rsidR="00000000" w:rsidRPr="00000000">
        <w:rPr>
          <w:rtl w:val="0"/>
        </w:rPr>
        <w:t xml:space="preserve">, [online] 5, pp.100081–100081. doi:10.1016/j.ssmhs.2025.100081.</w:t>
      </w:r>
    </w:p>
    <w:p w:rsidR="00000000" w:rsidDel="00000000" w:rsidP="00000000" w:rsidRDefault="00000000" w:rsidRPr="00000000" w14:paraId="000000AF">
      <w:pPr>
        <w:spacing w:after="240" w:line="360" w:lineRule="auto"/>
        <w:jc w:val="both"/>
        <w:rPr/>
      </w:pPr>
      <w:r w:rsidDel="00000000" w:rsidR="00000000" w:rsidRPr="00000000">
        <w:rPr>
          <w:rtl w:val="0"/>
        </w:rPr>
        <w:t xml:space="preserve">Ihprojects.co.uk (2024). </w:t>
      </w:r>
      <w:r w:rsidDel="00000000" w:rsidR="00000000" w:rsidRPr="00000000">
        <w:rPr>
          <w:i w:val="1"/>
          <w:iCs w:val="1"/>
          <w:rtl w:val="0"/>
        </w:rPr>
        <w:t xml:space="preserve">The Shrewsbury and Telford NHS Hospital Trust signs multi-million pounds contract with Integrated Health Projects | Latest News | Integrated Health Projects</w:t>
      </w:r>
      <w:r w:rsidDel="00000000" w:rsidR="00000000" w:rsidRPr="00000000">
        <w:rPr>
          <w:rtl w:val="0"/>
        </w:rPr>
        <w:t xml:space="preserve">. [online] Ihprojects.co.uk. Available at: </w:t>
      </w:r>
      <w:hyperlink r:id="rId17">
        <w:r w:rsidDel="00000000" w:rsidR="00000000" w:rsidRPr="00000000">
          <w:rPr>
            <w:color w:val="1155cc"/>
            <w:u w:val="single"/>
            <w:rtl w:val="0"/>
          </w:rPr>
          <w:t xml:space="preserve">https://www.ihprojects.co.uk/news/2024/10-october/the-shrewsbury-and-telford-nhs-hospital-trust-signs-multi-million-pounds-contract-with-ihp.html</w:t>
        </w:r>
      </w:hyperlink>
      <w:r w:rsidDel="00000000" w:rsidR="00000000" w:rsidRPr="00000000">
        <w:rPr>
          <w:rtl w:val="0"/>
        </w:rPr>
        <w:t xml:space="preserve"> [Accessed 12 Aug. 2026].</w:t>
      </w:r>
    </w:p>
    <w:p w:rsidR="00000000" w:rsidDel="00000000" w:rsidP="00000000" w:rsidRDefault="00000000" w:rsidRPr="00000000" w14:paraId="000000B0">
      <w:pPr>
        <w:spacing w:after="240" w:line="360" w:lineRule="auto"/>
        <w:jc w:val="both"/>
        <w:rPr/>
      </w:pPr>
      <w:r w:rsidDel="00000000" w:rsidR="00000000" w:rsidRPr="00000000">
        <w:rPr>
          <w:rtl w:val="0"/>
        </w:rPr>
        <w:t xml:space="preserve">Jepsen, I., Blix, E., Cooke, H., Adrian, S.W. and Maude, R. (2022). The overuse of intrapartum cardiotocography (CTG) for low-risk women: An actor-network theory analysis of data from focus groups. </w:t>
      </w:r>
      <w:r w:rsidDel="00000000" w:rsidR="00000000" w:rsidRPr="00000000">
        <w:rPr>
          <w:i w:val="1"/>
          <w:iCs w:val="1"/>
          <w:rtl w:val="0"/>
        </w:rPr>
        <w:t xml:space="preserve">Women and Birth</w:t>
      </w:r>
      <w:r w:rsidDel="00000000" w:rsidR="00000000" w:rsidRPr="00000000">
        <w:rPr>
          <w:rtl w:val="0"/>
        </w:rPr>
        <w:t xml:space="preserve">, [online] 35(6). doi:10.1016/j.wombi.2022.01.003.</w:t>
      </w:r>
    </w:p>
    <w:p w:rsidR="00000000" w:rsidDel="00000000" w:rsidP="00000000" w:rsidRDefault="00000000" w:rsidRPr="00000000" w14:paraId="000000B1">
      <w:pPr>
        <w:spacing w:after="240" w:line="360" w:lineRule="auto"/>
        <w:jc w:val="both"/>
        <w:rPr/>
      </w:pPr>
      <w:r w:rsidDel="00000000" w:rsidR="00000000" w:rsidRPr="00000000">
        <w:rPr>
          <w:rtl w:val="0"/>
        </w:rPr>
        <w:t xml:space="preserve">Kumpunen, S. and Best, R. (2026). </w:t>
      </w:r>
      <w:r w:rsidDel="00000000" w:rsidR="00000000" w:rsidRPr="00000000">
        <w:rPr>
          <w:i w:val="1"/>
          <w:iCs w:val="1"/>
          <w:rtl w:val="0"/>
        </w:rPr>
        <w:t xml:space="preserve">Is England making progress to improve maternity care?</w:t>
      </w:r>
      <w:r w:rsidDel="00000000" w:rsidR="00000000" w:rsidRPr="00000000">
        <w:rPr>
          <w:rtl w:val="0"/>
        </w:rPr>
        <w:t xml:space="preserve"> [online] </w:t>
      </w:r>
      <w:r w:rsidDel="00000000" w:rsidR="00000000" w:rsidRPr="00000000">
        <w:rPr>
          <w:i w:val="1"/>
          <w:iCs w:val="1"/>
          <w:rtl w:val="0"/>
        </w:rPr>
        <w:t xml:space="preserve">Nuffield Trust</w:t>
      </w:r>
      <w:r w:rsidDel="00000000" w:rsidR="00000000" w:rsidRPr="00000000">
        <w:rPr>
          <w:rtl w:val="0"/>
        </w:rPr>
        <w:t xml:space="preserve">. Available at: </w:t>
      </w:r>
      <w:hyperlink r:id="rId18">
        <w:r w:rsidDel="00000000" w:rsidR="00000000" w:rsidRPr="00000000">
          <w:rPr>
            <w:color w:val="1155cc"/>
            <w:u w:val="single"/>
            <w:rtl w:val="0"/>
          </w:rPr>
          <w:t xml:space="preserve">https://www.nuffieldtrust.org.uk/resource/is-england-making-progress-to-improve-maternity-care-an-explainer</w:t>
        </w:r>
      </w:hyperlink>
      <w:r w:rsidDel="00000000" w:rsidR="00000000" w:rsidRPr="00000000">
        <w:rPr>
          <w:rtl w:val="0"/>
        </w:rPr>
        <w:t xml:space="preserve"> [Accessed 12 Aug. 2026].</w:t>
      </w:r>
    </w:p>
    <w:p w:rsidR="00000000" w:rsidDel="00000000" w:rsidP="00000000" w:rsidRDefault="00000000" w:rsidRPr="00000000" w14:paraId="000000B2">
      <w:pPr>
        <w:spacing w:after="240" w:line="360" w:lineRule="auto"/>
        <w:jc w:val="both"/>
        <w:rPr/>
      </w:pPr>
      <w:r w:rsidDel="00000000" w:rsidR="00000000" w:rsidRPr="00000000">
        <w:rPr>
          <w:rtl w:val="0"/>
        </w:rPr>
        <w:t xml:space="preserve">Lawless, J. (2022). </w:t>
      </w:r>
      <w:r w:rsidDel="00000000" w:rsidR="00000000" w:rsidRPr="00000000">
        <w:rPr>
          <w:i w:val="1"/>
          <w:iCs w:val="1"/>
          <w:rtl w:val="0"/>
        </w:rPr>
        <w:t xml:space="preserve">UK maternity scandal review finds 200 avoidable baby deaths</w:t>
      </w:r>
      <w:r w:rsidDel="00000000" w:rsidR="00000000" w:rsidRPr="00000000">
        <w:rPr>
          <w:rtl w:val="0"/>
        </w:rPr>
        <w:t xml:space="preserve">. [online] NewsNation. Available at: </w:t>
      </w:r>
      <w:hyperlink r:id="rId19">
        <w:r w:rsidDel="00000000" w:rsidR="00000000" w:rsidRPr="00000000">
          <w:rPr>
            <w:color w:val="1155cc"/>
            <w:u w:val="single"/>
            <w:rtl w:val="0"/>
          </w:rPr>
          <w:t xml:space="preserve">https://www.newsnationnow.com/health/health-headlines/uk-maternity-scandal-review-finds-200-avoidable-baby-deaths/</w:t>
        </w:r>
      </w:hyperlink>
      <w:r w:rsidDel="00000000" w:rsidR="00000000" w:rsidRPr="00000000">
        <w:rPr>
          <w:rtl w:val="0"/>
        </w:rPr>
        <w:t xml:space="preserve"> [Accessed 12 Aug. 2026].</w:t>
      </w:r>
    </w:p>
    <w:p w:rsidR="00000000" w:rsidDel="00000000" w:rsidP="00000000" w:rsidRDefault="00000000" w:rsidRPr="00000000" w14:paraId="000000B3">
      <w:pPr>
        <w:spacing w:after="240" w:line="360" w:lineRule="auto"/>
        <w:jc w:val="both"/>
        <w:rPr/>
      </w:pPr>
      <w:r w:rsidDel="00000000" w:rsidR="00000000" w:rsidRPr="00000000">
        <w:rPr>
          <w:rtl w:val="0"/>
        </w:rPr>
        <w:t xml:space="preserve">Løland, M., Braut, G.S., Lichtenberg, S.M. and Egenberg, S. (2023). Tools for establishing a sustainable safety culture within maternity services. A retrospective case study. </w:t>
      </w:r>
      <w:r w:rsidDel="00000000" w:rsidR="00000000" w:rsidRPr="00000000">
        <w:rPr>
          <w:i w:val="1"/>
          <w:iCs w:val="1"/>
          <w:rtl w:val="0"/>
        </w:rPr>
        <w:t xml:space="preserve">SAGE Open Medicine</w:t>
      </w:r>
      <w:r w:rsidDel="00000000" w:rsidR="00000000" w:rsidRPr="00000000">
        <w:rPr>
          <w:rtl w:val="0"/>
        </w:rPr>
        <w:t xml:space="preserve">, [online] 11, pp.205031212311642–205031212311642. doi:10.1177/20503121231164264.</w:t>
      </w:r>
    </w:p>
    <w:p w:rsidR="00000000" w:rsidDel="00000000" w:rsidP="00000000" w:rsidRDefault="00000000" w:rsidRPr="00000000" w14:paraId="000000B4">
      <w:pPr>
        <w:spacing w:after="240" w:line="360" w:lineRule="auto"/>
        <w:jc w:val="both"/>
        <w:rPr/>
      </w:pPr>
      <w:r w:rsidDel="00000000" w:rsidR="00000000" w:rsidRPr="00000000">
        <w:rPr>
          <w:rtl w:val="0"/>
        </w:rPr>
        <w:t xml:space="preserve">Mianda, S., Todowede, O. and Schneider, H. (2023). Service delivery interventions to improve maternal and newborn health in low- and middle-income countries: Scoping review of quality improvement, implementation research and health system strengthening approaches. </w:t>
      </w:r>
      <w:r w:rsidDel="00000000" w:rsidR="00000000" w:rsidRPr="00000000">
        <w:rPr>
          <w:i w:val="1"/>
          <w:iCs w:val="1"/>
          <w:rtl w:val="0"/>
        </w:rPr>
        <w:t xml:space="preserve">BMC Health Services Research</w:t>
      </w:r>
      <w:r w:rsidDel="00000000" w:rsidR="00000000" w:rsidRPr="00000000">
        <w:rPr>
          <w:rtl w:val="0"/>
        </w:rPr>
        <w:t xml:space="preserve">, [online] 23(1), p.1223. doi:10.1186/s12913-023-10202-6.</w:t>
      </w:r>
    </w:p>
    <w:p w:rsidR="00000000" w:rsidDel="00000000" w:rsidP="00000000" w:rsidRDefault="00000000" w:rsidRPr="00000000" w14:paraId="000000B5">
      <w:pPr>
        <w:spacing w:after="240" w:line="360" w:lineRule="auto"/>
        <w:jc w:val="both"/>
        <w:rPr/>
      </w:pPr>
      <w:r w:rsidDel="00000000" w:rsidR="00000000" w:rsidRPr="00000000">
        <w:rPr>
          <w:rtl w:val="0"/>
        </w:rPr>
        <w:t xml:space="preserve">Mossialos, E., Essack, S., Mackay, I. and Anderson, M. (2025). A layered strategy for tackling antimicrobial resistance: The Swiss cheese model for policy, prevention, and engagement. </w:t>
      </w:r>
      <w:r w:rsidDel="00000000" w:rsidR="00000000" w:rsidRPr="00000000">
        <w:rPr>
          <w:i w:val="1"/>
          <w:iCs w:val="1"/>
          <w:rtl w:val="0"/>
        </w:rPr>
        <w:t xml:space="preserve">The Lancet Microbe</w:t>
      </w:r>
      <w:r w:rsidDel="00000000" w:rsidR="00000000" w:rsidRPr="00000000">
        <w:rPr>
          <w:rtl w:val="0"/>
        </w:rPr>
        <w:t xml:space="preserve">, [online] 6(12), pp.101215–101215. doi:10.1016/j.lanmic.2025.101215.</w:t>
      </w:r>
    </w:p>
    <w:p w:rsidR="00000000" w:rsidDel="00000000" w:rsidP="00000000" w:rsidRDefault="00000000" w:rsidRPr="00000000" w14:paraId="000000B6">
      <w:pPr>
        <w:spacing w:after="240" w:line="360" w:lineRule="auto"/>
        <w:jc w:val="both"/>
        <w:rPr/>
      </w:pPr>
      <w:r w:rsidDel="00000000" w:rsidR="00000000" w:rsidRPr="00000000">
        <w:rPr>
          <w:rtl w:val="0"/>
        </w:rPr>
        <w:t xml:space="preserve">Ockenden, D. (2022). Ockenden Report. [online] Available at: </w:t>
      </w:r>
      <w:hyperlink r:id="rId20">
        <w:r w:rsidDel="00000000" w:rsidR="00000000" w:rsidRPr="00000000">
          <w:rPr>
            <w:color w:val="1155cc"/>
            <w:u w:val="single"/>
            <w:rtl w:val="0"/>
          </w:rPr>
          <w:t xml:space="preserve">https://assets.publishing.service.gov.uk/media/624332fe8fa8f527744f0615/Final-Ockenden-Report-web-accessible.pdf</w:t>
        </w:r>
      </w:hyperlink>
      <w:r w:rsidDel="00000000" w:rsidR="00000000" w:rsidRPr="00000000">
        <w:rPr>
          <w:rtl w:val="0"/>
        </w:rPr>
        <w:t xml:space="preserve"> [Accessed 12 Aug. 2026].</w:t>
      </w:r>
    </w:p>
    <w:p w:rsidR="00000000" w:rsidDel="00000000" w:rsidP="00000000" w:rsidRDefault="00000000" w:rsidRPr="00000000" w14:paraId="000000B7">
      <w:pPr>
        <w:spacing w:after="240" w:line="360" w:lineRule="auto"/>
        <w:jc w:val="both"/>
        <w:rPr/>
      </w:pPr>
      <w:r w:rsidDel="00000000" w:rsidR="00000000" w:rsidRPr="00000000">
        <w:rPr>
          <w:rtl w:val="0"/>
        </w:rPr>
        <w:t xml:space="preserve">Ons.gov.uk (2026). </w:t>
      </w:r>
      <w:r w:rsidDel="00000000" w:rsidR="00000000" w:rsidRPr="00000000">
        <w:rPr>
          <w:i w:val="1"/>
          <w:iCs w:val="1"/>
          <w:rtl w:val="0"/>
        </w:rPr>
        <w:t xml:space="preserve">Child and infant mortality in England and Wales</w:t>
      </w:r>
      <w:r w:rsidDel="00000000" w:rsidR="00000000" w:rsidRPr="00000000">
        <w:rPr>
          <w:rtl w:val="0"/>
        </w:rPr>
        <w:t xml:space="preserve">. [online] </w:t>
      </w:r>
      <w:r w:rsidDel="00000000" w:rsidR="00000000" w:rsidRPr="00000000">
        <w:rPr>
          <w:i w:val="1"/>
          <w:iCs w:val="1"/>
          <w:rtl w:val="0"/>
        </w:rPr>
        <w:t xml:space="preserve">Ons.gov.uk</w:t>
      </w:r>
      <w:r w:rsidDel="00000000" w:rsidR="00000000" w:rsidRPr="00000000">
        <w:rPr>
          <w:rtl w:val="0"/>
        </w:rPr>
        <w:t xml:space="preserve">. Office for National Statistics. Available at: </w:t>
      </w:r>
      <w:hyperlink r:id="rId21">
        <w:r w:rsidDel="00000000" w:rsidR="00000000" w:rsidRPr="00000000">
          <w:rPr>
            <w:color w:val="1155cc"/>
            <w:u w:val="single"/>
            <w:rtl w:val="0"/>
          </w:rPr>
          <w:t xml:space="preserve">https://www.ons.gov.uk/peoplepopulationandcommunity/birthsdeathsandmarriages/deaths/bulletins/childhoodinfantandperinatalmortalityinenglandandwales/2024</w:t>
        </w:r>
      </w:hyperlink>
      <w:r w:rsidDel="00000000" w:rsidR="00000000" w:rsidRPr="00000000">
        <w:rPr>
          <w:rtl w:val="0"/>
        </w:rPr>
        <w:t xml:space="preserve"> [Accessed 12 Aug. 2026].</w:t>
      </w:r>
    </w:p>
    <w:p w:rsidR="00000000" w:rsidDel="00000000" w:rsidP="00000000" w:rsidRDefault="00000000" w:rsidRPr="00000000" w14:paraId="000000B8">
      <w:pPr>
        <w:spacing w:after="240" w:line="360" w:lineRule="auto"/>
        <w:jc w:val="both"/>
        <w:rPr/>
      </w:pPr>
      <w:r w:rsidDel="00000000" w:rsidR="00000000" w:rsidRPr="00000000">
        <w:rPr>
          <w:rtl w:val="0"/>
        </w:rPr>
        <w:t xml:space="preserve">Page, T. (2025). Maternity inquiry welcome by grieving mother. </w:t>
      </w:r>
      <w:r w:rsidDel="00000000" w:rsidR="00000000" w:rsidRPr="00000000">
        <w:rPr>
          <w:i w:val="1"/>
          <w:iCs w:val="1"/>
          <w:rtl w:val="0"/>
        </w:rPr>
        <w:t xml:space="preserve">BBC</w:t>
      </w:r>
      <w:r w:rsidDel="00000000" w:rsidR="00000000" w:rsidRPr="00000000">
        <w:rPr>
          <w:rtl w:val="0"/>
        </w:rPr>
        <w:t xml:space="preserve">. [online] 15 Sept. Available at: </w:t>
      </w:r>
      <w:hyperlink r:id="rId22">
        <w:r w:rsidDel="00000000" w:rsidR="00000000" w:rsidRPr="00000000">
          <w:rPr>
            <w:color w:val="1155cc"/>
            <w:u w:val="single"/>
            <w:rtl w:val="0"/>
          </w:rPr>
          <w:t xml:space="preserve">https://www.bbc.com/news/articles/c4gk6p0gz95o</w:t>
        </w:r>
      </w:hyperlink>
      <w:r w:rsidDel="00000000" w:rsidR="00000000" w:rsidRPr="00000000">
        <w:rPr>
          <w:rtl w:val="0"/>
        </w:rPr>
        <w:t xml:space="preserve"> [Accessed 12 Aug. 2026].</w:t>
      </w:r>
    </w:p>
    <w:p w:rsidR="00000000" w:rsidDel="00000000" w:rsidP="00000000" w:rsidRDefault="00000000" w:rsidRPr="00000000" w14:paraId="000000B9">
      <w:pPr>
        <w:spacing w:after="240" w:line="360" w:lineRule="auto"/>
        <w:jc w:val="both"/>
        <w:rPr/>
      </w:pPr>
      <w:r w:rsidDel="00000000" w:rsidR="00000000" w:rsidRPr="00000000">
        <w:rPr>
          <w:rtl w:val="0"/>
        </w:rPr>
        <w:t xml:space="preserve">Pazhayattil, A.B. and Sharma, S. (2025). Root cause analysis (RCA) methods. </w:t>
      </w:r>
      <w:r w:rsidDel="00000000" w:rsidR="00000000" w:rsidRPr="00000000">
        <w:rPr>
          <w:i w:val="1"/>
          <w:iCs w:val="1"/>
          <w:rtl w:val="0"/>
        </w:rPr>
        <w:t xml:space="preserve">AAPS Introductions in the Pharmaceutical Sciences</w:t>
      </w:r>
      <w:r w:rsidDel="00000000" w:rsidR="00000000" w:rsidRPr="00000000">
        <w:rPr>
          <w:rtl w:val="0"/>
        </w:rPr>
        <w:t xml:space="preserve">, [online] pp.11–31. doi:10.1007/978-3-031-86504-6_2.</w:t>
      </w:r>
    </w:p>
    <w:p w:rsidR="00000000" w:rsidDel="00000000" w:rsidP="00000000" w:rsidRDefault="00000000" w:rsidRPr="00000000" w14:paraId="000000BA">
      <w:pPr>
        <w:spacing w:after="240" w:line="360" w:lineRule="auto"/>
        <w:jc w:val="both"/>
        <w:rPr/>
      </w:pPr>
      <w:r w:rsidDel="00000000" w:rsidR="00000000" w:rsidRPr="00000000">
        <w:rPr>
          <w:rtl w:val="0"/>
        </w:rPr>
        <w:t xml:space="preserve">Rodríguez-Álvarez, J.L., Luis, J., Navarrete-Molina, C. and Soto-Cabral, A. (2024). Root cause analysis (RCA). </w:t>
      </w:r>
      <w:r w:rsidDel="00000000" w:rsidR="00000000" w:rsidRPr="00000000">
        <w:rPr>
          <w:i w:val="1"/>
          <w:iCs w:val="1"/>
          <w:rtl w:val="0"/>
        </w:rPr>
        <w:t xml:space="preserve">Lean Manufacturing in Latin America</w:t>
      </w:r>
      <w:r w:rsidDel="00000000" w:rsidR="00000000" w:rsidRPr="00000000">
        <w:rPr>
          <w:rtl w:val="0"/>
        </w:rPr>
        <w:t xml:space="preserve">, [online] pp.439–468. doi:10.1007/978-3-031-70984-5_19.</w:t>
      </w:r>
    </w:p>
    <w:p w:rsidR="00000000" w:rsidDel="00000000" w:rsidP="00000000" w:rsidRDefault="00000000" w:rsidRPr="00000000" w14:paraId="000000BB">
      <w:pPr>
        <w:spacing w:after="240" w:line="360" w:lineRule="auto"/>
        <w:jc w:val="both"/>
        <w:rPr/>
      </w:pPr>
      <w:r w:rsidDel="00000000" w:rsidR="00000000" w:rsidRPr="00000000">
        <w:rPr>
          <w:rtl w:val="0"/>
        </w:rPr>
        <w:t xml:space="preserve">Rosis, S. De (2023). Performance measurement and user</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centeredness in the healthcare sector: Opening the black box adapting the framework of Donabedian. </w:t>
      </w:r>
      <w:r w:rsidDel="00000000" w:rsidR="00000000" w:rsidRPr="00000000">
        <w:rPr>
          <w:i w:val="1"/>
          <w:iCs w:val="1"/>
          <w:rtl w:val="0"/>
        </w:rPr>
        <w:t xml:space="preserve">The International Journal of Health Planning and Management</w:t>
      </w:r>
      <w:r w:rsidDel="00000000" w:rsidR="00000000" w:rsidRPr="00000000">
        <w:rPr>
          <w:rtl w:val="0"/>
        </w:rPr>
        <w:t xml:space="preserve">, [online] 39(4), pp.1172–1182. doi:10.1002/hpm.3732.</w:t>
      </w:r>
    </w:p>
    <w:p w:rsidR="00000000" w:rsidDel="00000000" w:rsidP="00000000" w:rsidRDefault="00000000" w:rsidRPr="00000000" w14:paraId="000000BC">
      <w:pPr>
        <w:spacing w:after="240" w:line="360" w:lineRule="auto"/>
        <w:jc w:val="both"/>
        <w:rPr/>
      </w:pPr>
      <w:r w:rsidDel="00000000" w:rsidR="00000000" w:rsidRPr="00000000">
        <w:rPr>
          <w:rtl w:val="0"/>
        </w:rPr>
        <w:t xml:space="preserve">Sath.nhs.uk (2026). </w:t>
      </w:r>
      <w:r w:rsidDel="00000000" w:rsidR="00000000" w:rsidRPr="00000000">
        <w:rPr>
          <w:i w:val="1"/>
          <w:iCs w:val="1"/>
          <w:rtl w:val="0"/>
        </w:rPr>
        <w:t xml:space="preserve">Shrewsbury and Telford Hospital NHS Trust (SaTH)</w:t>
      </w:r>
      <w:r w:rsidDel="00000000" w:rsidR="00000000" w:rsidRPr="00000000">
        <w:rPr>
          <w:rtl w:val="0"/>
        </w:rPr>
        <w:t xml:space="preserve">. [online] </w:t>
      </w:r>
      <w:r w:rsidDel="00000000" w:rsidR="00000000" w:rsidRPr="00000000">
        <w:rPr>
          <w:i w:val="1"/>
          <w:iCs w:val="1"/>
          <w:rtl w:val="0"/>
        </w:rPr>
        <w:t xml:space="preserve">SaTH</w:t>
      </w:r>
      <w:r w:rsidDel="00000000" w:rsidR="00000000" w:rsidRPr="00000000">
        <w:rPr>
          <w:rtl w:val="0"/>
        </w:rPr>
        <w:t xml:space="preserve">. Available at: </w:t>
      </w:r>
      <w:hyperlink r:id="rId23">
        <w:r w:rsidDel="00000000" w:rsidR="00000000" w:rsidRPr="00000000">
          <w:rPr>
            <w:color w:val="1155cc"/>
            <w:u w:val="single"/>
            <w:rtl w:val="0"/>
          </w:rPr>
          <w:t xml:space="preserve">https://www.sath.nhs.uk/</w:t>
        </w:r>
      </w:hyperlink>
      <w:r w:rsidDel="00000000" w:rsidR="00000000" w:rsidRPr="00000000">
        <w:rPr>
          <w:rtl w:val="0"/>
        </w:rPr>
        <w:t xml:space="preserve"> [Accessed 12 Aug. 2026].</w:t>
      </w:r>
    </w:p>
    <w:p w:rsidR="00000000" w:rsidDel="00000000" w:rsidP="00000000" w:rsidRDefault="00000000" w:rsidRPr="00000000" w14:paraId="000000BD">
      <w:pPr>
        <w:spacing w:after="240" w:line="360" w:lineRule="auto"/>
        <w:jc w:val="both"/>
        <w:rPr/>
      </w:pPr>
      <w:r w:rsidDel="00000000" w:rsidR="00000000" w:rsidRPr="00000000">
        <w:rPr>
          <w:rtl w:val="0"/>
        </w:rPr>
        <w:t xml:space="preserve">Sreedharan, J.K., Subbarayalu, A.V., AlRabeeah, S.M., Karthika, M., Shevade, M., Abdullah Al Nasser, M. and Alqahtani, A.S. (2022). Quality assurance in allied healthcare education: A narrative review. </w:t>
      </w:r>
      <w:r w:rsidDel="00000000" w:rsidR="00000000" w:rsidRPr="00000000">
        <w:rPr>
          <w:i w:val="1"/>
          <w:iCs w:val="1"/>
          <w:rtl w:val="0"/>
        </w:rPr>
        <w:t xml:space="preserve">Canadian Journal of Respiratory Therapy</w:t>
      </w:r>
      <w:r w:rsidDel="00000000" w:rsidR="00000000" w:rsidRPr="00000000">
        <w:rPr>
          <w:rtl w:val="0"/>
        </w:rPr>
        <w:t xml:space="preserve">, [online] 58, pp.103–110. doi:10.29390/cjrt-2022-009.</w:t>
      </w:r>
    </w:p>
    <w:p w:rsidR="00000000" w:rsidDel="00000000" w:rsidP="00000000" w:rsidRDefault="00000000" w:rsidRPr="00000000" w14:paraId="000000BE">
      <w:pPr>
        <w:spacing w:after="240" w:line="360" w:lineRule="auto"/>
        <w:jc w:val="both"/>
        <w:rPr/>
      </w:pPr>
      <w:r w:rsidDel="00000000" w:rsidR="00000000" w:rsidRPr="00000000">
        <w:rPr>
          <w:rtl w:val="0"/>
        </w:rPr>
        <w:t xml:space="preserve">Stucki, G. (2025). </w:t>
      </w:r>
      <w:r w:rsidDel="00000000" w:rsidR="00000000" w:rsidRPr="00000000">
        <w:rPr>
          <w:i w:val="1"/>
          <w:iCs w:val="1"/>
          <w:rtl w:val="0"/>
        </w:rPr>
        <w:t xml:space="preserve">The Swiss cheese model of errors and how to prevent major problems - everyday oral surgery</w:t>
      </w:r>
      <w:r w:rsidDel="00000000" w:rsidR="00000000" w:rsidRPr="00000000">
        <w:rPr>
          <w:rtl w:val="0"/>
        </w:rPr>
        <w:t xml:space="preserve">. [online] </w:t>
      </w:r>
      <w:r w:rsidDel="00000000" w:rsidR="00000000" w:rsidRPr="00000000">
        <w:rPr>
          <w:i w:val="1"/>
          <w:iCs w:val="1"/>
          <w:rtl w:val="0"/>
        </w:rPr>
        <w:t xml:space="preserve">Everyday Oral Surgery - Your source for all things OMS</w:t>
      </w:r>
      <w:r w:rsidDel="00000000" w:rsidR="00000000" w:rsidRPr="00000000">
        <w:rPr>
          <w:rtl w:val="0"/>
        </w:rPr>
        <w:t xml:space="preserve">. Available at: </w:t>
      </w:r>
      <w:hyperlink r:id="rId24">
        <w:r w:rsidDel="00000000" w:rsidR="00000000" w:rsidRPr="00000000">
          <w:rPr>
            <w:color w:val="1155cc"/>
            <w:u w:val="single"/>
            <w:rtl w:val="0"/>
          </w:rPr>
          <w:t xml:space="preserve">https://www.everydayoralsurgery.com/the-swiss-cheese-model-of-errors-and-how-to-prevent-major-problems/</w:t>
        </w:r>
      </w:hyperlink>
      <w:r w:rsidDel="00000000" w:rsidR="00000000" w:rsidRPr="00000000">
        <w:rPr>
          <w:rtl w:val="0"/>
        </w:rPr>
        <w:t xml:space="preserve"> [Accessed 12 Aug. 2026].</w:t>
      </w:r>
    </w:p>
    <w:p w:rsidR="00000000" w:rsidDel="00000000" w:rsidP="00000000" w:rsidRDefault="00000000" w:rsidRPr="00000000" w14:paraId="000000BF">
      <w:pPr>
        <w:spacing w:after="240" w:line="360" w:lineRule="auto"/>
        <w:jc w:val="both"/>
        <w:rPr/>
      </w:pPr>
      <w:r w:rsidDel="00000000" w:rsidR="00000000" w:rsidRPr="00000000">
        <w:rPr>
          <w:rtl w:val="0"/>
        </w:rPr>
        <w:t xml:space="preserve">Tamata, A.T. and Mohammadnezhad, M. (2022). A systematic review study on the factors affecting shortage of nursing workforce in the hospitals. </w:t>
      </w:r>
      <w:r w:rsidDel="00000000" w:rsidR="00000000" w:rsidRPr="00000000">
        <w:rPr>
          <w:i w:val="1"/>
          <w:iCs w:val="1"/>
          <w:rtl w:val="0"/>
        </w:rPr>
        <w:t xml:space="preserve">Nursing Open</w:t>
      </w:r>
      <w:r w:rsidDel="00000000" w:rsidR="00000000" w:rsidRPr="00000000">
        <w:rPr>
          <w:rtl w:val="0"/>
        </w:rPr>
        <w:t xml:space="preserve">, [online] 10(3), pp.1247–1257. doi:10.1002/nop2.1434.</w:t>
      </w:r>
    </w:p>
    <w:p w:rsidR="00000000" w:rsidDel="00000000" w:rsidP="00000000" w:rsidRDefault="00000000" w:rsidRPr="00000000" w14:paraId="000000C0">
      <w:pPr>
        <w:spacing w:after="240" w:line="360" w:lineRule="auto"/>
        <w:jc w:val="both"/>
        <w:rPr/>
      </w:pPr>
      <w:r w:rsidDel="00000000" w:rsidR="00000000" w:rsidRPr="00000000">
        <w:rPr>
          <w:rtl w:val="0"/>
        </w:rPr>
        <w:t xml:space="preserve">Tay, C.T., Joham, A.E. and Teede, H.J. (2025). Key standards and principles for developing evidence-based clinical guidelines: Balancing health professional, patient, funder, and government needs. </w:t>
      </w:r>
      <w:r w:rsidDel="00000000" w:rsidR="00000000" w:rsidRPr="00000000">
        <w:rPr>
          <w:i w:val="1"/>
          <w:iCs w:val="1"/>
          <w:rtl w:val="0"/>
        </w:rPr>
        <w:t xml:space="preserve">Fertility and Sterility</w:t>
      </w:r>
      <w:r w:rsidDel="00000000" w:rsidR="00000000" w:rsidRPr="00000000">
        <w:rPr>
          <w:rtl w:val="0"/>
        </w:rPr>
        <w:t xml:space="preserve">, [online] 123(4), pp.561–568. doi:10.1016/j.fertnstert.2025.01.023.</w:t>
      </w:r>
    </w:p>
    <w:p w:rsidR="00000000" w:rsidDel="00000000" w:rsidP="00000000" w:rsidRDefault="00000000" w:rsidRPr="00000000" w14:paraId="000000C1">
      <w:pPr>
        <w:spacing w:after="240" w:line="360" w:lineRule="auto"/>
        <w:jc w:val="both"/>
        <w:rPr/>
      </w:pPr>
      <w:r w:rsidDel="00000000" w:rsidR="00000000" w:rsidRPr="00000000">
        <w:rPr>
          <w:rtl w:val="0"/>
        </w:rPr>
        <w:t xml:space="preserve">Thenhsalliance.org (2023). </w:t>
      </w:r>
      <w:r w:rsidDel="00000000" w:rsidR="00000000" w:rsidRPr="00000000">
        <w:rPr>
          <w:i w:val="1"/>
          <w:iCs w:val="1"/>
          <w:rtl w:val="0"/>
        </w:rPr>
        <w:t xml:space="preserve">Case study: Shrewsbury and Telford Hospital NHS Trust</w:t>
      </w:r>
      <w:r w:rsidDel="00000000" w:rsidR="00000000" w:rsidRPr="00000000">
        <w:rPr>
          <w:rtl w:val="0"/>
        </w:rPr>
        <w:t xml:space="preserve">. [online] The NHS Alliance. Available at: </w:t>
      </w:r>
      <w:hyperlink r:id="rId25">
        <w:r w:rsidDel="00000000" w:rsidR="00000000" w:rsidRPr="00000000">
          <w:rPr>
            <w:color w:val="1155cc"/>
            <w:u w:val="single"/>
            <w:rtl w:val="0"/>
          </w:rPr>
          <w:t xml:space="preserve">https://thenhsalliance.org/resources/improving-health-literacy-in-the-nhs/case-study-shrewsbury-and-telford-hospital-nhs-trust</w:t>
        </w:r>
      </w:hyperlink>
      <w:r w:rsidDel="00000000" w:rsidR="00000000" w:rsidRPr="00000000">
        <w:rPr>
          <w:rtl w:val="0"/>
        </w:rPr>
        <w:t xml:space="preserve"> [Accessed 12 Aug. 2026].</w:t>
      </w:r>
    </w:p>
    <w:p w:rsidR="00000000" w:rsidDel="00000000" w:rsidP="00000000" w:rsidRDefault="00000000" w:rsidRPr="00000000" w14:paraId="000000C2">
      <w:pPr>
        <w:spacing w:after="240" w:line="360" w:lineRule="auto"/>
        <w:jc w:val="both"/>
        <w:rPr/>
      </w:pPr>
      <w:r w:rsidDel="00000000" w:rsidR="00000000" w:rsidRPr="00000000">
        <w:rPr>
          <w:rtl w:val="0"/>
        </w:rPr>
        <w:t xml:space="preserve">Timms.le.ac.uk (2023). </w:t>
      </w:r>
      <w:r w:rsidDel="00000000" w:rsidR="00000000" w:rsidRPr="00000000">
        <w:rPr>
          <w:i w:val="1"/>
          <w:iCs w:val="1"/>
          <w:rtl w:val="0"/>
        </w:rPr>
        <w:t xml:space="preserve">State of the nation report | MBRRACE-UK</w:t>
      </w:r>
      <w:r w:rsidDel="00000000" w:rsidR="00000000" w:rsidRPr="00000000">
        <w:rPr>
          <w:rtl w:val="0"/>
        </w:rPr>
        <w:t xml:space="preserve">. [online] </w:t>
      </w:r>
      <w:r w:rsidDel="00000000" w:rsidR="00000000" w:rsidRPr="00000000">
        <w:rPr>
          <w:i w:val="1"/>
          <w:iCs w:val="1"/>
          <w:rtl w:val="0"/>
        </w:rPr>
        <w:t xml:space="preserve">timms.le.ac.uk</w:t>
      </w:r>
      <w:r w:rsidDel="00000000" w:rsidR="00000000" w:rsidRPr="00000000">
        <w:rPr>
          <w:rtl w:val="0"/>
        </w:rPr>
        <w:t xml:space="preserve">. Available at: </w:t>
      </w:r>
      <w:hyperlink r:id="rId26">
        <w:r w:rsidDel="00000000" w:rsidR="00000000" w:rsidRPr="00000000">
          <w:rPr>
            <w:color w:val="1155cc"/>
            <w:u w:val="single"/>
            <w:rtl w:val="0"/>
          </w:rPr>
          <w:t xml:space="preserve">https://timms.le.ac.uk/mbrrace-uk-perinatal-mortality/surveillance/</w:t>
        </w:r>
      </w:hyperlink>
      <w:r w:rsidDel="00000000" w:rsidR="00000000" w:rsidRPr="00000000">
        <w:rPr>
          <w:rtl w:val="0"/>
        </w:rPr>
        <w:t xml:space="preserve"> [Accessed 12 Aug. 2026].</w:t>
      </w:r>
    </w:p>
    <w:p w:rsidR="00000000" w:rsidDel="00000000" w:rsidP="00000000" w:rsidRDefault="00000000" w:rsidRPr="00000000" w14:paraId="000000C3">
      <w:pPr>
        <w:spacing w:after="240" w:line="360" w:lineRule="auto"/>
        <w:jc w:val="both"/>
        <w:rPr/>
      </w:pPr>
      <w:r w:rsidDel="00000000" w:rsidR="00000000" w:rsidRPr="00000000">
        <w:rPr>
          <w:rtl w:val="0"/>
        </w:rPr>
        <w:t xml:space="preserve">Timothy, K., Lloyd, B. and Bradshaw, C. (2025). Healthcare professionals’ perceptions of risk management on pregnancy and childbirth: An integrative review. </w:t>
      </w:r>
      <w:r w:rsidDel="00000000" w:rsidR="00000000" w:rsidRPr="00000000">
        <w:rPr>
          <w:i w:val="1"/>
          <w:iCs w:val="1"/>
          <w:rtl w:val="0"/>
        </w:rPr>
        <w:t xml:space="preserve">Midwifery</w:t>
      </w:r>
      <w:r w:rsidDel="00000000" w:rsidR="00000000" w:rsidRPr="00000000">
        <w:rPr>
          <w:rtl w:val="0"/>
        </w:rPr>
        <w:t xml:space="preserve">, [online] 145, pp.104376–104376. doi:10.1016/j.midw.2025.104376.</w:t>
      </w:r>
    </w:p>
    <w:p w:rsidR="00000000" w:rsidDel="00000000" w:rsidP="00000000" w:rsidRDefault="00000000" w:rsidRPr="00000000" w14:paraId="000000C4">
      <w:pPr>
        <w:spacing w:after="240" w:line="360" w:lineRule="auto"/>
        <w:jc w:val="both"/>
        <w:rPr/>
      </w:pPr>
      <w:r w:rsidDel="00000000" w:rsidR="00000000" w:rsidRPr="00000000">
        <w:rPr>
          <w:rtl w:val="0"/>
        </w:rPr>
        <w:t xml:space="preserve">Tossaint-Schoenmakers, R., Versluis, A., Chavannes, N., Talboom-Kamp, E. and Kasteleyn, M. (2021). The challenge of integrating eHealth into health care: Systematic literature review of the Donabedian model of structure, process, and outcome. </w:t>
      </w:r>
      <w:r w:rsidDel="00000000" w:rsidR="00000000" w:rsidRPr="00000000">
        <w:rPr>
          <w:i w:val="1"/>
          <w:iCs w:val="1"/>
          <w:rtl w:val="0"/>
        </w:rPr>
        <w:t xml:space="preserve">Journal of Medical Internet Research</w:t>
      </w:r>
      <w:r w:rsidDel="00000000" w:rsidR="00000000" w:rsidRPr="00000000">
        <w:rPr>
          <w:rtl w:val="0"/>
        </w:rPr>
        <w:t xml:space="preserve">, [online] 23(5), p.e27180. doi:10.2196/27180.</w:t>
      </w:r>
    </w:p>
    <w:p w:rsidR="00000000" w:rsidDel="00000000" w:rsidP="00000000" w:rsidRDefault="00000000" w:rsidRPr="00000000" w14:paraId="000000C5">
      <w:pPr>
        <w:spacing w:after="240" w:line="360" w:lineRule="auto"/>
        <w:jc w:val="both"/>
        <w:rPr/>
      </w:pPr>
      <w:r w:rsidDel="00000000" w:rsidR="00000000" w:rsidRPr="00000000">
        <w:rPr>
          <w:rtl w:val="0"/>
        </w:rPr>
        <w:t xml:space="preserve">Wiegmann, D.A., J. Wood, L., N. Cohen, T. and Shappell, S.A. (2022). Understanding the “Swiss cheese model” and its application to patient safety. </w:t>
      </w:r>
      <w:r w:rsidDel="00000000" w:rsidR="00000000" w:rsidRPr="00000000">
        <w:rPr>
          <w:i w:val="1"/>
          <w:iCs w:val="1"/>
          <w:rtl w:val="0"/>
        </w:rPr>
        <w:t xml:space="preserve">Journal of Patient Safety</w:t>
      </w:r>
      <w:r w:rsidDel="00000000" w:rsidR="00000000" w:rsidRPr="00000000">
        <w:rPr>
          <w:rtl w:val="0"/>
        </w:rPr>
        <w:t xml:space="preserve">, [online] 18(2), pp.119–123. Available at: </w:t>
      </w:r>
      <w:hyperlink r:id="rId27">
        <w:r w:rsidDel="00000000" w:rsidR="00000000" w:rsidRPr="00000000">
          <w:rPr>
            <w:color w:val="1155cc"/>
            <w:u w:val="single"/>
            <w:rtl w:val="0"/>
          </w:rPr>
          <w:t xml:space="preserve">https://www.ncbi.nlm.nih.gov/pmc/articles/PMC8514562/</w:t>
        </w:r>
      </w:hyperlink>
      <w:r w:rsidDel="00000000" w:rsidR="00000000" w:rsidRPr="00000000">
        <w:rPr>
          <w:rtl w:val="0"/>
        </w:rPr>
        <w:t xml:space="preserve"> [Accessed 12 Aug. 2026].</w:t>
      </w:r>
    </w:p>
    <w:p w:rsidR="00000000" w:rsidDel="00000000" w:rsidP="00000000" w:rsidRDefault="00000000" w:rsidRPr="00000000" w14:paraId="000000C6">
      <w:pPr>
        <w:spacing w:after="240" w:line="360" w:lineRule="auto"/>
        <w:jc w:val="both"/>
        <w:rPr/>
      </w:pPr>
      <w:r w:rsidDel="00000000" w:rsidR="00000000" w:rsidRPr="00000000">
        <w:rPr>
          <w:rtl w:val="0"/>
        </w:rPr>
        <w:t xml:space="preserve">Yiğit, D. and Unutkan, A. (2026). Mothers’ perceptions of respectful maternity care and their parental self-confidence levels: A cross-sectional study. </w:t>
      </w:r>
      <w:r w:rsidDel="00000000" w:rsidR="00000000" w:rsidRPr="00000000">
        <w:rPr>
          <w:i w:val="1"/>
          <w:iCs w:val="1"/>
          <w:rtl w:val="0"/>
        </w:rPr>
        <w:t xml:space="preserve">BMC Women’s Health</w:t>
      </w:r>
      <w:r w:rsidDel="00000000" w:rsidR="00000000" w:rsidRPr="00000000">
        <w:rPr>
          <w:rtl w:val="0"/>
        </w:rPr>
        <w:t xml:space="preserve">, [online] 26(1), p.51. doi:10.1186/s12905-026-04294-5.</w:t>
      </w:r>
    </w:p>
    <w:p w:rsidR="00000000" w:rsidDel="00000000" w:rsidP="00000000" w:rsidRDefault="00000000" w:rsidRPr="00000000" w14:paraId="000000C7">
      <w:pPr>
        <w:spacing w:after="240" w:line="360" w:lineRule="auto"/>
        <w:jc w:val="both"/>
        <w:rPr/>
      </w:pPr>
      <w:r w:rsidDel="00000000" w:rsidR="00000000" w:rsidRPr="00000000">
        <w:rPr>
          <w:rtl w:val="0"/>
        </w:rPr>
        <w:t xml:space="preserve">Yusoff, H.M., Ahmad, H., Ismail, H., Reffin, N., Chan, D., Kusnin, F., Bahari, N., Baharudin, H., Aris, A., Shen, H.Z. and Rahman, M.A. (2023). Contemporary evidence of workplace violence against the primary healthcare workforce worldwide: A systematic review. </w:t>
      </w:r>
      <w:r w:rsidDel="00000000" w:rsidR="00000000" w:rsidRPr="00000000">
        <w:rPr>
          <w:i w:val="1"/>
          <w:iCs w:val="1"/>
          <w:rtl w:val="0"/>
        </w:rPr>
        <w:t xml:space="preserve">Human Resources for Health</w:t>
      </w:r>
      <w:r w:rsidDel="00000000" w:rsidR="00000000" w:rsidRPr="00000000">
        <w:rPr>
          <w:rtl w:val="0"/>
        </w:rPr>
        <w:t xml:space="preserve">, [online] 21(1), p.82. doi:10.1186/s12960-023-00868-8.</w:t>
      </w:r>
    </w:p>
    <w:p w:rsidR="00000000" w:rsidDel="00000000" w:rsidP="00000000" w:rsidRDefault="00000000" w:rsidRPr="00000000" w14:paraId="000000C8">
      <w:pPr>
        <w:spacing w:line="360" w:lineRule="auto"/>
        <w:jc w:val="both"/>
        <w:rPr/>
      </w:pPr>
      <w:r w:rsidDel="00000000" w:rsidR="00000000" w:rsidRPr="00000000">
        <w:rPr>
          <w:rtl w:val="0"/>
        </w:rPr>
      </w:r>
    </w:p>
    <w:sectPr>
      <w:footerReference r:id="rId28"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 w:name="Cambria Math"/>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9">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360" w:lineRule="auto"/>
      <w:jc w:val="both"/>
    </w:pPr>
    <w:rPr>
      <w:b w:val="1"/>
      <w:bCs w:val="1"/>
      <w:color w:val="000000"/>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bCs w:val="1"/>
      <w:color w:val="000000"/>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tblPr>
      <w:tblStyleRowBandSize w:val="1"/>
      <w:tblStyleColBandSize w:val="1"/>
      <w:tblCellMar>
        <w:top w:w="0.0" w:type="dxa"/>
        <w:left w:w="115.0" w:type="dxa"/>
        <w:bottom w:w="0.0" w:type="dxa"/>
        <w:right w:w="115.0" w:type="dxa"/>
      </w:tblCellMar>
    </w:tblPr>
    <w:tcPr>
      <w:shd w:fill="fde9d9" w:val="clear"/>
    </w:tcPr>
    <w:tblStylePr w:type="band1Horz">
      <w:tcPr>
        <w:shd w:fill="fbd4b4" w:val="clear"/>
      </w:tcPr>
    </w:tblStylePr>
    <w:tblStylePr w:type="band1Vert">
      <w:tcPr>
        <w:shd w:fill="fbd4b4"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f79646"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f79646"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f79646"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f79646" w:val="clear"/>
      </w:tcPr>
    </w:tblStylePr>
  </w:style>
  <w:style w:type="table" w:styleId="Table2">
    <w:basedOn w:val="TableNormal"/>
    <w:pPr>
      <w:spacing w:line="240" w:lineRule="auto"/>
    </w:pPr>
    <w:tblPr>
      <w:tblStyleRowBandSize w:val="1"/>
      <w:tblStyleColBandSize w:val="1"/>
      <w:tblCellMar>
        <w:top w:w="0.0" w:type="dxa"/>
        <w:left w:w="115.0" w:type="dxa"/>
        <w:bottom w:w="0.0" w:type="dxa"/>
        <w:right w:w="115.0" w:type="dxa"/>
      </w:tblCellMar>
    </w:tblPr>
    <w:tcPr>
      <w:shd w:fill="daeef3" w:val="clear"/>
    </w:tcPr>
    <w:tblStylePr w:type="band1Horz">
      <w:tcPr>
        <w:shd w:fill="b6dde8" w:val="clear"/>
      </w:tcPr>
    </w:tblStylePr>
    <w:tblStylePr w:type="band1Vert">
      <w:tcPr>
        <w:shd w:fill="b6dde8"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4bacc6"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bacc6"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4bacc6"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bacc6" w:val="clear"/>
      </w:tcPr>
    </w:tblStylePr>
  </w:style>
  <w:style w:type="table" w:styleId="Table3">
    <w:basedOn w:val="TableNormal"/>
    <w:pPr>
      <w:spacing w:line="240" w:lineRule="auto"/>
    </w:pPr>
    <w:tblPr>
      <w:tblStyleRowBandSize w:val="1"/>
      <w:tblStyleColBandSize w:val="1"/>
      <w:tblCellMar>
        <w:top w:w="0.0" w:type="dxa"/>
        <w:left w:w="115.0" w:type="dxa"/>
        <w:bottom w:w="0.0" w:type="dxa"/>
        <w:right w:w="115.0" w:type="dxa"/>
      </w:tblCellMar>
    </w:tblPr>
    <w:tcPr>
      <w:shd w:fill="f2dbdb" w:val="clear"/>
    </w:tcPr>
    <w:tblStylePr w:type="band1Horz">
      <w:tcPr>
        <w:shd w:fill="e5b8b7" w:val="clear"/>
      </w:tcPr>
    </w:tblStylePr>
    <w:tblStylePr w:type="band1Vert">
      <w:tcPr>
        <w:shd w:fill="e5b8b7"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c0504d"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c0504d"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c0504d"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c0504d" w:val="clear"/>
      </w:tcPr>
    </w:tblStylePr>
  </w:style>
  <w:style w:type="table" w:styleId="Table4">
    <w:basedOn w:val="TableNormal"/>
    <w:pPr>
      <w:spacing w:line="240" w:lineRule="auto"/>
    </w:pPr>
    <w:tblPr>
      <w:tblStyleRowBandSize w:val="1"/>
      <w:tblStyleColBandSize w:val="1"/>
      <w:tblCellMar>
        <w:top w:w="0.0" w:type="dxa"/>
        <w:left w:w="115.0" w:type="dxa"/>
        <w:bottom w:w="0.0" w:type="dxa"/>
        <w:right w:w="115.0" w:type="dxa"/>
      </w:tblCellMar>
    </w:tblPr>
    <w:tcPr>
      <w:shd w:fill="eaf1dd" w:val="clear"/>
    </w:tcPr>
    <w:tblStylePr w:type="band1Horz">
      <w:tcPr>
        <w:shd w:fill="d6e3bc" w:val="clear"/>
      </w:tcPr>
    </w:tblStylePr>
    <w:tblStylePr w:type="band1Vert">
      <w:tcPr>
        <w:shd w:fill="d6e3bc"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9bbb59"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9bbb59"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9bbb59"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9bbb59" w:val="clear"/>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assets.publishing.service.gov.uk/media/624332fe8fa8f527744f0615/Final-Ockenden-Report-web-accessible.pdf" TargetMode="External"/><Relationship Id="rId22" Type="http://schemas.openxmlformats.org/officeDocument/2006/relationships/hyperlink" Target="https://www.bbc.com/news/articles/c4gk6p0gz95o" TargetMode="External"/><Relationship Id="rId21" Type="http://schemas.openxmlformats.org/officeDocument/2006/relationships/hyperlink" Target="https://www.ons.gov.uk/peoplepopulationandcommunity/birthsdeathsandmarriages/deaths/bulletins/childhoodinfantandperinatalmortalityinenglandandwales/2024" TargetMode="External"/><Relationship Id="rId24" Type="http://schemas.openxmlformats.org/officeDocument/2006/relationships/hyperlink" Target="https://www.everydayoralsurgery.com/the-swiss-cheese-model-of-errors-and-how-to-prevent-major-problems/" TargetMode="External"/><Relationship Id="rId23" Type="http://schemas.openxmlformats.org/officeDocument/2006/relationships/hyperlink" Target="https://www.sath.nhs.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timms.le.ac.uk/mbrrace-uk-perinatal-mortality/surveillance/" TargetMode="External"/><Relationship Id="rId25" Type="http://schemas.openxmlformats.org/officeDocument/2006/relationships/hyperlink" Target="https://thenhsalliance.org/resources/improving-health-literacy-in-the-nhs/case-study-shrewsbury-and-telford-hospital-nhs-trust" TargetMode="External"/><Relationship Id="rId28" Type="http://schemas.openxmlformats.org/officeDocument/2006/relationships/footer" Target="footer1.xml"/><Relationship Id="rId27" Type="http://schemas.openxmlformats.org/officeDocument/2006/relationships/hyperlink" Target="https://www.ncbi.nlm.nih.gov/pmc/articles/PMC8514562/"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6.png"/><Relationship Id="rId15" Type="http://schemas.openxmlformats.org/officeDocument/2006/relationships/hyperlink" Target="https://www.intechopen.com/chapters/82848" TargetMode="External"/><Relationship Id="rId14" Type="http://schemas.openxmlformats.org/officeDocument/2006/relationships/image" Target="media/image8.png"/><Relationship Id="rId17" Type="http://schemas.openxmlformats.org/officeDocument/2006/relationships/hyperlink" Target="https://www.ihprojects.co.uk/news/2024/10-october/the-shrewsbury-and-telford-nhs-hospital-trust-signs-multi-million-pounds-contract-with-ihp.html" TargetMode="External"/><Relationship Id="rId16" Type="http://schemas.openxmlformats.org/officeDocument/2006/relationships/hyperlink" Target="https://www.sciencedirect.com/science/article/pii/S0266613822000377" TargetMode="External"/><Relationship Id="rId19" Type="http://schemas.openxmlformats.org/officeDocument/2006/relationships/hyperlink" Target="https://www.newsnationnow.com/health/health-headlines/uk-maternity-scandal-review-finds-200-avoidable-baby-deaths/" TargetMode="External"/><Relationship Id="rId18" Type="http://schemas.openxmlformats.org/officeDocument/2006/relationships/hyperlink" Target="https://www.nuffieldtrust.org.uk/resource/is-england-making-progress-to-improve-maternity-care-an-explai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