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512231" w14:textId="60306C30" w:rsidR="00F87712" w:rsidRDefault="00F87712">
      <w:pPr>
        <w:rPr>
          <w:u w:val="single"/>
        </w:rPr>
      </w:pPr>
    </w:p>
    <w:p w14:paraId="01736599" w14:textId="77777777" w:rsidR="00C74F07" w:rsidRPr="003A2EE9" w:rsidRDefault="00C74F07" w:rsidP="00C74F07">
      <w:pPr>
        <w:jc w:val="center"/>
        <w:rPr>
          <w:rFonts w:ascii="Arial" w:hAnsi="Arial" w:cs="Arial"/>
          <w:b/>
          <w:bCs/>
          <w:sz w:val="28"/>
          <w:szCs w:val="28"/>
        </w:rPr>
      </w:pPr>
      <w:r w:rsidRPr="003A2EE9">
        <w:rPr>
          <w:rFonts w:ascii="Arial" w:hAnsi="Arial" w:cs="Arial"/>
          <w:b/>
          <w:bCs/>
          <w:sz w:val="28"/>
          <w:szCs w:val="28"/>
        </w:rPr>
        <w:t>LEGAL PROCESS</w:t>
      </w:r>
    </w:p>
    <w:p w14:paraId="430D45FF" w14:textId="77777777" w:rsidR="00C74F07" w:rsidRPr="00124455" w:rsidRDefault="00C74F07" w:rsidP="00C74F07">
      <w:pPr>
        <w:jc w:val="center"/>
        <w:rPr>
          <w:rFonts w:ascii="Arial" w:hAnsi="Arial" w:cs="Arial"/>
          <w:b/>
          <w:bCs/>
          <w:sz w:val="24"/>
          <w:szCs w:val="24"/>
        </w:rPr>
      </w:pPr>
    </w:p>
    <w:p w14:paraId="6F430FF1" w14:textId="77777777" w:rsidR="00C74F07" w:rsidRDefault="00C74F07" w:rsidP="00C74F07">
      <w:pPr>
        <w:jc w:val="center"/>
        <w:rPr>
          <w:rFonts w:ascii="Arial" w:hAnsi="Arial" w:cs="Arial"/>
          <w:b/>
          <w:bCs/>
          <w:sz w:val="24"/>
          <w:szCs w:val="24"/>
        </w:rPr>
      </w:pPr>
    </w:p>
    <w:p w14:paraId="7AC780B7" w14:textId="77777777" w:rsidR="00C74F07" w:rsidRDefault="00C74F07" w:rsidP="00C74F07">
      <w:pPr>
        <w:jc w:val="center"/>
        <w:rPr>
          <w:rFonts w:ascii="Arial" w:hAnsi="Arial" w:cs="Arial"/>
          <w:b/>
          <w:bCs/>
          <w:sz w:val="24"/>
          <w:szCs w:val="24"/>
        </w:rPr>
      </w:pPr>
    </w:p>
    <w:p w14:paraId="52A1E989" w14:textId="77777777" w:rsidR="00C74F07" w:rsidRDefault="00C74F07" w:rsidP="00C74F07">
      <w:pPr>
        <w:jc w:val="center"/>
        <w:rPr>
          <w:rFonts w:ascii="Arial" w:hAnsi="Arial" w:cs="Arial"/>
          <w:b/>
          <w:bCs/>
          <w:sz w:val="24"/>
          <w:szCs w:val="24"/>
        </w:rPr>
      </w:pPr>
    </w:p>
    <w:p w14:paraId="28890CC1" w14:textId="77777777" w:rsidR="00C74F07" w:rsidRDefault="00C74F07" w:rsidP="00C74F07">
      <w:pPr>
        <w:jc w:val="center"/>
        <w:rPr>
          <w:rFonts w:ascii="Arial" w:hAnsi="Arial" w:cs="Arial"/>
          <w:b/>
          <w:bCs/>
          <w:sz w:val="24"/>
          <w:szCs w:val="24"/>
        </w:rPr>
      </w:pPr>
    </w:p>
    <w:p w14:paraId="2CBB15BE" w14:textId="77777777" w:rsidR="00C74F07" w:rsidRPr="00124455" w:rsidRDefault="00C74F07" w:rsidP="00C74F07">
      <w:pPr>
        <w:jc w:val="center"/>
        <w:rPr>
          <w:rFonts w:ascii="Arial" w:hAnsi="Arial" w:cs="Arial"/>
          <w:b/>
          <w:bCs/>
          <w:sz w:val="24"/>
          <w:szCs w:val="24"/>
        </w:rPr>
      </w:pPr>
      <w:r w:rsidRPr="00124455">
        <w:rPr>
          <w:rFonts w:ascii="Arial" w:hAnsi="Arial" w:cs="Arial"/>
          <w:b/>
          <w:bCs/>
          <w:sz w:val="24"/>
          <w:szCs w:val="24"/>
        </w:rPr>
        <w:t>MODULE CODE BMPL4005, BMLW4006</w:t>
      </w:r>
    </w:p>
    <w:p w14:paraId="203DD465" w14:textId="77777777" w:rsidR="00C74F07" w:rsidRPr="00124455" w:rsidRDefault="00C74F07" w:rsidP="00C74F07">
      <w:pPr>
        <w:jc w:val="center"/>
        <w:rPr>
          <w:rFonts w:ascii="Arial" w:hAnsi="Arial" w:cs="Arial"/>
          <w:b/>
          <w:bCs/>
          <w:sz w:val="24"/>
          <w:szCs w:val="24"/>
        </w:rPr>
      </w:pPr>
    </w:p>
    <w:p w14:paraId="7F09ED45" w14:textId="77777777" w:rsidR="00C74F07" w:rsidRPr="00124455" w:rsidRDefault="00C74F07" w:rsidP="00C74F07">
      <w:pPr>
        <w:jc w:val="center"/>
        <w:rPr>
          <w:rFonts w:ascii="Arial" w:hAnsi="Arial" w:cs="Arial"/>
          <w:b/>
          <w:bCs/>
          <w:sz w:val="24"/>
          <w:szCs w:val="24"/>
        </w:rPr>
      </w:pPr>
      <w:r w:rsidRPr="00124455">
        <w:rPr>
          <w:rFonts w:ascii="Arial" w:hAnsi="Arial" w:cs="Arial"/>
          <w:b/>
          <w:bCs/>
          <w:sz w:val="24"/>
          <w:szCs w:val="24"/>
        </w:rPr>
        <w:t>ASSIGNMENT TITLE: COMMON LAW</w:t>
      </w:r>
    </w:p>
    <w:p w14:paraId="3AE07451" w14:textId="77777777" w:rsidR="00C74F07" w:rsidRDefault="00C74F07" w:rsidP="00C74F07"/>
    <w:p w14:paraId="4FDB11D4" w14:textId="77777777" w:rsidR="00C74F07" w:rsidRDefault="00C74F07" w:rsidP="00C74F07"/>
    <w:p w14:paraId="2247DA05" w14:textId="77777777" w:rsidR="00C74F07" w:rsidRDefault="00C74F07" w:rsidP="00C74F07"/>
    <w:p w14:paraId="3983A9CA" w14:textId="77777777" w:rsidR="00C74F07" w:rsidRDefault="00C74F07" w:rsidP="00C74F07">
      <w:pPr>
        <w:jc w:val="right"/>
      </w:pPr>
    </w:p>
    <w:p w14:paraId="0B157829" w14:textId="77777777" w:rsidR="00C74F07" w:rsidRDefault="00C74F07" w:rsidP="00C74F07">
      <w:pPr>
        <w:jc w:val="right"/>
      </w:pPr>
    </w:p>
    <w:p w14:paraId="51AF8533" w14:textId="77777777" w:rsidR="00C74F07" w:rsidRDefault="00C74F07" w:rsidP="00C74F07">
      <w:pPr>
        <w:jc w:val="right"/>
      </w:pPr>
    </w:p>
    <w:p w14:paraId="5595DA3B" w14:textId="77777777" w:rsidR="00C74F07" w:rsidRDefault="00C74F07" w:rsidP="00C74F07">
      <w:pPr>
        <w:jc w:val="right"/>
      </w:pPr>
    </w:p>
    <w:p w14:paraId="70E1E811" w14:textId="77777777" w:rsidR="00C74F07" w:rsidRDefault="00C74F07" w:rsidP="00C74F07">
      <w:pPr>
        <w:jc w:val="right"/>
      </w:pPr>
    </w:p>
    <w:p w14:paraId="2590BDD4" w14:textId="77777777" w:rsidR="00C74F07" w:rsidRPr="00124455" w:rsidRDefault="00C74F07" w:rsidP="00C74F07">
      <w:pPr>
        <w:jc w:val="right"/>
        <w:rPr>
          <w:rFonts w:ascii="Arial" w:hAnsi="Arial" w:cs="Arial"/>
          <w:sz w:val="24"/>
          <w:szCs w:val="24"/>
        </w:rPr>
      </w:pPr>
      <w:r w:rsidRPr="00124455">
        <w:rPr>
          <w:rFonts w:ascii="Arial" w:hAnsi="Arial" w:cs="Arial"/>
          <w:sz w:val="24"/>
          <w:szCs w:val="24"/>
        </w:rPr>
        <w:t>STUDENT: RAYMOND SMEDY</w:t>
      </w:r>
    </w:p>
    <w:p w14:paraId="3CCF25FD" w14:textId="77777777" w:rsidR="00C74F07" w:rsidRPr="00124455" w:rsidRDefault="00C74F07" w:rsidP="00C74F07">
      <w:pPr>
        <w:jc w:val="right"/>
        <w:rPr>
          <w:rFonts w:ascii="Arial" w:hAnsi="Arial" w:cs="Arial"/>
          <w:sz w:val="24"/>
          <w:szCs w:val="24"/>
        </w:rPr>
      </w:pPr>
      <w:r w:rsidRPr="00124455">
        <w:rPr>
          <w:rFonts w:ascii="Arial" w:hAnsi="Arial" w:cs="Arial"/>
          <w:sz w:val="24"/>
          <w:szCs w:val="24"/>
        </w:rPr>
        <w:t>STUDENT NUMBER: 2213769</w:t>
      </w:r>
    </w:p>
    <w:p w14:paraId="71F128AF" w14:textId="49F54F4F" w:rsidR="00C74F07" w:rsidRDefault="00C74F07" w:rsidP="00C74F07">
      <w:pPr>
        <w:jc w:val="right"/>
      </w:pPr>
      <w:r w:rsidRPr="00124455">
        <w:rPr>
          <w:rFonts w:ascii="Arial" w:hAnsi="Arial" w:cs="Arial"/>
          <w:sz w:val="24"/>
          <w:szCs w:val="24"/>
        </w:rPr>
        <w:t xml:space="preserve">DATE: </w:t>
      </w:r>
      <w:r>
        <w:rPr>
          <w:rFonts w:ascii="Arial" w:hAnsi="Arial" w:cs="Arial"/>
          <w:sz w:val="24"/>
          <w:szCs w:val="24"/>
        </w:rPr>
        <w:t>8</w:t>
      </w:r>
      <w:r w:rsidRPr="00124455">
        <w:rPr>
          <w:rFonts w:ascii="Arial" w:hAnsi="Arial" w:cs="Arial"/>
          <w:sz w:val="24"/>
          <w:szCs w:val="24"/>
          <w:vertAlign w:val="superscript"/>
        </w:rPr>
        <w:t>th</w:t>
      </w:r>
      <w:r w:rsidRPr="00124455">
        <w:rPr>
          <w:rFonts w:ascii="Arial" w:hAnsi="Arial" w:cs="Arial"/>
          <w:sz w:val="24"/>
          <w:szCs w:val="24"/>
        </w:rPr>
        <w:t xml:space="preserve"> MARCH 2023</w:t>
      </w:r>
    </w:p>
    <w:p w14:paraId="3CB34FE5" w14:textId="460CD198" w:rsidR="00C74F07" w:rsidRDefault="00C74F07">
      <w:pPr>
        <w:rPr>
          <w:u w:val="single"/>
        </w:rPr>
      </w:pPr>
    </w:p>
    <w:p w14:paraId="74D1800B" w14:textId="242A1F4F" w:rsidR="00C74F07" w:rsidRDefault="00C74F07">
      <w:pPr>
        <w:rPr>
          <w:u w:val="single"/>
        </w:rPr>
      </w:pPr>
    </w:p>
    <w:p w14:paraId="7EFFD02B" w14:textId="77777777" w:rsidR="00C74F07" w:rsidRDefault="00C74F07">
      <w:pPr>
        <w:rPr>
          <w:u w:val="single"/>
        </w:rPr>
      </w:pPr>
    </w:p>
    <w:p w14:paraId="66F9533D" w14:textId="76B420BA" w:rsidR="00233F88" w:rsidRDefault="00233F88">
      <w:pPr>
        <w:rPr>
          <w:u w:val="single"/>
        </w:rPr>
      </w:pPr>
    </w:p>
    <w:p w14:paraId="775881B8" w14:textId="19755D51" w:rsidR="00C74F07" w:rsidRDefault="00C74F07">
      <w:pPr>
        <w:rPr>
          <w:u w:val="single"/>
        </w:rPr>
      </w:pPr>
    </w:p>
    <w:p w14:paraId="4689AE70" w14:textId="2AF5D981" w:rsidR="00C74F07" w:rsidRDefault="00C74F07">
      <w:pPr>
        <w:rPr>
          <w:u w:val="single"/>
        </w:rPr>
      </w:pPr>
    </w:p>
    <w:p w14:paraId="34A5E309" w14:textId="5B039A72" w:rsidR="00C74F07" w:rsidRDefault="00C74F07">
      <w:pPr>
        <w:rPr>
          <w:u w:val="single"/>
        </w:rPr>
      </w:pPr>
    </w:p>
    <w:p w14:paraId="344900E0" w14:textId="6FB355B5" w:rsidR="00C74F07" w:rsidRDefault="00C74F07">
      <w:pPr>
        <w:rPr>
          <w:u w:val="single"/>
        </w:rPr>
      </w:pPr>
    </w:p>
    <w:p w14:paraId="4DEBF3C5" w14:textId="6FF39F82" w:rsidR="00C74F07" w:rsidRDefault="00C74F07">
      <w:pPr>
        <w:rPr>
          <w:u w:val="single"/>
        </w:rPr>
      </w:pPr>
    </w:p>
    <w:p w14:paraId="703B4159" w14:textId="77777777" w:rsidR="00C74F07" w:rsidRDefault="00C74F07">
      <w:pPr>
        <w:rPr>
          <w:u w:val="single"/>
        </w:rPr>
      </w:pPr>
    </w:p>
    <w:p w14:paraId="28AFE8FB" w14:textId="77777777" w:rsidR="00081C63" w:rsidRDefault="00081C63">
      <w:pPr>
        <w:rPr>
          <w:rFonts w:ascii="Arial" w:hAnsi="Arial" w:cs="Arial"/>
          <w:sz w:val="28"/>
          <w:szCs w:val="28"/>
          <w:u w:val="single"/>
        </w:rPr>
      </w:pPr>
    </w:p>
    <w:p w14:paraId="6175263B" w14:textId="77777777" w:rsidR="00081C63" w:rsidRDefault="00081C63">
      <w:pPr>
        <w:rPr>
          <w:rFonts w:ascii="Arial" w:hAnsi="Arial" w:cs="Arial"/>
          <w:sz w:val="28"/>
          <w:szCs w:val="28"/>
          <w:u w:val="single"/>
        </w:rPr>
      </w:pPr>
    </w:p>
    <w:p w14:paraId="6AD58FE9" w14:textId="7F89B86D" w:rsidR="00751481" w:rsidRPr="00C74F07" w:rsidRDefault="00751481">
      <w:pPr>
        <w:rPr>
          <w:rFonts w:ascii="Arial" w:hAnsi="Arial" w:cs="Arial"/>
          <w:sz w:val="28"/>
          <w:szCs w:val="28"/>
          <w:u w:val="single"/>
        </w:rPr>
      </w:pPr>
      <w:r w:rsidRPr="00C74F07">
        <w:rPr>
          <w:rFonts w:ascii="Arial" w:hAnsi="Arial" w:cs="Arial"/>
          <w:sz w:val="28"/>
          <w:szCs w:val="28"/>
          <w:u w:val="single"/>
        </w:rPr>
        <w:t>The English Legal System is based upon common law principles. Explain what this means.</w:t>
      </w:r>
    </w:p>
    <w:p w14:paraId="22668D17" w14:textId="533F5FBB" w:rsidR="00751481" w:rsidRPr="00F87712" w:rsidRDefault="00751481">
      <w:pPr>
        <w:rPr>
          <w:rFonts w:ascii="Arial" w:hAnsi="Arial" w:cs="Arial"/>
          <w:sz w:val="24"/>
          <w:szCs w:val="24"/>
          <w:u w:val="single"/>
        </w:rPr>
      </w:pPr>
    </w:p>
    <w:p w14:paraId="41486180" w14:textId="10D139CE" w:rsidR="00751481" w:rsidRPr="00F87712" w:rsidRDefault="00751481">
      <w:pPr>
        <w:rPr>
          <w:rFonts w:ascii="Arial" w:hAnsi="Arial" w:cs="Arial"/>
          <w:sz w:val="24"/>
          <w:szCs w:val="24"/>
          <w:u w:val="single"/>
        </w:rPr>
      </w:pPr>
    </w:p>
    <w:p w14:paraId="45A34032" w14:textId="07FA41EF" w:rsidR="00751481" w:rsidRPr="00F87712" w:rsidRDefault="00A03EFA">
      <w:pPr>
        <w:rPr>
          <w:rFonts w:ascii="Arial" w:hAnsi="Arial" w:cs="Arial"/>
          <w:sz w:val="24"/>
          <w:szCs w:val="24"/>
        </w:rPr>
      </w:pPr>
      <w:r>
        <w:rPr>
          <w:rFonts w:ascii="Arial" w:hAnsi="Arial" w:cs="Arial"/>
          <w:sz w:val="24"/>
          <w:szCs w:val="24"/>
        </w:rPr>
        <w:t xml:space="preserve">  </w:t>
      </w:r>
      <w:r w:rsidR="00751481" w:rsidRPr="00F87712">
        <w:rPr>
          <w:rFonts w:ascii="Arial" w:hAnsi="Arial" w:cs="Arial"/>
          <w:sz w:val="24"/>
          <w:szCs w:val="24"/>
        </w:rPr>
        <w:t xml:space="preserve">This essay will explain the existence and development of the English Legal System </w:t>
      </w:r>
      <w:r w:rsidR="0017084B">
        <w:rPr>
          <w:rFonts w:ascii="Arial" w:hAnsi="Arial" w:cs="Arial"/>
          <w:sz w:val="24"/>
          <w:szCs w:val="24"/>
        </w:rPr>
        <w:t>and</w:t>
      </w:r>
      <w:r w:rsidR="00751481" w:rsidRPr="00F87712">
        <w:rPr>
          <w:rFonts w:ascii="Arial" w:hAnsi="Arial" w:cs="Arial"/>
          <w:sz w:val="24"/>
          <w:szCs w:val="24"/>
        </w:rPr>
        <w:t xml:space="preserve"> its common law </w:t>
      </w:r>
      <w:r w:rsidR="007C0D41" w:rsidRPr="00F87712">
        <w:rPr>
          <w:rFonts w:ascii="Arial" w:hAnsi="Arial" w:cs="Arial"/>
          <w:sz w:val="24"/>
          <w:szCs w:val="24"/>
        </w:rPr>
        <w:t>principles.</w:t>
      </w:r>
      <w:r w:rsidR="007C0D41">
        <w:rPr>
          <w:rFonts w:ascii="Arial" w:hAnsi="Arial" w:cs="Arial"/>
          <w:sz w:val="24"/>
          <w:szCs w:val="24"/>
        </w:rPr>
        <w:t xml:space="preserve"> It is not intended to portray a philosophical or jurisprudential picture of the </w:t>
      </w:r>
      <w:r w:rsidR="00233F88">
        <w:rPr>
          <w:rFonts w:ascii="Arial" w:hAnsi="Arial" w:cs="Arial"/>
          <w:sz w:val="24"/>
          <w:szCs w:val="24"/>
        </w:rPr>
        <w:t>sources but</w:t>
      </w:r>
      <w:r w:rsidR="007C0D41">
        <w:rPr>
          <w:rFonts w:ascii="Arial" w:hAnsi="Arial" w:cs="Arial"/>
          <w:sz w:val="24"/>
          <w:szCs w:val="24"/>
        </w:rPr>
        <w:t xml:space="preserve"> will </w:t>
      </w:r>
      <w:r w:rsidR="0017084B">
        <w:rPr>
          <w:rFonts w:ascii="Arial" w:hAnsi="Arial" w:cs="Arial"/>
          <w:sz w:val="24"/>
          <w:szCs w:val="24"/>
        </w:rPr>
        <w:t xml:space="preserve">use </w:t>
      </w:r>
      <w:r w:rsidR="007C0D41">
        <w:rPr>
          <w:rFonts w:ascii="Arial" w:hAnsi="Arial" w:cs="Arial"/>
          <w:sz w:val="24"/>
          <w:szCs w:val="24"/>
        </w:rPr>
        <w:t>a more logical and grounded format.</w:t>
      </w:r>
      <w:r w:rsidR="00CC5362" w:rsidRPr="00F87712">
        <w:rPr>
          <w:rFonts w:ascii="Arial" w:hAnsi="Arial" w:cs="Arial"/>
          <w:sz w:val="24"/>
          <w:szCs w:val="24"/>
        </w:rPr>
        <w:t xml:space="preserve"> It consider</w:t>
      </w:r>
      <w:r w:rsidR="002028F2">
        <w:rPr>
          <w:rFonts w:ascii="Arial" w:hAnsi="Arial" w:cs="Arial"/>
          <w:sz w:val="24"/>
          <w:szCs w:val="24"/>
        </w:rPr>
        <w:t>s</w:t>
      </w:r>
      <w:r w:rsidR="00CC5362" w:rsidRPr="00F87712">
        <w:rPr>
          <w:rFonts w:ascii="Arial" w:hAnsi="Arial" w:cs="Arial"/>
          <w:sz w:val="24"/>
          <w:szCs w:val="24"/>
        </w:rPr>
        <w:t xml:space="preserve"> the origins of common law, </w:t>
      </w:r>
      <w:r w:rsidR="002028F2">
        <w:rPr>
          <w:rFonts w:ascii="Arial" w:hAnsi="Arial" w:cs="Arial"/>
          <w:sz w:val="24"/>
          <w:szCs w:val="24"/>
        </w:rPr>
        <w:t xml:space="preserve">and a </w:t>
      </w:r>
      <w:r w:rsidR="006B2F2E">
        <w:rPr>
          <w:rFonts w:ascii="Arial" w:hAnsi="Arial" w:cs="Arial"/>
          <w:sz w:val="24"/>
          <w:szCs w:val="24"/>
        </w:rPr>
        <w:t>discussion</w:t>
      </w:r>
      <w:r w:rsidR="00CC5362" w:rsidRPr="00F87712">
        <w:rPr>
          <w:rFonts w:ascii="Arial" w:hAnsi="Arial" w:cs="Arial"/>
          <w:sz w:val="24"/>
          <w:szCs w:val="24"/>
        </w:rPr>
        <w:t xml:space="preserve"> </w:t>
      </w:r>
      <w:r w:rsidR="002028F2">
        <w:rPr>
          <w:rFonts w:ascii="Arial" w:hAnsi="Arial" w:cs="Arial"/>
          <w:sz w:val="24"/>
          <w:szCs w:val="24"/>
        </w:rPr>
        <w:t>of</w:t>
      </w:r>
      <w:r w:rsidR="00CC5362" w:rsidRPr="00F87712">
        <w:rPr>
          <w:rFonts w:ascii="Arial" w:hAnsi="Arial" w:cs="Arial"/>
          <w:sz w:val="24"/>
          <w:szCs w:val="24"/>
        </w:rPr>
        <w:t xml:space="preserve"> civil </w:t>
      </w:r>
      <w:r w:rsidR="008A7DDD" w:rsidRPr="00F87712">
        <w:rPr>
          <w:rFonts w:ascii="Arial" w:hAnsi="Arial" w:cs="Arial"/>
          <w:sz w:val="24"/>
          <w:szCs w:val="24"/>
        </w:rPr>
        <w:t>law,</w:t>
      </w:r>
      <w:r w:rsidR="00CC5362" w:rsidRPr="00F87712">
        <w:rPr>
          <w:rFonts w:ascii="Arial" w:hAnsi="Arial" w:cs="Arial"/>
          <w:sz w:val="24"/>
          <w:szCs w:val="24"/>
        </w:rPr>
        <w:t xml:space="preserve"> contrasting the two concepts </w:t>
      </w:r>
      <w:r w:rsidR="006B2F2E">
        <w:rPr>
          <w:rFonts w:ascii="Arial" w:hAnsi="Arial" w:cs="Arial"/>
          <w:sz w:val="24"/>
          <w:szCs w:val="24"/>
        </w:rPr>
        <w:t xml:space="preserve">and </w:t>
      </w:r>
      <w:r w:rsidR="00CC5362" w:rsidRPr="00F87712">
        <w:rPr>
          <w:rFonts w:ascii="Arial" w:hAnsi="Arial" w:cs="Arial"/>
          <w:sz w:val="24"/>
          <w:szCs w:val="24"/>
        </w:rPr>
        <w:t xml:space="preserve">looking at the advantages and disadvantages of each system. Finally, it will </w:t>
      </w:r>
      <w:r w:rsidR="006B2F2E">
        <w:rPr>
          <w:rFonts w:ascii="Arial" w:hAnsi="Arial" w:cs="Arial"/>
          <w:sz w:val="24"/>
          <w:szCs w:val="24"/>
        </w:rPr>
        <w:t xml:space="preserve">provide examples of </w:t>
      </w:r>
      <w:r w:rsidR="00CC5362" w:rsidRPr="00F87712">
        <w:rPr>
          <w:rFonts w:ascii="Arial" w:hAnsi="Arial" w:cs="Arial"/>
          <w:sz w:val="24"/>
          <w:szCs w:val="24"/>
        </w:rPr>
        <w:t>common law in practice.</w:t>
      </w:r>
    </w:p>
    <w:p w14:paraId="0B33DDD9" w14:textId="5ED96B8C" w:rsidR="007A4EFA" w:rsidRPr="00F87712" w:rsidRDefault="00A03EFA">
      <w:pPr>
        <w:rPr>
          <w:rFonts w:ascii="Arial" w:hAnsi="Arial" w:cs="Arial"/>
          <w:sz w:val="24"/>
          <w:szCs w:val="24"/>
        </w:rPr>
      </w:pPr>
      <w:r>
        <w:rPr>
          <w:rFonts w:ascii="Arial" w:hAnsi="Arial" w:cs="Arial"/>
          <w:sz w:val="24"/>
          <w:szCs w:val="24"/>
        </w:rPr>
        <w:t xml:space="preserve">   </w:t>
      </w:r>
      <w:r w:rsidR="00CC5362" w:rsidRPr="00F87712">
        <w:rPr>
          <w:rFonts w:ascii="Arial" w:hAnsi="Arial" w:cs="Arial"/>
          <w:sz w:val="24"/>
          <w:szCs w:val="24"/>
        </w:rPr>
        <w:t xml:space="preserve">The Cambridge Dictionary defines common law as a system of law based on custom and court decisions, as opposed to written or codified laws enacted by Parliament. </w:t>
      </w:r>
      <w:r w:rsidR="00C1283C">
        <w:rPr>
          <w:rFonts w:ascii="Arial" w:hAnsi="Arial" w:cs="Arial"/>
          <w:sz w:val="24"/>
          <w:szCs w:val="24"/>
        </w:rPr>
        <w:t>A</w:t>
      </w:r>
      <w:r w:rsidR="00CC5362" w:rsidRPr="00F87712">
        <w:rPr>
          <w:rFonts w:ascii="Arial" w:hAnsi="Arial" w:cs="Arial"/>
          <w:sz w:val="24"/>
          <w:szCs w:val="24"/>
        </w:rPr>
        <w:t>nalys</w:t>
      </w:r>
      <w:r w:rsidR="00C1283C">
        <w:rPr>
          <w:rFonts w:ascii="Arial" w:hAnsi="Arial" w:cs="Arial"/>
          <w:sz w:val="24"/>
          <w:szCs w:val="24"/>
        </w:rPr>
        <w:t>ing</w:t>
      </w:r>
      <w:r w:rsidR="00CC5362" w:rsidRPr="00F87712">
        <w:rPr>
          <w:rFonts w:ascii="Arial" w:hAnsi="Arial" w:cs="Arial"/>
          <w:sz w:val="24"/>
          <w:szCs w:val="24"/>
        </w:rPr>
        <w:t xml:space="preserve"> the origin</w:t>
      </w:r>
      <w:r w:rsidR="00C1283C">
        <w:rPr>
          <w:rFonts w:ascii="Arial" w:hAnsi="Arial" w:cs="Arial"/>
          <w:sz w:val="24"/>
          <w:szCs w:val="24"/>
        </w:rPr>
        <w:t>s</w:t>
      </w:r>
      <w:r w:rsidR="00CC5362" w:rsidRPr="00F87712">
        <w:rPr>
          <w:rFonts w:ascii="Arial" w:hAnsi="Arial" w:cs="Arial"/>
          <w:sz w:val="24"/>
          <w:szCs w:val="24"/>
        </w:rPr>
        <w:t xml:space="preserve"> and development of common law</w:t>
      </w:r>
      <w:r w:rsidR="00C1283C">
        <w:rPr>
          <w:rFonts w:ascii="Arial" w:hAnsi="Arial" w:cs="Arial"/>
          <w:sz w:val="24"/>
          <w:szCs w:val="24"/>
        </w:rPr>
        <w:t>,</w:t>
      </w:r>
      <w:r w:rsidR="00CC5362" w:rsidRPr="00F87712">
        <w:rPr>
          <w:rFonts w:ascii="Arial" w:hAnsi="Arial" w:cs="Arial"/>
          <w:sz w:val="24"/>
          <w:szCs w:val="24"/>
        </w:rPr>
        <w:t xml:space="preserve"> Elliott &amp; Quinn (</w:t>
      </w:r>
      <w:commentRangeStart w:id="0"/>
      <w:r w:rsidR="00CC5362" w:rsidRPr="00F87712">
        <w:rPr>
          <w:rFonts w:ascii="Arial" w:hAnsi="Arial" w:cs="Arial"/>
          <w:sz w:val="24"/>
          <w:szCs w:val="24"/>
        </w:rPr>
        <w:t>2020</w:t>
      </w:r>
      <w:commentRangeEnd w:id="0"/>
      <w:r w:rsidR="007802A1">
        <w:rPr>
          <w:rStyle w:val="CommentReference"/>
        </w:rPr>
        <w:commentReference w:id="0"/>
      </w:r>
      <w:r w:rsidR="00CC5362" w:rsidRPr="00F87712">
        <w:rPr>
          <w:rFonts w:ascii="Arial" w:hAnsi="Arial" w:cs="Arial"/>
          <w:sz w:val="24"/>
          <w:szCs w:val="24"/>
        </w:rPr>
        <w:t xml:space="preserve">) </w:t>
      </w:r>
      <w:r w:rsidR="00C1283C">
        <w:rPr>
          <w:rFonts w:ascii="Arial" w:hAnsi="Arial" w:cs="Arial"/>
          <w:sz w:val="24"/>
          <w:szCs w:val="24"/>
        </w:rPr>
        <w:t>discuss t</w:t>
      </w:r>
      <w:r w:rsidR="00CC5362" w:rsidRPr="00F87712">
        <w:rPr>
          <w:rFonts w:ascii="Arial" w:hAnsi="Arial" w:cs="Arial"/>
          <w:sz w:val="24"/>
          <w:szCs w:val="24"/>
        </w:rPr>
        <w:t xml:space="preserve">he sources contributing to English law. </w:t>
      </w:r>
      <w:r w:rsidR="00C1283C">
        <w:rPr>
          <w:rFonts w:ascii="Arial" w:hAnsi="Arial" w:cs="Arial"/>
          <w:sz w:val="24"/>
          <w:szCs w:val="24"/>
        </w:rPr>
        <w:t>C</w:t>
      </w:r>
      <w:r w:rsidR="00CC5362" w:rsidRPr="00F87712">
        <w:rPr>
          <w:rFonts w:ascii="Arial" w:hAnsi="Arial" w:cs="Arial"/>
          <w:sz w:val="24"/>
          <w:szCs w:val="24"/>
        </w:rPr>
        <w:t>ase law which is the basis of common law.</w:t>
      </w:r>
      <w:r w:rsidR="007A4EFA" w:rsidRPr="00F87712">
        <w:rPr>
          <w:rFonts w:ascii="Arial" w:hAnsi="Arial" w:cs="Arial"/>
          <w:sz w:val="24"/>
          <w:szCs w:val="24"/>
        </w:rPr>
        <w:t xml:space="preserve"> Secondly, Acts of Parliament and Statutes are of particular importance, as they take precedence over other forms of </w:t>
      </w:r>
      <w:commentRangeStart w:id="1"/>
      <w:r w:rsidR="007A4EFA" w:rsidRPr="00F87712">
        <w:rPr>
          <w:rFonts w:ascii="Arial" w:hAnsi="Arial" w:cs="Arial"/>
          <w:sz w:val="24"/>
          <w:szCs w:val="24"/>
        </w:rPr>
        <w:t>law</w:t>
      </w:r>
      <w:commentRangeEnd w:id="1"/>
      <w:r w:rsidR="007802A1">
        <w:rPr>
          <w:rStyle w:val="CommentReference"/>
        </w:rPr>
        <w:commentReference w:id="1"/>
      </w:r>
      <w:r w:rsidR="00337AC7">
        <w:rPr>
          <w:rFonts w:ascii="Arial" w:hAnsi="Arial" w:cs="Arial"/>
          <w:sz w:val="24"/>
          <w:szCs w:val="24"/>
        </w:rPr>
        <w:t xml:space="preserve"> (Elliott and Quinn 2021-2022)</w:t>
      </w:r>
      <w:r w:rsidR="007A4EFA" w:rsidRPr="00F87712">
        <w:rPr>
          <w:rFonts w:ascii="Arial" w:hAnsi="Arial" w:cs="Arial"/>
          <w:sz w:val="24"/>
          <w:szCs w:val="24"/>
        </w:rPr>
        <w:t>.</w:t>
      </w:r>
    </w:p>
    <w:p w14:paraId="615AC13E" w14:textId="71B457FD" w:rsidR="009152C2" w:rsidRDefault="00A03EFA">
      <w:pPr>
        <w:rPr>
          <w:rFonts w:ascii="Arial" w:hAnsi="Arial" w:cs="Arial"/>
          <w:sz w:val="24"/>
          <w:szCs w:val="24"/>
        </w:rPr>
      </w:pPr>
      <w:r>
        <w:rPr>
          <w:rFonts w:ascii="Arial" w:hAnsi="Arial" w:cs="Arial"/>
          <w:sz w:val="24"/>
          <w:szCs w:val="24"/>
        </w:rPr>
        <w:t xml:space="preserve">  </w:t>
      </w:r>
      <w:r w:rsidR="007A4EFA" w:rsidRPr="00F87712">
        <w:rPr>
          <w:rFonts w:ascii="Arial" w:hAnsi="Arial" w:cs="Arial"/>
          <w:sz w:val="24"/>
          <w:szCs w:val="24"/>
        </w:rPr>
        <w:t>The origins of common law commenced when William The Conqueror began to standardise the law after 1066</w:t>
      </w:r>
      <w:r w:rsidR="0017084B">
        <w:rPr>
          <w:rFonts w:ascii="Arial" w:hAnsi="Arial" w:cs="Arial"/>
          <w:sz w:val="24"/>
          <w:szCs w:val="24"/>
        </w:rPr>
        <w:t>,</w:t>
      </w:r>
      <w:r w:rsidR="007A4EFA" w:rsidRPr="00F87712">
        <w:rPr>
          <w:rFonts w:ascii="Arial" w:hAnsi="Arial" w:cs="Arial"/>
          <w:sz w:val="24"/>
          <w:szCs w:val="24"/>
        </w:rPr>
        <w:t xml:space="preserve"> </w:t>
      </w:r>
      <w:r w:rsidR="00C1283C">
        <w:rPr>
          <w:rFonts w:ascii="Arial" w:hAnsi="Arial" w:cs="Arial"/>
          <w:sz w:val="24"/>
          <w:szCs w:val="24"/>
        </w:rPr>
        <w:t>but</w:t>
      </w:r>
      <w:r w:rsidR="007A4EFA" w:rsidRPr="00F87712">
        <w:rPr>
          <w:rFonts w:ascii="Arial" w:hAnsi="Arial" w:cs="Arial"/>
          <w:sz w:val="24"/>
          <w:szCs w:val="24"/>
        </w:rPr>
        <w:t xml:space="preserve"> effectively done during the reign of Henry II </w:t>
      </w:r>
      <w:r w:rsidR="0062041F" w:rsidRPr="00F87712">
        <w:rPr>
          <w:rFonts w:ascii="Arial" w:hAnsi="Arial" w:cs="Arial"/>
          <w:sz w:val="24"/>
          <w:szCs w:val="24"/>
        </w:rPr>
        <w:t>in 1</w:t>
      </w:r>
      <w:r w:rsidR="00986B33">
        <w:rPr>
          <w:rFonts w:ascii="Arial" w:hAnsi="Arial" w:cs="Arial"/>
          <w:sz w:val="24"/>
          <w:szCs w:val="24"/>
        </w:rPr>
        <w:t>1</w:t>
      </w:r>
      <w:r w:rsidR="0062041F" w:rsidRPr="00F87712">
        <w:rPr>
          <w:rFonts w:ascii="Arial" w:hAnsi="Arial" w:cs="Arial"/>
          <w:sz w:val="24"/>
          <w:szCs w:val="24"/>
        </w:rPr>
        <w:t>66</w:t>
      </w:r>
      <w:r w:rsidR="00221E3C" w:rsidRPr="00F87712">
        <w:rPr>
          <w:rFonts w:ascii="Arial" w:hAnsi="Arial" w:cs="Arial"/>
          <w:sz w:val="24"/>
          <w:szCs w:val="24"/>
        </w:rPr>
        <w:t xml:space="preserve"> </w:t>
      </w:r>
      <w:r w:rsidR="007A4EFA" w:rsidRPr="00F87712">
        <w:rPr>
          <w:rFonts w:ascii="Arial" w:hAnsi="Arial" w:cs="Arial"/>
          <w:sz w:val="24"/>
          <w:szCs w:val="24"/>
        </w:rPr>
        <w:t>(Smith and Keenan</w:t>
      </w:r>
      <w:r w:rsidR="00221E3C" w:rsidRPr="00F87712">
        <w:rPr>
          <w:rFonts w:ascii="Arial" w:hAnsi="Arial" w:cs="Arial"/>
          <w:sz w:val="24"/>
          <w:szCs w:val="24"/>
        </w:rPr>
        <w:t xml:space="preserve"> </w:t>
      </w:r>
      <w:r w:rsidR="00221E3C" w:rsidRPr="00905EF3">
        <w:rPr>
          <w:rFonts w:ascii="Arial" w:hAnsi="Arial" w:cs="Arial"/>
          <w:sz w:val="24"/>
          <w:szCs w:val="24"/>
        </w:rPr>
        <w:t>2004</w:t>
      </w:r>
      <w:r w:rsidR="007A4EFA" w:rsidRPr="00905EF3">
        <w:rPr>
          <w:rFonts w:ascii="Arial" w:hAnsi="Arial" w:cs="Arial"/>
          <w:sz w:val="24"/>
          <w:szCs w:val="24"/>
        </w:rPr>
        <w:t>).</w:t>
      </w:r>
      <w:r w:rsidR="00081C63">
        <w:rPr>
          <w:rFonts w:ascii="Arial" w:hAnsi="Arial" w:cs="Arial"/>
          <w:sz w:val="24"/>
          <w:szCs w:val="24"/>
        </w:rPr>
        <w:t xml:space="preserve"> This evolved into s</w:t>
      </w:r>
      <w:r w:rsidR="00081C63" w:rsidRPr="00081C63">
        <w:rPr>
          <w:rFonts w:ascii="Arial" w:hAnsi="Arial" w:cs="Arial"/>
          <w:i/>
          <w:iCs/>
          <w:sz w:val="24"/>
          <w:szCs w:val="24"/>
        </w:rPr>
        <w:t>tare</w:t>
      </w:r>
      <w:r w:rsidR="007A4EFA" w:rsidRPr="00F87712">
        <w:rPr>
          <w:rFonts w:ascii="Arial" w:hAnsi="Arial" w:cs="Arial"/>
          <w:i/>
          <w:iCs/>
          <w:sz w:val="24"/>
          <w:szCs w:val="24"/>
        </w:rPr>
        <w:t xml:space="preserve"> decisis</w:t>
      </w:r>
      <w:r w:rsidR="007A4EFA" w:rsidRPr="00F87712">
        <w:rPr>
          <w:rFonts w:ascii="Arial" w:hAnsi="Arial" w:cs="Arial"/>
          <w:sz w:val="24"/>
          <w:szCs w:val="24"/>
        </w:rPr>
        <w:t xml:space="preserve"> (“let the decision stand”) existed. Judges then followed the decisions made by more superior courts.</w:t>
      </w:r>
      <w:r w:rsidR="00221E3C" w:rsidRPr="00F87712">
        <w:rPr>
          <w:rFonts w:ascii="Arial" w:hAnsi="Arial" w:cs="Arial"/>
          <w:sz w:val="24"/>
          <w:szCs w:val="24"/>
        </w:rPr>
        <w:t xml:space="preserve"> </w:t>
      </w:r>
      <w:r w:rsidR="00337AC7">
        <w:rPr>
          <w:rFonts w:ascii="Arial" w:hAnsi="Arial" w:cs="Arial"/>
          <w:sz w:val="24"/>
          <w:szCs w:val="24"/>
        </w:rPr>
        <w:t>With reference to Elliott and Quinn (2021-2022), as</w:t>
      </w:r>
      <w:r w:rsidR="00221E3C" w:rsidRPr="00F87712">
        <w:rPr>
          <w:rFonts w:ascii="Arial" w:hAnsi="Arial" w:cs="Arial"/>
          <w:sz w:val="24"/>
          <w:szCs w:val="24"/>
        </w:rPr>
        <w:t xml:space="preserve"> the decisions by judges and magistrates developed the system relied on </w:t>
      </w:r>
      <w:r w:rsidR="00221E3C" w:rsidRPr="00F87712">
        <w:rPr>
          <w:rFonts w:ascii="Arial" w:hAnsi="Arial" w:cs="Arial"/>
          <w:i/>
          <w:iCs/>
          <w:sz w:val="24"/>
          <w:szCs w:val="24"/>
        </w:rPr>
        <w:t xml:space="preserve">stare </w:t>
      </w:r>
      <w:r w:rsidR="0017084B" w:rsidRPr="00F87712">
        <w:rPr>
          <w:rFonts w:ascii="Arial" w:hAnsi="Arial" w:cs="Arial"/>
          <w:i/>
          <w:iCs/>
          <w:sz w:val="24"/>
          <w:szCs w:val="24"/>
        </w:rPr>
        <w:t>decisis</w:t>
      </w:r>
      <w:r w:rsidR="00C1283C">
        <w:rPr>
          <w:rFonts w:ascii="Arial" w:hAnsi="Arial" w:cs="Arial"/>
          <w:i/>
          <w:iCs/>
          <w:sz w:val="24"/>
          <w:szCs w:val="24"/>
        </w:rPr>
        <w:t xml:space="preserve">, </w:t>
      </w:r>
      <w:r w:rsidR="00C1283C">
        <w:rPr>
          <w:rFonts w:ascii="Arial" w:hAnsi="Arial" w:cs="Arial"/>
          <w:sz w:val="24"/>
          <w:szCs w:val="24"/>
        </w:rPr>
        <w:t>t</w:t>
      </w:r>
      <w:r w:rsidR="0017084B" w:rsidRPr="00F87712">
        <w:rPr>
          <w:rFonts w:ascii="Arial" w:hAnsi="Arial" w:cs="Arial"/>
          <w:sz w:val="24"/>
          <w:szCs w:val="24"/>
        </w:rPr>
        <w:t>his</w:t>
      </w:r>
      <w:r w:rsidR="00221E3C" w:rsidRPr="00F87712">
        <w:rPr>
          <w:rFonts w:ascii="Arial" w:hAnsi="Arial" w:cs="Arial"/>
          <w:sz w:val="24"/>
          <w:szCs w:val="24"/>
        </w:rPr>
        <w:t xml:space="preserve"> became the</w:t>
      </w:r>
      <w:r w:rsidR="00221E3C" w:rsidRPr="00F87712">
        <w:rPr>
          <w:rFonts w:ascii="Arial" w:hAnsi="Arial" w:cs="Arial"/>
          <w:i/>
          <w:iCs/>
          <w:sz w:val="24"/>
          <w:szCs w:val="24"/>
        </w:rPr>
        <w:t xml:space="preserve"> </w:t>
      </w:r>
      <w:r w:rsidR="00221E3C" w:rsidRPr="00F87712">
        <w:rPr>
          <w:rFonts w:ascii="Arial" w:hAnsi="Arial" w:cs="Arial"/>
          <w:sz w:val="24"/>
          <w:szCs w:val="24"/>
        </w:rPr>
        <w:t xml:space="preserve">precedent and a judge developed system of law. </w:t>
      </w:r>
      <w:r w:rsidR="00C1283C">
        <w:rPr>
          <w:rFonts w:ascii="Arial" w:hAnsi="Arial" w:cs="Arial"/>
          <w:sz w:val="24"/>
          <w:szCs w:val="24"/>
        </w:rPr>
        <w:t>J</w:t>
      </w:r>
      <w:r w:rsidR="00221E3C" w:rsidRPr="00F87712">
        <w:rPr>
          <w:rFonts w:ascii="Arial" w:hAnsi="Arial" w:cs="Arial"/>
          <w:sz w:val="24"/>
          <w:szCs w:val="24"/>
        </w:rPr>
        <w:t>udges established the facts in a case and then look</w:t>
      </w:r>
      <w:r w:rsidR="00986B33">
        <w:rPr>
          <w:rFonts w:ascii="Arial" w:hAnsi="Arial" w:cs="Arial"/>
          <w:sz w:val="24"/>
          <w:szCs w:val="24"/>
        </w:rPr>
        <w:t>ed</w:t>
      </w:r>
      <w:r w:rsidR="00221E3C" w:rsidRPr="00F87712">
        <w:rPr>
          <w:rFonts w:ascii="Arial" w:hAnsi="Arial" w:cs="Arial"/>
          <w:sz w:val="24"/>
          <w:szCs w:val="24"/>
        </w:rPr>
        <w:t xml:space="preserve"> at the law</w:t>
      </w:r>
      <w:r w:rsidR="00986B33">
        <w:rPr>
          <w:rFonts w:ascii="Arial" w:hAnsi="Arial" w:cs="Arial"/>
          <w:sz w:val="24"/>
          <w:szCs w:val="24"/>
        </w:rPr>
        <w:t>,</w:t>
      </w:r>
      <w:r w:rsidR="00221E3C" w:rsidRPr="00F87712">
        <w:rPr>
          <w:rFonts w:ascii="Arial" w:hAnsi="Arial" w:cs="Arial"/>
          <w:sz w:val="24"/>
          <w:szCs w:val="24"/>
        </w:rPr>
        <w:t xml:space="preserve"> depending on those </w:t>
      </w:r>
      <w:r w:rsidR="00D5422D" w:rsidRPr="00F87712">
        <w:rPr>
          <w:rFonts w:ascii="Arial" w:hAnsi="Arial" w:cs="Arial"/>
          <w:sz w:val="24"/>
          <w:szCs w:val="24"/>
        </w:rPr>
        <w:t>facts. Once</w:t>
      </w:r>
      <w:r w:rsidR="00221E3C" w:rsidRPr="00F87712">
        <w:rPr>
          <w:rFonts w:ascii="Arial" w:hAnsi="Arial" w:cs="Arial"/>
          <w:sz w:val="24"/>
          <w:szCs w:val="24"/>
        </w:rPr>
        <w:t xml:space="preserve"> they ha</w:t>
      </w:r>
      <w:r w:rsidR="00986B33">
        <w:rPr>
          <w:rFonts w:ascii="Arial" w:hAnsi="Arial" w:cs="Arial"/>
          <w:sz w:val="24"/>
          <w:szCs w:val="24"/>
        </w:rPr>
        <w:t>d</w:t>
      </w:r>
      <w:r w:rsidR="00221E3C" w:rsidRPr="00F87712">
        <w:rPr>
          <w:rFonts w:ascii="Arial" w:hAnsi="Arial" w:cs="Arial"/>
          <w:sz w:val="24"/>
          <w:szCs w:val="24"/>
        </w:rPr>
        <w:t xml:space="preserve"> heard the </w:t>
      </w:r>
      <w:r w:rsidR="00050541" w:rsidRPr="00F87712">
        <w:rPr>
          <w:rFonts w:ascii="Arial" w:hAnsi="Arial" w:cs="Arial"/>
          <w:sz w:val="24"/>
          <w:szCs w:val="24"/>
        </w:rPr>
        <w:t>evidence by</w:t>
      </w:r>
      <w:r w:rsidR="00221E3C" w:rsidRPr="00F87712">
        <w:rPr>
          <w:rFonts w:ascii="Arial" w:hAnsi="Arial" w:cs="Arial"/>
          <w:sz w:val="24"/>
          <w:szCs w:val="24"/>
        </w:rPr>
        <w:t xml:space="preserve"> the prosecution and defence, they examine</w:t>
      </w:r>
      <w:r w:rsidR="00986B33">
        <w:rPr>
          <w:rFonts w:ascii="Arial" w:hAnsi="Arial" w:cs="Arial"/>
          <w:sz w:val="24"/>
          <w:szCs w:val="24"/>
        </w:rPr>
        <w:t>d</w:t>
      </w:r>
      <w:r w:rsidR="00221E3C" w:rsidRPr="00F87712">
        <w:rPr>
          <w:rFonts w:ascii="Arial" w:hAnsi="Arial" w:cs="Arial"/>
          <w:sz w:val="24"/>
          <w:szCs w:val="24"/>
        </w:rPr>
        <w:t xml:space="preserve"> the applicable law.</w:t>
      </w:r>
      <w:r w:rsidR="0017084B">
        <w:rPr>
          <w:rFonts w:ascii="Arial" w:hAnsi="Arial" w:cs="Arial"/>
          <w:sz w:val="24"/>
          <w:szCs w:val="24"/>
        </w:rPr>
        <w:t xml:space="preserve"> Then</w:t>
      </w:r>
      <w:r w:rsidR="00050541">
        <w:rPr>
          <w:rFonts w:ascii="Arial" w:hAnsi="Arial" w:cs="Arial"/>
          <w:sz w:val="24"/>
          <w:szCs w:val="24"/>
        </w:rPr>
        <w:t>,</w:t>
      </w:r>
      <w:r w:rsidR="0017084B">
        <w:rPr>
          <w:rFonts w:ascii="Arial" w:hAnsi="Arial" w:cs="Arial"/>
          <w:sz w:val="24"/>
          <w:szCs w:val="24"/>
        </w:rPr>
        <w:t xml:space="preserve"> </w:t>
      </w:r>
      <w:r w:rsidR="00221E3C" w:rsidRPr="00F87712">
        <w:rPr>
          <w:rFonts w:ascii="Arial" w:hAnsi="Arial" w:cs="Arial"/>
          <w:sz w:val="24"/>
          <w:szCs w:val="24"/>
        </w:rPr>
        <w:t xml:space="preserve">they </w:t>
      </w:r>
      <w:r w:rsidR="00C55523" w:rsidRPr="00F87712">
        <w:rPr>
          <w:rFonts w:ascii="Arial" w:hAnsi="Arial" w:cs="Arial"/>
          <w:sz w:val="24"/>
          <w:szCs w:val="24"/>
        </w:rPr>
        <w:t>formulate</w:t>
      </w:r>
      <w:r w:rsidR="00986B33">
        <w:rPr>
          <w:rFonts w:ascii="Arial" w:hAnsi="Arial" w:cs="Arial"/>
          <w:sz w:val="24"/>
          <w:szCs w:val="24"/>
        </w:rPr>
        <w:t>d</w:t>
      </w:r>
      <w:r w:rsidR="00C55523" w:rsidRPr="00F87712">
        <w:rPr>
          <w:rFonts w:ascii="Arial" w:hAnsi="Arial" w:cs="Arial"/>
          <w:sz w:val="24"/>
          <w:szCs w:val="24"/>
        </w:rPr>
        <w:t xml:space="preserve"> a </w:t>
      </w:r>
      <w:r w:rsidR="0017084B" w:rsidRPr="00F87712">
        <w:rPr>
          <w:rFonts w:ascii="Arial" w:hAnsi="Arial" w:cs="Arial"/>
          <w:sz w:val="24"/>
          <w:szCs w:val="24"/>
        </w:rPr>
        <w:t>judgement-based</w:t>
      </w:r>
      <w:r w:rsidR="00C55523" w:rsidRPr="00F87712">
        <w:rPr>
          <w:rFonts w:ascii="Arial" w:hAnsi="Arial" w:cs="Arial"/>
          <w:sz w:val="24"/>
          <w:szCs w:val="24"/>
        </w:rPr>
        <w:t xml:space="preserve"> </w:t>
      </w:r>
      <w:r w:rsidR="00C55523" w:rsidRPr="00F87712">
        <w:rPr>
          <w:rFonts w:ascii="Arial" w:hAnsi="Arial" w:cs="Arial"/>
          <w:i/>
          <w:iCs/>
          <w:sz w:val="24"/>
          <w:szCs w:val="24"/>
        </w:rPr>
        <w:t xml:space="preserve">ratio decidendi, </w:t>
      </w:r>
      <w:r w:rsidR="00C55523" w:rsidRPr="00F87712">
        <w:rPr>
          <w:rFonts w:ascii="Arial" w:hAnsi="Arial" w:cs="Arial"/>
          <w:sz w:val="24"/>
          <w:szCs w:val="24"/>
        </w:rPr>
        <w:t>or their reasons for making the decision.</w:t>
      </w:r>
      <w:r w:rsidR="00141A16" w:rsidRPr="00F87712">
        <w:rPr>
          <w:rFonts w:ascii="Arial" w:hAnsi="Arial" w:cs="Arial"/>
          <w:sz w:val="24"/>
          <w:szCs w:val="24"/>
        </w:rPr>
        <w:t xml:space="preserve"> The judges’ decisions </w:t>
      </w:r>
      <w:r w:rsidR="00986B33">
        <w:rPr>
          <w:rFonts w:ascii="Arial" w:hAnsi="Arial" w:cs="Arial"/>
          <w:sz w:val="24"/>
          <w:szCs w:val="24"/>
        </w:rPr>
        <w:t>were</w:t>
      </w:r>
      <w:r w:rsidR="00141A16" w:rsidRPr="00F87712">
        <w:rPr>
          <w:rFonts w:ascii="Arial" w:hAnsi="Arial" w:cs="Arial"/>
          <w:sz w:val="24"/>
          <w:szCs w:val="24"/>
        </w:rPr>
        <w:t xml:space="preserve"> made with refence to decisions made by higher courts with circumstances similar to the cases in </w:t>
      </w:r>
      <w:r w:rsidR="00986B33" w:rsidRPr="00F87712">
        <w:rPr>
          <w:rFonts w:ascii="Arial" w:hAnsi="Arial" w:cs="Arial"/>
          <w:sz w:val="24"/>
          <w:szCs w:val="24"/>
        </w:rPr>
        <w:t>question.</w:t>
      </w:r>
      <w:r w:rsidR="00986B33">
        <w:rPr>
          <w:rFonts w:ascii="Arial" w:hAnsi="Arial" w:cs="Arial"/>
          <w:sz w:val="24"/>
          <w:szCs w:val="24"/>
        </w:rPr>
        <w:t xml:space="preserve"> The question then arose as to whether judges decide cases or not. Blackstone</w:t>
      </w:r>
      <w:r w:rsidR="00AD2739">
        <w:rPr>
          <w:rFonts w:ascii="Arial" w:hAnsi="Arial" w:cs="Arial"/>
          <w:sz w:val="24"/>
          <w:szCs w:val="24"/>
        </w:rPr>
        <w:t xml:space="preserve"> (1765-1770)</w:t>
      </w:r>
      <w:r w:rsidR="00986B33">
        <w:rPr>
          <w:rFonts w:ascii="Arial" w:hAnsi="Arial" w:cs="Arial"/>
          <w:sz w:val="24"/>
          <w:szCs w:val="24"/>
        </w:rPr>
        <w:t xml:space="preserve"> stated that judge</w:t>
      </w:r>
      <w:r w:rsidR="006C5B52">
        <w:rPr>
          <w:rFonts w:ascii="Arial" w:hAnsi="Arial" w:cs="Arial"/>
          <w:sz w:val="24"/>
          <w:szCs w:val="24"/>
        </w:rPr>
        <w:t xml:space="preserve">s did not make law but, following precedent, only declare the law that has been formed over time </w:t>
      </w:r>
      <w:r w:rsidR="00AD2739">
        <w:rPr>
          <w:rFonts w:ascii="Arial" w:hAnsi="Arial" w:cs="Arial"/>
          <w:sz w:val="24"/>
          <w:szCs w:val="24"/>
        </w:rPr>
        <w:t>with</w:t>
      </w:r>
      <w:r w:rsidR="006C5B52">
        <w:rPr>
          <w:rFonts w:ascii="Arial" w:hAnsi="Arial" w:cs="Arial"/>
          <w:sz w:val="24"/>
          <w:szCs w:val="24"/>
        </w:rPr>
        <w:t xml:space="preserve"> consideration of many cases. </w:t>
      </w:r>
      <w:commentRangeStart w:id="2"/>
      <w:r w:rsidR="00AD2739">
        <w:rPr>
          <w:rFonts w:ascii="Arial" w:hAnsi="Arial" w:cs="Arial"/>
          <w:sz w:val="24"/>
          <w:szCs w:val="24"/>
        </w:rPr>
        <w:t>C</w:t>
      </w:r>
      <w:r w:rsidR="006C5B52">
        <w:rPr>
          <w:rFonts w:ascii="Arial" w:hAnsi="Arial" w:cs="Arial"/>
          <w:sz w:val="24"/>
          <w:szCs w:val="24"/>
        </w:rPr>
        <w:t>ontroversially then, judges never viewed previous decisions as incorrect or bad, but merely that they were “not law”</w:t>
      </w:r>
      <w:r w:rsidR="00D81EA4">
        <w:rPr>
          <w:rFonts w:ascii="Arial" w:hAnsi="Arial" w:cs="Arial"/>
          <w:sz w:val="24"/>
          <w:szCs w:val="24"/>
        </w:rPr>
        <w:t>(Blackstone 1765-1770)</w:t>
      </w:r>
      <w:r w:rsidR="006C5B52">
        <w:rPr>
          <w:rFonts w:ascii="Arial" w:hAnsi="Arial" w:cs="Arial"/>
          <w:sz w:val="24"/>
          <w:szCs w:val="24"/>
        </w:rPr>
        <w:t>. Nowadays judges find ways to avoid making a decision based on binding precedent</w:t>
      </w:r>
      <w:r w:rsidR="00EE43B3">
        <w:rPr>
          <w:rFonts w:ascii="Arial" w:hAnsi="Arial" w:cs="Arial"/>
          <w:sz w:val="24"/>
          <w:szCs w:val="24"/>
        </w:rPr>
        <w:t>, such as</w:t>
      </w:r>
      <w:r w:rsidR="00050541">
        <w:rPr>
          <w:rFonts w:ascii="Arial" w:hAnsi="Arial" w:cs="Arial"/>
          <w:sz w:val="24"/>
          <w:szCs w:val="24"/>
        </w:rPr>
        <w:t>, inter alia,</w:t>
      </w:r>
      <w:r w:rsidR="00EE43B3">
        <w:rPr>
          <w:rFonts w:ascii="Arial" w:hAnsi="Arial" w:cs="Arial"/>
          <w:sz w:val="24"/>
          <w:szCs w:val="24"/>
        </w:rPr>
        <w:t xml:space="preserve"> stating that the facts of the case under consideration are different, or arguing that that the point of law was different, or further, that the precedent has been superseded or even outdated</w:t>
      </w:r>
      <w:r w:rsidR="00050541">
        <w:rPr>
          <w:rFonts w:ascii="Arial" w:hAnsi="Arial" w:cs="Arial"/>
          <w:sz w:val="24"/>
          <w:szCs w:val="24"/>
        </w:rPr>
        <w:t>.</w:t>
      </w:r>
      <w:commentRangeEnd w:id="2"/>
      <w:r w:rsidR="007802A1">
        <w:rPr>
          <w:rStyle w:val="CommentReference"/>
        </w:rPr>
        <w:commentReference w:id="2"/>
      </w:r>
    </w:p>
    <w:p w14:paraId="2EA07767" w14:textId="52DD3AE2" w:rsidR="009152C2" w:rsidRDefault="009152C2">
      <w:pPr>
        <w:rPr>
          <w:rFonts w:ascii="Arial" w:hAnsi="Arial" w:cs="Arial"/>
          <w:sz w:val="24"/>
          <w:szCs w:val="24"/>
        </w:rPr>
      </w:pPr>
      <w:r>
        <w:rPr>
          <w:rFonts w:ascii="Arial" w:hAnsi="Arial" w:cs="Arial"/>
          <w:sz w:val="24"/>
          <w:szCs w:val="24"/>
        </w:rPr>
        <w:t xml:space="preserve">Critical of common law, A W B Simpson (1961), </w:t>
      </w:r>
      <w:commentRangeStart w:id="3"/>
      <w:commentRangeEnd w:id="3"/>
      <w:r>
        <w:rPr>
          <w:rStyle w:val="CommentReference"/>
        </w:rPr>
        <w:commentReference w:id="3"/>
      </w:r>
      <w:r>
        <w:rPr>
          <w:rFonts w:ascii="Arial" w:hAnsi="Arial" w:cs="Arial"/>
          <w:sz w:val="24"/>
          <w:szCs w:val="24"/>
        </w:rPr>
        <w:t xml:space="preserve">refers to the common law as “more like a muddle than a system.” And he viewed </w:t>
      </w:r>
      <w:r w:rsidRPr="00361344">
        <w:rPr>
          <w:rFonts w:ascii="Arial" w:hAnsi="Arial" w:cs="Arial"/>
          <w:sz w:val="24"/>
          <w:szCs w:val="24"/>
          <w:shd w:val="clear" w:color="auto" w:fill="FFFFFF"/>
        </w:rPr>
        <w:t xml:space="preserve">law reports an 'untidy shambles'. He </w:t>
      </w:r>
      <w:r w:rsidRPr="00361344">
        <w:rPr>
          <w:rFonts w:ascii="Arial" w:hAnsi="Arial" w:cs="Arial"/>
          <w:sz w:val="24"/>
          <w:szCs w:val="24"/>
          <w:shd w:val="clear" w:color="auto" w:fill="FFFFFF"/>
        </w:rPr>
        <w:lastRenderedPageBreak/>
        <w:t xml:space="preserve">further viewed that shambles as 'the product of the common law which was repelled by brevity, lucidity and system.' </w:t>
      </w:r>
      <w:r>
        <w:rPr>
          <w:rFonts w:ascii="Arial" w:hAnsi="Arial" w:cs="Arial"/>
          <w:sz w:val="24"/>
          <w:szCs w:val="24"/>
          <w:shd w:val="clear" w:color="auto" w:fill="FFFFFF"/>
        </w:rPr>
        <w:t xml:space="preserve">And finally, most disparagingly, saw common law as “essentially shadowy.” Perry (1987) however argues that because the common law does appear to some to be a “muddle”, it is due to certain factors. Firstly, there is an indeterminacy of reasoning between precedent and substantive reasoning, Secondly, he argues that reasoning is not precise, nor is it mechanical. Lastly, he describes it as displaying a sense of “moral uncertainty.” Put differently, there is no formal decision procedure which applies specific principles to different types of cases. Despite this, the common law is a body of law common to all, despite its weaknesses and the criticism that it attracts. Over time it has been modified and perfected. But precedents do not always provide the clear guidance in terms of an equitable decision. The case of </w:t>
      </w:r>
      <w:commentRangeStart w:id="4"/>
      <w:proofErr w:type="spellStart"/>
      <w:r w:rsidRPr="001B1322">
        <w:rPr>
          <w:rFonts w:ascii="Arial" w:hAnsi="Arial" w:cs="Arial"/>
          <w:sz w:val="24"/>
          <w:szCs w:val="24"/>
          <w:shd w:val="clear" w:color="auto" w:fill="FFFFFF"/>
        </w:rPr>
        <w:t>Airdale</w:t>
      </w:r>
      <w:proofErr w:type="spellEnd"/>
      <w:r w:rsidRPr="001B1322">
        <w:rPr>
          <w:rFonts w:ascii="Arial" w:hAnsi="Arial" w:cs="Arial"/>
          <w:sz w:val="24"/>
          <w:szCs w:val="24"/>
          <w:shd w:val="clear" w:color="auto" w:fill="FFFFFF"/>
        </w:rPr>
        <w:t xml:space="preserve"> NHS Trust v Bland (1993) </w:t>
      </w:r>
      <w:commentRangeEnd w:id="4"/>
      <w:r w:rsidRPr="001B1322">
        <w:rPr>
          <w:rStyle w:val="CommentReference"/>
          <w:rFonts w:ascii="Arial" w:hAnsi="Arial" w:cs="Arial"/>
          <w:sz w:val="24"/>
          <w:szCs w:val="24"/>
        </w:rPr>
        <w:commentReference w:id="4"/>
      </w:r>
      <w:r w:rsidRPr="001B1322">
        <w:rPr>
          <w:rFonts w:ascii="Arial" w:hAnsi="Arial" w:cs="Arial"/>
          <w:sz w:val="24"/>
          <w:szCs w:val="24"/>
          <w:shd w:val="clear" w:color="auto" w:fill="FFFFFF"/>
        </w:rPr>
        <w:t>is a good example</w:t>
      </w:r>
      <w:r>
        <w:rPr>
          <w:rFonts w:ascii="Arial" w:hAnsi="Arial" w:cs="Arial"/>
          <w:sz w:val="24"/>
          <w:szCs w:val="24"/>
          <w:shd w:val="clear" w:color="auto" w:fill="FFFFFF"/>
        </w:rPr>
        <w:t>.</w:t>
      </w:r>
      <w:r w:rsidRPr="001B1322">
        <w:rPr>
          <w:rFonts w:ascii="Arial" w:hAnsi="Arial" w:cs="Arial"/>
          <w:sz w:val="24"/>
          <w:szCs w:val="24"/>
          <w:shd w:val="clear" w:color="auto" w:fill="FFFFFF"/>
        </w:rPr>
        <w:t xml:space="preserve"> The judges had to decide </w:t>
      </w:r>
      <w:r>
        <w:rPr>
          <w:rFonts w:ascii="Arial" w:hAnsi="Arial" w:cs="Arial"/>
          <w:sz w:val="24"/>
          <w:szCs w:val="24"/>
          <w:shd w:val="clear" w:color="auto" w:fill="FFFFFF"/>
        </w:rPr>
        <w:t>whether to stop life support to a victim of the Hillsborough football disaster. They were reluctant to make a decision one way or another and would have preferred that it went back to Parliament, as it involved ethical and moral considerations. However, they eventually agreed to the cessation of treatment as it was considered to be in the patient’s best interests.</w:t>
      </w:r>
    </w:p>
    <w:p w14:paraId="69555C67" w14:textId="0C28DE40" w:rsidR="006F479E" w:rsidRDefault="00860739">
      <w:pPr>
        <w:rPr>
          <w:rFonts w:ascii="Arial" w:hAnsi="Arial" w:cs="Arial"/>
          <w:sz w:val="24"/>
          <w:szCs w:val="24"/>
          <w:shd w:val="clear" w:color="auto" w:fill="FFFFFF"/>
        </w:rPr>
      </w:pPr>
      <w:r>
        <w:rPr>
          <w:rFonts w:ascii="Arial" w:hAnsi="Arial" w:cs="Arial"/>
          <w:sz w:val="24"/>
          <w:szCs w:val="24"/>
        </w:rPr>
        <w:t>The court hierarchy</w:t>
      </w:r>
      <w:r w:rsidR="001241F7">
        <w:rPr>
          <w:rFonts w:ascii="Arial" w:hAnsi="Arial" w:cs="Arial"/>
          <w:sz w:val="24"/>
          <w:szCs w:val="24"/>
        </w:rPr>
        <w:t xml:space="preserve"> </w:t>
      </w:r>
      <w:r w:rsidR="0064670D">
        <w:rPr>
          <w:rFonts w:ascii="Arial" w:hAnsi="Arial" w:cs="Arial"/>
          <w:sz w:val="24"/>
          <w:szCs w:val="24"/>
        </w:rPr>
        <w:t xml:space="preserve">(Courts and Tribunals Judiciary) </w:t>
      </w:r>
      <w:r w:rsidR="001241F7">
        <w:rPr>
          <w:rFonts w:ascii="Arial" w:hAnsi="Arial" w:cs="Arial"/>
          <w:sz w:val="24"/>
          <w:szCs w:val="24"/>
        </w:rPr>
        <w:t>has</w:t>
      </w:r>
      <w:r>
        <w:rPr>
          <w:rFonts w:ascii="Arial" w:hAnsi="Arial" w:cs="Arial"/>
          <w:sz w:val="24"/>
          <w:szCs w:val="24"/>
        </w:rPr>
        <w:t xml:space="preserve"> developed into a structure that  assists the legal </w:t>
      </w:r>
      <w:r w:rsidR="001241F7">
        <w:rPr>
          <w:rFonts w:ascii="Arial" w:hAnsi="Arial" w:cs="Arial"/>
          <w:sz w:val="24"/>
          <w:szCs w:val="24"/>
        </w:rPr>
        <w:t xml:space="preserve">body in adjudicating cases. The Supreme Court can overrule its own decisions and can depart from precedent. All other courts follow precedent in a </w:t>
      </w:r>
      <w:commentRangeStart w:id="5"/>
      <w:r w:rsidR="001241F7">
        <w:rPr>
          <w:rFonts w:ascii="Arial" w:hAnsi="Arial" w:cs="Arial"/>
          <w:sz w:val="24"/>
          <w:szCs w:val="24"/>
        </w:rPr>
        <w:t>case</w:t>
      </w:r>
      <w:commentRangeEnd w:id="5"/>
      <w:r w:rsidR="007802A1">
        <w:rPr>
          <w:rStyle w:val="CommentReference"/>
        </w:rPr>
        <w:commentReference w:id="5"/>
      </w:r>
      <w:r w:rsidR="0064670D">
        <w:rPr>
          <w:rFonts w:ascii="Arial" w:hAnsi="Arial" w:cs="Arial"/>
          <w:sz w:val="24"/>
          <w:szCs w:val="24"/>
        </w:rPr>
        <w:t>. The court system has developed over many centuries. All criminal cases start in the Magistrates Court and from there work their way to the Crown Court. Appeals from the Crown Court go to the High Court. From there they could go to the Appeal Court or finally to the Supreme Court. Civil cases start in the County Court and appeals go through the High Court and Court of Appeal.</w:t>
      </w:r>
      <w:r w:rsidR="00A03EFA">
        <w:rPr>
          <w:rFonts w:ascii="Arial" w:hAnsi="Arial" w:cs="Arial"/>
          <w:sz w:val="24"/>
          <w:szCs w:val="24"/>
        </w:rPr>
        <w:t xml:space="preserve">  </w:t>
      </w:r>
      <w:bookmarkStart w:id="6" w:name="_Hlk129166157"/>
    </w:p>
    <w:bookmarkEnd w:id="6"/>
    <w:p w14:paraId="077190A1" w14:textId="2CD4DF7D" w:rsidR="006F479E" w:rsidRDefault="00A03EFA">
      <w:pPr>
        <w:rPr>
          <w:rFonts w:ascii="Arial" w:hAnsi="Arial" w:cs="Arial"/>
          <w:sz w:val="24"/>
          <w:szCs w:val="24"/>
          <w:shd w:val="clear" w:color="auto" w:fill="FFFFFF"/>
        </w:rPr>
      </w:pPr>
      <w:r>
        <w:rPr>
          <w:rFonts w:ascii="Arial" w:hAnsi="Arial" w:cs="Arial"/>
          <w:sz w:val="24"/>
          <w:szCs w:val="24"/>
          <w:shd w:val="clear" w:color="auto" w:fill="FFFFFF"/>
        </w:rPr>
        <w:t xml:space="preserve">  </w:t>
      </w:r>
      <w:r w:rsidR="009152C2">
        <w:rPr>
          <w:rFonts w:ascii="Arial" w:hAnsi="Arial" w:cs="Arial"/>
          <w:sz w:val="24"/>
          <w:szCs w:val="24"/>
          <w:shd w:val="clear" w:color="auto" w:fill="FFFFFF"/>
        </w:rPr>
        <w:t xml:space="preserve">As a </w:t>
      </w:r>
      <w:commentRangeStart w:id="7"/>
      <w:r w:rsidR="006F479E">
        <w:rPr>
          <w:rFonts w:ascii="Arial" w:hAnsi="Arial" w:cs="Arial"/>
          <w:sz w:val="24"/>
          <w:szCs w:val="24"/>
          <w:shd w:val="clear" w:color="auto" w:fill="FFFFFF"/>
        </w:rPr>
        <w:t>key source</w:t>
      </w:r>
      <w:r w:rsidR="009152C2">
        <w:rPr>
          <w:rFonts w:ascii="Arial" w:hAnsi="Arial" w:cs="Arial"/>
          <w:sz w:val="24"/>
          <w:szCs w:val="24"/>
          <w:shd w:val="clear" w:color="auto" w:fill="FFFFFF"/>
        </w:rPr>
        <w:t xml:space="preserve"> of</w:t>
      </w:r>
      <w:r w:rsidR="006F479E">
        <w:rPr>
          <w:rFonts w:ascii="Arial" w:hAnsi="Arial" w:cs="Arial"/>
          <w:sz w:val="24"/>
          <w:szCs w:val="24"/>
          <w:shd w:val="clear" w:color="auto" w:fill="FFFFFF"/>
        </w:rPr>
        <w:t xml:space="preserve"> English law, a consideration of civil law</w:t>
      </w:r>
      <w:r w:rsidR="009152C2">
        <w:rPr>
          <w:rFonts w:ascii="Arial" w:hAnsi="Arial" w:cs="Arial"/>
          <w:sz w:val="24"/>
          <w:szCs w:val="24"/>
          <w:shd w:val="clear" w:color="auto" w:fill="FFFFFF"/>
        </w:rPr>
        <w:t xml:space="preserve"> and contrast with</w:t>
      </w:r>
      <w:r w:rsidR="003E010E">
        <w:rPr>
          <w:rFonts w:ascii="Arial" w:hAnsi="Arial" w:cs="Arial"/>
          <w:sz w:val="24"/>
          <w:szCs w:val="24"/>
          <w:shd w:val="clear" w:color="auto" w:fill="FFFFFF"/>
        </w:rPr>
        <w:t xml:space="preserve"> common law </w:t>
      </w:r>
      <w:r w:rsidR="009152C2">
        <w:rPr>
          <w:rFonts w:ascii="Arial" w:hAnsi="Arial" w:cs="Arial"/>
          <w:sz w:val="24"/>
          <w:szCs w:val="24"/>
          <w:shd w:val="clear" w:color="auto" w:fill="FFFFFF"/>
        </w:rPr>
        <w:t xml:space="preserve">is </w:t>
      </w:r>
      <w:r w:rsidR="003E010E">
        <w:rPr>
          <w:rFonts w:ascii="Arial" w:hAnsi="Arial" w:cs="Arial"/>
          <w:sz w:val="24"/>
          <w:szCs w:val="24"/>
          <w:shd w:val="clear" w:color="auto" w:fill="FFFFFF"/>
        </w:rPr>
        <w:t>made. This body of law is codified</w:t>
      </w:r>
      <w:r w:rsidR="009152C2">
        <w:rPr>
          <w:rFonts w:ascii="Arial" w:hAnsi="Arial" w:cs="Arial"/>
          <w:sz w:val="24"/>
          <w:szCs w:val="24"/>
          <w:shd w:val="clear" w:color="auto" w:fill="FFFFFF"/>
        </w:rPr>
        <w:t xml:space="preserve"> </w:t>
      </w:r>
      <w:r w:rsidR="003E010E">
        <w:rPr>
          <w:rFonts w:ascii="Arial" w:hAnsi="Arial" w:cs="Arial"/>
          <w:sz w:val="24"/>
          <w:szCs w:val="24"/>
          <w:shd w:val="clear" w:color="auto" w:fill="FFFFFF"/>
        </w:rPr>
        <w:t xml:space="preserve">in terms of Acts of Parliament and statutes. </w:t>
      </w:r>
      <w:r w:rsidR="001B1322">
        <w:rPr>
          <w:rFonts w:ascii="Arial" w:hAnsi="Arial" w:cs="Arial"/>
          <w:sz w:val="24"/>
          <w:szCs w:val="24"/>
          <w:shd w:val="clear" w:color="auto" w:fill="FFFFFF"/>
        </w:rPr>
        <w:t>Dainow (1966) has described it</w:t>
      </w:r>
      <w:r w:rsidR="003E010E">
        <w:rPr>
          <w:rFonts w:ascii="Arial" w:hAnsi="Arial" w:cs="Arial"/>
          <w:sz w:val="24"/>
          <w:szCs w:val="24"/>
          <w:shd w:val="clear" w:color="auto" w:fill="FFFFFF"/>
        </w:rPr>
        <w:t xml:space="preserve"> </w:t>
      </w:r>
      <w:r w:rsidR="001B1322">
        <w:rPr>
          <w:rFonts w:ascii="Arial" w:hAnsi="Arial" w:cs="Arial"/>
          <w:sz w:val="24"/>
          <w:szCs w:val="24"/>
          <w:shd w:val="clear" w:color="auto" w:fill="FFFFFF"/>
        </w:rPr>
        <w:t>as</w:t>
      </w:r>
      <w:r w:rsidR="003E010E">
        <w:rPr>
          <w:rFonts w:ascii="Arial" w:hAnsi="Arial" w:cs="Arial"/>
          <w:sz w:val="24"/>
          <w:szCs w:val="24"/>
          <w:shd w:val="clear" w:color="auto" w:fill="FFFFFF"/>
        </w:rPr>
        <w:t xml:space="preserve"> deriv</w:t>
      </w:r>
      <w:r w:rsidR="001B1322">
        <w:rPr>
          <w:rFonts w:ascii="Arial" w:hAnsi="Arial" w:cs="Arial"/>
          <w:sz w:val="24"/>
          <w:szCs w:val="24"/>
          <w:shd w:val="clear" w:color="auto" w:fill="FFFFFF"/>
        </w:rPr>
        <w:t>ing</w:t>
      </w:r>
      <w:r w:rsidR="003E010E">
        <w:rPr>
          <w:rFonts w:ascii="Arial" w:hAnsi="Arial" w:cs="Arial"/>
          <w:sz w:val="24"/>
          <w:szCs w:val="24"/>
          <w:shd w:val="clear" w:color="auto" w:fill="FFFFFF"/>
        </w:rPr>
        <w:t xml:space="preserve"> from the </w:t>
      </w:r>
      <w:r w:rsidR="003E010E" w:rsidRPr="003E010E">
        <w:rPr>
          <w:rFonts w:ascii="Arial" w:hAnsi="Arial" w:cs="Arial"/>
          <w:i/>
          <w:iCs/>
          <w:sz w:val="24"/>
          <w:szCs w:val="24"/>
          <w:shd w:val="clear" w:color="auto" w:fill="FFFFFF"/>
        </w:rPr>
        <w:t>jus civile</w:t>
      </w:r>
      <w:r w:rsidR="003E010E">
        <w:rPr>
          <w:rFonts w:ascii="Arial" w:hAnsi="Arial" w:cs="Arial"/>
          <w:i/>
          <w:iCs/>
          <w:sz w:val="24"/>
          <w:szCs w:val="24"/>
          <w:shd w:val="clear" w:color="auto" w:fill="FFFFFF"/>
        </w:rPr>
        <w:t xml:space="preserve"> </w:t>
      </w:r>
      <w:r w:rsidR="003E010E">
        <w:rPr>
          <w:rFonts w:ascii="Arial" w:hAnsi="Arial" w:cs="Arial"/>
          <w:sz w:val="24"/>
          <w:szCs w:val="24"/>
          <w:shd w:val="clear" w:color="auto" w:fill="FFFFFF"/>
        </w:rPr>
        <w:t>that Roman citizens enjoyed and which culminated in the Justinian codification.</w:t>
      </w:r>
      <w:commentRangeEnd w:id="7"/>
      <w:r w:rsidR="007802A1">
        <w:rPr>
          <w:rStyle w:val="CommentReference"/>
        </w:rPr>
        <w:commentReference w:id="7"/>
      </w:r>
      <w:r w:rsidR="001D64E7">
        <w:rPr>
          <w:rFonts w:ascii="Arial" w:hAnsi="Arial" w:cs="Arial"/>
          <w:sz w:val="24"/>
          <w:szCs w:val="24"/>
          <w:shd w:val="clear" w:color="auto" w:fill="FFFFFF"/>
        </w:rPr>
        <w:t xml:space="preserve"> </w:t>
      </w:r>
    </w:p>
    <w:p w14:paraId="28EAF762" w14:textId="2338544E" w:rsidR="0024796B" w:rsidRDefault="00A03EFA">
      <w:pPr>
        <w:rPr>
          <w:rFonts w:ascii="Arial" w:hAnsi="Arial" w:cs="Arial"/>
          <w:sz w:val="24"/>
          <w:szCs w:val="24"/>
          <w:shd w:val="clear" w:color="auto" w:fill="FFFFFF"/>
        </w:rPr>
      </w:pPr>
      <w:r>
        <w:rPr>
          <w:rFonts w:ascii="Arial" w:hAnsi="Arial" w:cs="Arial"/>
          <w:sz w:val="24"/>
          <w:szCs w:val="24"/>
          <w:shd w:val="clear" w:color="auto" w:fill="FFFFFF"/>
        </w:rPr>
        <w:t xml:space="preserve">  </w:t>
      </w:r>
      <w:r w:rsidR="0024796B">
        <w:rPr>
          <w:rFonts w:ascii="Arial" w:hAnsi="Arial" w:cs="Arial"/>
          <w:sz w:val="24"/>
          <w:szCs w:val="24"/>
          <w:shd w:val="clear" w:color="auto" w:fill="FFFFFF"/>
        </w:rPr>
        <w:t xml:space="preserve">One of the oldest Acts of Parliament is </w:t>
      </w:r>
      <w:r w:rsidR="009152C2">
        <w:rPr>
          <w:rFonts w:ascii="Arial" w:hAnsi="Arial" w:cs="Arial"/>
          <w:sz w:val="24"/>
          <w:szCs w:val="24"/>
          <w:shd w:val="clear" w:color="auto" w:fill="FFFFFF"/>
        </w:rPr>
        <w:t xml:space="preserve">OAPA </w:t>
      </w:r>
      <w:r w:rsidR="0024796B">
        <w:rPr>
          <w:rFonts w:ascii="Arial" w:hAnsi="Arial" w:cs="Arial"/>
          <w:sz w:val="24"/>
          <w:szCs w:val="24"/>
          <w:shd w:val="clear" w:color="auto" w:fill="FFFFFF"/>
        </w:rPr>
        <w:t>1861.It was an Act to consolidate and amend the statute law of England and Ireland</w:t>
      </w:r>
      <w:r w:rsidR="001D1604">
        <w:rPr>
          <w:rFonts w:ascii="Arial" w:hAnsi="Arial" w:cs="Arial"/>
          <w:sz w:val="24"/>
          <w:szCs w:val="24"/>
          <w:shd w:val="clear" w:color="auto" w:fill="FFFFFF"/>
        </w:rPr>
        <w:t xml:space="preserve">. Other key Acts are, for example, the Equality Act of 2010, which protects people in the work place and the wider society. </w:t>
      </w:r>
      <w:r w:rsidR="004B58BA">
        <w:rPr>
          <w:rFonts w:ascii="Arial" w:hAnsi="Arial" w:cs="Arial"/>
          <w:sz w:val="24"/>
          <w:szCs w:val="24"/>
          <w:shd w:val="clear" w:color="auto" w:fill="FFFFFF"/>
        </w:rPr>
        <w:t>T</w:t>
      </w:r>
      <w:r w:rsidR="001D1604">
        <w:rPr>
          <w:rFonts w:ascii="Arial" w:hAnsi="Arial" w:cs="Arial"/>
          <w:sz w:val="24"/>
          <w:szCs w:val="24"/>
          <w:shd w:val="clear" w:color="auto" w:fill="FFFFFF"/>
        </w:rPr>
        <w:t xml:space="preserve">he Consumer Rights Act of 2015 was introduced to provide satisfaction in respect of basic </w:t>
      </w:r>
      <w:r w:rsidR="00091F76">
        <w:rPr>
          <w:rFonts w:ascii="Arial" w:hAnsi="Arial" w:cs="Arial"/>
          <w:sz w:val="24"/>
          <w:szCs w:val="24"/>
          <w:shd w:val="clear" w:color="auto" w:fill="FFFFFF"/>
        </w:rPr>
        <w:t>needs. Civil</w:t>
      </w:r>
      <w:r w:rsidR="001D1604">
        <w:rPr>
          <w:rFonts w:ascii="Arial" w:hAnsi="Arial" w:cs="Arial"/>
          <w:sz w:val="24"/>
          <w:szCs w:val="24"/>
          <w:shd w:val="clear" w:color="auto" w:fill="FFFFFF"/>
        </w:rPr>
        <w:t xml:space="preserve"> law is largely based on legislation and </w:t>
      </w:r>
      <w:r w:rsidR="005B32DC">
        <w:rPr>
          <w:rFonts w:ascii="Arial" w:hAnsi="Arial" w:cs="Arial"/>
          <w:sz w:val="24"/>
          <w:szCs w:val="24"/>
          <w:shd w:val="clear" w:color="auto" w:fill="FFFFFF"/>
        </w:rPr>
        <w:t>codification,</w:t>
      </w:r>
      <w:r w:rsidR="001D1604">
        <w:rPr>
          <w:rFonts w:ascii="Arial" w:hAnsi="Arial" w:cs="Arial"/>
          <w:sz w:val="24"/>
          <w:szCs w:val="24"/>
          <w:shd w:val="clear" w:color="auto" w:fill="FFFFFF"/>
        </w:rPr>
        <w:t xml:space="preserve"> and it governs or regulates the relationship between </w:t>
      </w:r>
      <w:r w:rsidR="00091F76">
        <w:rPr>
          <w:rFonts w:ascii="Arial" w:hAnsi="Arial" w:cs="Arial"/>
          <w:sz w:val="24"/>
          <w:szCs w:val="24"/>
          <w:shd w:val="clear" w:color="auto" w:fill="FFFFFF"/>
        </w:rPr>
        <w:t xml:space="preserve">individuals. </w:t>
      </w:r>
      <w:r w:rsidR="004B58BA">
        <w:rPr>
          <w:rFonts w:ascii="Arial" w:hAnsi="Arial" w:cs="Arial"/>
          <w:sz w:val="24"/>
          <w:szCs w:val="24"/>
          <w:shd w:val="clear" w:color="auto" w:fill="FFFFFF"/>
        </w:rPr>
        <w:t>Therefore,</w:t>
      </w:r>
      <w:r w:rsidR="001D1604">
        <w:rPr>
          <w:rFonts w:ascii="Arial" w:hAnsi="Arial" w:cs="Arial"/>
          <w:sz w:val="24"/>
          <w:szCs w:val="24"/>
          <w:shd w:val="clear" w:color="auto" w:fill="FFFFFF"/>
        </w:rPr>
        <w:t xml:space="preserve"> </w:t>
      </w:r>
      <w:r w:rsidR="004B58BA">
        <w:rPr>
          <w:rFonts w:ascii="Arial" w:hAnsi="Arial" w:cs="Arial"/>
          <w:sz w:val="24"/>
          <w:szCs w:val="24"/>
          <w:shd w:val="clear" w:color="auto" w:fill="FFFFFF"/>
        </w:rPr>
        <w:t>it</w:t>
      </w:r>
      <w:r w:rsidR="001D1604">
        <w:rPr>
          <w:rFonts w:ascii="Arial" w:hAnsi="Arial" w:cs="Arial"/>
          <w:sz w:val="24"/>
          <w:szCs w:val="24"/>
          <w:shd w:val="clear" w:color="auto" w:fill="FFFFFF"/>
        </w:rPr>
        <w:t xml:space="preserve"> governs things such as the law of contract, family law, </w:t>
      </w:r>
      <w:r w:rsidR="00037508">
        <w:rPr>
          <w:rFonts w:ascii="Arial" w:hAnsi="Arial" w:cs="Arial"/>
          <w:sz w:val="24"/>
          <w:szCs w:val="24"/>
          <w:shd w:val="clear" w:color="auto" w:fill="FFFFFF"/>
        </w:rPr>
        <w:t>ownership, sale,</w:t>
      </w:r>
      <w:r w:rsidR="001D1604">
        <w:rPr>
          <w:rFonts w:ascii="Arial" w:hAnsi="Arial" w:cs="Arial"/>
          <w:sz w:val="24"/>
          <w:szCs w:val="24"/>
          <w:shd w:val="clear" w:color="auto" w:fill="FFFFFF"/>
        </w:rPr>
        <w:t xml:space="preserve"> and lease.</w:t>
      </w:r>
    </w:p>
    <w:p w14:paraId="28C4DFDD" w14:textId="20526E98" w:rsidR="00BE513C" w:rsidRDefault="00A03EFA">
      <w:pPr>
        <w:rPr>
          <w:rFonts w:ascii="Arial" w:hAnsi="Arial" w:cs="Arial"/>
          <w:sz w:val="24"/>
          <w:szCs w:val="24"/>
          <w:shd w:val="clear" w:color="auto" w:fill="FFFFFF"/>
        </w:rPr>
      </w:pPr>
      <w:r>
        <w:rPr>
          <w:rFonts w:ascii="Arial" w:hAnsi="Arial" w:cs="Arial"/>
          <w:sz w:val="24"/>
          <w:szCs w:val="24"/>
          <w:shd w:val="clear" w:color="auto" w:fill="FFFFFF"/>
        </w:rPr>
        <w:t xml:space="preserve">  </w:t>
      </w:r>
      <w:r w:rsidR="00BE513C">
        <w:rPr>
          <w:rFonts w:ascii="Arial" w:hAnsi="Arial" w:cs="Arial"/>
          <w:sz w:val="24"/>
          <w:szCs w:val="24"/>
          <w:shd w:val="clear" w:color="auto" w:fill="FFFFFF"/>
        </w:rPr>
        <w:t>At the beginning of the 20</w:t>
      </w:r>
      <w:r w:rsidR="00BE513C" w:rsidRPr="00BE513C">
        <w:rPr>
          <w:rFonts w:ascii="Arial" w:hAnsi="Arial" w:cs="Arial"/>
          <w:sz w:val="24"/>
          <w:szCs w:val="24"/>
          <w:shd w:val="clear" w:color="auto" w:fill="FFFFFF"/>
          <w:vertAlign w:val="superscript"/>
        </w:rPr>
        <w:t>th</w:t>
      </w:r>
      <w:r w:rsidR="00BE513C">
        <w:rPr>
          <w:rFonts w:ascii="Arial" w:hAnsi="Arial" w:cs="Arial"/>
          <w:sz w:val="24"/>
          <w:szCs w:val="24"/>
          <w:shd w:val="clear" w:color="auto" w:fill="FFFFFF"/>
        </w:rPr>
        <w:t xml:space="preserve"> century, Edward Jenks (1916) distinguished the stating of simple rules and principles in terms of either a  Code or Digest and suggest</w:t>
      </w:r>
      <w:r w:rsidR="004B58BA">
        <w:rPr>
          <w:rFonts w:ascii="Arial" w:hAnsi="Arial" w:cs="Arial"/>
          <w:sz w:val="24"/>
          <w:szCs w:val="24"/>
          <w:shd w:val="clear" w:color="auto" w:fill="FFFFFF"/>
        </w:rPr>
        <w:t>ed</w:t>
      </w:r>
      <w:r w:rsidR="00BE513C">
        <w:rPr>
          <w:rFonts w:ascii="Arial" w:hAnsi="Arial" w:cs="Arial"/>
          <w:sz w:val="24"/>
          <w:szCs w:val="24"/>
          <w:shd w:val="clear" w:color="auto" w:fill="FFFFFF"/>
        </w:rPr>
        <w:t xml:space="preserve"> that codification was not the original intention, but that it t</w:t>
      </w:r>
      <w:r w:rsidR="004B58BA">
        <w:rPr>
          <w:rFonts w:ascii="Arial" w:hAnsi="Arial" w:cs="Arial"/>
          <w:sz w:val="24"/>
          <w:szCs w:val="24"/>
          <w:shd w:val="clear" w:color="auto" w:fill="FFFFFF"/>
        </w:rPr>
        <w:t>ook</w:t>
      </w:r>
      <w:r w:rsidR="00BE513C">
        <w:rPr>
          <w:rFonts w:ascii="Arial" w:hAnsi="Arial" w:cs="Arial"/>
          <w:sz w:val="24"/>
          <w:szCs w:val="24"/>
          <w:shd w:val="clear" w:color="auto" w:fill="FFFFFF"/>
        </w:rPr>
        <w:t xml:space="preserve"> the form of a Digest, which </w:t>
      </w:r>
      <w:r w:rsidR="004B58BA">
        <w:rPr>
          <w:rFonts w:ascii="Arial" w:hAnsi="Arial" w:cs="Arial"/>
          <w:sz w:val="24"/>
          <w:szCs w:val="24"/>
          <w:shd w:val="clear" w:color="auto" w:fill="FFFFFF"/>
        </w:rPr>
        <w:t>wa</w:t>
      </w:r>
      <w:r w:rsidR="00BE513C">
        <w:rPr>
          <w:rFonts w:ascii="Arial" w:hAnsi="Arial" w:cs="Arial"/>
          <w:sz w:val="24"/>
          <w:szCs w:val="24"/>
          <w:shd w:val="clear" w:color="auto" w:fill="FFFFFF"/>
        </w:rPr>
        <w:t xml:space="preserve">s a statement of the “authoritative rules of law”. </w:t>
      </w:r>
      <w:r w:rsidR="00091F76">
        <w:rPr>
          <w:rFonts w:ascii="Arial" w:hAnsi="Arial" w:cs="Arial"/>
          <w:sz w:val="24"/>
          <w:szCs w:val="24"/>
          <w:shd w:val="clear" w:color="auto" w:fill="FFFFFF"/>
        </w:rPr>
        <w:t>I</w:t>
      </w:r>
      <w:r w:rsidR="007A4679">
        <w:rPr>
          <w:rFonts w:ascii="Arial" w:hAnsi="Arial" w:cs="Arial"/>
          <w:sz w:val="24"/>
          <w:szCs w:val="24"/>
          <w:shd w:val="clear" w:color="auto" w:fill="FFFFFF"/>
        </w:rPr>
        <w:t xml:space="preserve">n civil law, codes and statutes exist, which tend to </w:t>
      </w:r>
      <w:r w:rsidR="004B58BA">
        <w:rPr>
          <w:rFonts w:ascii="Arial" w:hAnsi="Arial" w:cs="Arial"/>
          <w:sz w:val="24"/>
          <w:szCs w:val="24"/>
          <w:shd w:val="clear" w:color="auto" w:fill="FFFFFF"/>
        </w:rPr>
        <w:t>restrict judges</w:t>
      </w:r>
      <w:r w:rsidR="007A4679">
        <w:rPr>
          <w:rFonts w:ascii="Arial" w:hAnsi="Arial" w:cs="Arial"/>
          <w:sz w:val="24"/>
          <w:szCs w:val="24"/>
          <w:shd w:val="clear" w:color="auto" w:fill="FFFFFF"/>
        </w:rPr>
        <w:t xml:space="preserve">’ </w:t>
      </w:r>
      <w:r w:rsidR="004B58BA">
        <w:rPr>
          <w:rFonts w:ascii="Arial" w:hAnsi="Arial" w:cs="Arial"/>
          <w:sz w:val="24"/>
          <w:szCs w:val="24"/>
          <w:shd w:val="clear" w:color="auto" w:fill="FFFFFF"/>
        </w:rPr>
        <w:t>decision-making</w:t>
      </w:r>
      <w:r w:rsidR="007A4679">
        <w:rPr>
          <w:rFonts w:ascii="Arial" w:hAnsi="Arial" w:cs="Arial"/>
          <w:sz w:val="24"/>
          <w:szCs w:val="24"/>
          <w:shd w:val="clear" w:color="auto" w:fill="FFFFFF"/>
        </w:rPr>
        <w:t xml:space="preserve"> process. </w:t>
      </w:r>
      <w:r w:rsidR="009152C2">
        <w:rPr>
          <w:rFonts w:ascii="Arial" w:hAnsi="Arial" w:cs="Arial"/>
          <w:sz w:val="24"/>
          <w:szCs w:val="24"/>
          <w:shd w:val="clear" w:color="auto" w:fill="FFFFFF"/>
        </w:rPr>
        <w:t>I</w:t>
      </w:r>
      <w:r w:rsidR="007A4679">
        <w:rPr>
          <w:rFonts w:ascii="Arial" w:hAnsi="Arial" w:cs="Arial"/>
          <w:sz w:val="24"/>
          <w:szCs w:val="24"/>
          <w:shd w:val="clear" w:color="auto" w:fill="FFFFFF"/>
        </w:rPr>
        <w:t>t has been suggested in an Economist</w:t>
      </w:r>
      <w:r w:rsidR="004B3C14">
        <w:rPr>
          <w:rFonts w:ascii="Arial" w:hAnsi="Arial" w:cs="Arial"/>
          <w:sz w:val="24"/>
          <w:szCs w:val="24"/>
          <w:shd w:val="clear" w:color="auto" w:fill="FFFFFF"/>
        </w:rPr>
        <w:t xml:space="preserve"> (2013)</w:t>
      </w:r>
      <w:r w:rsidR="007A4679">
        <w:rPr>
          <w:rFonts w:ascii="Arial" w:hAnsi="Arial" w:cs="Arial"/>
          <w:sz w:val="24"/>
          <w:szCs w:val="24"/>
          <w:shd w:val="clear" w:color="auto" w:fill="FFFFFF"/>
        </w:rPr>
        <w:t xml:space="preserve"> article that judges in a civil law system tend to be “investigators”, while judges in a common law system act as “arbiters” between the </w:t>
      </w:r>
      <w:r w:rsidR="004B3C14">
        <w:rPr>
          <w:rFonts w:ascii="Arial" w:hAnsi="Arial" w:cs="Arial"/>
          <w:sz w:val="24"/>
          <w:szCs w:val="24"/>
          <w:shd w:val="clear" w:color="auto" w:fill="FFFFFF"/>
        </w:rPr>
        <w:t>parties. Acts of Parliament become rigid, codified law and tend to make judicial decisions easier when cases come to court.</w:t>
      </w:r>
    </w:p>
    <w:p w14:paraId="51D2D7AC" w14:textId="147BCC23" w:rsidR="004B3C14" w:rsidRDefault="00A03EFA">
      <w:pPr>
        <w:rPr>
          <w:rFonts w:ascii="Arial" w:hAnsi="Arial" w:cs="Arial"/>
          <w:sz w:val="24"/>
          <w:szCs w:val="24"/>
          <w:shd w:val="clear" w:color="auto" w:fill="FFFFFF"/>
        </w:rPr>
      </w:pPr>
      <w:r>
        <w:rPr>
          <w:rFonts w:ascii="Arial" w:hAnsi="Arial" w:cs="Arial"/>
          <w:sz w:val="24"/>
          <w:szCs w:val="24"/>
          <w:shd w:val="clear" w:color="auto" w:fill="FFFFFF"/>
        </w:rPr>
        <w:t xml:space="preserve">  </w:t>
      </w:r>
      <w:r w:rsidR="004B3C14">
        <w:rPr>
          <w:rFonts w:ascii="Arial" w:hAnsi="Arial" w:cs="Arial"/>
          <w:sz w:val="24"/>
          <w:szCs w:val="24"/>
          <w:shd w:val="clear" w:color="auto" w:fill="FFFFFF"/>
        </w:rPr>
        <w:t>So that a distinction can be made between common and civil law, Dainow (1966-1967) points to the fact that although common law has as its basis case law, it has a legislative “encroachment”</w:t>
      </w:r>
      <w:r w:rsidR="003C4993">
        <w:rPr>
          <w:rFonts w:ascii="Arial" w:hAnsi="Arial" w:cs="Arial"/>
          <w:sz w:val="24"/>
          <w:szCs w:val="24"/>
          <w:shd w:val="clear" w:color="auto" w:fill="FFFFFF"/>
        </w:rPr>
        <w:t xml:space="preserve">. </w:t>
      </w:r>
      <w:r w:rsidR="004B3C14">
        <w:rPr>
          <w:rFonts w:ascii="Arial" w:hAnsi="Arial" w:cs="Arial"/>
          <w:sz w:val="24"/>
          <w:szCs w:val="24"/>
          <w:shd w:val="clear" w:color="auto" w:fill="FFFFFF"/>
        </w:rPr>
        <w:t xml:space="preserve">And conversely, although civil law has a legislative base, it reflects case </w:t>
      </w:r>
      <w:r w:rsidR="00F7410F">
        <w:rPr>
          <w:rFonts w:ascii="Arial" w:hAnsi="Arial" w:cs="Arial"/>
          <w:sz w:val="24"/>
          <w:szCs w:val="24"/>
          <w:shd w:val="clear" w:color="auto" w:fill="FFFFFF"/>
        </w:rPr>
        <w:t>law. The</w:t>
      </w:r>
      <w:r w:rsidR="004B3C14">
        <w:rPr>
          <w:rFonts w:ascii="Arial" w:hAnsi="Arial" w:cs="Arial"/>
          <w:sz w:val="24"/>
          <w:szCs w:val="24"/>
          <w:shd w:val="clear" w:color="auto" w:fill="FFFFFF"/>
        </w:rPr>
        <w:t xml:space="preserve"> scholarly approach to each type of law is different as </w:t>
      </w:r>
      <w:r w:rsidR="00F7410F">
        <w:rPr>
          <w:rFonts w:ascii="Arial" w:hAnsi="Arial" w:cs="Arial"/>
          <w:sz w:val="24"/>
          <w:szCs w:val="24"/>
          <w:shd w:val="clear" w:color="auto" w:fill="FFFFFF"/>
        </w:rPr>
        <w:t>well. In</w:t>
      </w:r>
      <w:r w:rsidR="004B3C14">
        <w:rPr>
          <w:rFonts w:ascii="Arial" w:hAnsi="Arial" w:cs="Arial"/>
          <w:sz w:val="24"/>
          <w:szCs w:val="24"/>
          <w:shd w:val="clear" w:color="auto" w:fill="FFFFFF"/>
        </w:rPr>
        <w:t xml:space="preserve"> civil law</w:t>
      </w:r>
      <w:r w:rsidR="00F7410F">
        <w:rPr>
          <w:rFonts w:ascii="Arial" w:hAnsi="Arial" w:cs="Arial"/>
          <w:sz w:val="24"/>
          <w:szCs w:val="24"/>
          <w:shd w:val="clear" w:color="auto" w:fill="FFFFFF"/>
        </w:rPr>
        <w:t xml:space="preserve">, education focuses on legislation, while in common law the focus is on decided cases., applying the principle of </w:t>
      </w:r>
      <w:r w:rsidR="00F7410F" w:rsidRPr="00F7410F">
        <w:rPr>
          <w:rFonts w:ascii="Arial" w:hAnsi="Arial" w:cs="Arial"/>
          <w:i/>
          <w:iCs/>
          <w:sz w:val="24"/>
          <w:szCs w:val="24"/>
          <w:shd w:val="clear" w:color="auto" w:fill="FFFFFF"/>
        </w:rPr>
        <w:t>stare decisis</w:t>
      </w:r>
      <w:r w:rsidR="00F7410F">
        <w:rPr>
          <w:rFonts w:ascii="Arial" w:hAnsi="Arial" w:cs="Arial"/>
          <w:sz w:val="24"/>
          <w:szCs w:val="24"/>
          <w:shd w:val="clear" w:color="auto" w:fill="FFFFFF"/>
        </w:rPr>
        <w:t>.</w:t>
      </w:r>
      <w:r w:rsidR="004B3C14">
        <w:rPr>
          <w:rFonts w:ascii="Arial" w:hAnsi="Arial" w:cs="Arial"/>
          <w:sz w:val="24"/>
          <w:szCs w:val="24"/>
          <w:shd w:val="clear" w:color="auto" w:fill="FFFFFF"/>
        </w:rPr>
        <w:t xml:space="preserve"> </w:t>
      </w:r>
      <w:r w:rsidR="00F7410F">
        <w:rPr>
          <w:rFonts w:ascii="Arial" w:hAnsi="Arial" w:cs="Arial"/>
          <w:sz w:val="24"/>
          <w:szCs w:val="24"/>
          <w:shd w:val="clear" w:color="auto" w:fill="FFFFFF"/>
        </w:rPr>
        <w:t xml:space="preserve">When deciding cases, the civil law judge will first find the pertinent legislation and then apply the facts of that case to that principle to arrive at a result. In common law, the judge looks for the precedent which fits the facts of the </w:t>
      </w:r>
      <w:r w:rsidR="005F328C">
        <w:rPr>
          <w:rFonts w:ascii="Arial" w:hAnsi="Arial" w:cs="Arial"/>
          <w:sz w:val="24"/>
          <w:szCs w:val="24"/>
          <w:shd w:val="clear" w:color="auto" w:fill="FFFFFF"/>
        </w:rPr>
        <w:t>case. At</w:t>
      </w:r>
      <w:r w:rsidR="00F7410F">
        <w:rPr>
          <w:rFonts w:ascii="Arial" w:hAnsi="Arial" w:cs="Arial"/>
          <w:sz w:val="24"/>
          <w:szCs w:val="24"/>
          <w:shd w:val="clear" w:color="auto" w:fill="FFFFFF"/>
        </w:rPr>
        <w:t xml:space="preserve"> a trial in common law the facts are left to the jury to determine an outcome, but in a civil case juries are rare and judges have control over the outcome of the decision.</w:t>
      </w:r>
      <w:r w:rsidR="00667D6D">
        <w:rPr>
          <w:rFonts w:ascii="Arial" w:hAnsi="Arial" w:cs="Arial"/>
          <w:sz w:val="24"/>
          <w:szCs w:val="24"/>
          <w:shd w:val="clear" w:color="auto" w:fill="FFFFFF"/>
        </w:rPr>
        <w:t xml:space="preserve"> Dainow (1966-1967) discusses the difference between the two systems </w:t>
      </w:r>
      <w:r w:rsidR="002028F2">
        <w:rPr>
          <w:rFonts w:ascii="Arial" w:hAnsi="Arial" w:cs="Arial"/>
          <w:sz w:val="24"/>
          <w:szCs w:val="24"/>
          <w:shd w:val="clear" w:color="auto" w:fill="FFFFFF"/>
        </w:rPr>
        <w:t>in terms of</w:t>
      </w:r>
      <w:r w:rsidR="00667D6D">
        <w:rPr>
          <w:rFonts w:ascii="Arial" w:hAnsi="Arial" w:cs="Arial"/>
          <w:sz w:val="24"/>
          <w:szCs w:val="24"/>
          <w:shd w:val="clear" w:color="auto" w:fill="FFFFFF"/>
        </w:rPr>
        <w:t xml:space="preserve"> writing of opinions and decisions. In common law there is a detailed account of the facts and of all the pertinent cases. The court look</w:t>
      </w:r>
      <w:r w:rsidR="002028F2">
        <w:rPr>
          <w:rFonts w:ascii="Arial" w:hAnsi="Arial" w:cs="Arial"/>
          <w:sz w:val="24"/>
          <w:szCs w:val="24"/>
          <w:shd w:val="clear" w:color="auto" w:fill="FFFFFF"/>
        </w:rPr>
        <w:t>s</w:t>
      </w:r>
      <w:r w:rsidR="00667D6D">
        <w:rPr>
          <w:rFonts w:ascii="Arial" w:hAnsi="Arial" w:cs="Arial"/>
          <w:sz w:val="24"/>
          <w:szCs w:val="24"/>
          <w:shd w:val="clear" w:color="auto" w:fill="FFFFFF"/>
        </w:rPr>
        <w:t xml:space="preserve"> at the account and decide</w:t>
      </w:r>
      <w:r w:rsidR="002028F2">
        <w:rPr>
          <w:rFonts w:ascii="Arial" w:hAnsi="Arial" w:cs="Arial"/>
          <w:sz w:val="24"/>
          <w:szCs w:val="24"/>
          <w:shd w:val="clear" w:color="auto" w:fill="FFFFFF"/>
        </w:rPr>
        <w:t>s</w:t>
      </w:r>
      <w:r w:rsidR="00667D6D">
        <w:rPr>
          <w:rFonts w:ascii="Arial" w:hAnsi="Arial" w:cs="Arial"/>
          <w:sz w:val="24"/>
          <w:szCs w:val="24"/>
          <w:shd w:val="clear" w:color="auto" w:fill="FFFFFF"/>
        </w:rPr>
        <w:t xml:space="preserve"> what the decision will be. In civil law the account is very brief with few facts and only a brief statement of the applicable </w:t>
      </w:r>
      <w:r w:rsidR="002028F2">
        <w:rPr>
          <w:rFonts w:ascii="Arial" w:hAnsi="Arial" w:cs="Arial"/>
          <w:sz w:val="24"/>
          <w:szCs w:val="24"/>
          <w:shd w:val="clear" w:color="auto" w:fill="FFFFFF"/>
        </w:rPr>
        <w:t>principles. Advantages</w:t>
      </w:r>
      <w:r w:rsidR="00667D6D">
        <w:rPr>
          <w:rFonts w:ascii="Arial" w:hAnsi="Arial" w:cs="Arial"/>
          <w:sz w:val="24"/>
          <w:szCs w:val="24"/>
          <w:shd w:val="clear" w:color="auto" w:fill="FFFFFF"/>
        </w:rPr>
        <w:t xml:space="preserve"> and disadvantages of each system are </w:t>
      </w:r>
      <w:r w:rsidR="003C4993">
        <w:rPr>
          <w:rFonts w:ascii="Arial" w:hAnsi="Arial" w:cs="Arial"/>
          <w:sz w:val="24"/>
          <w:szCs w:val="24"/>
          <w:shd w:val="clear" w:color="auto" w:fill="FFFFFF"/>
        </w:rPr>
        <w:t>d</w:t>
      </w:r>
      <w:r w:rsidR="00667D6D">
        <w:rPr>
          <w:rFonts w:ascii="Arial" w:hAnsi="Arial" w:cs="Arial"/>
          <w:sz w:val="24"/>
          <w:szCs w:val="24"/>
          <w:shd w:val="clear" w:color="auto" w:fill="FFFFFF"/>
        </w:rPr>
        <w:t>iscussed in Elliott &amp; Quinn (2020). Firstly, they believe that common law provides certainty</w:t>
      </w:r>
      <w:r w:rsidR="004B58BA">
        <w:rPr>
          <w:rFonts w:ascii="Arial" w:hAnsi="Arial" w:cs="Arial"/>
          <w:sz w:val="24"/>
          <w:szCs w:val="24"/>
          <w:shd w:val="clear" w:color="auto" w:fill="FFFFFF"/>
        </w:rPr>
        <w:t>,</w:t>
      </w:r>
      <w:r w:rsidR="00667D6D">
        <w:rPr>
          <w:rFonts w:ascii="Arial" w:hAnsi="Arial" w:cs="Arial"/>
          <w:sz w:val="24"/>
          <w:szCs w:val="24"/>
          <w:shd w:val="clear" w:color="auto" w:fill="FFFFFF"/>
        </w:rPr>
        <w:t xml:space="preserve"> </w:t>
      </w:r>
      <w:r w:rsidR="002028F2">
        <w:rPr>
          <w:rFonts w:ascii="Arial" w:hAnsi="Arial" w:cs="Arial"/>
          <w:sz w:val="24"/>
          <w:szCs w:val="24"/>
          <w:shd w:val="clear" w:color="auto" w:fill="FFFFFF"/>
        </w:rPr>
        <w:t>where</w:t>
      </w:r>
      <w:r w:rsidR="00667D6D">
        <w:rPr>
          <w:rFonts w:ascii="Arial" w:hAnsi="Arial" w:cs="Arial"/>
          <w:sz w:val="24"/>
          <w:szCs w:val="24"/>
          <w:shd w:val="clear" w:color="auto" w:fill="FFFFFF"/>
        </w:rPr>
        <w:t xml:space="preserve"> the facts of a case will be examined looking at the precedents. This is debatable, as facts do not always match the precedent</w:t>
      </w:r>
      <w:r w:rsidR="002028F2">
        <w:rPr>
          <w:rFonts w:ascii="Arial" w:hAnsi="Arial" w:cs="Arial"/>
          <w:sz w:val="24"/>
          <w:szCs w:val="24"/>
          <w:shd w:val="clear" w:color="auto" w:fill="FFFFFF"/>
        </w:rPr>
        <w:t>,</w:t>
      </w:r>
      <w:r w:rsidR="00667D6D">
        <w:rPr>
          <w:rFonts w:ascii="Arial" w:hAnsi="Arial" w:cs="Arial"/>
          <w:sz w:val="24"/>
          <w:szCs w:val="24"/>
          <w:shd w:val="clear" w:color="auto" w:fill="FFFFFF"/>
        </w:rPr>
        <w:t xml:space="preserve"> </w:t>
      </w:r>
      <w:r w:rsidR="002028F2">
        <w:rPr>
          <w:rFonts w:ascii="Arial" w:hAnsi="Arial" w:cs="Arial"/>
          <w:sz w:val="24"/>
          <w:szCs w:val="24"/>
          <w:shd w:val="clear" w:color="auto" w:fill="FFFFFF"/>
        </w:rPr>
        <w:t>despite</w:t>
      </w:r>
      <w:r w:rsidR="00667D6D">
        <w:rPr>
          <w:rFonts w:ascii="Arial" w:hAnsi="Arial" w:cs="Arial"/>
          <w:sz w:val="24"/>
          <w:szCs w:val="24"/>
          <w:shd w:val="clear" w:color="auto" w:fill="FFFFFF"/>
        </w:rPr>
        <w:t xml:space="preserve"> the </w:t>
      </w:r>
      <w:r w:rsidR="00667D6D" w:rsidRPr="00667D6D">
        <w:rPr>
          <w:rFonts w:ascii="Arial" w:hAnsi="Arial" w:cs="Arial"/>
          <w:i/>
          <w:iCs/>
          <w:sz w:val="24"/>
          <w:szCs w:val="24"/>
          <w:shd w:val="clear" w:color="auto" w:fill="FFFFFF"/>
        </w:rPr>
        <w:t>ratio</w:t>
      </w:r>
      <w:r w:rsidR="00667D6D">
        <w:rPr>
          <w:rFonts w:ascii="Arial" w:hAnsi="Arial" w:cs="Arial"/>
          <w:i/>
          <w:iCs/>
          <w:sz w:val="24"/>
          <w:szCs w:val="24"/>
          <w:shd w:val="clear" w:color="auto" w:fill="FFFFFF"/>
        </w:rPr>
        <w:t xml:space="preserve"> </w:t>
      </w:r>
      <w:r w:rsidR="00667D6D">
        <w:rPr>
          <w:rFonts w:ascii="Arial" w:hAnsi="Arial" w:cs="Arial"/>
          <w:sz w:val="24"/>
          <w:szCs w:val="24"/>
          <w:shd w:val="clear" w:color="auto" w:fill="FFFFFF"/>
        </w:rPr>
        <w:t xml:space="preserve"> provided in support of the evidence. Secondly they state that case law</w:t>
      </w:r>
      <w:r w:rsidR="008D09B5">
        <w:rPr>
          <w:rFonts w:ascii="Arial" w:hAnsi="Arial" w:cs="Arial"/>
          <w:sz w:val="24"/>
          <w:szCs w:val="24"/>
          <w:shd w:val="clear" w:color="auto" w:fill="FFFFFF"/>
        </w:rPr>
        <w:t xml:space="preserve"> results in a more equitable outcome as particular circumstances are considered, rather than a statute process which relies on logic and theory. Hayek (1982) felt that common law resulted in a more </w:t>
      </w:r>
      <w:r w:rsidR="002028F2">
        <w:rPr>
          <w:rFonts w:ascii="Arial" w:hAnsi="Arial" w:cs="Arial"/>
          <w:sz w:val="24"/>
          <w:szCs w:val="24"/>
          <w:shd w:val="clear" w:color="auto" w:fill="FFFFFF"/>
        </w:rPr>
        <w:t>flexible,</w:t>
      </w:r>
      <w:r w:rsidR="008D09B5">
        <w:rPr>
          <w:rFonts w:ascii="Arial" w:hAnsi="Arial" w:cs="Arial"/>
          <w:sz w:val="24"/>
          <w:szCs w:val="24"/>
          <w:shd w:val="clear" w:color="auto" w:fill="FFFFFF"/>
        </w:rPr>
        <w:t xml:space="preserve"> free market outcome. It develops in society on a current basis and anything not fitting modern norms is </w:t>
      </w:r>
      <w:r w:rsidR="00580AC6">
        <w:rPr>
          <w:rFonts w:ascii="Arial" w:hAnsi="Arial" w:cs="Arial"/>
          <w:sz w:val="24"/>
          <w:szCs w:val="24"/>
          <w:shd w:val="clear" w:color="auto" w:fill="FFFFFF"/>
        </w:rPr>
        <w:t>discarded. Finally</w:t>
      </w:r>
      <w:r w:rsidR="008D09B5">
        <w:rPr>
          <w:rFonts w:ascii="Arial" w:hAnsi="Arial" w:cs="Arial"/>
          <w:sz w:val="24"/>
          <w:szCs w:val="24"/>
          <w:shd w:val="clear" w:color="auto" w:fill="FFFFFF"/>
        </w:rPr>
        <w:t xml:space="preserve"> case law provides more flexibility than a referral back to Parliament </w:t>
      </w:r>
      <w:r w:rsidR="00580AC6">
        <w:rPr>
          <w:rFonts w:ascii="Arial" w:hAnsi="Arial" w:cs="Arial"/>
          <w:sz w:val="24"/>
          <w:szCs w:val="24"/>
          <w:shd w:val="clear" w:color="auto" w:fill="FFFFFF"/>
        </w:rPr>
        <w:t>process. Elliott</w:t>
      </w:r>
      <w:r w:rsidR="008D09B5">
        <w:rPr>
          <w:rFonts w:ascii="Arial" w:hAnsi="Arial" w:cs="Arial"/>
          <w:sz w:val="24"/>
          <w:szCs w:val="24"/>
          <w:shd w:val="clear" w:color="auto" w:fill="FFFFFF"/>
        </w:rPr>
        <w:t xml:space="preserve"> &amp; Quinn (2020) list </w:t>
      </w:r>
      <w:r w:rsidR="004B58BA">
        <w:rPr>
          <w:rFonts w:ascii="Arial" w:hAnsi="Arial" w:cs="Arial"/>
          <w:sz w:val="24"/>
          <w:szCs w:val="24"/>
          <w:shd w:val="clear" w:color="auto" w:fill="FFFFFF"/>
        </w:rPr>
        <w:t>dis</w:t>
      </w:r>
      <w:r w:rsidR="008D09B5">
        <w:rPr>
          <w:rFonts w:ascii="Arial" w:hAnsi="Arial" w:cs="Arial"/>
          <w:sz w:val="24"/>
          <w:szCs w:val="24"/>
          <w:shd w:val="clear" w:color="auto" w:fill="FFFFFF"/>
        </w:rPr>
        <w:t>advantages to common law. Firstly</w:t>
      </w:r>
      <w:r w:rsidR="004B58BA">
        <w:rPr>
          <w:rFonts w:ascii="Arial" w:hAnsi="Arial" w:cs="Arial"/>
          <w:sz w:val="24"/>
          <w:szCs w:val="24"/>
          <w:shd w:val="clear" w:color="auto" w:fill="FFFFFF"/>
        </w:rPr>
        <w:t>,</w:t>
      </w:r>
      <w:r w:rsidR="008D09B5">
        <w:rPr>
          <w:rFonts w:ascii="Arial" w:hAnsi="Arial" w:cs="Arial"/>
          <w:sz w:val="24"/>
          <w:szCs w:val="24"/>
          <w:shd w:val="clear" w:color="auto" w:fill="FFFFFF"/>
        </w:rPr>
        <w:t xml:space="preserve"> </w:t>
      </w:r>
      <w:r w:rsidR="004B58BA">
        <w:rPr>
          <w:rFonts w:ascii="Arial" w:hAnsi="Arial" w:cs="Arial"/>
          <w:sz w:val="24"/>
          <w:szCs w:val="24"/>
          <w:shd w:val="clear" w:color="auto" w:fill="FFFFFF"/>
        </w:rPr>
        <w:t>large</w:t>
      </w:r>
      <w:r w:rsidR="008D09B5">
        <w:rPr>
          <w:rFonts w:ascii="Arial" w:hAnsi="Arial" w:cs="Arial"/>
          <w:sz w:val="24"/>
          <w:szCs w:val="24"/>
          <w:shd w:val="clear" w:color="auto" w:fill="FFFFFF"/>
        </w:rPr>
        <w:t xml:space="preserve"> volumes of case law make it difficult to point exactly to what the correct decision was. Secondly</w:t>
      </w:r>
      <w:r w:rsidR="004B58BA">
        <w:rPr>
          <w:rFonts w:ascii="Arial" w:hAnsi="Arial" w:cs="Arial"/>
          <w:sz w:val="24"/>
          <w:szCs w:val="24"/>
          <w:shd w:val="clear" w:color="auto" w:fill="FFFFFF"/>
        </w:rPr>
        <w:t>,</w:t>
      </w:r>
      <w:r w:rsidR="008D09B5">
        <w:rPr>
          <w:rFonts w:ascii="Arial" w:hAnsi="Arial" w:cs="Arial"/>
          <w:sz w:val="24"/>
          <w:szCs w:val="24"/>
          <w:shd w:val="clear" w:color="auto" w:fill="FFFFFF"/>
        </w:rPr>
        <w:t xml:space="preserve"> it is not appropriate to rely on bad precedent. Thirdly the volume </w:t>
      </w:r>
      <w:r w:rsidR="00580AC6">
        <w:rPr>
          <w:rFonts w:ascii="Arial" w:hAnsi="Arial" w:cs="Arial"/>
          <w:sz w:val="24"/>
          <w:szCs w:val="24"/>
          <w:shd w:val="clear" w:color="auto" w:fill="FFFFFF"/>
        </w:rPr>
        <w:t>of cases</w:t>
      </w:r>
      <w:r w:rsidR="008D09B5">
        <w:rPr>
          <w:rFonts w:ascii="Arial" w:hAnsi="Arial" w:cs="Arial"/>
          <w:sz w:val="24"/>
          <w:szCs w:val="24"/>
          <w:shd w:val="clear" w:color="auto" w:fill="FFFFFF"/>
        </w:rPr>
        <w:t xml:space="preserve"> could arrive at differing precedents</w:t>
      </w:r>
      <w:r w:rsidR="00580AC6">
        <w:rPr>
          <w:rFonts w:ascii="Arial" w:hAnsi="Arial" w:cs="Arial"/>
          <w:sz w:val="24"/>
          <w:szCs w:val="24"/>
          <w:shd w:val="clear" w:color="auto" w:fill="FFFFFF"/>
        </w:rPr>
        <w:t>. Finally, retrospectivity means that changes in case law apply to events prior to the case coming to court, as opposed to the situation where cases come to court post legislation.</w:t>
      </w:r>
    </w:p>
    <w:p w14:paraId="111F0005" w14:textId="16BBBD81" w:rsidR="00DD31D2" w:rsidRPr="00FC6050" w:rsidRDefault="00A03EFA">
      <w:pPr>
        <w:rPr>
          <w:rFonts w:ascii="Arial" w:hAnsi="Arial" w:cs="Arial"/>
          <w:sz w:val="24"/>
          <w:szCs w:val="24"/>
        </w:rPr>
      </w:pPr>
      <w:r>
        <w:rPr>
          <w:rFonts w:ascii="Arial" w:hAnsi="Arial" w:cs="Arial"/>
          <w:sz w:val="24"/>
          <w:szCs w:val="24"/>
          <w:shd w:val="clear" w:color="auto" w:fill="FFFFFF"/>
        </w:rPr>
        <w:t xml:space="preserve">  </w:t>
      </w:r>
      <w:r w:rsidR="00DD31D2">
        <w:rPr>
          <w:rFonts w:ascii="Arial" w:hAnsi="Arial" w:cs="Arial"/>
          <w:sz w:val="24"/>
          <w:szCs w:val="24"/>
          <w:shd w:val="clear" w:color="auto" w:fill="FFFFFF"/>
        </w:rPr>
        <w:t xml:space="preserve">With the continual erosion of common law by the constant process of legislation, are there examples of this in </w:t>
      </w:r>
      <w:r w:rsidR="001A5551">
        <w:rPr>
          <w:rFonts w:ascii="Arial" w:hAnsi="Arial" w:cs="Arial"/>
          <w:sz w:val="24"/>
          <w:szCs w:val="24"/>
          <w:shd w:val="clear" w:color="auto" w:fill="FFFFFF"/>
        </w:rPr>
        <w:t>practice?</w:t>
      </w:r>
      <w:r w:rsidR="00DD31D2">
        <w:rPr>
          <w:rFonts w:ascii="Arial" w:hAnsi="Arial" w:cs="Arial"/>
          <w:sz w:val="24"/>
          <w:szCs w:val="24"/>
          <w:shd w:val="clear" w:color="auto" w:fill="FFFFFF"/>
        </w:rPr>
        <w:t xml:space="preserve"> The criminal   liability of accomplices is a good example; the cases in this </w:t>
      </w:r>
      <w:r w:rsidR="001A5551">
        <w:rPr>
          <w:rFonts w:ascii="Arial" w:hAnsi="Arial" w:cs="Arial"/>
          <w:sz w:val="24"/>
          <w:szCs w:val="24"/>
          <w:shd w:val="clear" w:color="auto" w:fill="FFFFFF"/>
        </w:rPr>
        <w:t>circumstance are</w:t>
      </w:r>
      <w:r w:rsidR="00DD31D2">
        <w:rPr>
          <w:rFonts w:ascii="Arial" w:hAnsi="Arial" w:cs="Arial"/>
          <w:sz w:val="24"/>
          <w:szCs w:val="24"/>
          <w:shd w:val="clear" w:color="auto" w:fill="FFFFFF"/>
        </w:rPr>
        <w:t xml:space="preserve"> </w:t>
      </w:r>
      <w:r w:rsidR="00341464">
        <w:rPr>
          <w:rFonts w:ascii="Arial" w:hAnsi="Arial" w:cs="Arial"/>
          <w:sz w:val="24"/>
          <w:szCs w:val="24"/>
          <w:shd w:val="clear" w:color="auto" w:fill="FFFFFF"/>
        </w:rPr>
        <w:t>C</w:t>
      </w:r>
      <w:r w:rsidR="001A5551">
        <w:rPr>
          <w:rFonts w:ascii="Arial" w:hAnsi="Arial" w:cs="Arial"/>
          <w:sz w:val="24"/>
          <w:szCs w:val="24"/>
          <w:shd w:val="clear" w:color="auto" w:fill="FFFFFF"/>
        </w:rPr>
        <w:t xml:space="preserve">raig &amp; </w:t>
      </w:r>
      <w:r w:rsidR="00DD31D2">
        <w:rPr>
          <w:rFonts w:ascii="Arial" w:hAnsi="Arial" w:cs="Arial"/>
          <w:sz w:val="24"/>
          <w:szCs w:val="24"/>
          <w:shd w:val="clear" w:color="auto" w:fill="FFFFFF"/>
        </w:rPr>
        <w:t>Bentley</w:t>
      </w:r>
      <w:r w:rsidR="001A5551">
        <w:rPr>
          <w:rFonts w:ascii="Arial" w:hAnsi="Arial" w:cs="Arial"/>
          <w:sz w:val="24"/>
          <w:szCs w:val="24"/>
          <w:shd w:val="clear" w:color="auto" w:fill="FFFFFF"/>
        </w:rPr>
        <w:t xml:space="preserve"> (1953) and Powell &amp; English</w:t>
      </w:r>
      <w:r w:rsidR="00037508">
        <w:rPr>
          <w:rFonts w:ascii="Arial" w:hAnsi="Arial" w:cs="Arial"/>
          <w:sz w:val="24"/>
          <w:szCs w:val="24"/>
          <w:shd w:val="clear" w:color="auto" w:fill="FFFFFF"/>
        </w:rPr>
        <w:t xml:space="preserve"> (1991</w:t>
      </w:r>
      <w:r w:rsidR="00037508" w:rsidRPr="00FC6050">
        <w:rPr>
          <w:rFonts w:ascii="Arial" w:hAnsi="Arial" w:cs="Arial"/>
          <w:sz w:val="24"/>
          <w:szCs w:val="24"/>
        </w:rPr>
        <w:t>)</w:t>
      </w:r>
      <w:r w:rsidR="001A5551" w:rsidRPr="00FC6050">
        <w:rPr>
          <w:rFonts w:ascii="Arial" w:hAnsi="Arial" w:cs="Arial"/>
          <w:sz w:val="24"/>
          <w:szCs w:val="24"/>
        </w:rPr>
        <w:t>. Further examples are the crimes of murder</w:t>
      </w:r>
      <w:r w:rsidR="00A07B05" w:rsidRPr="00FC6050">
        <w:rPr>
          <w:rFonts w:ascii="Arial" w:hAnsi="Arial" w:cs="Arial"/>
          <w:sz w:val="24"/>
          <w:szCs w:val="24"/>
        </w:rPr>
        <w:t xml:space="preserve"> </w:t>
      </w:r>
      <w:hyperlink r:id="rId9" w:history="1">
        <w:r w:rsidR="00A07B05" w:rsidRPr="00FC6050">
          <w:rPr>
            <w:rStyle w:val="Hyperlink"/>
            <w:rFonts w:ascii="Arial" w:hAnsi="Arial" w:cs="Arial"/>
            <w:color w:val="auto"/>
            <w:sz w:val="24"/>
            <w:szCs w:val="24"/>
            <w:u w:val="none"/>
          </w:rPr>
          <w:t>R v Vickers </w:t>
        </w:r>
        <w:r w:rsidR="000526E6" w:rsidRPr="00FC6050">
          <w:rPr>
            <w:rStyle w:val="Hyperlink"/>
            <w:rFonts w:ascii="Arial" w:hAnsi="Arial" w:cs="Arial"/>
            <w:color w:val="auto"/>
            <w:sz w:val="24"/>
            <w:szCs w:val="24"/>
            <w:u w:val="none"/>
          </w:rPr>
          <w:t>(</w:t>
        </w:r>
        <w:r w:rsidR="00A07B05" w:rsidRPr="00FC6050">
          <w:rPr>
            <w:rStyle w:val="Hyperlink"/>
            <w:rFonts w:ascii="Arial" w:hAnsi="Arial" w:cs="Arial"/>
            <w:color w:val="auto"/>
            <w:sz w:val="24"/>
            <w:szCs w:val="24"/>
            <w:u w:val="none"/>
          </w:rPr>
          <w:t>1975</w:t>
        </w:r>
      </w:hyperlink>
      <w:r w:rsidR="000526E6" w:rsidRPr="00FC6050">
        <w:rPr>
          <w:rFonts w:ascii="Arial" w:hAnsi="Arial" w:cs="Arial"/>
          <w:sz w:val="24"/>
          <w:szCs w:val="24"/>
        </w:rPr>
        <w:t>)</w:t>
      </w:r>
      <w:r w:rsidR="00A07B05" w:rsidRPr="00FC6050">
        <w:rPr>
          <w:rFonts w:ascii="Arial" w:hAnsi="Arial" w:cs="Arial"/>
          <w:sz w:val="24"/>
          <w:szCs w:val="24"/>
        </w:rPr>
        <w:t xml:space="preserve"> </w:t>
      </w:r>
      <w:r w:rsidR="001A5551" w:rsidRPr="00FC6050">
        <w:rPr>
          <w:rFonts w:ascii="Arial" w:hAnsi="Arial" w:cs="Arial"/>
          <w:sz w:val="24"/>
          <w:szCs w:val="24"/>
        </w:rPr>
        <w:t xml:space="preserve">, manslaughter </w:t>
      </w:r>
      <w:r w:rsidR="00D444A9" w:rsidRPr="00FC6050">
        <w:rPr>
          <w:rFonts w:ascii="Arial" w:hAnsi="Arial" w:cs="Arial"/>
          <w:sz w:val="24"/>
          <w:szCs w:val="24"/>
        </w:rPr>
        <w:t>R v Adomako</w:t>
      </w:r>
      <w:r w:rsidR="00FC6050" w:rsidRPr="00FC6050">
        <w:rPr>
          <w:rFonts w:ascii="Arial" w:hAnsi="Arial" w:cs="Arial"/>
          <w:sz w:val="24"/>
          <w:szCs w:val="24"/>
        </w:rPr>
        <w:t xml:space="preserve"> (1995)</w:t>
      </w:r>
      <w:r w:rsidR="00D444A9" w:rsidRPr="00FC6050">
        <w:rPr>
          <w:rFonts w:ascii="Arial" w:hAnsi="Arial" w:cs="Arial"/>
          <w:sz w:val="24"/>
          <w:szCs w:val="24"/>
        </w:rPr>
        <w:t xml:space="preserve"> </w:t>
      </w:r>
      <w:r w:rsidR="001A5551" w:rsidRPr="00FC6050">
        <w:rPr>
          <w:rFonts w:ascii="Arial" w:hAnsi="Arial" w:cs="Arial"/>
          <w:sz w:val="24"/>
          <w:szCs w:val="24"/>
        </w:rPr>
        <w:t>and common assault</w:t>
      </w:r>
      <w:r w:rsidR="000526E6" w:rsidRPr="00FC6050">
        <w:rPr>
          <w:rFonts w:ascii="Arial" w:hAnsi="Arial" w:cs="Arial"/>
          <w:sz w:val="24"/>
          <w:szCs w:val="24"/>
        </w:rPr>
        <w:t xml:space="preserve"> R v Miller</w:t>
      </w:r>
      <w:r w:rsidR="00FC6050" w:rsidRPr="00FC6050">
        <w:rPr>
          <w:rFonts w:ascii="Arial" w:hAnsi="Arial" w:cs="Arial"/>
          <w:sz w:val="24"/>
          <w:szCs w:val="24"/>
        </w:rPr>
        <w:t xml:space="preserve"> (1954)</w:t>
      </w:r>
      <w:r w:rsidR="001A5551" w:rsidRPr="00FC6050">
        <w:rPr>
          <w:rFonts w:ascii="Arial" w:hAnsi="Arial" w:cs="Arial"/>
          <w:sz w:val="24"/>
          <w:szCs w:val="24"/>
        </w:rPr>
        <w:t>.</w:t>
      </w:r>
    </w:p>
    <w:p w14:paraId="01B9280E" w14:textId="37784B9F" w:rsidR="006B2F2E" w:rsidRDefault="00A03EFA" w:rsidP="00FC6050">
      <w:pPr>
        <w:rPr>
          <w:rFonts w:ascii="Arial" w:hAnsi="Arial" w:cs="Arial"/>
          <w:sz w:val="24"/>
          <w:szCs w:val="24"/>
          <w:shd w:val="clear" w:color="auto" w:fill="FFFFFF"/>
        </w:rPr>
      </w:pPr>
      <w:r>
        <w:rPr>
          <w:rFonts w:ascii="Arial" w:hAnsi="Arial" w:cs="Arial"/>
          <w:sz w:val="24"/>
          <w:szCs w:val="24"/>
          <w:shd w:val="clear" w:color="auto" w:fill="FFFFFF"/>
        </w:rPr>
        <w:t xml:space="preserve">  </w:t>
      </w:r>
      <w:r w:rsidR="006B2F2E" w:rsidRPr="00081C63">
        <w:rPr>
          <w:rFonts w:ascii="Arial" w:hAnsi="Arial" w:cs="Arial"/>
          <w:sz w:val="24"/>
          <w:szCs w:val="24"/>
          <w:shd w:val="clear" w:color="auto" w:fill="FFFFFF"/>
        </w:rPr>
        <w:t>This essay portrays the origins and development of common law in England and shows the interaction between this law and civil law which has developed more recently. It also describes the advantages and disadvantages of both systems. The common law in</w:t>
      </w:r>
      <w:r w:rsidR="00FC6050" w:rsidRPr="00081C63">
        <w:rPr>
          <w:rFonts w:ascii="Arial" w:hAnsi="Arial" w:cs="Arial"/>
          <w:sz w:val="24"/>
          <w:szCs w:val="24"/>
          <w:shd w:val="clear" w:color="auto" w:fill="FFFFFF"/>
        </w:rPr>
        <w:t xml:space="preserve"> </w:t>
      </w:r>
      <w:commentRangeStart w:id="8"/>
      <w:r w:rsidR="006B2F2E" w:rsidRPr="00081C63">
        <w:rPr>
          <w:rFonts w:ascii="Arial" w:hAnsi="Arial" w:cs="Arial"/>
          <w:sz w:val="24"/>
          <w:szCs w:val="24"/>
          <w:shd w:val="clear" w:color="auto" w:fill="FFFFFF"/>
        </w:rPr>
        <w:t>E</w:t>
      </w:r>
      <w:r w:rsidRPr="00081C63">
        <w:rPr>
          <w:rFonts w:ascii="Arial" w:hAnsi="Arial" w:cs="Arial"/>
          <w:sz w:val="24"/>
          <w:szCs w:val="24"/>
          <w:shd w:val="clear" w:color="auto" w:fill="FFFFFF"/>
        </w:rPr>
        <w:t>n</w:t>
      </w:r>
      <w:r w:rsidR="006B2F2E" w:rsidRPr="00081C63">
        <w:rPr>
          <w:rFonts w:ascii="Arial" w:hAnsi="Arial" w:cs="Arial"/>
          <w:sz w:val="24"/>
          <w:szCs w:val="24"/>
          <w:shd w:val="clear" w:color="auto" w:fill="FFFFFF"/>
        </w:rPr>
        <w:t>gland</w:t>
      </w:r>
      <w:r w:rsidRPr="00081C63">
        <w:rPr>
          <w:rFonts w:ascii="Arial" w:hAnsi="Arial" w:cs="Arial"/>
          <w:sz w:val="24"/>
          <w:szCs w:val="24"/>
          <w:shd w:val="clear" w:color="auto" w:fill="FFFFFF"/>
        </w:rPr>
        <w:t xml:space="preserve"> and Wales</w:t>
      </w:r>
      <w:commentRangeEnd w:id="8"/>
      <w:r w:rsidR="007802A1" w:rsidRPr="00081C63">
        <w:rPr>
          <w:rStyle w:val="CommentReference"/>
          <w:rFonts w:ascii="Arial" w:hAnsi="Arial" w:cs="Arial"/>
          <w:sz w:val="24"/>
          <w:szCs w:val="24"/>
        </w:rPr>
        <w:commentReference w:id="8"/>
      </w:r>
      <w:r w:rsidR="00FC6050" w:rsidRPr="00081C63">
        <w:rPr>
          <w:rFonts w:ascii="Arial" w:hAnsi="Arial" w:cs="Arial"/>
          <w:sz w:val="24"/>
          <w:szCs w:val="24"/>
          <w:shd w:val="clear" w:color="auto" w:fill="FFFFFF"/>
        </w:rPr>
        <w:t xml:space="preserve"> h</w:t>
      </w:r>
      <w:r w:rsidR="006B2F2E" w:rsidRPr="00081C63">
        <w:rPr>
          <w:rFonts w:ascii="Arial" w:hAnsi="Arial" w:cs="Arial"/>
          <w:sz w:val="24"/>
          <w:szCs w:val="24"/>
          <w:shd w:val="clear" w:color="auto" w:fill="FFFFFF"/>
        </w:rPr>
        <w:t xml:space="preserve">as </w:t>
      </w:r>
      <w:r w:rsidR="00037508" w:rsidRPr="00081C63">
        <w:rPr>
          <w:rFonts w:ascii="Arial" w:hAnsi="Arial" w:cs="Arial"/>
          <w:sz w:val="24"/>
          <w:szCs w:val="24"/>
          <w:shd w:val="clear" w:color="auto" w:fill="FFFFFF"/>
        </w:rPr>
        <w:t>existed for</w:t>
      </w:r>
      <w:r w:rsidR="006B2F2E" w:rsidRPr="00081C63">
        <w:rPr>
          <w:rFonts w:ascii="Arial" w:hAnsi="Arial" w:cs="Arial"/>
          <w:sz w:val="24"/>
          <w:szCs w:val="24"/>
          <w:shd w:val="clear" w:color="auto" w:fill="FFFFFF"/>
        </w:rPr>
        <w:t xml:space="preserve"> nearly a thousand years and despite the creeping codification</w:t>
      </w:r>
      <w:r w:rsidR="00037508" w:rsidRPr="00081C63">
        <w:rPr>
          <w:rFonts w:ascii="Arial" w:hAnsi="Arial" w:cs="Arial"/>
          <w:sz w:val="24"/>
          <w:szCs w:val="24"/>
          <w:shd w:val="clear" w:color="auto" w:fill="FFFFFF"/>
        </w:rPr>
        <w:t>, will continue.</w:t>
      </w:r>
    </w:p>
    <w:p w14:paraId="1CF9D18E" w14:textId="36E8F04E" w:rsidR="004D4F91" w:rsidRDefault="004D4F91" w:rsidP="00FC6050">
      <w:pPr>
        <w:rPr>
          <w:rFonts w:ascii="Arial" w:hAnsi="Arial" w:cs="Arial"/>
          <w:sz w:val="24"/>
          <w:szCs w:val="24"/>
          <w:shd w:val="clear" w:color="auto" w:fill="FFFFFF"/>
        </w:rPr>
      </w:pPr>
    </w:p>
    <w:p w14:paraId="2157B143" w14:textId="3C381169" w:rsidR="004D4F91" w:rsidRDefault="004D4F91" w:rsidP="00FC6050">
      <w:pPr>
        <w:rPr>
          <w:rFonts w:ascii="Arial" w:hAnsi="Arial" w:cs="Arial"/>
          <w:sz w:val="24"/>
          <w:szCs w:val="24"/>
          <w:shd w:val="clear" w:color="auto" w:fill="FFFFFF"/>
        </w:rPr>
      </w:pPr>
    </w:p>
    <w:p w14:paraId="47FE0BF6" w14:textId="77777777" w:rsidR="004D4F91" w:rsidRPr="004D4F91" w:rsidRDefault="004D4F91" w:rsidP="004D4F91">
      <w:pPr>
        <w:jc w:val="center"/>
        <w:rPr>
          <w:rFonts w:ascii="Arial" w:eastAsia="Times New Roman" w:hAnsi="Arial" w:cs="Arial"/>
          <w:sz w:val="24"/>
          <w:szCs w:val="24"/>
          <w:lang w:eastAsia="en-GB"/>
        </w:rPr>
      </w:pPr>
      <w:r w:rsidRPr="004D4F91">
        <w:rPr>
          <w:rFonts w:ascii="Arial" w:hAnsi="Arial" w:cs="Arial"/>
          <w:sz w:val="28"/>
          <w:szCs w:val="28"/>
          <w:u w:val="single"/>
        </w:rPr>
        <w:t>LEGAL PROCESS</w:t>
      </w:r>
      <w:r w:rsidRPr="004D4F91">
        <w:rPr>
          <w:rFonts w:ascii="Arial Black" w:hAnsi="Arial Black"/>
          <w:sz w:val="28"/>
          <w:szCs w:val="28"/>
          <w:u w:val="single"/>
        </w:rPr>
        <w:t xml:space="preserve"> </w:t>
      </w:r>
      <w:r w:rsidRPr="004D4F91">
        <w:rPr>
          <w:rFonts w:ascii="Arial" w:hAnsi="Arial" w:cs="Arial"/>
          <w:sz w:val="28"/>
          <w:szCs w:val="28"/>
          <w:u w:val="single"/>
        </w:rPr>
        <w:t>REFERENCES</w:t>
      </w:r>
    </w:p>
    <w:p w14:paraId="781DB77A" w14:textId="77777777" w:rsidR="004D4F91" w:rsidRPr="004D4F91" w:rsidRDefault="004D4F91" w:rsidP="004D4F91">
      <w:pPr>
        <w:rPr>
          <w:rFonts w:ascii="Arial" w:hAnsi="Arial" w:cs="Arial"/>
          <w:sz w:val="24"/>
          <w:szCs w:val="24"/>
        </w:rPr>
      </w:pPr>
    </w:p>
    <w:p w14:paraId="2714BEBB" w14:textId="77777777" w:rsidR="004D4F91" w:rsidRPr="004D4F91" w:rsidRDefault="004D4F91" w:rsidP="004D4F91">
      <w:pPr>
        <w:rPr>
          <w:rFonts w:ascii="Arial" w:hAnsi="Arial" w:cs="Arial"/>
          <w:sz w:val="24"/>
          <w:szCs w:val="24"/>
        </w:rPr>
      </w:pPr>
    </w:p>
    <w:p w14:paraId="61E5C5B4" w14:textId="77777777" w:rsidR="004D4F91" w:rsidRPr="004D4F91" w:rsidRDefault="00E7304D" w:rsidP="004D4F91">
      <w:pPr>
        <w:spacing w:after="0" w:line="276" w:lineRule="auto"/>
        <w:rPr>
          <w:rFonts w:ascii="Arial" w:hAnsi="Arial" w:cs="Arial"/>
          <w:sz w:val="24"/>
          <w:szCs w:val="24"/>
          <w:bdr w:val="none" w:sz="0" w:space="0" w:color="auto" w:frame="1"/>
          <w:shd w:val="clear" w:color="auto" w:fill="FFFFFF"/>
        </w:rPr>
      </w:pPr>
      <w:hyperlink r:id="rId10" w:history="1">
        <w:r w:rsidR="004D4F91" w:rsidRPr="004D4F91">
          <w:rPr>
            <w:rFonts w:ascii="Arial" w:hAnsi="Arial" w:cs="Arial"/>
            <w:sz w:val="24"/>
            <w:szCs w:val="24"/>
            <w:bdr w:val="none" w:sz="0" w:space="0" w:color="auto" w:frame="1"/>
            <w:shd w:val="clear" w:color="auto" w:fill="FFFFFF"/>
          </w:rPr>
          <w:t>R v Adomako [1995] 1 A.C. 171</w:t>
        </w:r>
      </w:hyperlink>
    </w:p>
    <w:p w14:paraId="46DE65F4" w14:textId="77777777" w:rsidR="004D4F91" w:rsidRPr="004D4F91" w:rsidRDefault="004D4F91" w:rsidP="004D4F91">
      <w:pPr>
        <w:spacing w:after="0" w:line="276" w:lineRule="auto"/>
        <w:rPr>
          <w:rFonts w:ascii="Arial" w:eastAsia="Times New Roman" w:hAnsi="Arial" w:cs="Arial"/>
          <w:sz w:val="24"/>
          <w:szCs w:val="24"/>
          <w:lang w:eastAsia="en-GB"/>
        </w:rPr>
      </w:pPr>
    </w:p>
    <w:p w14:paraId="5CFA1A21" w14:textId="77777777" w:rsidR="004D4F91" w:rsidRPr="004D4F91" w:rsidRDefault="004D4F91" w:rsidP="004D4F91">
      <w:pPr>
        <w:wordWrap w:val="0"/>
        <w:spacing w:after="0" w:line="276" w:lineRule="auto"/>
        <w:rPr>
          <w:rFonts w:ascii="Arial" w:eastAsia="Times New Roman" w:hAnsi="Arial" w:cs="Arial"/>
          <w:sz w:val="24"/>
          <w:szCs w:val="24"/>
          <w:lang w:eastAsia="en-GB"/>
        </w:rPr>
      </w:pPr>
      <w:r w:rsidRPr="004D4F91">
        <w:rPr>
          <w:rFonts w:ascii="Arial" w:eastAsia="Times New Roman" w:hAnsi="Arial" w:cs="Arial"/>
          <w:sz w:val="24"/>
          <w:szCs w:val="24"/>
          <w:lang w:eastAsia="en-GB"/>
        </w:rPr>
        <w:t>R v Craig and Bentley – 1952</w:t>
      </w:r>
    </w:p>
    <w:p w14:paraId="01C951B0" w14:textId="77777777" w:rsidR="004D4F91" w:rsidRPr="004D4F91" w:rsidRDefault="004D4F91" w:rsidP="004D4F91">
      <w:pPr>
        <w:wordWrap w:val="0"/>
        <w:spacing w:after="0" w:line="276" w:lineRule="auto"/>
        <w:rPr>
          <w:rFonts w:ascii="Arial" w:eastAsia="Times New Roman" w:hAnsi="Arial" w:cs="Arial"/>
          <w:sz w:val="24"/>
          <w:szCs w:val="24"/>
          <w:lang w:eastAsia="en-GB"/>
        </w:rPr>
      </w:pPr>
    </w:p>
    <w:p w14:paraId="234F7D6B" w14:textId="77777777" w:rsidR="004D4F91" w:rsidRPr="004D4F91" w:rsidRDefault="004D4F91" w:rsidP="004D4F91">
      <w:pPr>
        <w:spacing w:after="0" w:line="276" w:lineRule="auto"/>
        <w:rPr>
          <w:rFonts w:ascii="Arial" w:hAnsi="Arial" w:cs="Arial"/>
          <w:sz w:val="24"/>
          <w:szCs w:val="24"/>
          <w:shd w:val="clear" w:color="auto" w:fill="FFFFFF"/>
        </w:rPr>
      </w:pPr>
      <w:r w:rsidRPr="004D4F91">
        <w:rPr>
          <w:rFonts w:ascii="Arial" w:hAnsi="Arial" w:cs="Arial"/>
          <w:sz w:val="24"/>
          <w:szCs w:val="24"/>
          <w:shd w:val="clear" w:color="auto" w:fill="FFFFFF"/>
        </w:rPr>
        <w:t>R v Miller</w:t>
      </w:r>
      <w:r w:rsidRPr="004D4F91">
        <w:rPr>
          <w:rFonts w:ascii="Arial" w:hAnsi="Arial" w:cs="Arial"/>
          <w:b/>
          <w:bCs/>
          <w:i/>
          <w:iCs/>
          <w:sz w:val="24"/>
          <w:szCs w:val="24"/>
          <w:shd w:val="clear" w:color="auto" w:fill="FFFFFF"/>
        </w:rPr>
        <w:t> </w:t>
      </w:r>
      <w:r w:rsidRPr="004D4F91">
        <w:rPr>
          <w:rFonts w:ascii="Arial" w:hAnsi="Arial" w:cs="Arial"/>
          <w:sz w:val="24"/>
          <w:szCs w:val="24"/>
          <w:shd w:val="clear" w:color="auto" w:fill="FFFFFF"/>
        </w:rPr>
        <w:t>[1954] 2 All ER 529</w:t>
      </w:r>
    </w:p>
    <w:p w14:paraId="3B8B395B" w14:textId="77777777" w:rsidR="004D4F91" w:rsidRPr="004D4F91" w:rsidRDefault="004D4F91" w:rsidP="004D4F91">
      <w:pPr>
        <w:spacing w:after="0" w:line="276" w:lineRule="auto"/>
        <w:rPr>
          <w:rFonts w:ascii="Arial" w:hAnsi="Arial" w:cs="Arial"/>
          <w:sz w:val="24"/>
          <w:szCs w:val="24"/>
          <w:shd w:val="clear" w:color="auto" w:fill="FFFFFF"/>
        </w:rPr>
      </w:pPr>
    </w:p>
    <w:p w14:paraId="67242D7A" w14:textId="77777777" w:rsidR="004D4F91" w:rsidRPr="004D4F91" w:rsidRDefault="004D4F91" w:rsidP="004D4F91">
      <w:pPr>
        <w:spacing w:after="0" w:line="276" w:lineRule="auto"/>
        <w:rPr>
          <w:rFonts w:ascii="Arial" w:eastAsia="Times New Roman" w:hAnsi="Arial" w:cs="Arial"/>
          <w:sz w:val="24"/>
          <w:szCs w:val="24"/>
          <w:lang w:eastAsia="en-GB"/>
        </w:rPr>
      </w:pPr>
      <w:r w:rsidRPr="004D4F91">
        <w:rPr>
          <w:rFonts w:ascii="Arial" w:eastAsia="Times New Roman" w:hAnsi="Arial" w:cs="Arial"/>
          <w:sz w:val="24"/>
          <w:szCs w:val="24"/>
          <w:lang w:eastAsia="en-GB"/>
        </w:rPr>
        <w:t>R v Powell, R v English, [1999] 1 AC 1, [1997] 4 All ER 545, [1997] 3 WLR 959, [1998] 2 LRC 307, [1998] 1 Cr App Rep 261</w:t>
      </w:r>
    </w:p>
    <w:p w14:paraId="71F17DDB" w14:textId="77777777" w:rsidR="004D4F91" w:rsidRPr="004D4F91" w:rsidRDefault="004D4F91" w:rsidP="004D4F91">
      <w:pPr>
        <w:spacing w:after="0" w:line="276" w:lineRule="auto"/>
        <w:rPr>
          <w:rFonts w:ascii="Arial" w:eastAsia="Times New Roman" w:hAnsi="Arial" w:cs="Arial"/>
          <w:sz w:val="24"/>
          <w:szCs w:val="24"/>
          <w:lang w:eastAsia="en-GB"/>
        </w:rPr>
      </w:pPr>
    </w:p>
    <w:p w14:paraId="587620E9" w14:textId="77777777" w:rsidR="004D4F91" w:rsidRPr="004D4F91" w:rsidRDefault="00E7304D" w:rsidP="004D4F91">
      <w:pPr>
        <w:spacing w:line="276" w:lineRule="auto"/>
        <w:rPr>
          <w:rFonts w:ascii="Arial" w:hAnsi="Arial" w:cs="Arial"/>
          <w:sz w:val="24"/>
          <w:szCs w:val="24"/>
          <w:bdr w:val="none" w:sz="0" w:space="0" w:color="auto" w:frame="1"/>
          <w:shd w:val="clear" w:color="auto" w:fill="FFFFFF"/>
        </w:rPr>
      </w:pPr>
      <w:hyperlink r:id="rId11" w:history="1">
        <w:r w:rsidR="004D4F91" w:rsidRPr="004D4F91">
          <w:rPr>
            <w:rFonts w:ascii="Arial" w:hAnsi="Arial" w:cs="Arial"/>
            <w:sz w:val="24"/>
            <w:szCs w:val="24"/>
            <w:bdr w:val="none" w:sz="0" w:space="0" w:color="auto" w:frame="1"/>
            <w:shd w:val="clear" w:color="auto" w:fill="FFFFFF"/>
          </w:rPr>
          <w:t>R v Vickers [1975] 2 All ER 945, [1975] 1 WLR 811</w:t>
        </w:r>
      </w:hyperlink>
    </w:p>
    <w:p w14:paraId="46D96947" w14:textId="77777777" w:rsidR="004D4F91" w:rsidRPr="004D4F91" w:rsidRDefault="004D4F91" w:rsidP="004D4F91">
      <w:pPr>
        <w:spacing w:line="276" w:lineRule="auto"/>
        <w:rPr>
          <w:rFonts w:ascii="Arial" w:hAnsi="Arial" w:cs="Arial"/>
          <w:sz w:val="24"/>
          <w:szCs w:val="24"/>
        </w:rPr>
      </w:pPr>
      <w:proofErr w:type="spellStart"/>
      <w:r w:rsidRPr="004D4F91">
        <w:rPr>
          <w:rFonts w:ascii="Arial" w:hAnsi="Arial" w:cs="Arial"/>
          <w:sz w:val="24"/>
          <w:szCs w:val="24"/>
        </w:rPr>
        <w:t>Airdale</w:t>
      </w:r>
      <w:proofErr w:type="spellEnd"/>
      <w:r w:rsidRPr="004D4F91">
        <w:rPr>
          <w:rFonts w:ascii="Arial" w:hAnsi="Arial" w:cs="Arial"/>
          <w:sz w:val="24"/>
          <w:szCs w:val="24"/>
        </w:rPr>
        <w:t xml:space="preserve"> NHS Trust v Bland [1993] A.C. 789</w:t>
      </w:r>
    </w:p>
    <w:p w14:paraId="1DA8B272" w14:textId="77777777" w:rsidR="004D4F91" w:rsidRPr="004D4F91" w:rsidRDefault="004D4F91" w:rsidP="004D4F91">
      <w:pPr>
        <w:rPr>
          <w:rFonts w:ascii="Arial" w:hAnsi="Arial" w:cs="Arial"/>
          <w:sz w:val="24"/>
          <w:szCs w:val="24"/>
        </w:rPr>
      </w:pPr>
    </w:p>
    <w:p w14:paraId="6BD2773C" w14:textId="77777777" w:rsidR="004D4F91" w:rsidRPr="004D4F91" w:rsidRDefault="004D4F91" w:rsidP="004D4F91">
      <w:pPr>
        <w:spacing w:line="240" w:lineRule="auto"/>
        <w:rPr>
          <w:rFonts w:ascii="Arial" w:hAnsi="Arial" w:cs="Arial"/>
          <w:sz w:val="24"/>
          <w:szCs w:val="24"/>
        </w:rPr>
      </w:pPr>
      <w:r w:rsidRPr="004D4F91">
        <w:rPr>
          <w:rFonts w:ascii="Arial" w:hAnsi="Arial" w:cs="Arial"/>
          <w:sz w:val="24"/>
          <w:szCs w:val="24"/>
        </w:rPr>
        <w:t>Consumer Rights Act 2015</w:t>
      </w:r>
    </w:p>
    <w:p w14:paraId="04351F01" w14:textId="77777777" w:rsidR="004D4F91" w:rsidRPr="004D4F91" w:rsidRDefault="004D4F91" w:rsidP="004D4F91">
      <w:pPr>
        <w:spacing w:line="240" w:lineRule="auto"/>
        <w:rPr>
          <w:rFonts w:ascii="Arial" w:hAnsi="Arial" w:cs="Arial"/>
          <w:sz w:val="24"/>
          <w:szCs w:val="24"/>
        </w:rPr>
      </w:pPr>
    </w:p>
    <w:p w14:paraId="04F3138D" w14:textId="77777777" w:rsidR="004D4F91" w:rsidRPr="004D4F91" w:rsidRDefault="004D4F91" w:rsidP="004D4F91">
      <w:pPr>
        <w:spacing w:line="240" w:lineRule="auto"/>
        <w:rPr>
          <w:rFonts w:ascii="Arial" w:hAnsi="Arial" w:cs="Arial"/>
          <w:sz w:val="24"/>
          <w:szCs w:val="24"/>
        </w:rPr>
      </w:pPr>
      <w:r w:rsidRPr="004D4F91">
        <w:rPr>
          <w:rFonts w:ascii="Arial" w:hAnsi="Arial" w:cs="Arial"/>
          <w:sz w:val="24"/>
          <w:szCs w:val="24"/>
        </w:rPr>
        <w:t>Equality Act 2010</w:t>
      </w:r>
    </w:p>
    <w:p w14:paraId="7C41C5CF" w14:textId="77777777" w:rsidR="004D4F91" w:rsidRPr="004D4F91" w:rsidRDefault="004D4F91" w:rsidP="004D4F91">
      <w:pPr>
        <w:spacing w:line="240" w:lineRule="auto"/>
        <w:rPr>
          <w:rFonts w:ascii="Arial" w:hAnsi="Arial" w:cs="Arial"/>
          <w:sz w:val="24"/>
          <w:szCs w:val="24"/>
        </w:rPr>
      </w:pPr>
    </w:p>
    <w:p w14:paraId="024EA23F" w14:textId="77777777" w:rsidR="004D4F91" w:rsidRPr="004D4F91" w:rsidRDefault="004D4F91" w:rsidP="004D4F91">
      <w:pPr>
        <w:spacing w:line="240" w:lineRule="auto"/>
        <w:rPr>
          <w:rFonts w:ascii="Arial" w:hAnsi="Arial" w:cs="Arial"/>
          <w:sz w:val="24"/>
          <w:szCs w:val="24"/>
        </w:rPr>
      </w:pPr>
      <w:r w:rsidRPr="004D4F91">
        <w:rPr>
          <w:rFonts w:ascii="Arial" w:hAnsi="Arial" w:cs="Arial"/>
          <w:sz w:val="24"/>
          <w:szCs w:val="24"/>
        </w:rPr>
        <w:t>Offences against the Person Act 1861</w:t>
      </w:r>
    </w:p>
    <w:p w14:paraId="1DB2EABC" w14:textId="77777777" w:rsidR="004D4F91" w:rsidRPr="004D4F91" w:rsidRDefault="004D4F91" w:rsidP="004D4F91">
      <w:pPr>
        <w:spacing w:line="240" w:lineRule="auto"/>
        <w:rPr>
          <w:rFonts w:ascii="Arial" w:hAnsi="Arial" w:cs="Arial"/>
          <w:sz w:val="24"/>
          <w:szCs w:val="24"/>
        </w:rPr>
      </w:pPr>
    </w:p>
    <w:p w14:paraId="73E3E957" w14:textId="77777777" w:rsidR="004D4F91" w:rsidRPr="004D4F91" w:rsidRDefault="004D4F91" w:rsidP="004D4F91">
      <w:pPr>
        <w:spacing w:line="240" w:lineRule="auto"/>
        <w:rPr>
          <w:rFonts w:ascii="Arial" w:hAnsi="Arial" w:cs="Arial"/>
          <w:sz w:val="24"/>
          <w:szCs w:val="24"/>
        </w:rPr>
      </w:pPr>
      <w:r w:rsidRPr="004D4F91">
        <w:rPr>
          <w:rFonts w:ascii="Arial" w:hAnsi="Arial" w:cs="Arial"/>
          <w:sz w:val="24"/>
          <w:szCs w:val="24"/>
        </w:rPr>
        <w:t>Criminal Law Act 1977</w:t>
      </w:r>
    </w:p>
    <w:p w14:paraId="097BA48C" w14:textId="77777777" w:rsidR="004D4F91" w:rsidRPr="004D4F91" w:rsidRDefault="004D4F91" w:rsidP="004D4F91">
      <w:pPr>
        <w:rPr>
          <w:rFonts w:ascii="Arial" w:hAnsi="Arial" w:cs="Arial"/>
          <w:sz w:val="24"/>
          <w:szCs w:val="24"/>
        </w:rPr>
      </w:pPr>
    </w:p>
    <w:p w14:paraId="67643EBD" w14:textId="77777777" w:rsidR="004D4F91" w:rsidRPr="004D4F91" w:rsidRDefault="004D4F91" w:rsidP="004D4F91">
      <w:pPr>
        <w:rPr>
          <w:rFonts w:ascii="Arial" w:hAnsi="Arial" w:cs="Arial"/>
          <w:sz w:val="24"/>
          <w:szCs w:val="24"/>
        </w:rPr>
      </w:pPr>
    </w:p>
    <w:p w14:paraId="0BC7B520" w14:textId="77777777" w:rsidR="004D4F91" w:rsidRPr="004D4F91" w:rsidRDefault="004D4F91" w:rsidP="004D4F91">
      <w:pPr>
        <w:spacing w:after="0" w:line="240" w:lineRule="auto"/>
        <w:rPr>
          <w:rFonts w:ascii="Arial" w:eastAsia="Times New Roman" w:hAnsi="Arial" w:cs="Arial"/>
          <w:sz w:val="24"/>
          <w:szCs w:val="24"/>
          <w:lang w:eastAsia="en-GB"/>
        </w:rPr>
      </w:pPr>
      <w:r w:rsidRPr="004D4F91">
        <w:rPr>
          <w:rFonts w:ascii="Arial" w:eastAsia="Times New Roman" w:hAnsi="Arial" w:cs="Arial"/>
          <w:sz w:val="24"/>
          <w:szCs w:val="24"/>
          <w:lang w:eastAsia="en-GB"/>
        </w:rPr>
        <w:t>Allan, T. R. S. “</w:t>
      </w:r>
      <w:r w:rsidRPr="004D4F91">
        <w:rPr>
          <w:rFonts w:ascii="Arial" w:eastAsia="Times New Roman" w:hAnsi="Arial" w:cs="Arial"/>
          <w:i/>
          <w:iCs/>
          <w:sz w:val="24"/>
          <w:szCs w:val="24"/>
          <w:lang w:eastAsia="en-GB"/>
        </w:rPr>
        <w:t>Constitutional Rights and Common Law</w:t>
      </w:r>
      <w:r w:rsidRPr="004D4F91">
        <w:rPr>
          <w:rFonts w:ascii="Arial" w:eastAsia="Times New Roman" w:hAnsi="Arial" w:cs="Arial"/>
          <w:sz w:val="24"/>
          <w:szCs w:val="24"/>
          <w:lang w:eastAsia="en-GB"/>
        </w:rPr>
        <w:t xml:space="preserve">.” </w:t>
      </w:r>
      <w:r w:rsidRPr="004D4F91">
        <w:rPr>
          <w:rFonts w:ascii="Arial" w:eastAsia="Times New Roman" w:hAnsi="Arial" w:cs="Arial"/>
          <w:i/>
          <w:iCs/>
          <w:sz w:val="24"/>
          <w:szCs w:val="24"/>
          <w:lang w:eastAsia="en-GB"/>
        </w:rPr>
        <w:t>Oxford Journal of Legal Studies</w:t>
      </w:r>
      <w:r w:rsidRPr="004D4F91">
        <w:rPr>
          <w:rFonts w:ascii="Arial" w:eastAsia="Times New Roman" w:hAnsi="Arial" w:cs="Arial"/>
          <w:sz w:val="24"/>
          <w:szCs w:val="24"/>
          <w:lang w:eastAsia="en-GB"/>
        </w:rPr>
        <w:t>, vol. 11, no. 4, 1991, pp. 453–80</w:t>
      </w:r>
    </w:p>
    <w:p w14:paraId="077C45A6" w14:textId="77777777" w:rsidR="004D4F91" w:rsidRPr="004D4F91" w:rsidRDefault="004D4F91" w:rsidP="004D4F91">
      <w:pPr>
        <w:spacing w:after="0" w:line="240" w:lineRule="auto"/>
        <w:rPr>
          <w:rFonts w:ascii="Arial" w:eastAsia="Times New Roman" w:hAnsi="Arial" w:cs="Arial"/>
          <w:sz w:val="24"/>
          <w:szCs w:val="24"/>
          <w:lang w:eastAsia="en-GB"/>
        </w:rPr>
      </w:pPr>
      <w:r w:rsidRPr="004D4F91">
        <w:rPr>
          <w:rFonts w:ascii="Arial" w:eastAsia="Times New Roman" w:hAnsi="Arial" w:cs="Arial"/>
          <w:sz w:val="24"/>
          <w:szCs w:val="24"/>
          <w:lang w:eastAsia="en-GB"/>
        </w:rPr>
        <w:t xml:space="preserve">. </w:t>
      </w:r>
    </w:p>
    <w:p w14:paraId="4588AD8C" w14:textId="77777777" w:rsidR="004D4F91" w:rsidRPr="004D4F91" w:rsidRDefault="004D4F91" w:rsidP="004D4F91">
      <w:pPr>
        <w:spacing w:after="0" w:line="336" w:lineRule="atLeast"/>
        <w:rPr>
          <w:rFonts w:ascii="Arial" w:eastAsia="Times New Roman" w:hAnsi="Arial" w:cs="Arial"/>
          <w:sz w:val="24"/>
          <w:szCs w:val="24"/>
          <w:lang w:eastAsia="en-GB"/>
        </w:rPr>
      </w:pPr>
      <w:r w:rsidRPr="004D4F91">
        <w:rPr>
          <w:rFonts w:ascii="Arial" w:eastAsia="Times New Roman" w:hAnsi="Arial" w:cs="Arial"/>
          <w:sz w:val="24"/>
          <w:szCs w:val="24"/>
          <w:lang w:eastAsia="en-GB"/>
        </w:rPr>
        <w:t xml:space="preserve">Cambridge Dictionary. Cambridge University Press &amp; Assessment </w:t>
      </w:r>
    </w:p>
    <w:p w14:paraId="2776AF33" w14:textId="77777777" w:rsidR="004D4F91" w:rsidRPr="004D4F91" w:rsidRDefault="004D4F91" w:rsidP="004D4F91">
      <w:pPr>
        <w:rPr>
          <w:rFonts w:ascii="Arial" w:hAnsi="Arial" w:cs="Arial"/>
          <w:sz w:val="24"/>
          <w:szCs w:val="24"/>
        </w:rPr>
      </w:pPr>
    </w:p>
    <w:p w14:paraId="0F2BFB1E" w14:textId="77777777" w:rsidR="004D4F91" w:rsidRPr="004D4F91" w:rsidRDefault="004D4F91" w:rsidP="004D4F91">
      <w:pPr>
        <w:wordWrap w:val="0"/>
        <w:spacing w:after="0" w:line="240" w:lineRule="auto"/>
        <w:rPr>
          <w:rFonts w:ascii="Arial" w:hAnsi="Arial" w:cs="Arial"/>
          <w:sz w:val="24"/>
          <w:szCs w:val="24"/>
        </w:rPr>
      </w:pPr>
      <w:r w:rsidRPr="004D4F91">
        <w:rPr>
          <w:rFonts w:ascii="Arial" w:hAnsi="Arial" w:cs="Arial"/>
          <w:sz w:val="24"/>
          <w:szCs w:val="24"/>
        </w:rPr>
        <w:t xml:space="preserve">Courts and Tribunals Judiciary found at </w:t>
      </w:r>
      <w:hyperlink r:id="rId12" w:history="1">
        <w:r w:rsidRPr="004D4F91">
          <w:rPr>
            <w:rFonts w:ascii="Arial" w:hAnsi="Arial" w:cs="Arial"/>
            <w:sz w:val="24"/>
            <w:szCs w:val="24"/>
          </w:rPr>
          <w:t>https://www.judiciary.uk/about-the-judiciary/our-justice-system/court-structure</w:t>
        </w:r>
      </w:hyperlink>
      <w:r w:rsidRPr="004D4F91">
        <w:rPr>
          <w:rFonts w:ascii="Arial" w:hAnsi="Arial" w:cs="Arial"/>
          <w:sz w:val="24"/>
          <w:szCs w:val="24"/>
        </w:rPr>
        <w:t>.</w:t>
      </w:r>
    </w:p>
    <w:p w14:paraId="254D5B3B" w14:textId="77777777" w:rsidR="004D4F91" w:rsidRPr="004D4F91" w:rsidRDefault="004D4F91" w:rsidP="004D4F91">
      <w:pPr>
        <w:wordWrap w:val="0"/>
        <w:spacing w:after="0" w:line="240" w:lineRule="auto"/>
        <w:rPr>
          <w:rFonts w:ascii="Arial" w:hAnsi="Arial" w:cs="Arial"/>
          <w:sz w:val="24"/>
          <w:szCs w:val="24"/>
        </w:rPr>
      </w:pPr>
    </w:p>
    <w:p w14:paraId="23B1BC27" w14:textId="77777777" w:rsidR="004D4F91" w:rsidRPr="004D4F91" w:rsidRDefault="004D4F91" w:rsidP="004D4F91">
      <w:pPr>
        <w:wordWrap w:val="0"/>
        <w:spacing w:after="0" w:line="240" w:lineRule="auto"/>
        <w:rPr>
          <w:rFonts w:ascii="Arial" w:hAnsi="Arial" w:cs="Arial"/>
          <w:sz w:val="24"/>
          <w:szCs w:val="24"/>
        </w:rPr>
      </w:pPr>
      <w:r w:rsidRPr="004D4F91">
        <w:rPr>
          <w:rFonts w:ascii="Arial" w:eastAsia="Times New Roman" w:hAnsi="Arial" w:cs="Arial"/>
          <w:sz w:val="24"/>
          <w:szCs w:val="24"/>
          <w:lang w:eastAsia="en-GB"/>
        </w:rPr>
        <w:t xml:space="preserve"> </w:t>
      </w:r>
      <w:r w:rsidRPr="004D4F91">
        <w:rPr>
          <w:rFonts w:ascii="Arial" w:hAnsi="Arial" w:cs="Arial"/>
          <w:sz w:val="24"/>
          <w:szCs w:val="24"/>
        </w:rPr>
        <w:t xml:space="preserve">D Walters, </w:t>
      </w:r>
      <w:r w:rsidRPr="004D4F91">
        <w:rPr>
          <w:rFonts w:ascii="Arial" w:hAnsi="Arial" w:cs="Arial"/>
          <w:i/>
          <w:iCs/>
          <w:sz w:val="24"/>
          <w:szCs w:val="24"/>
        </w:rPr>
        <w:t xml:space="preserve">Dicey and the Common Law Constitutional Tradition: A Legal Turn of    Mind, </w:t>
      </w:r>
      <w:r w:rsidRPr="004D4F91">
        <w:rPr>
          <w:rFonts w:ascii="Arial" w:hAnsi="Arial" w:cs="Arial"/>
          <w:sz w:val="24"/>
          <w:szCs w:val="24"/>
        </w:rPr>
        <w:t>Cambridge: Cambridge University Press, 2020.</w:t>
      </w:r>
    </w:p>
    <w:p w14:paraId="748BF636" w14:textId="77777777" w:rsidR="004D4F91" w:rsidRPr="004D4F91" w:rsidRDefault="004D4F91" w:rsidP="004D4F91">
      <w:pPr>
        <w:wordWrap w:val="0"/>
        <w:spacing w:after="0" w:line="240" w:lineRule="auto"/>
        <w:rPr>
          <w:rFonts w:ascii="Arial" w:hAnsi="Arial" w:cs="Arial"/>
          <w:sz w:val="24"/>
          <w:szCs w:val="24"/>
        </w:rPr>
      </w:pPr>
    </w:p>
    <w:p w14:paraId="387171D9" w14:textId="77777777" w:rsidR="004D4F91" w:rsidRPr="004D4F91" w:rsidRDefault="004D4F91" w:rsidP="004D4F91">
      <w:pPr>
        <w:spacing w:after="0" w:line="240" w:lineRule="auto"/>
        <w:rPr>
          <w:rFonts w:ascii="Arial" w:eastAsia="Times New Roman" w:hAnsi="Arial" w:cs="Arial"/>
          <w:sz w:val="24"/>
          <w:szCs w:val="24"/>
          <w:lang w:eastAsia="en-GB"/>
        </w:rPr>
      </w:pPr>
      <w:proofErr w:type="spellStart"/>
      <w:r w:rsidRPr="004D4F91">
        <w:rPr>
          <w:rFonts w:ascii="Arial" w:eastAsia="Times New Roman" w:hAnsi="Arial" w:cs="Arial"/>
          <w:sz w:val="24"/>
          <w:szCs w:val="24"/>
          <w:lang w:eastAsia="en-GB"/>
        </w:rPr>
        <w:t>Dainow</w:t>
      </w:r>
      <w:proofErr w:type="spellEnd"/>
      <w:r w:rsidRPr="004D4F91">
        <w:rPr>
          <w:rFonts w:ascii="Arial" w:eastAsia="Times New Roman" w:hAnsi="Arial" w:cs="Arial"/>
          <w:sz w:val="24"/>
          <w:szCs w:val="24"/>
          <w:lang w:eastAsia="en-GB"/>
        </w:rPr>
        <w:t>, J. “</w:t>
      </w:r>
      <w:r w:rsidRPr="004D4F91">
        <w:rPr>
          <w:rFonts w:ascii="Arial" w:eastAsia="Times New Roman" w:hAnsi="Arial" w:cs="Arial"/>
          <w:i/>
          <w:iCs/>
          <w:sz w:val="24"/>
          <w:szCs w:val="24"/>
          <w:lang w:eastAsia="en-GB"/>
        </w:rPr>
        <w:t>The Civil Law and the Common Law: Some Points of Comparison.</w:t>
      </w:r>
      <w:r w:rsidRPr="004D4F91">
        <w:rPr>
          <w:rFonts w:ascii="Arial" w:eastAsia="Times New Roman" w:hAnsi="Arial" w:cs="Arial"/>
          <w:sz w:val="24"/>
          <w:szCs w:val="24"/>
          <w:lang w:eastAsia="en-GB"/>
        </w:rPr>
        <w:t xml:space="preserve">” </w:t>
      </w:r>
      <w:r w:rsidRPr="004D4F91">
        <w:rPr>
          <w:rFonts w:ascii="Arial" w:eastAsia="Times New Roman" w:hAnsi="Arial" w:cs="Arial"/>
          <w:i/>
          <w:iCs/>
          <w:sz w:val="24"/>
          <w:szCs w:val="24"/>
          <w:lang w:eastAsia="en-GB"/>
        </w:rPr>
        <w:t>The American Journal of Comparative Law</w:t>
      </w:r>
      <w:r w:rsidRPr="004D4F91">
        <w:rPr>
          <w:rFonts w:ascii="Arial" w:eastAsia="Times New Roman" w:hAnsi="Arial" w:cs="Arial"/>
          <w:sz w:val="24"/>
          <w:szCs w:val="24"/>
          <w:lang w:eastAsia="en-GB"/>
        </w:rPr>
        <w:t>, vol. 15, no. 3, 1966, pp. 419–35.</w:t>
      </w:r>
    </w:p>
    <w:p w14:paraId="732971F6" w14:textId="77777777" w:rsidR="004D4F91" w:rsidRPr="004D4F91" w:rsidRDefault="004D4F91" w:rsidP="004D4F91">
      <w:pPr>
        <w:spacing w:after="0" w:line="240" w:lineRule="auto"/>
        <w:rPr>
          <w:rFonts w:ascii="Arial" w:eastAsia="Times New Roman" w:hAnsi="Arial" w:cs="Arial"/>
          <w:sz w:val="24"/>
          <w:szCs w:val="24"/>
          <w:lang w:eastAsia="en-GB"/>
        </w:rPr>
      </w:pPr>
    </w:p>
    <w:p w14:paraId="1805EC4C" w14:textId="77777777" w:rsidR="004D4F91" w:rsidRPr="004D4F91" w:rsidRDefault="004D4F91" w:rsidP="004D4F91">
      <w:pPr>
        <w:wordWrap w:val="0"/>
        <w:spacing w:after="0" w:line="240" w:lineRule="auto"/>
        <w:rPr>
          <w:rFonts w:ascii="Arial" w:eastAsia="Times New Roman" w:hAnsi="Arial" w:cs="Arial"/>
          <w:sz w:val="24"/>
          <w:szCs w:val="24"/>
          <w:lang w:eastAsia="en-GB"/>
        </w:rPr>
      </w:pPr>
      <w:bookmarkStart w:id="9" w:name="_Hlk128903586"/>
      <w:r w:rsidRPr="004D4F91">
        <w:rPr>
          <w:rFonts w:ascii="Arial" w:eastAsia="Times New Roman" w:hAnsi="Arial" w:cs="Arial"/>
          <w:kern w:val="36"/>
          <w:sz w:val="24"/>
          <w:szCs w:val="24"/>
          <w:lang w:eastAsia="en-GB"/>
        </w:rPr>
        <w:t xml:space="preserve">Elliott and Quinn’s </w:t>
      </w:r>
      <w:r w:rsidRPr="004D4F91">
        <w:rPr>
          <w:rFonts w:ascii="Arial" w:eastAsia="Times New Roman" w:hAnsi="Arial" w:cs="Arial"/>
          <w:i/>
          <w:iCs/>
          <w:kern w:val="36"/>
          <w:sz w:val="24"/>
          <w:szCs w:val="24"/>
          <w:lang w:eastAsia="en-GB"/>
        </w:rPr>
        <w:t>English legal system</w:t>
      </w:r>
      <w:r w:rsidRPr="004D4F91">
        <w:rPr>
          <w:rFonts w:ascii="Arial" w:eastAsia="Times New Roman" w:hAnsi="Arial" w:cs="Arial"/>
          <w:kern w:val="36"/>
          <w:sz w:val="24"/>
          <w:szCs w:val="24"/>
          <w:lang w:eastAsia="en-GB"/>
        </w:rPr>
        <w:t xml:space="preserve">, Emily </w:t>
      </w:r>
      <w:proofErr w:type="spellStart"/>
      <w:r w:rsidRPr="004D4F91">
        <w:rPr>
          <w:rFonts w:ascii="Arial" w:eastAsia="Times New Roman" w:hAnsi="Arial" w:cs="Arial"/>
          <w:kern w:val="36"/>
          <w:sz w:val="24"/>
          <w:szCs w:val="24"/>
          <w:lang w:eastAsia="en-GB"/>
        </w:rPr>
        <w:t>Allbon</w:t>
      </w:r>
      <w:proofErr w:type="spellEnd"/>
      <w:r w:rsidRPr="004D4F91">
        <w:rPr>
          <w:rFonts w:ascii="Arial" w:eastAsia="Times New Roman" w:hAnsi="Arial" w:cs="Arial"/>
          <w:kern w:val="36"/>
          <w:sz w:val="24"/>
          <w:szCs w:val="24"/>
          <w:lang w:eastAsia="en-GB"/>
        </w:rPr>
        <w:t xml:space="preserve"> &amp; Sanmeet Kaur Dua.</w:t>
      </w:r>
      <w:r w:rsidRPr="004D4F91">
        <w:rPr>
          <w:rFonts w:ascii="Arial" w:eastAsia="Times New Roman" w:hAnsi="Arial" w:cs="Arial"/>
          <w:sz w:val="24"/>
          <w:szCs w:val="24"/>
          <w:lang w:eastAsia="en-GB"/>
        </w:rPr>
        <w:t xml:space="preserve"> Twenty-first edition. 2020/2021. Pearson: London.</w:t>
      </w:r>
      <w:bookmarkEnd w:id="9"/>
    </w:p>
    <w:p w14:paraId="3646D1E3" w14:textId="77777777" w:rsidR="004D4F91" w:rsidRPr="004D4F91" w:rsidRDefault="004D4F91" w:rsidP="004D4F91">
      <w:pPr>
        <w:wordWrap w:val="0"/>
        <w:spacing w:after="0" w:line="240" w:lineRule="auto"/>
        <w:rPr>
          <w:rFonts w:ascii="Arial" w:eastAsia="Times New Roman" w:hAnsi="Arial" w:cs="Arial"/>
          <w:sz w:val="24"/>
          <w:szCs w:val="24"/>
          <w:lang w:eastAsia="en-GB"/>
        </w:rPr>
      </w:pPr>
    </w:p>
    <w:p w14:paraId="55EEC6BB" w14:textId="77777777" w:rsidR="004D4F91" w:rsidRPr="004D4F91" w:rsidRDefault="004D4F91" w:rsidP="004D4F91">
      <w:pPr>
        <w:spacing w:after="0" w:line="240" w:lineRule="auto"/>
        <w:rPr>
          <w:rFonts w:ascii="Arial" w:eastAsia="Times New Roman" w:hAnsi="Arial" w:cs="Arial"/>
          <w:sz w:val="24"/>
          <w:szCs w:val="24"/>
          <w:lang w:eastAsia="en-GB"/>
        </w:rPr>
      </w:pPr>
      <w:r w:rsidRPr="004D4F91">
        <w:rPr>
          <w:rFonts w:ascii="Arial" w:eastAsia="Times New Roman" w:hAnsi="Arial" w:cs="Arial"/>
          <w:sz w:val="24"/>
          <w:szCs w:val="24"/>
          <w:lang w:eastAsia="en-GB"/>
        </w:rPr>
        <w:t>Encyclopaedia Brittanica Inc. 2023</w:t>
      </w:r>
      <w:bookmarkStart w:id="10" w:name="_Hlk129176755"/>
    </w:p>
    <w:p w14:paraId="444AE8E6" w14:textId="77777777" w:rsidR="004D4F91" w:rsidRPr="004D4F91" w:rsidRDefault="004D4F91" w:rsidP="004D4F91">
      <w:pPr>
        <w:spacing w:after="0" w:line="240" w:lineRule="auto"/>
        <w:rPr>
          <w:rFonts w:ascii="Arial" w:hAnsi="Arial" w:cs="Arial"/>
          <w:sz w:val="24"/>
          <w:szCs w:val="24"/>
        </w:rPr>
      </w:pPr>
    </w:p>
    <w:bookmarkEnd w:id="10"/>
    <w:p w14:paraId="08D587CA" w14:textId="77777777" w:rsidR="004D4F91" w:rsidRPr="004D4F91" w:rsidRDefault="004D4F91" w:rsidP="004D4F91">
      <w:pPr>
        <w:rPr>
          <w:rFonts w:ascii="Arial" w:hAnsi="Arial" w:cs="Arial"/>
          <w:sz w:val="24"/>
          <w:szCs w:val="24"/>
        </w:rPr>
      </w:pPr>
      <w:r w:rsidRPr="004D4F91">
        <w:rPr>
          <w:rFonts w:ascii="Arial" w:hAnsi="Arial" w:cs="Arial"/>
          <w:sz w:val="24"/>
          <w:szCs w:val="24"/>
        </w:rPr>
        <w:t xml:space="preserve">Halsbury's </w:t>
      </w:r>
      <w:r w:rsidRPr="004D4F91">
        <w:rPr>
          <w:rFonts w:ascii="Arial" w:hAnsi="Arial" w:cs="Arial"/>
          <w:i/>
          <w:iCs/>
          <w:sz w:val="24"/>
          <w:szCs w:val="24"/>
        </w:rPr>
        <w:t>Laws of England Rights and Freedoms</w:t>
      </w:r>
      <w:r w:rsidRPr="004D4F91">
        <w:rPr>
          <w:rFonts w:ascii="Arial" w:hAnsi="Arial" w:cs="Arial"/>
          <w:sz w:val="24"/>
          <w:szCs w:val="24"/>
        </w:rPr>
        <w:t xml:space="preserve"> (Volume 88A (2018) 2. Sources of Rights and Freedoms. Common law principles protective of liberty.</w:t>
      </w:r>
    </w:p>
    <w:p w14:paraId="02C707C2" w14:textId="77777777" w:rsidR="004D4F91" w:rsidRPr="004D4F91" w:rsidRDefault="004D4F91" w:rsidP="004D4F91">
      <w:pPr>
        <w:spacing w:after="0" w:line="240" w:lineRule="auto"/>
        <w:outlineLvl w:val="2"/>
        <w:rPr>
          <w:rFonts w:ascii="Arial" w:eastAsia="Times New Roman" w:hAnsi="Arial" w:cs="Arial"/>
          <w:sz w:val="24"/>
          <w:szCs w:val="24"/>
          <w:lang w:eastAsia="en-GB"/>
        </w:rPr>
      </w:pPr>
      <w:r w:rsidRPr="004D4F91">
        <w:rPr>
          <w:rFonts w:ascii="Arial" w:eastAsia="Times New Roman" w:hAnsi="Arial" w:cs="Arial"/>
          <w:sz w:val="24"/>
          <w:szCs w:val="24"/>
          <w:lang w:eastAsia="en-GB"/>
        </w:rPr>
        <w:t xml:space="preserve">Jenks, E.1916 </w:t>
      </w:r>
      <w:hyperlink r:id="rId13" w:history="1">
        <w:r w:rsidRPr="004D4F91">
          <w:rPr>
            <w:rFonts w:ascii="Arial" w:eastAsia="Times New Roman" w:hAnsi="Arial" w:cs="Arial"/>
            <w:i/>
            <w:iCs/>
            <w:sz w:val="24"/>
            <w:szCs w:val="24"/>
            <w:lang w:eastAsia="en-GB"/>
          </w:rPr>
          <w:t>English Civil L</w:t>
        </w:r>
      </w:hyperlink>
      <w:r w:rsidRPr="004D4F91">
        <w:rPr>
          <w:rFonts w:ascii="Arial" w:eastAsia="Times New Roman" w:hAnsi="Arial" w:cs="Arial"/>
          <w:i/>
          <w:iCs/>
          <w:sz w:val="24"/>
          <w:szCs w:val="24"/>
          <w:lang w:eastAsia="en-GB"/>
        </w:rPr>
        <w:t xml:space="preserve">aw </w:t>
      </w:r>
      <w:r w:rsidRPr="004D4F91">
        <w:rPr>
          <w:rFonts w:ascii="Arial" w:eastAsia="Times New Roman" w:hAnsi="Arial" w:cs="Arial"/>
          <w:sz w:val="24"/>
          <w:szCs w:val="24"/>
          <w:lang w:eastAsia="en-GB"/>
        </w:rPr>
        <w:t>Vol.30 (1) , p.109. Cambridge, Mass: Harvard Law Review Association, Harvard law review.</w:t>
      </w:r>
    </w:p>
    <w:p w14:paraId="288159DF" w14:textId="77777777" w:rsidR="004D4F91" w:rsidRPr="004D4F91" w:rsidRDefault="004D4F91" w:rsidP="004D4F91">
      <w:pPr>
        <w:spacing w:after="0" w:line="240" w:lineRule="auto"/>
        <w:outlineLvl w:val="2"/>
        <w:rPr>
          <w:rFonts w:ascii="Arial" w:eastAsia="Times New Roman" w:hAnsi="Arial" w:cs="Arial"/>
          <w:sz w:val="24"/>
          <w:szCs w:val="24"/>
          <w:lang w:eastAsia="en-GB"/>
        </w:rPr>
      </w:pPr>
    </w:p>
    <w:p w14:paraId="056182EE" w14:textId="77777777" w:rsidR="004D4F91" w:rsidRPr="004D4F91" w:rsidRDefault="00E7304D" w:rsidP="004D4F91">
      <w:pPr>
        <w:spacing w:after="0" w:line="240" w:lineRule="auto"/>
        <w:rPr>
          <w:rFonts w:ascii="Arial" w:eastAsia="Times New Roman" w:hAnsi="Arial" w:cs="Arial"/>
          <w:spacing w:val="-5"/>
          <w:sz w:val="24"/>
          <w:szCs w:val="24"/>
          <w:lang w:eastAsia="en-GB"/>
        </w:rPr>
      </w:pPr>
      <w:hyperlink r:id="rId14" w:history="1">
        <w:r w:rsidR="004D4F91" w:rsidRPr="004D4F91">
          <w:rPr>
            <w:rFonts w:ascii="Arial" w:eastAsia="Times New Roman" w:hAnsi="Arial" w:cs="Arial"/>
            <w:spacing w:val="-5"/>
            <w:sz w:val="24"/>
            <w:szCs w:val="24"/>
            <w:lang w:eastAsia="en-GB"/>
          </w:rPr>
          <w:t>John S. Ewart</w:t>
        </w:r>
      </w:hyperlink>
      <w:r w:rsidR="004D4F91" w:rsidRPr="004D4F91">
        <w:rPr>
          <w:rFonts w:ascii="Arial" w:eastAsia="Times New Roman" w:hAnsi="Arial" w:cs="Arial"/>
          <w:spacing w:val="-5"/>
          <w:sz w:val="24"/>
          <w:szCs w:val="24"/>
          <w:lang w:eastAsia="en-GB"/>
        </w:rPr>
        <w:t xml:space="preserve"> </w:t>
      </w:r>
      <w:hyperlink r:id="rId15" w:history="1">
        <w:r w:rsidR="004D4F91" w:rsidRPr="004D4F91">
          <w:rPr>
            <w:rFonts w:ascii="Arial" w:eastAsia="Times New Roman" w:hAnsi="Arial" w:cs="Arial"/>
            <w:i/>
            <w:iCs/>
            <w:spacing w:val="-5"/>
            <w:sz w:val="24"/>
            <w:szCs w:val="24"/>
            <w:lang w:eastAsia="en-GB"/>
          </w:rPr>
          <w:t>Columbia Law Review</w:t>
        </w:r>
      </w:hyperlink>
      <w:r w:rsidR="004D4F91" w:rsidRPr="004D4F91">
        <w:rPr>
          <w:rFonts w:ascii="Arial" w:eastAsia="Times New Roman" w:hAnsi="Arial" w:cs="Arial"/>
          <w:spacing w:val="-5"/>
          <w:sz w:val="24"/>
          <w:szCs w:val="24"/>
          <w:lang w:eastAsia="en-GB"/>
        </w:rPr>
        <w:t xml:space="preserve">, Vol. 4, No. 2 (February 1904), pp.116-126 </w:t>
      </w:r>
    </w:p>
    <w:p w14:paraId="08E89073" w14:textId="77777777" w:rsidR="004D4F91" w:rsidRPr="004D4F91" w:rsidRDefault="004D4F91" w:rsidP="004D4F91">
      <w:pPr>
        <w:spacing w:after="0" w:line="240" w:lineRule="auto"/>
        <w:rPr>
          <w:rFonts w:ascii="Arial" w:eastAsia="Times New Roman" w:hAnsi="Arial" w:cs="Arial"/>
          <w:spacing w:val="-5"/>
          <w:sz w:val="24"/>
          <w:szCs w:val="24"/>
          <w:lang w:eastAsia="en-GB"/>
        </w:rPr>
      </w:pPr>
    </w:p>
    <w:p w14:paraId="5CFA30CA" w14:textId="77777777" w:rsidR="004D4F91" w:rsidRPr="004D4F91" w:rsidRDefault="004D4F91" w:rsidP="004D4F91">
      <w:pPr>
        <w:rPr>
          <w:rFonts w:ascii="Arial" w:eastAsia="Times New Roman" w:hAnsi="Arial" w:cs="Arial"/>
          <w:sz w:val="24"/>
          <w:szCs w:val="24"/>
          <w:lang w:eastAsia="en-GB"/>
        </w:rPr>
      </w:pPr>
      <w:r w:rsidRPr="004D4F91">
        <w:rPr>
          <w:rFonts w:ascii="Arial" w:hAnsi="Arial" w:cs="Arial"/>
          <w:sz w:val="24"/>
          <w:szCs w:val="24"/>
        </w:rPr>
        <w:t>Judge-Made Law, Statute Law Review (2011), Issue 2, 32 (2):3 June. Oxford University Press</w:t>
      </w:r>
    </w:p>
    <w:p w14:paraId="052EAB40" w14:textId="77777777" w:rsidR="004D4F91" w:rsidRPr="004D4F91" w:rsidRDefault="004D4F91" w:rsidP="004D4F91">
      <w:pPr>
        <w:wordWrap w:val="0"/>
        <w:spacing w:after="0" w:line="240" w:lineRule="auto"/>
        <w:rPr>
          <w:rFonts w:ascii="Arial" w:eastAsia="Times New Roman" w:hAnsi="Arial" w:cs="Arial"/>
          <w:sz w:val="24"/>
          <w:szCs w:val="24"/>
          <w:lang w:eastAsia="en-GB"/>
        </w:rPr>
      </w:pPr>
      <w:r w:rsidRPr="004D4F91">
        <w:rPr>
          <w:rFonts w:ascii="Arial" w:eastAsia="Times New Roman" w:hAnsi="Arial" w:cs="Arial"/>
          <w:sz w:val="24"/>
          <w:szCs w:val="24"/>
          <w:lang w:eastAsia="en-GB"/>
        </w:rPr>
        <w:t xml:space="preserve"> Keenan D. and Smith D. </w:t>
      </w:r>
      <w:r w:rsidRPr="004D4F91">
        <w:rPr>
          <w:rFonts w:ascii="Arial" w:eastAsia="Times New Roman" w:hAnsi="Arial" w:cs="Arial"/>
          <w:i/>
          <w:iCs/>
          <w:sz w:val="24"/>
          <w:szCs w:val="24"/>
          <w:lang w:eastAsia="en-GB"/>
        </w:rPr>
        <w:t>English Law</w:t>
      </w:r>
      <w:r w:rsidRPr="004D4F91">
        <w:rPr>
          <w:rFonts w:ascii="Arial" w:eastAsia="Times New Roman" w:hAnsi="Arial" w:cs="Arial"/>
          <w:sz w:val="24"/>
          <w:szCs w:val="24"/>
          <w:lang w:eastAsia="en-GB"/>
        </w:rPr>
        <w:t>, 14</w:t>
      </w:r>
      <w:r w:rsidRPr="004D4F91">
        <w:rPr>
          <w:rFonts w:ascii="Arial" w:eastAsia="Times New Roman" w:hAnsi="Arial" w:cs="Arial"/>
          <w:sz w:val="24"/>
          <w:szCs w:val="24"/>
          <w:vertAlign w:val="superscript"/>
          <w:lang w:eastAsia="en-GB"/>
        </w:rPr>
        <w:t>th</w:t>
      </w:r>
      <w:r w:rsidRPr="004D4F91">
        <w:rPr>
          <w:rFonts w:ascii="Arial" w:eastAsia="Times New Roman" w:hAnsi="Arial" w:cs="Arial"/>
          <w:sz w:val="24"/>
          <w:szCs w:val="24"/>
          <w:lang w:eastAsia="en-GB"/>
        </w:rPr>
        <w:t xml:space="preserve"> edition 2004; Longman, </w:t>
      </w:r>
    </w:p>
    <w:p w14:paraId="6A6C5F02" w14:textId="77777777" w:rsidR="004D4F91" w:rsidRPr="004D4F91" w:rsidRDefault="004D4F91" w:rsidP="004D4F91">
      <w:pPr>
        <w:rPr>
          <w:rFonts w:ascii="Arial" w:hAnsi="Arial" w:cs="Arial"/>
          <w:sz w:val="24"/>
          <w:szCs w:val="24"/>
        </w:rPr>
      </w:pPr>
    </w:p>
    <w:p w14:paraId="5A85C8BC" w14:textId="77777777" w:rsidR="004D4F91" w:rsidRPr="004D4F91" w:rsidRDefault="004D4F91" w:rsidP="004D4F91">
      <w:pPr>
        <w:rPr>
          <w:rFonts w:ascii="Arial" w:hAnsi="Arial" w:cs="Arial"/>
          <w:sz w:val="24"/>
          <w:szCs w:val="24"/>
        </w:rPr>
      </w:pPr>
      <w:r w:rsidRPr="004D4F91">
        <w:rPr>
          <w:rFonts w:ascii="Arial" w:hAnsi="Arial" w:cs="Arial"/>
          <w:sz w:val="24"/>
          <w:szCs w:val="24"/>
        </w:rPr>
        <w:t>Oxford Journal of Legal Studies (GB) 2022, Volume 42 Issue 1, March Articles AV Dicey and the Making of Common Law Constitutionalism – OJLS 2022 42 (366)</w:t>
      </w:r>
    </w:p>
    <w:p w14:paraId="5972BB8C" w14:textId="77777777" w:rsidR="004D4F91" w:rsidRPr="004D4F91" w:rsidRDefault="004D4F91" w:rsidP="004D4F91">
      <w:pPr>
        <w:rPr>
          <w:rFonts w:ascii="Arial" w:eastAsia="Times New Roman" w:hAnsi="Arial" w:cs="Arial"/>
          <w:sz w:val="24"/>
          <w:szCs w:val="24"/>
          <w:lang w:eastAsia="en-GB"/>
        </w:rPr>
      </w:pPr>
      <w:r w:rsidRPr="004D4F91">
        <w:rPr>
          <w:rFonts w:ascii="Arial" w:eastAsia="Times New Roman" w:hAnsi="Arial" w:cs="Arial"/>
          <w:sz w:val="24"/>
          <w:szCs w:val="24"/>
          <w:lang w:eastAsia="en-GB"/>
        </w:rPr>
        <w:t>Perry, S. “</w:t>
      </w:r>
      <w:r w:rsidRPr="004D4F91">
        <w:rPr>
          <w:rFonts w:ascii="Arial" w:eastAsia="Times New Roman" w:hAnsi="Arial" w:cs="Arial"/>
          <w:i/>
          <w:iCs/>
          <w:sz w:val="24"/>
          <w:szCs w:val="24"/>
          <w:lang w:eastAsia="en-GB"/>
        </w:rPr>
        <w:t>Judicial Obligation, Precedent and the Common Law.”</w:t>
      </w:r>
      <w:r w:rsidRPr="004D4F91">
        <w:rPr>
          <w:rFonts w:ascii="Arial" w:eastAsia="Times New Roman" w:hAnsi="Arial" w:cs="Arial"/>
          <w:sz w:val="24"/>
          <w:szCs w:val="24"/>
          <w:lang w:eastAsia="en-GB"/>
        </w:rPr>
        <w:t xml:space="preserve"> </w:t>
      </w:r>
      <w:r w:rsidRPr="004D4F91">
        <w:rPr>
          <w:rFonts w:ascii="Arial" w:eastAsia="Times New Roman" w:hAnsi="Arial" w:cs="Arial"/>
          <w:i/>
          <w:iCs/>
          <w:sz w:val="24"/>
          <w:szCs w:val="24"/>
          <w:lang w:eastAsia="en-GB"/>
        </w:rPr>
        <w:t>Oxford Journal of Legal Studies</w:t>
      </w:r>
      <w:r w:rsidRPr="004D4F91">
        <w:rPr>
          <w:rFonts w:ascii="Arial" w:eastAsia="Times New Roman" w:hAnsi="Arial" w:cs="Arial"/>
          <w:sz w:val="24"/>
          <w:szCs w:val="24"/>
          <w:lang w:eastAsia="en-GB"/>
        </w:rPr>
        <w:t xml:space="preserve">, vol. 7, no. 2, 1987, pp. 215–57. </w:t>
      </w:r>
    </w:p>
    <w:p w14:paraId="2191CF3D" w14:textId="77777777" w:rsidR="004D4F91" w:rsidRPr="004D4F91" w:rsidRDefault="004D4F91" w:rsidP="004D4F91">
      <w:pPr>
        <w:spacing w:after="0" w:line="240" w:lineRule="auto"/>
        <w:rPr>
          <w:rFonts w:ascii="Arial" w:eastAsia="Times New Roman" w:hAnsi="Arial" w:cs="Arial"/>
          <w:sz w:val="24"/>
          <w:szCs w:val="24"/>
          <w:lang w:eastAsia="en-GB"/>
        </w:rPr>
      </w:pPr>
      <w:r w:rsidRPr="004D4F91">
        <w:rPr>
          <w:rFonts w:ascii="Arial" w:eastAsia="Times New Roman" w:hAnsi="Arial" w:cs="Arial"/>
          <w:sz w:val="24"/>
          <w:szCs w:val="24"/>
          <w:lang w:eastAsia="en-GB"/>
        </w:rPr>
        <w:t>Poole, T. “</w:t>
      </w:r>
      <w:r w:rsidRPr="004D4F91">
        <w:rPr>
          <w:rFonts w:ascii="Arial" w:eastAsia="Times New Roman" w:hAnsi="Arial" w:cs="Arial"/>
          <w:i/>
          <w:iCs/>
          <w:sz w:val="24"/>
          <w:szCs w:val="24"/>
          <w:lang w:eastAsia="en-GB"/>
        </w:rPr>
        <w:t>Back to the Future? Unearthing the Theory of Common Law Constitutionalism</w:t>
      </w:r>
      <w:r w:rsidRPr="004D4F91">
        <w:rPr>
          <w:rFonts w:ascii="Arial" w:eastAsia="Times New Roman" w:hAnsi="Arial" w:cs="Arial"/>
          <w:sz w:val="24"/>
          <w:szCs w:val="24"/>
          <w:lang w:eastAsia="en-GB"/>
        </w:rPr>
        <w:t xml:space="preserve">.” </w:t>
      </w:r>
      <w:r w:rsidRPr="004D4F91">
        <w:rPr>
          <w:rFonts w:ascii="Arial" w:eastAsia="Times New Roman" w:hAnsi="Arial" w:cs="Arial"/>
          <w:i/>
          <w:iCs/>
          <w:sz w:val="24"/>
          <w:szCs w:val="24"/>
          <w:lang w:eastAsia="en-GB"/>
        </w:rPr>
        <w:t>Oxford Journal of Legal Studies</w:t>
      </w:r>
      <w:r w:rsidRPr="004D4F91">
        <w:rPr>
          <w:rFonts w:ascii="Arial" w:eastAsia="Times New Roman" w:hAnsi="Arial" w:cs="Arial"/>
          <w:sz w:val="24"/>
          <w:szCs w:val="24"/>
          <w:lang w:eastAsia="en-GB"/>
        </w:rPr>
        <w:t xml:space="preserve">, vol. 23, no. 3, 2003, pp. 435–54. </w:t>
      </w:r>
    </w:p>
    <w:p w14:paraId="71C827C8" w14:textId="77777777" w:rsidR="004D4F91" w:rsidRPr="004D4F91" w:rsidRDefault="004D4F91" w:rsidP="004D4F91">
      <w:pPr>
        <w:spacing w:after="0" w:line="240" w:lineRule="auto"/>
        <w:rPr>
          <w:rFonts w:ascii="Arial" w:hAnsi="Arial" w:cs="Arial"/>
          <w:sz w:val="24"/>
          <w:szCs w:val="24"/>
        </w:rPr>
      </w:pPr>
    </w:p>
    <w:p w14:paraId="26AB0E95" w14:textId="77777777" w:rsidR="004D4F91" w:rsidRPr="004D4F91" w:rsidRDefault="00E7304D" w:rsidP="004D4F91">
      <w:pPr>
        <w:spacing w:after="0" w:line="240" w:lineRule="auto"/>
        <w:rPr>
          <w:rFonts w:ascii="Arial" w:eastAsia="Times New Roman" w:hAnsi="Arial" w:cs="Arial"/>
          <w:spacing w:val="-5"/>
          <w:sz w:val="24"/>
          <w:szCs w:val="24"/>
          <w:lang w:eastAsia="en-GB"/>
        </w:rPr>
      </w:pPr>
      <w:hyperlink r:id="rId16" w:history="1">
        <w:r w:rsidR="004D4F91" w:rsidRPr="004D4F91">
          <w:rPr>
            <w:rFonts w:ascii="Arial" w:eastAsia="Times New Roman" w:hAnsi="Arial" w:cs="Arial"/>
            <w:spacing w:val="-5"/>
            <w:sz w:val="24"/>
            <w:szCs w:val="24"/>
            <w:lang w:eastAsia="en-GB"/>
          </w:rPr>
          <w:t xml:space="preserve"> Rubin</w:t>
        </w:r>
      </w:hyperlink>
      <w:r w:rsidR="004D4F91" w:rsidRPr="004D4F91">
        <w:rPr>
          <w:rFonts w:ascii="Arial" w:eastAsia="Times New Roman" w:hAnsi="Arial" w:cs="Arial"/>
          <w:spacing w:val="-5"/>
          <w:sz w:val="24"/>
          <w:szCs w:val="24"/>
          <w:lang w:eastAsia="en-GB"/>
        </w:rPr>
        <w:t xml:space="preserve"> P. H.,   </w:t>
      </w:r>
      <w:r w:rsidR="004D4F91" w:rsidRPr="004D4F91">
        <w:rPr>
          <w:rFonts w:ascii="Arial" w:eastAsia="Times New Roman" w:hAnsi="Arial" w:cs="Arial"/>
          <w:i/>
          <w:iCs/>
          <w:spacing w:val="-5"/>
          <w:sz w:val="24"/>
          <w:szCs w:val="24"/>
          <w:lang w:eastAsia="en-GB"/>
        </w:rPr>
        <w:t>Why Is the Common Law Efficient?</w:t>
      </w:r>
      <w:r w:rsidR="004D4F91" w:rsidRPr="004D4F91">
        <w:rPr>
          <w:rFonts w:ascii="Arial" w:eastAsia="Times New Roman" w:hAnsi="Arial" w:cs="Arial"/>
          <w:spacing w:val="-5"/>
          <w:sz w:val="24"/>
          <w:szCs w:val="24"/>
          <w:lang w:eastAsia="en-GB"/>
        </w:rPr>
        <w:t xml:space="preserve"> The Journal of Legal Studies, Vol. 6, No. 1 (January., 1977)</w:t>
      </w:r>
    </w:p>
    <w:p w14:paraId="0B5B2567" w14:textId="77777777" w:rsidR="004D4F91" w:rsidRPr="004D4F91" w:rsidRDefault="004D4F91" w:rsidP="004D4F91">
      <w:pPr>
        <w:spacing w:after="0" w:line="240" w:lineRule="auto"/>
        <w:rPr>
          <w:rFonts w:ascii="Arial" w:eastAsia="Times New Roman" w:hAnsi="Arial" w:cs="Arial"/>
          <w:spacing w:val="-5"/>
          <w:sz w:val="24"/>
          <w:szCs w:val="24"/>
          <w:lang w:eastAsia="en-GB"/>
        </w:rPr>
      </w:pPr>
    </w:p>
    <w:p w14:paraId="42B68788" w14:textId="77777777" w:rsidR="004D4F91" w:rsidRPr="004D4F91" w:rsidRDefault="004D4F91" w:rsidP="004D4F91">
      <w:pPr>
        <w:rPr>
          <w:rFonts w:ascii="Arial" w:hAnsi="Arial" w:cs="Arial"/>
          <w:sz w:val="24"/>
          <w:szCs w:val="24"/>
        </w:rPr>
      </w:pPr>
      <w:r w:rsidRPr="004D4F91">
        <w:rPr>
          <w:rFonts w:ascii="Arial" w:hAnsi="Arial" w:cs="Arial"/>
          <w:sz w:val="24"/>
          <w:szCs w:val="24"/>
        </w:rPr>
        <w:t>Simpson A.W.B. “</w:t>
      </w:r>
      <w:r w:rsidRPr="004D4F91">
        <w:rPr>
          <w:rFonts w:ascii="Arial" w:hAnsi="Arial" w:cs="Arial"/>
          <w:i/>
          <w:iCs/>
          <w:sz w:val="24"/>
          <w:szCs w:val="24"/>
        </w:rPr>
        <w:t>The Ratio Decidendi of a Case and the Doctrine of Binding Precedent</w:t>
      </w:r>
      <w:r w:rsidRPr="004D4F91">
        <w:rPr>
          <w:rFonts w:ascii="Arial" w:hAnsi="Arial" w:cs="Arial"/>
          <w:sz w:val="24"/>
          <w:szCs w:val="24"/>
        </w:rPr>
        <w:t>”, in A. G. Guest, (ed), Oxford Essays in Jurisprudence (Oxford, 1961) 148, I66</w:t>
      </w:r>
    </w:p>
    <w:p w14:paraId="6F7A3F33" w14:textId="77777777" w:rsidR="004D4F91" w:rsidRPr="004D4F91" w:rsidRDefault="004D4F91" w:rsidP="004D4F91">
      <w:pPr>
        <w:rPr>
          <w:rFonts w:ascii="Arial" w:hAnsi="Arial" w:cs="Arial"/>
          <w:sz w:val="24"/>
          <w:szCs w:val="24"/>
        </w:rPr>
      </w:pPr>
      <w:r w:rsidRPr="004D4F91">
        <w:rPr>
          <w:rFonts w:ascii="Arial" w:hAnsi="Arial" w:cs="Arial"/>
          <w:sz w:val="24"/>
          <w:szCs w:val="24"/>
        </w:rPr>
        <w:t xml:space="preserve">Simpson, A.B.B. </w:t>
      </w:r>
      <w:r w:rsidRPr="004D4F91">
        <w:rPr>
          <w:rFonts w:ascii="Arial" w:hAnsi="Arial" w:cs="Arial"/>
          <w:i/>
          <w:iCs/>
          <w:sz w:val="24"/>
          <w:szCs w:val="24"/>
        </w:rPr>
        <w:t>The Common Law and Legal Theory</w:t>
      </w:r>
      <w:r w:rsidRPr="004D4F91">
        <w:rPr>
          <w:rFonts w:ascii="Arial" w:hAnsi="Arial" w:cs="Arial"/>
          <w:sz w:val="24"/>
          <w:szCs w:val="24"/>
        </w:rPr>
        <w:t xml:space="preserve"> in A.W.B. Simpson (ed.), Oxford Essays in Jurisprudence (Second Series) (Oxford 1973), 94–95.</w:t>
      </w:r>
    </w:p>
    <w:p w14:paraId="3FD77CB7" w14:textId="77777777" w:rsidR="004D4F91" w:rsidRPr="004D4F91" w:rsidRDefault="004D4F91" w:rsidP="004D4F91">
      <w:pPr>
        <w:shd w:val="clear" w:color="auto" w:fill="FFFFFF"/>
        <w:spacing w:before="100" w:beforeAutospacing="1" w:after="100" w:afterAutospacing="1" w:line="240" w:lineRule="auto"/>
        <w:textAlignment w:val="top"/>
        <w:rPr>
          <w:rFonts w:ascii="Arial" w:hAnsi="Arial" w:cs="Arial"/>
          <w:sz w:val="24"/>
          <w:szCs w:val="24"/>
        </w:rPr>
      </w:pPr>
      <w:r w:rsidRPr="004D4F91">
        <w:rPr>
          <w:rFonts w:ascii="Arial" w:eastAsia="Times New Roman" w:hAnsi="Arial" w:cs="Arial"/>
          <w:sz w:val="24"/>
          <w:szCs w:val="24"/>
          <w:lang w:eastAsia="en-GB"/>
        </w:rPr>
        <w:t xml:space="preserve">Sir John Baker, </w:t>
      </w:r>
      <w:r w:rsidRPr="004D4F91">
        <w:rPr>
          <w:rFonts w:ascii="Arial" w:eastAsia="Times New Roman" w:hAnsi="Arial" w:cs="Arial"/>
          <w:i/>
          <w:iCs/>
          <w:sz w:val="24"/>
          <w:szCs w:val="24"/>
          <w:lang w:eastAsia="en-GB"/>
        </w:rPr>
        <w:t>An Introduction to English Legal History</w:t>
      </w:r>
      <w:r w:rsidRPr="004D4F91">
        <w:rPr>
          <w:rFonts w:ascii="Arial" w:eastAsia="Times New Roman" w:hAnsi="Arial" w:cs="Arial"/>
          <w:sz w:val="24"/>
          <w:szCs w:val="24"/>
          <w:lang w:eastAsia="en-GB"/>
        </w:rPr>
        <w:t>, 5</w:t>
      </w:r>
      <w:r w:rsidRPr="004D4F91">
        <w:rPr>
          <w:rFonts w:ascii="Arial" w:eastAsia="Times New Roman" w:hAnsi="Arial" w:cs="Arial"/>
          <w:sz w:val="24"/>
          <w:szCs w:val="24"/>
          <w:vertAlign w:val="superscript"/>
          <w:lang w:eastAsia="en-GB"/>
        </w:rPr>
        <w:t>th</w:t>
      </w:r>
      <w:r w:rsidRPr="004D4F91">
        <w:rPr>
          <w:rFonts w:ascii="Arial" w:eastAsia="Times New Roman" w:hAnsi="Arial" w:cs="Arial"/>
          <w:sz w:val="24"/>
          <w:szCs w:val="24"/>
          <w:lang w:eastAsia="en-GB"/>
        </w:rPr>
        <w:t xml:space="preserve"> Edition 2019. Oxford University Press. Oxford UK.</w:t>
      </w:r>
    </w:p>
    <w:p w14:paraId="48D8559E" w14:textId="77777777" w:rsidR="004D4F91" w:rsidRPr="004D4F91" w:rsidRDefault="004D4F91" w:rsidP="004D4F91">
      <w:pPr>
        <w:spacing w:after="0" w:line="240" w:lineRule="auto"/>
        <w:rPr>
          <w:rFonts w:ascii="Arial" w:eastAsia="Times New Roman" w:hAnsi="Arial" w:cs="Arial"/>
          <w:sz w:val="24"/>
          <w:szCs w:val="24"/>
          <w:lang w:eastAsia="en-GB"/>
        </w:rPr>
      </w:pPr>
      <w:r w:rsidRPr="004D4F91">
        <w:rPr>
          <w:rFonts w:ascii="Arial" w:eastAsia="Times New Roman" w:hAnsi="Arial" w:cs="Arial"/>
          <w:sz w:val="24"/>
          <w:szCs w:val="24"/>
          <w:lang w:eastAsia="en-GB"/>
        </w:rPr>
        <w:t>The Economist, July 17</w:t>
      </w:r>
      <w:r w:rsidRPr="004D4F91">
        <w:rPr>
          <w:rFonts w:ascii="Arial" w:eastAsia="Times New Roman" w:hAnsi="Arial" w:cs="Arial"/>
          <w:sz w:val="24"/>
          <w:szCs w:val="24"/>
          <w:vertAlign w:val="superscript"/>
          <w:lang w:eastAsia="en-GB"/>
        </w:rPr>
        <w:t>th</w:t>
      </w:r>
      <w:r w:rsidRPr="004D4F91">
        <w:rPr>
          <w:rFonts w:ascii="Arial" w:eastAsia="Times New Roman" w:hAnsi="Arial" w:cs="Arial"/>
          <w:sz w:val="24"/>
          <w:szCs w:val="24"/>
          <w:lang w:eastAsia="en-GB"/>
        </w:rPr>
        <w:t>, 2013. Found at</w:t>
      </w:r>
      <w:r w:rsidRPr="004D4F91">
        <w:t xml:space="preserve"> </w:t>
      </w:r>
      <w:r w:rsidRPr="004D4F91">
        <w:rPr>
          <w:rFonts w:ascii="Arial" w:hAnsi="Arial" w:cs="Arial"/>
          <w:sz w:val="24"/>
          <w:szCs w:val="24"/>
        </w:rPr>
        <w:t>https://www.economist.com/the-economist-explains/2013/07/16/what-is-the-difference-between-common-and-civil-law?</w:t>
      </w:r>
    </w:p>
    <w:p w14:paraId="2E595FC6" w14:textId="77777777" w:rsidR="004D4F91" w:rsidRPr="004D4F91" w:rsidRDefault="004D4F91" w:rsidP="004D4F91">
      <w:pPr>
        <w:spacing w:after="0" w:line="240" w:lineRule="auto"/>
        <w:rPr>
          <w:rFonts w:ascii="Arial" w:eastAsia="Times New Roman" w:hAnsi="Arial" w:cs="Arial"/>
          <w:spacing w:val="-5"/>
          <w:sz w:val="24"/>
          <w:szCs w:val="24"/>
          <w:lang w:eastAsia="en-GB"/>
        </w:rPr>
      </w:pPr>
    </w:p>
    <w:p w14:paraId="35BBEC72" w14:textId="77777777" w:rsidR="004D4F91" w:rsidRPr="004D4F91" w:rsidRDefault="004D4F91" w:rsidP="004D4F91">
      <w:pPr>
        <w:shd w:val="clear" w:color="auto" w:fill="FFFFFF"/>
        <w:spacing w:after="0" w:line="240" w:lineRule="auto"/>
        <w:textAlignment w:val="baseline"/>
        <w:rPr>
          <w:rFonts w:ascii="Arial" w:hAnsi="Arial" w:cs="Arial"/>
          <w:sz w:val="24"/>
          <w:szCs w:val="24"/>
        </w:rPr>
      </w:pPr>
      <w:r w:rsidRPr="004D4F91">
        <w:rPr>
          <w:rFonts w:ascii="Arial" w:hAnsi="Arial" w:cs="Arial"/>
          <w:sz w:val="24"/>
          <w:szCs w:val="24"/>
        </w:rPr>
        <w:t xml:space="preserve">The Right Hon. The Lord Thomas of </w:t>
      </w:r>
      <w:proofErr w:type="spellStart"/>
      <w:r w:rsidRPr="004D4F91">
        <w:rPr>
          <w:rFonts w:ascii="Arial" w:hAnsi="Arial" w:cs="Arial"/>
          <w:sz w:val="24"/>
          <w:szCs w:val="24"/>
        </w:rPr>
        <w:t>Cwmgiedd</w:t>
      </w:r>
      <w:proofErr w:type="spellEnd"/>
      <w:r w:rsidRPr="004D4F91">
        <w:rPr>
          <w:rFonts w:ascii="Arial" w:hAnsi="Arial" w:cs="Arial"/>
          <w:sz w:val="24"/>
          <w:szCs w:val="24"/>
        </w:rPr>
        <w:t>, Lord Chief Justice of England and Wales.</w:t>
      </w:r>
      <w:r w:rsidRPr="004D4F91">
        <w:rPr>
          <w:rFonts w:ascii="Arial" w:hAnsi="Arial" w:cs="Arial"/>
          <w:i/>
          <w:iCs/>
          <w:sz w:val="24"/>
          <w:szCs w:val="24"/>
        </w:rPr>
        <w:t xml:space="preserve"> Developing commercial law through the courts: rebalancing the relationship between the courts and arbitration</w:t>
      </w:r>
      <w:r w:rsidRPr="004D4F91">
        <w:rPr>
          <w:rFonts w:ascii="Arial" w:hAnsi="Arial" w:cs="Arial"/>
          <w:sz w:val="24"/>
          <w:szCs w:val="24"/>
        </w:rPr>
        <w:t xml:space="preserve"> The Bailli Lecture 2016 9 March 2016</w:t>
      </w:r>
      <w:bookmarkStart w:id="11" w:name="_Hlk128838059"/>
    </w:p>
    <w:p w14:paraId="056AB021" w14:textId="77777777" w:rsidR="004D4F91" w:rsidRPr="004D4F91" w:rsidRDefault="004D4F91" w:rsidP="004D4F91">
      <w:pPr>
        <w:shd w:val="clear" w:color="auto" w:fill="FFFFFF"/>
        <w:spacing w:after="0" w:line="240" w:lineRule="auto"/>
        <w:textAlignment w:val="baseline"/>
        <w:rPr>
          <w:rFonts w:ascii="Arial" w:hAnsi="Arial" w:cs="Arial"/>
          <w:sz w:val="24"/>
          <w:szCs w:val="24"/>
        </w:rPr>
      </w:pPr>
      <w:r w:rsidRPr="004D4F91">
        <w:rPr>
          <w:rFonts w:ascii="Arial" w:eastAsia="Times New Roman" w:hAnsi="Arial" w:cs="Arial"/>
          <w:sz w:val="24"/>
          <w:szCs w:val="24"/>
          <w:lang w:eastAsia="en-GB"/>
        </w:rPr>
        <w:t xml:space="preserve">William Blackstone, </w:t>
      </w:r>
      <w:r w:rsidRPr="004D4F91">
        <w:rPr>
          <w:rFonts w:ascii="Arial" w:eastAsia="Times New Roman" w:hAnsi="Arial" w:cs="Arial"/>
          <w:i/>
          <w:iCs/>
          <w:sz w:val="24"/>
          <w:szCs w:val="24"/>
          <w:lang w:eastAsia="en-GB"/>
        </w:rPr>
        <w:t>Commentaries on the Laws of England</w:t>
      </w:r>
      <w:r w:rsidRPr="004D4F91">
        <w:rPr>
          <w:rFonts w:ascii="Arial" w:eastAsia="Times New Roman" w:hAnsi="Arial" w:cs="Arial"/>
          <w:sz w:val="24"/>
          <w:szCs w:val="24"/>
          <w:lang w:eastAsia="en-GB"/>
        </w:rPr>
        <w:t>, Introduction, Section 3 p.69.</w:t>
      </w:r>
      <w:r w:rsidRPr="004D4F91">
        <w:rPr>
          <w:rFonts w:ascii="Arial" w:hAnsi="Arial" w:cs="Arial"/>
          <w:sz w:val="24"/>
          <w:szCs w:val="24"/>
          <w:shd w:val="clear" w:color="auto" w:fill="FFFFFF"/>
        </w:rPr>
        <w:t xml:space="preserve"> Clarendon Press, Oxford 1765-1770.</w:t>
      </w:r>
      <w:bookmarkEnd w:id="11"/>
    </w:p>
    <w:p w14:paraId="68F385E0" w14:textId="77777777" w:rsidR="004D4F91" w:rsidRPr="004D4F91" w:rsidRDefault="004D4F91" w:rsidP="004D4F91">
      <w:pPr>
        <w:rPr>
          <w:rFonts w:ascii="Arial" w:hAnsi="Arial" w:cs="Arial"/>
          <w:sz w:val="24"/>
          <w:szCs w:val="24"/>
        </w:rPr>
      </w:pPr>
    </w:p>
    <w:p w14:paraId="6163E2CD" w14:textId="77777777" w:rsidR="004D4F91" w:rsidRPr="004D4F91" w:rsidRDefault="004D4F91" w:rsidP="004D4F91">
      <w:pPr>
        <w:rPr>
          <w:rFonts w:ascii="Arial" w:hAnsi="Arial" w:cs="Arial"/>
          <w:sz w:val="24"/>
          <w:szCs w:val="24"/>
        </w:rPr>
      </w:pPr>
    </w:p>
    <w:p w14:paraId="5000B90D" w14:textId="77777777" w:rsidR="004D4F91" w:rsidRPr="004D4F91" w:rsidRDefault="004D4F91" w:rsidP="004D4F91">
      <w:pPr>
        <w:rPr>
          <w:rFonts w:ascii="Arial" w:hAnsi="Arial" w:cs="Arial"/>
          <w:sz w:val="24"/>
          <w:szCs w:val="24"/>
        </w:rPr>
      </w:pPr>
    </w:p>
    <w:p w14:paraId="4E00BA37" w14:textId="77777777" w:rsidR="004D4F91" w:rsidRPr="00081C63" w:rsidRDefault="004D4F91" w:rsidP="00FC6050">
      <w:pPr>
        <w:rPr>
          <w:rFonts w:ascii="Arial" w:hAnsi="Arial" w:cs="Arial"/>
          <w:sz w:val="24"/>
          <w:szCs w:val="24"/>
        </w:rPr>
      </w:pPr>
    </w:p>
    <w:p w14:paraId="326B2802" w14:textId="77777777" w:rsidR="00B07026" w:rsidRPr="00081C63" w:rsidRDefault="00B07026">
      <w:pPr>
        <w:rPr>
          <w:rFonts w:ascii="Arial" w:hAnsi="Arial" w:cs="Arial"/>
          <w:sz w:val="24"/>
          <w:szCs w:val="24"/>
        </w:rPr>
      </w:pPr>
    </w:p>
    <w:sectPr w:rsidR="00B07026" w:rsidRPr="00081C63">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ian Turvey" w:date="2023-03-06T15:21:00Z" w:initials="ST">
    <w:p w14:paraId="69C7FD6D" w14:textId="77777777" w:rsidR="007802A1" w:rsidRDefault="007802A1" w:rsidP="0015426F">
      <w:pPr>
        <w:pStyle w:val="CommentText"/>
      </w:pPr>
      <w:r>
        <w:rPr>
          <w:rStyle w:val="CommentReference"/>
        </w:rPr>
        <w:annotationRef/>
      </w:r>
      <w:r>
        <w:t>No need for page number unless directly quoting</w:t>
      </w:r>
    </w:p>
  </w:comment>
  <w:comment w:id="1" w:author="Sian Turvey" w:date="2023-03-06T15:21:00Z" w:initials="ST">
    <w:p w14:paraId="48B35521" w14:textId="77777777" w:rsidR="007802A1" w:rsidRDefault="007802A1" w:rsidP="00D01EB9">
      <w:pPr>
        <w:pStyle w:val="CommentText"/>
      </w:pPr>
      <w:r>
        <w:rPr>
          <w:rStyle w:val="CommentReference"/>
        </w:rPr>
        <w:annotationRef/>
      </w:r>
      <w:r>
        <w:t>Citation needed.</w:t>
      </w:r>
    </w:p>
  </w:comment>
  <w:comment w:id="2" w:author="Sian Turvey" w:date="2023-03-06T15:22:00Z" w:initials="ST">
    <w:p w14:paraId="404E62BB" w14:textId="77777777" w:rsidR="007802A1" w:rsidRDefault="007802A1" w:rsidP="005D5D64">
      <w:pPr>
        <w:pStyle w:val="CommentText"/>
      </w:pPr>
      <w:r>
        <w:rPr>
          <w:rStyle w:val="CommentReference"/>
        </w:rPr>
        <w:annotationRef/>
      </w:r>
      <w:r>
        <w:t xml:space="preserve">Supporting evidence required. </w:t>
      </w:r>
    </w:p>
  </w:comment>
  <w:comment w:id="3" w:author="Sian Turvey" w:date="2023-03-06T15:23:00Z" w:initials="ST">
    <w:p w14:paraId="099A7DA2" w14:textId="77777777" w:rsidR="009152C2" w:rsidRDefault="009152C2" w:rsidP="009152C2">
      <w:pPr>
        <w:pStyle w:val="CommentText"/>
      </w:pPr>
      <w:r>
        <w:rPr>
          <w:rStyle w:val="CommentReference"/>
        </w:rPr>
        <w:annotationRef/>
      </w:r>
      <w:r>
        <w:t xml:space="preserve">Keep it objective. </w:t>
      </w:r>
    </w:p>
  </w:comment>
  <w:comment w:id="4" w:author="Sian Turvey" w:date="2023-03-06T15:23:00Z" w:initials="ST">
    <w:p w14:paraId="06D2620F" w14:textId="77777777" w:rsidR="009152C2" w:rsidRDefault="009152C2" w:rsidP="009152C2">
      <w:pPr>
        <w:pStyle w:val="CommentText"/>
      </w:pPr>
      <w:r>
        <w:rPr>
          <w:rStyle w:val="CommentReference"/>
        </w:rPr>
        <w:annotationRef/>
      </w:r>
      <w:r>
        <w:t>Set out the name of the case in full</w:t>
      </w:r>
    </w:p>
  </w:comment>
  <w:comment w:id="5" w:author="Sian Turvey" w:date="2023-03-06T15:19:00Z" w:initials="ST">
    <w:p w14:paraId="038A3BC5" w14:textId="3FCB8862" w:rsidR="007802A1" w:rsidRDefault="007802A1" w:rsidP="00DD1E25">
      <w:pPr>
        <w:pStyle w:val="CommentText"/>
      </w:pPr>
      <w:r>
        <w:rPr>
          <w:rStyle w:val="CommentReference"/>
        </w:rPr>
        <w:annotationRef/>
      </w:r>
      <w:r>
        <w:t xml:space="preserve">Do not include images, tables etc in an academic essay. You should discuss your findings by writing in full sentences. Don't let images speak for you - we want to hear your academic voice. </w:t>
      </w:r>
    </w:p>
  </w:comment>
  <w:comment w:id="7" w:author="Sian Turvey" w:date="2023-03-06T15:24:00Z" w:initials="ST">
    <w:p w14:paraId="5DE2E196" w14:textId="77777777" w:rsidR="007802A1" w:rsidRDefault="007802A1" w:rsidP="00B26219">
      <w:pPr>
        <w:pStyle w:val="CommentText"/>
      </w:pPr>
      <w:r>
        <w:rPr>
          <w:rStyle w:val="CommentReference"/>
        </w:rPr>
        <w:annotationRef/>
      </w:r>
      <w:r>
        <w:t>Support required</w:t>
      </w:r>
    </w:p>
  </w:comment>
  <w:comment w:id="8" w:author="Sian Turvey" w:date="2023-03-06T15:25:00Z" w:initials="ST">
    <w:p w14:paraId="1A40CB56" w14:textId="1C84C418" w:rsidR="007802A1" w:rsidRDefault="007802A1" w:rsidP="00C45C0F">
      <w:pPr>
        <w:pStyle w:val="CommentText"/>
      </w:pPr>
      <w:r>
        <w:rPr>
          <w:rStyle w:val="CommentReference"/>
        </w:rPr>
        <w:annotationRef/>
      </w:r>
      <w:r>
        <w:t>England and Wales</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69C7FD6D" w15:done="1"/>
  <w15:commentEx w15:paraId="48B35521" w15:done="1"/>
  <w15:commentEx w15:paraId="404E62BB" w15:done="1"/>
  <w15:commentEx w15:paraId="099A7DA2" w15:done="1"/>
  <w15:commentEx w15:paraId="06D2620F" w15:done="1"/>
  <w15:commentEx w15:paraId="038A3BC5" w15:done="1"/>
  <w15:commentEx w15:paraId="5DE2E196" w15:done="1"/>
  <w15:commentEx w15:paraId="1A40CB56" w15:done="1"/>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7B08371" w16cex:dateUtc="2023-03-06T15:21:00Z"/>
  <w16cex:commentExtensible w16cex:durableId="27B08384" w16cex:dateUtc="2023-03-06T15:21:00Z"/>
  <w16cex:commentExtensible w16cex:durableId="27B083C2" w16cex:dateUtc="2023-03-06T15:22:00Z"/>
  <w16cex:commentExtensible w16cex:durableId="27B2EB50" w16cex:dateUtc="2023-03-06T15:23:00Z"/>
  <w16cex:commentExtensible w16cex:durableId="27B2EB4F" w16cex:dateUtc="2023-03-06T15:23:00Z"/>
  <w16cex:commentExtensible w16cex:durableId="27B08317" w16cex:dateUtc="2023-03-06T15:19:00Z"/>
  <w16cex:commentExtensible w16cex:durableId="27B08420" w16cex:dateUtc="2023-03-06T15:24:00Z"/>
  <w16cex:commentExtensible w16cex:durableId="27B08457" w16cex:dateUtc="2023-03-06T15:2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69C7FD6D" w16cid:durableId="27B08371"/>
  <w16cid:commentId w16cid:paraId="48B35521" w16cid:durableId="27B08384"/>
  <w16cid:commentId w16cid:paraId="404E62BB" w16cid:durableId="27B083C2"/>
  <w16cid:commentId w16cid:paraId="099A7DA2" w16cid:durableId="27B2EB50"/>
  <w16cid:commentId w16cid:paraId="06D2620F" w16cid:durableId="27B2EB4F"/>
  <w16cid:commentId w16cid:paraId="038A3BC5" w16cid:durableId="27B08317"/>
  <w16cid:commentId w16cid:paraId="5DE2E196" w16cid:durableId="27B08420"/>
  <w16cid:commentId w16cid:paraId="1A40CB56" w16cid:durableId="27B08457"/>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69D5BBC"/>
    <w:multiLevelType w:val="multilevel"/>
    <w:tmpl w:val="0C928E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7557582A"/>
    <w:multiLevelType w:val="multilevel"/>
    <w:tmpl w:val="193A42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11675774">
    <w:abstractNumId w:val="1"/>
  </w:num>
  <w:num w:numId="2" w16cid:durableId="1179614196">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Sian Turvey">
    <w15:presenceInfo w15:providerId="AD" w15:userId="S::sian.turvey@uwtsd.ac.uk::9a374997-2901-41ac-b51e-a8948a26085a"/>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1481"/>
    <w:rsid w:val="00037508"/>
    <w:rsid w:val="00050541"/>
    <w:rsid w:val="000526E6"/>
    <w:rsid w:val="00081C63"/>
    <w:rsid w:val="00091F76"/>
    <w:rsid w:val="001241F7"/>
    <w:rsid w:val="00141A16"/>
    <w:rsid w:val="0017084B"/>
    <w:rsid w:val="001A5551"/>
    <w:rsid w:val="001B1322"/>
    <w:rsid w:val="001D1604"/>
    <w:rsid w:val="001D64E7"/>
    <w:rsid w:val="002028F2"/>
    <w:rsid w:val="0021034B"/>
    <w:rsid w:val="00221E3C"/>
    <w:rsid w:val="00233F88"/>
    <w:rsid w:val="0024796B"/>
    <w:rsid w:val="00337AC7"/>
    <w:rsid w:val="00341464"/>
    <w:rsid w:val="00361344"/>
    <w:rsid w:val="003C4993"/>
    <w:rsid w:val="003E010E"/>
    <w:rsid w:val="004830B9"/>
    <w:rsid w:val="004B3C14"/>
    <w:rsid w:val="004B58BA"/>
    <w:rsid w:val="004D1727"/>
    <w:rsid w:val="004D4F91"/>
    <w:rsid w:val="00580AC6"/>
    <w:rsid w:val="005B32DC"/>
    <w:rsid w:val="005D60B3"/>
    <w:rsid w:val="005F328C"/>
    <w:rsid w:val="0062041F"/>
    <w:rsid w:val="0064670D"/>
    <w:rsid w:val="00667D6D"/>
    <w:rsid w:val="006B2F2E"/>
    <w:rsid w:val="006C5B52"/>
    <w:rsid w:val="006F479E"/>
    <w:rsid w:val="00751481"/>
    <w:rsid w:val="007802A1"/>
    <w:rsid w:val="007A4679"/>
    <w:rsid w:val="007A4EFA"/>
    <w:rsid w:val="007C0D41"/>
    <w:rsid w:val="007D1302"/>
    <w:rsid w:val="00860739"/>
    <w:rsid w:val="008A7DDD"/>
    <w:rsid w:val="008D09B5"/>
    <w:rsid w:val="008D52AC"/>
    <w:rsid w:val="00905EF3"/>
    <w:rsid w:val="009152C2"/>
    <w:rsid w:val="00937D44"/>
    <w:rsid w:val="009613B3"/>
    <w:rsid w:val="00986B33"/>
    <w:rsid w:val="009F329E"/>
    <w:rsid w:val="00A03EFA"/>
    <w:rsid w:val="00A07B05"/>
    <w:rsid w:val="00AD2739"/>
    <w:rsid w:val="00B07026"/>
    <w:rsid w:val="00BE513C"/>
    <w:rsid w:val="00C1283C"/>
    <w:rsid w:val="00C55523"/>
    <w:rsid w:val="00C74F07"/>
    <w:rsid w:val="00CC5362"/>
    <w:rsid w:val="00CD0161"/>
    <w:rsid w:val="00CF490A"/>
    <w:rsid w:val="00D444A9"/>
    <w:rsid w:val="00D5422D"/>
    <w:rsid w:val="00D55197"/>
    <w:rsid w:val="00D81EA4"/>
    <w:rsid w:val="00DD31D2"/>
    <w:rsid w:val="00DE7F5A"/>
    <w:rsid w:val="00E7304D"/>
    <w:rsid w:val="00EE43B3"/>
    <w:rsid w:val="00F7410F"/>
    <w:rsid w:val="00F85080"/>
    <w:rsid w:val="00F87712"/>
    <w:rsid w:val="00FC6050"/>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ACDD91"/>
  <w15:chartTrackingRefBased/>
  <w15:docId w15:val="{428470B2-50C4-42CA-9C6D-035DD7D27D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7802A1"/>
    <w:rPr>
      <w:sz w:val="16"/>
      <w:szCs w:val="16"/>
    </w:rPr>
  </w:style>
  <w:style w:type="paragraph" w:styleId="CommentText">
    <w:name w:val="annotation text"/>
    <w:basedOn w:val="Normal"/>
    <w:link w:val="CommentTextChar"/>
    <w:uiPriority w:val="99"/>
    <w:unhideWhenUsed/>
    <w:rsid w:val="007802A1"/>
    <w:pPr>
      <w:spacing w:line="240" w:lineRule="auto"/>
    </w:pPr>
    <w:rPr>
      <w:sz w:val="20"/>
      <w:szCs w:val="20"/>
    </w:rPr>
  </w:style>
  <w:style w:type="character" w:customStyle="1" w:styleId="CommentTextChar">
    <w:name w:val="Comment Text Char"/>
    <w:basedOn w:val="DefaultParagraphFont"/>
    <w:link w:val="CommentText"/>
    <w:uiPriority w:val="99"/>
    <w:rsid w:val="007802A1"/>
    <w:rPr>
      <w:sz w:val="20"/>
      <w:szCs w:val="20"/>
    </w:rPr>
  </w:style>
  <w:style w:type="paragraph" w:styleId="CommentSubject">
    <w:name w:val="annotation subject"/>
    <w:basedOn w:val="CommentText"/>
    <w:next w:val="CommentText"/>
    <w:link w:val="CommentSubjectChar"/>
    <w:uiPriority w:val="99"/>
    <w:semiHidden/>
    <w:unhideWhenUsed/>
    <w:rsid w:val="007802A1"/>
    <w:rPr>
      <w:b/>
      <w:bCs/>
    </w:rPr>
  </w:style>
  <w:style w:type="character" w:customStyle="1" w:styleId="CommentSubjectChar">
    <w:name w:val="Comment Subject Char"/>
    <w:basedOn w:val="CommentTextChar"/>
    <w:link w:val="CommentSubject"/>
    <w:uiPriority w:val="99"/>
    <w:semiHidden/>
    <w:rsid w:val="007802A1"/>
    <w:rPr>
      <w:b/>
      <w:bCs/>
      <w:sz w:val="20"/>
      <w:szCs w:val="20"/>
    </w:rPr>
  </w:style>
  <w:style w:type="character" w:styleId="Hyperlink">
    <w:name w:val="Hyperlink"/>
    <w:basedOn w:val="DefaultParagraphFont"/>
    <w:uiPriority w:val="99"/>
    <w:unhideWhenUsed/>
    <w:rsid w:val="00A07B05"/>
    <w:rPr>
      <w:color w:val="0000FF"/>
      <w:u w:val="single"/>
    </w:rPr>
  </w:style>
  <w:style w:type="character" w:customStyle="1" w:styleId="text-smallcaps">
    <w:name w:val="text-smallcaps"/>
    <w:basedOn w:val="DefaultParagraphFont"/>
    <w:rsid w:val="001D64E7"/>
  </w:style>
  <w:style w:type="character" w:styleId="Emphasis">
    <w:name w:val="Emphasis"/>
    <w:basedOn w:val="DefaultParagraphFont"/>
    <w:uiPriority w:val="20"/>
    <w:qFormat/>
    <w:rsid w:val="001D64E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2060396">
      <w:bodyDiv w:val="1"/>
      <w:marLeft w:val="0"/>
      <w:marRight w:val="0"/>
      <w:marTop w:val="0"/>
      <w:marBottom w:val="0"/>
      <w:divBdr>
        <w:top w:val="none" w:sz="0" w:space="0" w:color="auto"/>
        <w:left w:val="none" w:sz="0" w:space="0" w:color="auto"/>
        <w:bottom w:val="none" w:sz="0" w:space="0" w:color="auto"/>
        <w:right w:val="none" w:sz="0" w:space="0" w:color="auto"/>
      </w:divBdr>
      <w:divsChild>
        <w:div w:id="1198391544">
          <w:marLeft w:val="0"/>
          <w:marRight w:val="0"/>
          <w:marTop w:val="0"/>
          <w:marBottom w:val="0"/>
          <w:divBdr>
            <w:top w:val="none" w:sz="0" w:space="0" w:color="auto"/>
            <w:left w:val="none" w:sz="0" w:space="0" w:color="auto"/>
            <w:bottom w:val="none" w:sz="0" w:space="0" w:color="auto"/>
            <w:right w:val="none" w:sz="0" w:space="0" w:color="auto"/>
          </w:divBdr>
        </w:div>
      </w:divsChild>
    </w:div>
    <w:div w:id="1697655864">
      <w:bodyDiv w:val="1"/>
      <w:marLeft w:val="0"/>
      <w:marRight w:val="0"/>
      <w:marTop w:val="0"/>
      <w:marBottom w:val="0"/>
      <w:divBdr>
        <w:top w:val="none" w:sz="0" w:space="0" w:color="auto"/>
        <w:left w:val="none" w:sz="0" w:space="0" w:color="auto"/>
        <w:bottom w:val="none" w:sz="0" w:space="0" w:color="auto"/>
        <w:right w:val="none" w:sz="0" w:space="0" w:color="auto"/>
      </w:divBdr>
      <w:divsChild>
        <w:div w:id="1759398201">
          <w:marLeft w:val="0"/>
          <w:marRight w:val="0"/>
          <w:marTop w:val="0"/>
          <w:marBottom w:val="0"/>
          <w:divBdr>
            <w:top w:val="none" w:sz="0" w:space="0" w:color="auto"/>
            <w:left w:val="none" w:sz="0" w:space="0" w:color="auto"/>
            <w:bottom w:val="none" w:sz="0" w:space="0" w:color="auto"/>
            <w:right w:val="none" w:sz="0" w:space="0" w:color="auto"/>
          </w:divBdr>
          <w:divsChild>
            <w:div w:id="858736571">
              <w:marLeft w:val="0"/>
              <w:marRight w:val="375"/>
              <w:marTop w:val="0"/>
              <w:marBottom w:val="0"/>
              <w:divBdr>
                <w:top w:val="none" w:sz="0" w:space="0" w:color="auto"/>
                <w:left w:val="none" w:sz="0" w:space="0" w:color="auto"/>
                <w:bottom w:val="none" w:sz="0" w:space="0" w:color="auto"/>
                <w:right w:val="none" w:sz="0" w:space="0" w:color="auto"/>
              </w:divBdr>
              <w:divsChild>
                <w:div w:id="1908346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68645">
          <w:marLeft w:val="0"/>
          <w:marRight w:val="0"/>
          <w:marTop w:val="0"/>
          <w:marBottom w:val="0"/>
          <w:divBdr>
            <w:top w:val="none" w:sz="0" w:space="0" w:color="auto"/>
            <w:left w:val="none" w:sz="0" w:space="0" w:color="auto"/>
            <w:bottom w:val="none" w:sz="0" w:space="0" w:color="auto"/>
            <w:right w:val="none" w:sz="0" w:space="0" w:color="auto"/>
          </w:divBdr>
          <w:divsChild>
            <w:div w:id="1454248414">
              <w:marLeft w:val="0"/>
              <w:marRight w:val="0"/>
              <w:marTop w:val="0"/>
              <w:marBottom w:val="0"/>
              <w:divBdr>
                <w:top w:val="none" w:sz="0" w:space="0" w:color="auto"/>
                <w:left w:val="none" w:sz="0" w:space="0" w:color="auto"/>
                <w:bottom w:val="none" w:sz="0" w:space="0" w:color="auto"/>
                <w:right w:val="none" w:sz="0" w:space="0" w:color="auto"/>
              </w:divBdr>
              <w:divsChild>
                <w:div w:id="1922717324">
                  <w:marLeft w:val="0"/>
                  <w:marRight w:val="0"/>
                  <w:marTop w:val="0"/>
                  <w:marBottom w:val="0"/>
                  <w:divBdr>
                    <w:top w:val="none" w:sz="0" w:space="0" w:color="auto"/>
                    <w:left w:val="none" w:sz="0" w:space="0" w:color="auto"/>
                    <w:bottom w:val="none" w:sz="0" w:space="0" w:color="auto"/>
                    <w:right w:val="none" w:sz="0" w:space="0" w:color="auto"/>
                  </w:divBdr>
                  <w:divsChild>
                    <w:div w:id="1006206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microsoft.com/office/2018/08/relationships/commentsExtensible" Target="commentsExtensible.xml"/><Relationship Id="rId13" Type="http://schemas.openxmlformats.org/officeDocument/2006/relationships/hyperlink" Target="https://librarysearch.uwtsd.ac.uk/discovery/fulldisplay?docid=cdi_proquest_journals_1290285869&amp;context=PC&amp;vid=44WHELF_UWTSD:44WHELF_UWTSD_VU1&amp;lang=en&amp;adaptor=Primo%20Central&amp;tab=Everything" TargetMode="External"/><Relationship Id="rId18" Type="http://schemas.microsoft.com/office/2011/relationships/people" Target="people.xml"/><Relationship Id="rId3" Type="http://schemas.openxmlformats.org/officeDocument/2006/relationships/settings" Target="settings.xml"/><Relationship Id="rId7" Type="http://schemas.microsoft.com/office/2016/09/relationships/commentsIds" Target="commentsIds.xml"/><Relationship Id="rId12" Type="http://schemas.openxmlformats.org/officeDocument/2006/relationships/hyperlink" Target="https://www.judiciary.uk/about-the-judiciary/our-justice-system/court-structure"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jstor-org.ezproxy.uwtsd.ac.uk/action/doBasicSearch?si=1&amp;Query=au:%22Paul+H.+Rubin%22" TargetMode="External"/><Relationship Id="rId1" Type="http://schemas.openxmlformats.org/officeDocument/2006/relationships/numbering" Target="numbering.xml"/><Relationship Id="rId6" Type="http://schemas.microsoft.com/office/2011/relationships/commentsExtended" Target="commentsExtended.xml"/><Relationship Id="rId11" Type="http://schemas.openxmlformats.org/officeDocument/2006/relationships/hyperlink" Target="https://plus-lexis-com.ezproxy.uwtsd.ac.uk/api/document/collection/cases-uk/id/4FXV-X9W0-TWW4-20C3-00000-00?cite=R%20v%20Vickers%2C%20%5B1975%5D%202%20All%20ER%20945%2C%20%5B1975%5D%201%20WLR%20811&amp;context=1001073" TargetMode="External"/><Relationship Id="rId5" Type="http://schemas.openxmlformats.org/officeDocument/2006/relationships/comments" Target="comments.xml"/><Relationship Id="rId15" Type="http://schemas.openxmlformats.org/officeDocument/2006/relationships/hyperlink" Target="https://www-jstor-org.ezproxy.uwtsd.ac.uk/journal/colulawrevi" TargetMode="External"/><Relationship Id="rId10" Type="http://schemas.openxmlformats.org/officeDocument/2006/relationships/hyperlink" Target="https://plus-lexis-com.ezproxy.uwtsd.ac.uk/api/document/collection/cases-uk/id/4JT8-8WR0-TXD8-61FF-00000-00?cite=REGINA%20RESPONDENT%20%20AND%20%20ADOMAKO%20APPELLANT%2C%20%5B1995%5D%201%20A.C.%20171&amp;context=1001073"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plus-lexis-com.ezproxy.uwtsd.ac.uk/api/document/collection/cases-uk/id/4FXV-X9W0-TWW4-20C3-00000-00?cite=R%20v%20Vickers%2C%20%5B1975%5D%202%20All%20ER%20945%2C%20%5B1975%5D%201%20WLR%20811&amp;context=1001073" TargetMode="External"/><Relationship Id="rId14" Type="http://schemas.openxmlformats.org/officeDocument/2006/relationships/hyperlink" Target="https://www-jstor-org.ezproxy.uwtsd.ac.uk/action/doBasicSearch?Query=au%3A%22John%20S.%20Ewart%2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2150</Words>
  <Characters>12257</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Ray Smedy</dc:creator>
  <cp:keywords/>
  <dc:description/>
  <cp:lastModifiedBy>Raymond Anthony Brian Smedy (2213796)</cp:lastModifiedBy>
  <cp:revision>2</cp:revision>
  <dcterms:created xsi:type="dcterms:W3CDTF">2023-03-10T14:28:00Z</dcterms:created>
  <dcterms:modified xsi:type="dcterms:W3CDTF">2023-03-10T14:28:00Z</dcterms:modified>
</cp:coreProperties>
</file>