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8C439" w14:textId="77777777" w:rsidR="00BD5E45" w:rsidRPr="00BD5E45" w:rsidRDefault="00BD5E45" w:rsidP="00BD5E45">
      <w:pPr>
        <w:spacing w:after="0" w:line="240" w:lineRule="auto"/>
        <w:rPr>
          <w:rFonts w:asciiTheme="minorBidi" w:hAnsiTheme="minorBidi"/>
          <w:b/>
          <w:bCs/>
          <w:color w:val="000000" w:themeColor="text1"/>
          <w:kern w:val="24"/>
          <w:u w:val="single"/>
          <w14:ligatures w14:val="none"/>
        </w:rPr>
      </w:pPr>
      <w:r w:rsidRPr="00BD5E45">
        <w:rPr>
          <w:rFonts w:asciiTheme="minorBidi" w:hAnsiTheme="minorBidi"/>
          <w:b/>
          <w:bCs/>
          <w:color w:val="000000" w:themeColor="text1"/>
          <w:kern w:val="24"/>
          <w:u w:val="single"/>
          <w14:ligatures w14:val="none"/>
        </w:rPr>
        <w:t>Imperial College Healthcare NHS Trust Case Study</w:t>
      </w:r>
    </w:p>
    <w:p w14:paraId="7048E924" w14:textId="77777777" w:rsidR="00BD5E45" w:rsidRPr="00BD5E45" w:rsidRDefault="00BD5E45" w:rsidP="00BD5E45">
      <w:pPr>
        <w:spacing w:after="0" w:line="240" w:lineRule="auto"/>
        <w:rPr>
          <w:rFonts w:asciiTheme="minorBidi" w:eastAsia="Times New Roman" w:hAnsiTheme="minorBidi"/>
          <w:kern w:val="0"/>
          <w14:ligatures w14:val="none"/>
        </w:rPr>
      </w:pPr>
    </w:p>
    <w:p w14:paraId="7E842F49" w14:textId="77777777"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color w:val="000000" w:themeColor="text1"/>
          <w:kern w:val="24"/>
          <w14:ligatures w14:val="none"/>
        </w:rPr>
        <w:t>The Imperial College Healthcare NHS Trust implemented a strategic workforce planning initiative that showcases several key elements of effective workforce planning:</w:t>
      </w:r>
    </w:p>
    <w:p w14:paraId="7B0863C8" w14:textId="77777777" w:rsidR="00BD5E45" w:rsidRDefault="00BD5E45" w:rsidP="00BD5E45">
      <w:pPr>
        <w:spacing w:after="0" w:line="240" w:lineRule="auto"/>
        <w:rPr>
          <w:rFonts w:asciiTheme="minorBidi" w:hAnsiTheme="minorBidi"/>
          <w:color w:val="000000" w:themeColor="text1"/>
          <w:kern w:val="24"/>
          <w14:ligatures w14:val="none"/>
        </w:rPr>
      </w:pPr>
    </w:p>
    <w:p w14:paraId="3C76487B" w14:textId="77777777"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Bottom-Up Approach</w:t>
      </w:r>
      <w:r w:rsidRPr="00BD5E45">
        <w:rPr>
          <w:rFonts w:asciiTheme="minorBidi" w:hAnsiTheme="minorBidi"/>
          <w:color w:val="000000" w:themeColor="text1"/>
          <w:kern w:val="24"/>
          <w14:ligatures w14:val="none"/>
        </w:rPr>
        <w:br/>
        <w:t>The Trust utili</w:t>
      </w:r>
      <w:r>
        <w:rPr>
          <w:rFonts w:asciiTheme="minorBidi" w:hAnsiTheme="minorBidi"/>
          <w:color w:val="000000" w:themeColor="text1"/>
          <w:kern w:val="24"/>
          <w14:ligatures w14:val="none"/>
        </w:rPr>
        <w:t>s</w:t>
      </w:r>
      <w:r w:rsidRPr="00BD5E45">
        <w:rPr>
          <w:rFonts w:asciiTheme="minorBidi" w:hAnsiTheme="minorBidi"/>
          <w:color w:val="000000" w:themeColor="text1"/>
          <w:kern w:val="24"/>
          <w14:ligatures w14:val="none"/>
        </w:rPr>
        <w:t>ed a bottom-up approach to workforce planning, which involved engaging staff at various levels of the organi</w:t>
      </w:r>
      <w:r>
        <w:rPr>
          <w:rFonts w:asciiTheme="minorBidi" w:hAnsiTheme="minorBidi"/>
          <w:color w:val="000000" w:themeColor="text1"/>
          <w:kern w:val="24"/>
          <w14:ligatures w14:val="none"/>
        </w:rPr>
        <w:t>s</w:t>
      </w:r>
      <w:r w:rsidRPr="00BD5E45">
        <w:rPr>
          <w:rFonts w:asciiTheme="minorBidi" w:hAnsiTheme="minorBidi"/>
          <w:color w:val="000000" w:themeColor="text1"/>
          <w:kern w:val="24"/>
          <w14:ligatures w14:val="none"/>
        </w:rPr>
        <w:t>ation to contribute to the planning process. This method ensures that the workforce plan is grounded in the realities of day-to-day operations and takes into account the perspectives of those directly involved in service delivery.</w:t>
      </w:r>
    </w:p>
    <w:p w14:paraId="4BE05E33" w14:textId="77777777" w:rsidR="00BD5E45" w:rsidRDefault="00BD5E45" w:rsidP="00BD5E45">
      <w:pPr>
        <w:spacing w:after="0" w:line="240" w:lineRule="auto"/>
        <w:rPr>
          <w:rFonts w:asciiTheme="minorBidi" w:hAnsiTheme="minorBidi"/>
          <w:color w:val="000000" w:themeColor="text1"/>
          <w:kern w:val="24"/>
          <w14:ligatures w14:val="none"/>
        </w:rPr>
      </w:pPr>
    </w:p>
    <w:p w14:paraId="2CF09935" w14:textId="4AF07A75"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Alignment with Organi</w:t>
      </w:r>
      <w:r w:rsidRPr="00BD5E45">
        <w:rPr>
          <w:rFonts w:asciiTheme="minorBidi" w:hAnsiTheme="minorBidi"/>
          <w:b/>
          <w:bCs/>
          <w:color w:val="000000" w:themeColor="text1"/>
          <w:kern w:val="24"/>
          <w14:ligatures w14:val="none"/>
        </w:rPr>
        <w:t>s</w:t>
      </w:r>
      <w:r w:rsidRPr="00BD5E45">
        <w:rPr>
          <w:rFonts w:asciiTheme="minorBidi" w:hAnsiTheme="minorBidi"/>
          <w:b/>
          <w:bCs/>
          <w:color w:val="000000" w:themeColor="text1"/>
          <w:kern w:val="24"/>
          <w14:ligatures w14:val="none"/>
        </w:rPr>
        <w:t>ational Strategy</w:t>
      </w:r>
      <w:r w:rsidRPr="00BD5E45">
        <w:rPr>
          <w:rFonts w:asciiTheme="minorBidi" w:hAnsiTheme="minorBidi"/>
          <w:color w:val="000000" w:themeColor="text1"/>
          <w:kern w:val="24"/>
          <w14:ligatures w14:val="none"/>
        </w:rPr>
        <w:br/>
        <w:t>The workforce plan was designed to align with the Trust's overall strategy and objectives. This alignment is crucial for ensuring that the workforce is capable of meeting future business challenges and supporting the organi</w:t>
      </w:r>
      <w:r>
        <w:rPr>
          <w:rFonts w:asciiTheme="minorBidi" w:hAnsiTheme="minorBidi"/>
          <w:color w:val="000000" w:themeColor="text1"/>
          <w:kern w:val="24"/>
          <w14:ligatures w14:val="none"/>
        </w:rPr>
        <w:t>s</w:t>
      </w:r>
      <w:r w:rsidRPr="00BD5E45">
        <w:rPr>
          <w:rFonts w:asciiTheme="minorBidi" w:hAnsiTheme="minorBidi"/>
          <w:color w:val="000000" w:themeColor="text1"/>
          <w:kern w:val="24"/>
          <w14:ligatures w14:val="none"/>
        </w:rPr>
        <w:t>ation's long-term goals</w:t>
      </w:r>
      <w:r>
        <w:rPr>
          <w:rFonts w:asciiTheme="minorBidi" w:hAnsiTheme="minorBidi"/>
          <w:color w:val="000000" w:themeColor="text1"/>
          <w:kern w:val="24"/>
          <w14:ligatures w14:val="none"/>
        </w:rPr>
        <w:t>.</w:t>
      </w:r>
    </w:p>
    <w:p w14:paraId="259803AF" w14:textId="77777777" w:rsidR="00BD5E45" w:rsidRPr="00BD5E45" w:rsidRDefault="00BD5E45" w:rsidP="00BD5E45">
      <w:pPr>
        <w:spacing w:after="0" w:line="240" w:lineRule="auto"/>
        <w:rPr>
          <w:rFonts w:asciiTheme="minorBidi" w:hAnsiTheme="minorBidi"/>
          <w:color w:val="000000" w:themeColor="text1"/>
          <w:kern w:val="24"/>
          <w14:ligatures w14:val="none"/>
        </w:rPr>
      </w:pPr>
    </w:p>
    <w:p w14:paraId="781929C6" w14:textId="4B6F82B9"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Data-Driven Decision Making</w:t>
      </w:r>
      <w:r w:rsidRPr="00BD5E45">
        <w:rPr>
          <w:rFonts w:asciiTheme="minorBidi" w:hAnsiTheme="minorBidi"/>
          <w:color w:val="000000" w:themeColor="text1"/>
          <w:kern w:val="24"/>
          <w14:ligatures w14:val="none"/>
        </w:rPr>
        <w:br/>
        <w:t>The Trust employed workforce planning tools and analytics to assess their current workforce and project future needs. This data-driven approach helps in identifying skill gaps and areas for growth or reduction, leading to more informed decision-making</w:t>
      </w:r>
      <w:r>
        <w:rPr>
          <w:rFonts w:asciiTheme="minorBidi" w:hAnsiTheme="minorBidi"/>
          <w:color w:val="000000" w:themeColor="text1"/>
          <w:kern w:val="24"/>
          <w14:ligatures w14:val="none"/>
        </w:rPr>
        <w:t>.</w:t>
      </w:r>
    </w:p>
    <w:p w14:paraId="2A98FDB2" w14:textId="77777777" w:rsidR="00BD5E45" w:rsidRPr="00BD5E45" w:rsidRDefault="00BD5E45" w:rsidP="00BD5E45">
      <w:pPr>
        <w:spacing w:after="0" w:line="240" w:lineRule="auto"/>
        <w:rPr>
          <w:rFonts w:asciiTheme="minorBidi" w:eastAsia="Times New Roman" w:hAnsiTheme="minorBidi"/>
          <w:kern w:val="0"/>
          <w14:ligatures w14:val="none"/>
        </w:rPr>
      </w:pPr>
    </w:p>
    <w:p w14:paraId="78648E48" w14:textId="0E1DF09C"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Focus on Skills and Competencies</w:t>
      </w:r>
      <w:r w:rsidRPr="00BD5E45">
        <w:rPr>
          <w:rFonts w:asciiTheme="minorBidi" w:hAnsiTheme="minorBidi"/>
          <w:color w:val="000000" w:themeColor="text1"/>
          <w:kern w:val="24"/>
          <w14:ligatures w14:val="none"/>
        </w:rPr>
        <w:br/>
        <w:t>The plan included an analysis of the skills and competencies required to meet future healthcare demands. This focus on capabilities, rather than just headcount, is essential for developing a workforce that can adapt to changing healthcare needs and technologies</w:t>
      </w:r>
      <w:r>
        <w:rPr>
          <w:rFonts w:asciiTheme="minorBidi" w:hAnsiTheme="minorBidi"/>
          <w:color w:val="000000" w:themeColor="text1"/>
          <w:kern w:val="24"/>
          <w14:ligatures w14:val="none"/>
        </w:rPr>
        <w:t xml:space="preserve">. </w:t>
      </w:r>
    </w:p>
    <w:p w14:paraId="6B22AD54" w14:textId="77777777" w:rsidR="00BD5E45" w:rsidRPr="00BD5E45" w:rsidRDefault="00BD5E45" w:rsidP="00BD5E45">
      <w:pPr>
        <w:spacing w:after="0" w:line="240" w:lineRule="auto"/>
        <w:rPr>
          <w:rFonts w:asciiTheme="minorBidi" w:eastAsia="Times New Roman" w:hAnsiTheme="minorBidi"/>
          <w:kern w:val="0"/>
          <w14:ligatures w14:val="none"/>
        </w:rPr>
      </w:pPr>
    </w:p>
    <w:p w14:paraId="44B36A66" w14:textId="09DB0BDB"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Consideration of External Factors</w:t>
      </w:r>
      <w:r w:rsidRPr="00BD5E45">
        <w:rPr>
          <w:rFonts w:asciiTheme="minorBidi" w:hAnsiTheme="minorBidi"/>
          <w:color w:val="000000" w:themeColor="text1"/>
          <w:kern w:val="24"/>
          <w14:ligatures w14:val="none"/>
        </w:rPr>
        <w:br/>
        <w:t xml:space="preserve">The Trust's workforce plan </w:t>
      </w:r>
      <w:r>
        <w:rPr>
          <w:rFonts w:asciiTheme="minorBidi" w:hAnsiTheme="minorBidi"/>
          <w:color w:val="000000" w:themeColor="text1"/>
          <w:kern w:val="24"/>
          <w14:ligatures w14:val="none"/>
        </w:rPr>
        <w:t>took</w:t>
      </w:r>
      <w:r w:rsidRPr="00BD5E45">
        <w:rPr>
          <w:rFonts w:asciiTheme="minorBidi" w:hAnsiTheme="minorBidi"/>
          <w:color w:val="000000" w:themeColor="text1"/>
          <w:kern w:val="24"/>
          <w14:ligatures w14:val="none"/>
        </w:rPr>
        <w:t xml:space="preserve"> into account external factors such as changes in healthcare policies, technological advancements, and demographic shifts that could impact future workforce requirements</w:t>
      </w:r>
      <w:r>
        <w:rPr>
          <w:rFonts w:asciiTheme="minorBidi" w:hAnsiTheme="minorBidi"/>
          <w:color w:val="000000" w:themeColor="text1"/>
          <w:kern w:val="24"/>
          <w14:ligatures w14:val="none"/>
        </w:rPr>
        <w:t>.</w:t>
      </w:r>
    </w:p>
    <w:p w14:paraId="2E7E7EF7" w14:textId="77777777" w:rsidR="00BD5E45" w:rsidRPr="00BD5E45" w:rsidRDefault="00BD5E45" w:rsidP="00BD5E45">
      <w:pPr>
        <w:spacing w:after="0" w:line="240" w:lineRule="auto"/>
        <w:rPr>
          <w:rFonts w:asciiTheme="minorBidi" w:eastAsia="Times New Roman" w:hAnsiTheme="minorBidi"/>
          <w:kern w:val="0"/>
          <w14:ligatures w14:val="none"/>
        </w:rPr>
      </w:pPr>
    </w:p>
    <w:p w14:paraId="3205A9D7" w14:textId="6678930B" w:rsidR="00BD5E45" w:rsidRDefault="00BD5E45" w:rsidP="00BD5E45">
      <w:pPr>
        <w:spacing w:after="0" w:line="240" w:lineRule="auto"/>
        <w:rPr>
          <w:rFonts w:asciiTheme="minorBidi" w:hAnsiTheme="minorBidi"/>
          <w:color w:val="000000" w:themeColor="text1"/>
          <w:kern w:val="24"/>
          <w14:ligatures w14:val="none"/>
        </w:rPr>
      </w:pPr>
      <w:r w:rsidRPr="00BD5E45">
        <w:rPr>
          <w:rFonts w:asciiTheme="minorBidi" w:hAnsiTheme="minorBidi"/>
          <w:b/>
          <w:bCs/>
          <w:color w:val="000000" w:themeColor="text1"/>
          <w:kern w:val="24"/>
          <w14:ligatures w14:val="none"/>
        </w:rPr>
        <w:t>Continuous Evaluation and Adjustment</w:t>
      </w:r>
      <w:r w:rsidRPr="00BD5E45">
        <w:rPr>
          <w:rFonts w:asciiTheme="minorBidi" w:hAnsiTheme="minorBidi"/>
          <w:color w:val="000000" w:themeColor="text1"/>
          <w:kern w:val="24"/>
          <w14:ligatures w14:val="none"/>
        </w:rPr>
        <w:br/>
        <w:t>As part of best practices in workforce planning, the Trust implemented a system for regularly evaluating the effectiveness of their workforce plan and ma</w:t>
      </w:r>
      <w:r>
        <w:rPr>
          <w:rFonts w:asciiTheme="minorBidi" w:hAnsiTheme="minorBidi"/>
          <w:color w:val="000000" w:themeColor="text1"/>
          <w:kern w:val="24"/>
          <w14:ligatures w14:val="none"/>
        </w:rPr>
        <w:t>de</w:t>
      </w:r>
      <w:r w:rsidRPr="00BD5E45">
        <w:rPr>
          <w:rFonts w:asciiTheme="minorBidi" w:hAnsiTheme="minorBidi"/>
          <w:color w:val="000000" w:themeColor="text1"/>
          <w:kern w:val="24"/>
          <w14:ligatures w14:val="none"/>
        </w:rPr>
        <w:t xml:space="preserve"> adjustments as needed to respond to changing circumstances</w:t>
      </w:r>
      <w:r>
        <w:rPr>
          <w:rFonts w:asciiTheme="minorBidi" w:hAnsiTheme="minorBidi"/>
          <w:color w:val="000000" w:themeColor="text1"/>
          <w:kern w:val="24"/>
          <w14:ligatures w14:val="none"/>
        </w:rPr>
        <w:t>.</w:t>
      </w:r>
    </w:p>
    <w:p w14:paraId="4BE47014" w14:textId="77777777" w:rsidR="00BD5E45" w:rsidRPr="00BD5E45" w:rsidRDefault="00BD5E45" w:rsidP="00BD5E45">
      <w:pPr>
        <w:spacing w:after="0" w:line="240" w:lineRule="auto"/>
        <w:rPr>
          <w:rFonts w:asciiTheme="minorBidi" w:eastAsia="Times New Roman" w:hAnsiTheme="minorBidi"/>
          <w:b/>
          <w:bCs/>
          <w:kern w:val="0"/>
          <w14:ligatures w14:val="none"/>
        </w:rPr>
      </w:pPr>
    </w:p>
    <w:p w14:paraId="1E516E55" w14:textId="15AC7EFE" w:rsidR="00BD5E45" w:rsidRPr="00BD5E45" w:rsidRDefault="00BD5E45" w:rsidP="00BD5E45">
      <w:pPr>
        <w:spacing w:after="0" w:line="240" w:lineRule="auto"/>
        <w:rPr>
          <w:rFonts w:asciiTheme="minorBidi" w:eastAsia="Times New Roman" w:hAnsiTheme="minorBidi"/>
          <w:b/>
          <w:bCs/>
          <w:kern w:val="0"/>
          <w14:ligatures w14:val="none"/>
        </w:rPr>
      </w:pPr>
      <w:r w:rsidRPr="00BD5E45">
        <w:rPr>
          <w:rFonts w:asciiTheme="minorBidi" w:hAnsiTheme="minorBidi"/>
          <w:b/>
          <w:bCs/>
          <w:color w:val="000000" w:themeColor="text1"/>
          <w:kern w:val="24"/>
          <w14:ligatures w14:val="none"/>
        </w:rPr>
        <w:t>Outcomes and Benefits</w:t>
      </w:r>
    </w:p>
    <w:p w14:paraId="35026276" w14:textId="159093F1" w:rsidR="00BD5E45" w:rsidRPr="00BD5E45" w:rsidRDefault="00BD5E45" w:rsidP="00BD5E45">
      <w:pPr>
        <w:numPr>
          <w:ilvl w:val="0"/>
          <w:numId w:val="1"/>
        </w:numPr>
        <w:spacing w:after="0" w:line="240" w:lineRule="auto"/>
        <w:contextualSpacing/>
        <w:rPr>
          <w:rFonts w:asciiTheme="minorBidi" w:eastAsia="Times New Roman" w:hAnsiTheme="minorBidi"/>
          <w:kern w:val="0"/>
          <w14:ligatures w14:val="none"/>
        </w:rPr>
      </w:pPr>
      <w:r w:rsidRPr="00BD5E45">
        <w:rPr>
          <w:rFonts w:asciiTheme="minorBidi" w:hAnsiTheme="minorBidi"/>
          <w:color w:val="000000" w:themeColor="text1"/>
          <w:kern w:val="24"/>
          <w14:ligatures w14:val="none"/>
        </w:rPr>
        <w:t>Improved patient care through better staffing levels and skill mix</w:t>
      </w:r>
    </w:p>
    <w:p w14:paraId="37880975" w14:textId="77777777" w:rsidR="00BD5E45" w:rsidRPr="00BD5E45" w:rsidRDefault="00BD5E45" w:rsidP="00BD5E45">
      <w:pPr>
        <w:numPr>
          <w:ilvl w:val="0"/>
          <w:numId w:val="1"/>
        </w:numPr>
        <w:spacing w:after="0" w:line="240" w:lineRule="auto"/>
        <w:contextualSpacing/>
        <w:rPr>
          <w:rFonts w:asciiTheme="minorBidi" w:eastAsia="Times New Roman" w:hAnsiTheme="minorBidi"/>
          <w:kern w:val="0"/>
          <w14:ligatures w14:val="none"/>
        </w:rPr>
      </w:pPr>
      <w:r w:rsidRPr="00BD5E45">
        <w:rPr>
          <w:rFonts w:asciiTheme="minorBidi" w:hAnsiTheme="minorBidi"/>
          <w:color w:val="000000" w:themeColor="text1"/>
          <w:kern w:val="24"/>
          <w14:ligatures w14:val="none"/>
        </w:rPr>
        <w:t>Enhanced ability to respond to changing healthcare demands</w:t>
      </w:r>
    </w:p>
    <w:p w14:paraId="78DF9701" w14:textId="77777777" w:rsidR="00BD5E45" w:rsidRPr="00BD5E45" w:rsidRDefault="00BD5E45" w:rsidP="00BD5E45">
      <w:pPr>
        <w:numPr>
          <w:ilvl w:val="0"/>
          <w:numId w:val="1"/>
        </w:numPr>
        <w:spacing w:after="0" w:line="240" w:lineRule="auto"/>
        <w:contextualSpacing/>
        <w:rPr>
          <w:rFonts w:asciiTheme="minorBidi" w:eastAsia="Times New Roman" w:hAnsiTheme="minorBidi"/>
          <w:kern w:val="0"/>
          <w14:ligatures w14:val="none"/>
        </w:rPr>
      </w:pPr>
      <w:r w:rsidRPr="00BD5E45">
        <w:rPr>
          <w:rFonts w:asciiTheme="minorBidi" w:hAnsiTheme="minorBidi"/>
          <w:color w:val="000000" w:themeColor="text1"/>
          <w:kern w:val="24"/>
          <w14:ligatures w14:val="none"/>
        </w:rPr>
        <w:t>More efficient use of resources and potential cost savings</w:t>
      </w:r>
    </w:p>
    <w:p w14:paraId="34B108D6" w14:textId="77777777" w:rsidR="00BD5E45" w:rsidRPr="00BD5E45" w:rsidRDefault="00BD5E45" w:rsidP="00BD5E45">
      <w:pPr>
        <w:numPr>
          <w:ilvl w:val="0"/>
          <w:numId w:val="1"/>
        </w:numPr>
        <w:spacing w:after="0" w:line="240" w:lineRule="auto"/>
        <w:contextualSpacing/>
        <w:rPr>
          <w:rFonts w:asciiTheme="minorBidi" w:eastAsia="Times New Roman" w:hAnsiTheme="minorBidi"/>
          <w:kern w:val="0"/>
          <w14:ligatures w14:val="none"/>
        </w:rPr>
      </w:pPr>
      <w:r w:rsidRPr="00BD5E45">
        <w:rPr>
          <w:rFonts w:asciiTheme="minorBidi" w:hAnsiTheme="minorBidi"/>
          <w:color w:val="000000" w:themeColor="text1"/>
          <w:kern w:val="24"/>
          <w14:ligatures w14:val="none"/>
        </w:rPr>
        <w:t>Increased employee engagement and retention through better career development opportunities</w:t>
      </w:r>
    </w:p>
    <w:p w14:paraId="06ACBCCF" w14:textId="15ABB5C2" w:rsidR="00BD5E45" w:rsidRPr="00BD5E45" w:rsidRDefault="00BD5E45" w:rsidP="00BD5E45">
      <w:pPr>
        <w:numPr>
          <w:ilvl w:val="0"/>
          <w:numId w:val="1"/>
        </w:numPr>
        <w:spacing w:after="0" w:line="240" w:lineRule="auto"/>
        <w:contextualSpacing/>
        <w:rPr>
          <w:rFonts w:asciiTheme="minorBidi" w:eastAsia="Times New Roman" w:hAnsiTheme="minorBidi"/>
          <w:kern w:val="0"/>
          <w14:ligatures w14:val="none"/>
        </w:rPr>
      </w:pPr>
      <w:r w:rsidRPr="00BD5E45">
        <w:rPr>
          <w:rFonts w:asciiTheme="minorBidi" w:hAnsiTheme="minorBidi"/>
          <w:color w:val="000000" w:themeColor="text1"/>
          <w:kern w:val="24"/>
          <w14:ligatures w14:val="none"/>
        </w:rPr>
        <w:t>Greater organi</w:t>
      </w:r>
      <w:r>
        <w:rPr>
          <w:rFonts w:asciiTheme="minorBidi" w:hAnsiTheme="minorBidi"/>
          <w:color w:val="000000" w:themeColor="text1"/>
          <w:kern w:val="24"/>
          <w14:ligatures w14:val="none"/>
        </w:rPr>
        <w:t>s</w:t>
      </w:r>
      <w:r w:rsidRPr="00BD5E45">
        <w:rPr>
          <w:rFonts w:asciiTheme="minorBidi" w:hAnsiTheme="minorBidi"/>
          <w:color w:val="000000" w:themeColor="text1"/>
          <w:kern w:val="24"/>
          <w14:ligatures w14:val="none"/>
        </w:rPr>
        <w:t>ational agility in responding to healthcare sector changes</w:t>
      </w:r>
    </w:p>
    <w:p w14:paraId="41108EE4" w14:textId="3BDB4B7C" w:rsidR="003E1F24" w:rsidRPr="00BD5E45" w:rsidRDefault="00BD5E45" w:rsidP="006C68F1">
      <w:pPr>
        <w:ind w:left="720"/>
        <w:rPr>
          <w:rFonts w:asciiTheme="minorBidi" w:hAnsiTheme="minorBidi"/>
        </w:rPr>
      </w:pPr>
      <w:r w:rsidRPr="00BD5E45">
        <w:rPr>
          <w:rFonts w:asciiTheme="minorBidi" w:hAnsiTheme="minorBidi"/>
          <w:color w:val="000000" w:themeColor="text1"/>
          <w:kern w:val="24"/>
          <w14:ligatures w14:val="none"/>
        </w:rPr>
        <w:t>considers both current needs and future challenges, while engaging staff at all levels of the organi</w:t>
      </w:r>
      <w:r>
        <w:rPr>
          <w:rFonts w:asciiTheme="minorBidi" w:hAnsiTheme="minorBidi"/>
          <w:color w:val="000000" w:themeColor="text1"/>
          <w:kern w:val="24"/>
          <w14:ligatures w14:val="none"/>
        </w:rPr>
        <w:t>sa</w:t>
      </w:r>
      <w:r w:rsidRPr="00BD5E45">
        <w:rPr>
          <w:rFonts w:asciiTheme="minorBidi" w:hAnsiTheme="minorBidi"/>
          <w:color w:val="000000" w:themeColor="text1"/>
          <w:kern w:val="24"/>
          <w14:ligatures w14:val="none"/>
        </w:rPr>
        <w:t>tion</w:t>
      </w:r>
      <w:r>
        <w:rPr>
          <w:rFonts w:asciiTheme="minorBidi" w:hAnsiTheme="minorBidi"/>
          <w:color w:val="000000" w:themeColor="text1"/>
          <w:kern w:val="24"/>
          <w14:ligatures w14:val="none"/>
        </w:rPr>
        <w:t>.</w:t>
      </w:r>
    </w:p>
    <w:sectPr w:rsidR="003E1F24" w:rsidRPr="00BD5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7334CF"/>
    <w:multiLevelType w:val="hybridMultilevel"/>
    <w:tmpl w:val="682AA2C2"/>
    <w:lvl w:ilvl="0" w:tplc="98A68946">
      <w:start w:val="1"/>
      <w:numFmt w:val="bullet"/>
      <w:lvlText w:val="•"/>
      <w:lvlJc w:val="left"/>
      <w:pPr>
        <w:tabs>
          <w:tab w:val="num" w:pos="720"/>
        </w:tabs>
        <w:ind w:left="720" w:hanging="360"/>
      </w:pPr>
      <w:rPr>
        <w:rFonts w:ascii="Arial" w:hAnsi="Arial" w:hint="default"/>
      </w:rPr>
    </w:lvl>
    <w:lvl w:ilvl="1" w:tplc="B78AA7C8" w:tentative="1">
      <w:start w:val="1"/>
      <w:numFmt w:val="bullet"/>
      <w:lvlText w:val="•"/>
      <w:lvlJc w:val="left"/>
      <w:pPr>
        <w:tabs>
          <w:tab w:val="num" w:pos="1440"/>
        </w:tabs>
        <w:ind w:left="1440" w:hanging="360"/>
      </w:pPr>
      <w:rPr>
        <w:rFonts w:ascii="Arial" w:hAnsi="Arial" w:hint="default"/>
      </w:rPr>
    </w:lvl>
    <w:lvl w:ilvl="2" w:tplc="2C80AFEC" w:tentative="1">
      <w:start w:val="1"/>
      <w:numFmt w:val="bullet"/>
      <w:lvlText w:val="•"/>
      <w:lvlJc w:val="left"/>
      <w:pPr>
        <w:tabs>
          <w:tab w:val="num" w:pos="2160"/>
        </w:tabs>
        <w:ind w:left="2160" w:hanging="360"/>
      </w:pPr>
      <w:rPr>
        <w:rFonts w:ascii="Arial" w:hAnsi="Arial" w:hint="default"/>
      </w:rPr>
    </w:lvl>
    <w:lvl w:ilvl="3" w:tplc="65223D48" w:tentative="1">
      <w:start w:val="1"/>
      <w:numFmt w:val="bullet"/>
      <w:lvlText w:val="•"/>
      <w:lvlJc w:val="left"/>
      <w:pPr>
        <w:tabs>
          <w:tab w:val="num" w:pos="2880"/>
        </w:tabs>
        <w:ind w:left="2880" w:hanging="360"/>
      </w:pPr>
      <w:rPr>
        <w:rFonts w:ascii="Arial" w:hAnsi="Arial" w:hint="default"/>
      </w:rPr>
    </w:lvl>
    <w:lvl w:ilvl="4" w:tplc="6D2CAEAA" w:tentative="1">
      <w:start w:val="1"/>
      <w:numFmt w:val="bullet"/>
      <w:lvlText w:val="•"/>
      <w:lvlJc w:val="left"/>
      <w:pPr>
        <w:tabs>
          <w:tab w:val="num" w:pos="3600"/>
        </w:tabs>
        <w:ind w:left="3600" w:hanging="360"/>
      </w:pPr>
      <w:rPr>
        <w:rFonts w:ascii="Arial" w:hAnsi="Arial" w:hint="default"/>
      </w:rPr>
    </w:lvl>
    <w:lvl w:ilvl="5" w:tplc="53345E62" w:tentative="1">
      <w:start w:val="1"/>
      <w:numFmt w:val="bullet"/>
      <w:lvlText w:val="•"/>
      <w:lvlJc w:val="left"/>
      <w:pPr>
        <w:tabs>
          <w:tab w:val="num" w:pos="4320"/>
        </w:tabs>
        <w:ind w:left="4320" w:hanging="360"/>
      </w:pPr>
      <w:rPr>
        <w:rFonts w:ascii="Arial" w:hAnsi="Arial" w:hint="default"/>
      </w:rPr>
    </w:lvl>
    <w:lvl w:ilvl="6" w:tplc="3A682F08" w:tentative="1">
      <w:start w:val="1"/>
      <w:numFmt w:val="bullet"/>
      <w:lvlText w:val="•"/>
      <w:lvlJc w:val="left"/>
      <w:pPr>
        <w:tabs>
          <w:tab w:val="num" w:pos="5040"/>
        </w:tabs>
        <w:ind w:left="5040" w:hanging="360"/>
      </w:pPr>
      <w:rPr>
        <w:rFonts w:ascii="Arial" w:hAnsi="Arial" w:hint="default"/>
      </w:rPr>
    </w:lvl>
    <w:lvl w:ilvl="7" w:tplc="B868EDF8" w:tentative="1">
      <w:start w:val="1"/>
      <w:numFmt w:val="bullet"/>
      <w:lvlText w:val="•"/>
      <w:lvlJc w:val="left"/>
      <w:pPr>
        <w:tabs>
          <w:tab w:val="num" w:pos="5760"/>
        </w:tabs>
        <w:ind w:left="5760" w:hanging="360"/>
      </w:pPr>
      <w:rPr>
        <w:rFonts w:ascii="Arial" w:hAnsi="Arial" w:hint="default"/>
      </w:rPr>
    </w:lvl>
    <w:lvl w:ilvl="8" w:tplc="C7EEA68A" w:tentative="1">
      <w:start w:val="1"/>
      <w:numFmt w:val="bullet"/>
      <w:lvlText w:val="•"/>
      <w:lvlJc w:val="left"/>
      <w:pPr>
        <w:tabs>
          <w:tab w:val="num" w:pos="6480"/>
        </w:tabs>
        <w:ind w:left="6480" w:hanging="360"/>
      </w:pPr>
      <w:rPr>
        <w:rFonts w:ascii="Arial" w:hAnsi="Arial" w:hint="default"/>
      </w:rPr>
    </w:lvl>
  </w:abstractNum>
  <w:num w:numId="1" w16cid:durableId="914247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E45"/>
    <w:rsid w:val="003E1F24"/>
    <w:rsid w:val="003E28CC"/>
    <w:rsid w:val="006C68F1"/>
    <w:rsid w:val="008117B8"/>
    <w:rsid w:val="00BD5E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EDCAD"/>
  <w15:chartTrackingRefBased/>
  <w15:docId w15:val="{DA92B0BC-B5B2-4FED-9437-D1D61E6A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E45"/>
    <w:rPr>
      <w:rFonts w:eastAsiaTheme="majorEastAsia" w:cstheme="majorBidi"/>
      <w:color w:val="272727" w:themeColor="text1" w:themeTint="D8"/>
    </w:rPr>
  </w:style>
  <w:style w:type="paragraph" w:styleId="Title">
    <w:name w:val="Title"/>
    <w:basedOn w:val="Normal"/>
    <w:next w:val="Normal"/>
    <w:link w:val="TitleChar"/>
    <w:uiPriority w:val="10"/>
    <w:qFormat/>
    <w:rsid w:val="00BD5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E45"/>
    <w:pPr>
      <w:spacing w:before="160"/>
      <w:jc w:val="center"/>
    </w:pPr>
    <w:rPr>
      <w:i/>
      <w:iCs/>
      <w:color w:val="404040" w:themeColor="text1" w:themeTint="BF"/>
    </w:rPr>
  </w:style>
  <w:style w:type="character" w:customStyle="1" w:styleId="QuoteChar">
    <w:name w:val="Quote Char"/>
    <w:basedOn w:val="DefaultParagraphFont"/>
    <w:link w:val="Quote"/>
    <w:uiPriority w:val="29"/>
    <w:rsid w:val="00BD5E45"/>
    <w:rPr>
      <w:i/>
      <w:iCs/>
      <w:color w:val="404040" w:themeColor="text1" w:themeTint="BF"/>
    </w:rPr>
  </w:style>
  <w:style w:type="paragraph" w:styleId="ListParagraph">
    <w:name w:val="List Paragraph"/>
    <w:basedOn w:val="Normal"/>
    <w:uiPriority w:val="34"/>
    <w:qFormat/>
    <w:rsid w:val="00BD5E45"/>
    <w:pPr>
      <w:ind w:left="720"/>
      <w:contextualSpacing/>
    </w:pPr>
  </w:style>
  <w:style w:type="character" w:styleId="IntenseEmphasis">
    <w:name w:val="Intense Emphasis"/>
    <w:basedOn w:val="DefaultParagraphFont"/>
    <w:uiPriority w:val="21"/>
    <w:qFormat/>
    <w:rsid w:val="00BD5E45"/>
    <w:rPr>
      <w:i/>
      <w:iCs/>
      <w:color w:val="0F4761" w:themeColor="accent1" w:themeShade="BF"/>
    </w:rPr>
  </w:style>
  <w:style w:type="paragraph" w:styleId="IntenseQuote">
    <w:name w:val="Intense Quote"/>
    <w:basedOn w:val="Normal"/>
    <w:next w:val="Normal"/>
    <w:link w:val="IntenseQuoteChar"/>
    <w:uiPriority w:val="30"/>
    <w:qFormat/>
    <w:rsid w:val="00BD5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E45"/>
    <w:rPr>
      <w:i/>
      <w:iCs/>
      <w:color w:val="0F4761" w:themeColor="accent1" w:themeShade="BF"/>
    </w:rPr>
  </w:style>
  <w:style w:type="character" w:styleId="IntenseReference">
    <w:name w:val="Intense Reference"/>
    <w:basedOn w:val="DefaultParagraphFont"/>
    <w:uiPriority w:val="32"/>
    <w:qFormat/>
    <w:rsid w:val="00BD5E45"/>
    <w:rPr>
      <w:b/>
      <w:bCs/>
      <w:smallCaps/>
      <w:color w:val="0F4761" w:themeColor="accent1" w:themeShade="BF"/>
      <w:spacing w:val="5"/>
    </w:rPr>
  </w:style>
  <w:style w:type="paragraph" w:styleId="NormalWeb">
    <w:name w:val="Normal (Web)"/>
    <w:basedOn w:val="Normal"/>
    <w:uiPriority w:val="99"/>
    <w:semiHidden/>
    <w:unhideWhenUsed/>
    <w:rsid w:val="00BD5E4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BD5E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0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2096</Characters>
  <Application>Microsoft Office Word</Application>
  <DocSecurity>0</DocSecurity>
  <Lines>51</Lines>
  <Paragraphs>17</Paragraphs>
  <ScaleCrop>false</ScaleCrop>
  <Company>University of Wales Trinity Saint David</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2</cp:revision>
  <dcterms:created xsi:type="dcterms:W3CDTF">2024-10-25T20:56:00Z</dcterms:created>
  <dcterms:modified xsi:type="dcterms:W3CDTF">2024-10-25T21:05:00Z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71c2aa0d-99ba-4b2f-9423-6528a6b6ab3a</vt:lpwstr>
  </property>
</Properties>
</file>