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DA128" w14:textId="0C868518" w:rsidR="00CC41C0" w:rsidRPr="008D629E" w:rsidRDefault="008D629E" w:rsidP="008D629E">
      <w:pPr>
        <w:jc w:val="center"/>
        <w:rPr>
          <w:rFonts w:ascii="Georgia" w:hAnsi="Georgia"/>
          <w:i/>
          <w:sz w:val="28"/>
          <w:u w:val="single"/>
        </w:rPr>
      </w:pPr>
      <w:r w:rsidRPr="008D629E">
        <w:rPr>
          <w:rFonts w:ascii="Georgia" w:hAnsi="Georgia"/>
          <w:i/>
          <w:sz w:val="28"/>
          <w:u w:val="single"/>
        </w:rPr>
        <w:t xml:space="preserve">To </w:t>
      </w:r>
      <w:r w:rsidR="002A4512" w:rsidRPr="008D629E">
        <w:rPr>
          <w:rFonts w:ascii="Georgia" w:hAnsi="Georgia"/>
          <w:i/>
          <w:sz w:val="28"/>
          <w:u w:val="single"/>
        </w:rPr>
        <w:t>W</w:t>
      </w:r>
      <w:r w:rsidRPr="008D629E">
        <w:rPr>
          <w:rFonts w:ascii="Georgia" w:hAnsi="Georgia"/>
          <w:i/>
          <w:sz w:val="28"/>
          <w:u w:val="single"/>
        </w:rPr>
        <w:t>hat Extent Has DNA Evidence Made Other Forms of Bodily Trace Analysis Obsolete?</w:t>
      </w:r>
    </w:p>
    <w:p w14:paraId="0B6DA129" w14:textId="77777777" w:rsidR="00CC41C0" w:rsidRDefault="00CC41C0"/>
    <w:p w14:paraId="707089A0" w14:textId="5F57839C" w:rsidR="0088086B" w:rsidRPr="00817232" w:rsidRDefault="008D629E">
      <w:r>
        <w:t xml:space="preserve"> DNA was first discovered in the 1950s and in the 80s, it was first used to convict a crime.</w:t>
      </w:r>
      <w:r w:rsidR="0088086B">
        <w:t xml:space="preserve"> </w:t>
      </w:r>
      <w:r w:rsidR="00516594">
        <w:t>DNA includes</w:t>
      </w:r>
      <w:r w:rsidR="0088086B">
        <w:t xml:space="preserve"> 46 chromosomes which an individual receives from their parents. Each parent gives 23 chromosomes to their child thus it is </w:t>
      </w:r>
      <w:r w:rsidR="00516594">
        <w:t>hereditary</w:t>
      </w:r>
      <w:r w:rsidR="0088086B">
        <w:t xml:space="preserve">. DNA contains genetic information that is unique to the </w:t>
      </w:r>
      <w:r w:rsidR="00516594">
        <w:t>individual,</w:t>
      </w:r>
      <w:r w:rsidR="0088086B">
        <w:t xml:space="preserve"> yet the individual’s DNA is also </w:t>
      </w:r>
      <w:proofErr w:type="gramStart"/>
      <w:r w:rsidR="0088086B">
        <w:t>similar to</w:t>
      </w:r>
      <w:proofErr w:type="gramEnd"/>
      <w:r w:rsidR="0088086B">
        <w:t xml:space="preserve"> their parents. DNA tends to hold genetic information such as diseases that can be </w:t>
      </w:r>
      <w:r w:rsidR="00516594">
        <w:t xml:space="preserve">inherited in a family or traits such as hair or eye colour. A nitrogenous base code for DNA includes the letters </w:t>
      </w:r>
      <w:r w:rsidR="00632C3D">
        <w:t>A, T</w:t>
      </w:r>
      <w:r w:rsidR="00516594">
        <w:t>, C, G. or known as Adenine, Thymine, Cytosine, and Guanine. These codes also come in a pair A-T, C-G. The pairs are together due to a hydrogen bond.</w:t>
      </w:r>
      <w:r w:rsidR="00025DCF">
        <w:t xml:space="preserve"> Due to this code, DNA can make haemoproteins such as haemoglobin.</w:t>
      </w:r>
      <w:r w:rsidR="00581B34">
        <w:t xml:space="preserve"> </w:t>
      </w:r>
      <w:r w:rsidR="00817232">
        <w:t xml:space="preserve">So, the human genome are all the genes (which have </w:t>
      </w:r>
      <w:r w:rsidR="00632C3D">
        <w:t>DNA</w:t>
      </w:r>
      <w:r w:rsidR="00817232">
        <w:t xml:space="preserve"> inside them) in the human body which make a person who they are and unique in their own individual way. According the Genome News Network “</w:t>
      </w:r>
      <w:r w:rsidR="00817232">
        <w:rPr>
          <w:sz w:val="21"/>
          <w:szCs w:val="21"/>
          <w:shd w:val="clear" w:color="auto" w:fill="FFFFFF"/>
        </w:rPr>
        <w:t>Every human genome is different because of mutations—"mistakes" that occur occasionally in a DNA sequence</w:t>
      </w:r>
      <w:r w:rsidR="00E77915">
        <w:rPr>
          <w:sz w:val="21"/>
          <w:szCs w:val="21"/>
          <w:shd w:val="clear" w:color="auto" w:fill="FFFFFF"/>
        </w:rPr>
        <w:t>…</w:t>
      </w:r>
      <w:r w:rsidR="00E77915" w:rsidRPr="00E77915">
        <w:rPr>
          <w:sz w:val="21"/>
          <w:szCs w:val="21"/>
          <w:shd w:val="clear" w:color="auto" w:fill="FFFFFF"/>
        </w:rPr>
        <w:t xml:space="preserve"> </w:t>
      </w:r>
      <w:r w:rsidR="00E77915">
        <w:rPr>
          <w:sz w:val="21"/>
          <w:szCs w:val="21"/>
          <w:shd w:val="clear" w:color="auto" w:fill="FFFFFF"/>
        </w:rPr>
        <w:t>Your genome contains about 100 "new" mutations—changes that occurred as your parents' bodies made the egg and sperm cells that became you. These genome variations are uniquely yours</w:t>
      </w:r>
      <w:r w:rsidR="001024DC">
        <w:rPr>
          <w:sz w:val="21"/>
          <w:szCs w:val="21"/>
          <w:shd w:val="clear" w:color="auto" w:fill="FFFFFF"/>
        </w:rPr>
        <w:t>.”</w:t>
      </w:r>
      <w:r w:rsidR="00E77915">
        <w:rPr>
          <w:sz w:val="21"/>
          <w:szCs w:val="21"/>
          <w:shd w:val="clear" w:color="auto" w:fill="FFFFFF"/>
        </w:rPr>
        <w:t xml:space="preserve"> (2003).</w:t>
      </w:r>
      <w:r w:rsidR="00632C3D">
        <w:rPr>
          <w:sz w:val="21"/>
          <w:szCs w:val="21"/>
          <w:shd w:val="clear" w:color="auto" w:fill="FFFFFF"/>
        </w:rPr>
        <w:t xml:space="preserve"> Thus, due to the unique structure of the of the base codes, and the genes and proteins created, there’s no identical human genome sequence unless you are a monozygotic twin, then you are most definitely going to share the DNA of your other identical sibling. </w:t>
      </w:r>
    </w:p>
    <w:p w14:paraId="0418D752" w14:textId="77777777" w:rsidR="00817232" w:rsidRDefault="00817232"/>
    <w:p w14:paraId="0B6DA12A" w14:textId="66D12323" w:rsidR="00CC41C0" w:rsidRDefault="008D629E">
      <w:r>
        <w:t xml:space="preserve"> In 1984, DNA profiling was first developed by Alec </w:t>
      </w:r>
      <w:proofErr w:type="spellStart"/>
      <w:r>
        <w:t>Jefferys</w:t>
      </w:r>
      <w:proofErr w:type="spellEnd"/>
      <w:r>
        <w:t xml:space="preserve">. The following year in the UK, this form of profiling was used by Metropolitan Police which then led a suspect being cleared and the right individual being convicted. The use of DNA was implemented </w:t>
      </w:r>
      <w:proofErr w:type="gramStart"/>
      <w:r>
        <w:t>in order to</w:t>
      </w:r>
      <w:proofErr w:type="gramEnd"/>
      <w:r>
        <w:t xml:space="preserve"> identify paternity using RFLP DNA testing. “RFLP testing extracts DNA from blood samples and generates DNA profiles for all tested persons. The profiles are then compared to see if there is a match between parents and child(</w:t>
      </w:r>
      <w:proofErr w:type="spellStart"/>
      <w:r>
        <w:t>ren</w:t>
      </w:r>
      <w:proofErr w:type="spellEnd"/>
      <w:r>
        <w:t xml:space="preserve">)” (Immigration DNA Testing Resources:2018). From DNA testing, scientists found a way to match DNA obtained from crime scenes to the offender. The first DNA database </w:t>
      </w:r>
      <w:r w:rsidR="001024DC">
        <w:t>occurred</w:t>
      </w:r>
      <w:r>
        <w:t xml:space="preserve"> in the United Kingdom in 1995 and it was the first of its kind in the world.</w:t>
      </w:r>
    </w:p>
    <w:p w14:paraId="0B6DA12B" w14:textId="77777777" w:rsidR="00CC41C0" w:rsidRDefault="00CC41C0"/>
    <w:p w14:paraId="0B6DA12C" w14:textId="7AAB195A" w:rsidR="00CC41C0" w:rsidRDefault="001024DC">
      <w:r>
        <w:t>So, what</w:t>
      </w:r>
      <w:r w:rsidR="008D629E">
        <w:t xml:space="preserve"> came before DNA and how has the use of DNA become the fastest and most reliable form of evidence to lead to a crime or overturn a conviction? The first notable method that was used to catch criminals or narrow down the suspect pool was fingerprinting. Fingerprints were first categorized into three patterns, arch, loop and whorl by Sir Francis Galton in his book first published in 1892 titled “Finger Prints”. French anthropologist, Alphonso </w:t>
      </w:r>
      <w:proofErr w:type="spellStart"/>
      <w:r w:rsidR="008D629E">
        <w:t>Betillion</w:t>
      </w:r>
      <w:proofErr w:type="spellEnd"/>
      <w:r w:rsidR="008D629E">
        <w:t xml:space="preserve">, devised his own method of identification known as Anthropometry. Anthropometry is the measurement of body parts </w:t>
      </w:r>
      <w:proofErr w:type="gramStart"/>
      <w:r w:rsidR="008D629E">
        <w:t>in order to</w:t>
      </w:r>
      <w:proofErr w:type="gramEnd"/>
      <w:r w:rsidR="008D629E">
        <w:t xml:space="preserve"> differentiate individuals.</w:t>
      </w:r>
    </w:p>
    <w:p w14:paraId="0B6DA12D" w14:textId="77777777" w:rsidR="00CC41C0" w:rsidRDefault="008D629E">
      <w:r>
        <w:t xml:space="preserve">Fingerprints were first used British courts in the year of 1902. As time passed and reached the 1920s, often finding the cause of a death of an individual was problematic with police officers who were unable to catch criminals or accept bribes to incarcerate the wrong individuals for the personal gain of mobsters. Fast tracking to the 60s-70s were racial tensions had increased in America and often individuals had become victims of discrimination and racial profiling. The use of DNA in the 80s overturned numerous cases where individuals had been convicted of crimes due to hair samples obtained from crime </w:t>
      </w:r>
      <w:r>
        <w:lastRenderedPageBreak/>
        <w:t>scenes. The process of microscopic hair analysis often involved comparing two different samples “This involves evaluating the microscopic characteristics present in the hair samples, evaluating the points for comparison, and determining whether or not a questioned hair can or cannot be excluded as originating from the source of a known sample</w:t>
      </w:r>
      <w:proofErr w:type="gramStart"/>
      <w:r>
        <w:t>.”(</w:t>
      </w:r>
      <w:proofErr w:type="gramEnd"/>
      <w:r>
        <w:t>Oien:2009). This method was used by the FBI for a long period of time but as DNA profiling became more common, hair samples were tested and able to provide a concrete answer, microscopic hair analysis began to seem as an unreliable method thus leading to individuals who were wrongly accused of crimes having their convictions overturned.</w:t>
      </w:r>
    </w:p>
    <w:p w14:paraId="0B6DA12E" w14:textId="77777777" w:rsidR="00CC41C0" w:rsidRDefault="00CC41C0">
      <w:pPr>
        <w:spacing w:after="160" w:line="320" w:lineRule="auto"/>
      </w:pPr>
    </w:p>
    <w:p w14:paraId="0B6DA12F" w14:textId="135B03E1" w:rsidR="00CC41C0" w:rsidRPr="00632C3D" w:rsidRDefault="008D629E">
      <w:pPr>
        <w:spacing w:after="160" w:line="320" w:lineRule="auto"/>
      </w:pPr>
      <w:r>
        <w:t xml:space="preserve">Biometric identification took had two </w:t>
      </w:r>
      <w:r w:rsidR="001024DC">
        <w:t>different</w:t>
      </w:r>
      <w:r>
        <w:t xml:space="preserve"> forms all consisting of DNA. Soft tissue DNA included hair, blood, flesh, roots and bodily fluids including semen whilst the second form of DNA was </w:t>
      </w:r>
      <w:r w:rsidR="001024DC">
        <w:t>mitochondrial</w:t>
      </w:r>
      <w:r>
        <w:t xml:space="preserve"> DNA which included, bones, teeth, nails and hair.</w:t>
      </w:r>
      <w:r w:rsidR="00632C3D">
        <w:t xml:space="preserve"> </w:t>
      </w:r>
    </w:p>
    <w:p w14:paraId="0B6DA130" w14:textId="20938A15" w:rsidR="00CC41C0" w:rsidRDefault="008D629E">
      <w:pPr>
        <w:spacing w:after="160" w:line="320" w:lineRule="auto"/>
        <w:rPr>
          <w:highlight w:val="white"/>
        </w:rPr>
      </w:pPr>
      <w:r>
        <w:t xml:space="preserve">Before DNA became a </w:t>
      </w:r>
      <w:r w:rsidR="001024DC">
        <w:t>reliable</w:t>
      </w:r>
      <w:r>
        <w:t xml:space="preserve"> tool in forensics, the analysis of blood heavily relied on blood types of individuals. The use of blood types was first done so by Paul </w:t>
      </w:r>
      <w:proofErr w:type="spellStart"/>
      <w:r>
        <w:t>Uhelenhuth</w:t>
      </w:r>
      <w:proofErr w:type="spellEnd"/>
      <w:r>
        <w:t xml:space="preserve"> and Karl Landsteiner</w:t>
      </w:r>
      <w:r w:rsidR="009D2536">
        <w:t xml:space="preserve"> </w:t>
      </w:r>
      <w:r>
        <w:t>(Harbison:2016</w:t>
      </w:r>
      <w:r w:rsidR="001024DC">
        <w:t>). The</w:t>
      </w:r>
      <w:r>
        <w:t xml:space="preserve"> use of blood types was helpful but also problematic. In the same article cited above, Harbison stated “</w:t>
      </w:r>
      <w:r>
        <w:rPr>
          <w:highlight w:val="white"/>
        </w:rPr>
        <w:t xml:space="preserve"> if B-type blood was left at the scene of a crime, a scientist could only say that a suspect with O, A, or AB-type blood did not leave the sample, and that the blood could have come from any member of the population with B-type blood, which constituted ten percent of the overall population.” (2016</w:t>
      </w:r>
      <w:r w:rsidR="001024DC">
        <w:rPr>
          <w:highlight w:val="white"/>
        </w:rPr>
        <w:t>). The</w:t>
      </w:r>
      <w:r>
        <w:rPr>
          <w:highlight w:val="white"/>
        </w:rPr>
        <w:t xml:space="preserve"> problem with this method was that it did not truly identify the suspect. In a large city such as London or New </w:t>
      </w:r>
      <w:r w:rsidR="001024DC">
        <w:rPr>
          <w:highlight w:val="white"/>
        </w:rPr>
        <w:t>York, the</w:t>
      </w:r>
      <w:r>
        <w:rPr>
          <w:highlight w:val="white"/>
        </w:rPr>
        <w:t xml:space="preserve"> narrowing down the suspect pool would not lead to the actual conviction of the criminal who conducted the crime but now with DNA not only can you narrow down the individual's blood </w:t>
      </w:r>
      <w:r w:rsidR="001024DC">
        <w:rPr>
          <w:highlight w:val="white"/>
        </w:rPr>
        <w:t>type,</w:t>
      </w:r>
      <w:r>
        <w:rPr>
          <w:highlight w:val="white"/>
        </w:rPr>
        <w:t xml:space="preserve"> but you can identify of the individual </w:t>
      </w:r>
      <w:r w:rsidR="001024DC">
        <w:rPr>
          <w:highlight w:val="white"/>
        </w:rPr>
        <w:t>eliminating</w:t>
      </w:r>
      <w:r>
        <w:rPr>
          <w:highlight w:val="white"/>
        </w:rPr>
        <w:t xml:space="preserve"> them from thousands of other people with the same blood type as them. Modern science has made this easy and fast to catch those who have committed crimes.</w:t>
      </w:r>
    </w:p>
    <w:p w14:paraId="6C4846B5" w14:textId="42461B06" w:rsidR="00CF3522" w:rsidRPr="00CF3522" w:rsidRDefault="00632C3D">
      <w:pPr>
        <w:spacing w:after="160" w:line="320" w:lineRule="auto"/>
      </w:pPr>
      <w:r>
        <w:rPr>
          <w:highlight w:val="white"/>
        </w:rPr>
        <w:t xml:space="preserve">A crime can often </w:t>
      </w:r>
      <w:r w:rsidR="008D629E">
        <w:rPr>
          <w:highlight w:val="white"/>
        </w:rPr>
        <w:t>occur,</w:t>
      </w:r>
      <w:r>
        <w:rPr>
          <w:highlight w:val="white"/>
        </w:rPr>
        <w:t xml:space="preserve"> and a suspect can be caught due to the DNA evidence that was left behind at the crime scene. But things become difficult when there is someone else who looks like the suspect and that is the suspects</w:t>
      </w:r>
      <w:r w:rsidR="00D91BDE">
        <w:rPr>
          <w:highlight w:val="white"/>
        </w:rPr>
        <w:t xml:space="preserve"> identical</w:t>
      </w:r>
      <w:r>
        <w:rPr>
          <w:highlight w:val="white"/>
        </w:rPr>
        <w:t xml:space="preserve"> twin? </w:t>
      </w:r>
      <w:r w:rsidR="00D91BDE">
        <w:rPr>
          <w:highlight w:val="white"/>
        </w:rPr>
        <w:t xml:space="preserve">Before in eras such as the 1950s, it was hard for police to convict criminals who had </w:t>
      </w:r>
      <w:r w:rsidR="008F1470">
        <w:rPr>
          <w:highlight w:val="white"/>
        </w:rPr>
        <w:t>identical</w:t>
      </w:r>
      <w:r w:rsidR="00D91BDE">
        <w:rPr>
          <w:highlight w:val="white"/>
        </w:rPr>
        <w:t xml:space="preserve"> twins due to their methods of bodily trace analysis </w:t>
      </w:r>
      <w:r w:rsidR="008F1470">
        <w:rPr>
          <w:highlight w:val="white"/>
        </w:rPr>
        <w:t xml:space="preserve">such as microscopic hair analysis failed to distinguish which twin was guilty and which was innocent. This was a problem to even continue to confuse police long after DNA was established with a case in 2009 that saw identical twins being removed from death row due to the judge and jury not being able to identify the culprit. As recent as 2015, scientists had a break through which made telling identical twins apart from their DNA simple. Scientist </w:t>
      </w:r>
      <w:r w:rsidR="008D629E">
        <w:rPr>
          <w:highlight w:val="white"/>
        </w:rPr>
        <w:t>have found</w:t>
      </w:r>
      <w:r w:rsidR="008F1470">
        <w:rPr>
          <w:highlight w:val="white"/>
        </w:rPr>
        <w:t xml:space="preserve"> a way to tell twins apart due to a process called High Resolution Melt Curve Analysis which looks at DNA methylation. </w:t>
      </w:r>
      <w:r w:rsidR="00CF3522">
        <w:rPr>
          <w:highlight w:val="white"/>
        </w:rPr>
        <w:t>Dr Graham Williams stated in a press release published by the University of Huddersfield in April 2015 “</w:t>
      </w:r>
      <w:r w:rsidR="00CF3522" w:rsidRPr="00CF3522">
        <w:t xml:space="preserve">Consequently, if one DNA sequence is more methylated than the other, then the melting temperatures of the two samples will differ -- a difference that can be measured, and which will establish the </w:t>
      </w:r>
      <w:r w:rsidR="00CF3522" w:rsidRPr="00CF3522">
        <w:lastRenderedPageBreak/>
        <w:t>difference between two identical twins</w:t>
      </w:r>
      <w:r w:rsidR="00CF3522">
        <w:t xml:space="preserve">” (Hays:2015). With that said, </w:t>
      </w:r>
      <w:r w:rsidR="001024DC">
        <w:t>DNA has</w:t>
      </w:r>
      <w:r w:rsidR="00CF3522">
        <w:t xml:space="preserve"> paved the path for another </w:t>
      </w:r>
      <w:r w:rsidR="008D629E">
        <w:t>in-depth and accurate</w:t>
      </w:r>
      <w:r w:rsidR="00CF3522">
        <w:t xml:space="preserve"> form of bodily trace analysis</w:t>
      </w:r>
      <w:r w:rsidR="008D629E">
        <w:t xml:space="preserve"> in cases where beforehand, it would have been difficult to prove the guilt or the innocence of individuals who might share the same DNA as another. </w:t>
      </w:r>
    </w:p>
    <w:p w14:paraId="0B6DA131" w14:textId="6A797433" w:rsidR="00CC41C0" w:rsidRDefault="008D629E">
      <w:pPr>
        <w:spacing w:after="160" w:line="320" w:lineRule="auto"/>
        <w:rPr>
          <w:highlight w:val="white"/>
        </w:rPr>
      </w:pPr>
      <w:r>
        <w:rPr>
          <w:highlight w:val="white"/>
        </w:rPr>
        <w:t xml:space="preserve">Before modern day forensics, matching soft DNA tissue was difficult for investigators. </w:t>
      </w:r>
      <w:r w:rsidR="004445CD">
        <w:rPr>
          <w:highlight w:val="white"/>
        </w:rPr>
        <w:t>Several</w:t>
      </w:r>
      <w:r>
        <w:rPr>
          <w:highlight w:val="white"/>
        </w:rPr>
        <w:t xml:space="preserve"> cases had tissue found at the scene with no body being present. The most noteworthy case that has confused modern day forensics is of the alleged murder or Cora Crippen at the hands of her husband, Dr Harvey Crippen. The </w:t>
      </w:r>
      <w:r w:rsidR="004445CD">
        <w:rPr>
          <w:highlight w:val="white"/>
        </w:rPr>
        <w:t>filleted</w:t>
      </w:r>
      <w:r>
        <w:rPr>
          <w:highlight w:val="white"/>
        </w:rPr>
        <w:t xml:space="preserve"> torso of unidentified indivudal became the contributing factor that proved the guilt of the Dr as well as his need to runway from law enforcement. The only form of proof that the prosecution could find that identified the remains to belong to Cora was a scar which Mrs. Crippen was known to have due to </w:t>
      </w:r>
      <w:r w:rsidR="004445CD">
        <w:rPr>
          <w:highlight w:val="white"/>
        </w:rPr>
        <w:t>an operation year</w:t>
      </w:r>
      <w:r>
        <w:rPr>
          <w:highlight w:val="white"/>
        </w:rPr>
        <w:t xml:space="preserve"> prior. Other than that, and the Dr’s purchase of a poison and </w:t>
      </w:r>
      <w:r w:rsidR="004445CD">
        <w:rPr>
          <w:highlight w:val="white"/>
        </w:rPr>
        <w:t>his decision</w:t>
      </w:r>
      <w:r>
        <w:rPr>
          <w:highlight w:val="white"/>
        </w:rPr>
        <w:t xml:space="preserve"> to runway, there was no conclusive evidence point that he had </w:t>
      </w:r>
      <w:proofErr w:type="gramStart"/>
      <w:r>
        <w:rPr>
          <w:highlight w:val="white"/>
        </w:rPr>
        <w:t>actually committed</w:t>
      </w:r>
      <w:proofErr w:type="gramEnd"/>
      <w:r>
        <w:rPr>
          <w:highlight w:val="white"/>
        </w:rPr>
        <w:t xml:space="preserve"> the crime. In present day forensics, the tissue that had led to the damnation of </w:t>
      </w:r>
      <w:proofErr w:type="spellStart"/>
      <w:r>
        <w:rPr>
          <w:highlight w:val="white"/>
        </w:rPr>
        <w:t>Dr.</w:t>
      </w:r>
      <w:proofErr w:type="spellEnd"/>
      <w:r>
        <w:rPr>
          <w:highlight w:val="white"/>
        </w:rPr>
        <w:t xml:space="preserve"> Crippen was tested again in hopes to match the DNA of Mrs. Crippen’s living family. “A genealogist found grandnieces of Cora Crippen who would have the same mitochondrial DNA as her, and repeated tests found they were not related to the body in the basement.” (BBC </w:t>
      </w:r>
      <w:r w:rsidR="004445CD" w:rsidRPr="004445CD">
        <w:rPr>
          <w:highlight w:val="white"/>
        </w:rPr>
        <w:t>News:2010</w:t>
      </w:r>
      <w:r w:rsidR="004445CD">
        <w:rPr>
          <w:highlight w:val="white"/>
        </w:rPr>
        <w:t>). The</w:t>
      </w:r>
      <w:r>
        <w:rPr>
          <w:highlight w:val="white"/>
        </w:rPr>
        <w:t xml:space="preserve"> same article stated “to examine the nuclear </w:t>
      </w:r>
      <w:r w:rsidR="004445CD">
        <w:rPr>
          <w:highlight w:val="white"/>
        </w:rPr>
        <w:t>DNA and</w:t>
      </w:r>
      <w:r>
        <w:rPr>
          <w:highlight w:val="white"/>
        </w:rPr>
        <w:t xml:space="preserve"> discovered a Y chromosome. Not only was the body not from Cora Crippen's family, it wasn't even a woman” (BBC News:2010) DNA profiling within the last hundred years has help exonerate individuals of murder so that courts do not have to solely rely on doctors or coroners to fully identify the remains of an individual based on a scar that dozens of other people might have. The inability to test the nuclear DNA and assumption that the flesh belonged to a female should have been dismissed in court if modern forensics existed in 1910. </w:t>
      </w:r>
    </w:p>
    <w:p w14:paraId="0B6DA132" w14:textId="2A77EDFC" w:rsidR="00CC41C0" w:rsidRDefault="008D629E">
      <w:pPr>
        <w:spacing w:after="160" w:line="320" w:lineRule="auto"/>
        <w:rPr>
          <w:highlight w:val="white"/>
        </w:rPr>
      </w:pPr>
      <w:r>
        <w:rPr>
          <w:highlight w:val="white"/>
        </w:rPr>
        <w:t xml:space="preserve">Before the use of DNA profiling, bones were often used to identify the sex of an </w:t>
      </w:r>
      <w:r w:rsidR="004445CD">
        <w:rPr>
          <w:highlight w:val="white"/>
        </w:rPr>
        <w:t>individual’s</w:t>
      </w:r>
      <w:r>
        <w:rPr>
          <w:highlight w:val="white"/>
        </w:rPr>
        <w:t xml:space="preserve"> remains. This often meant that the police had to seek help from forensic Anthropologists. The first time Forensic Anthropology was used to solve a crime was in 1849. Few decades later, in the 1878, Thomas Dwight wrote a paper titled </w:t>
      </w:r>
      <w:r>
        <w:rPr>
          <w:i/>
          <w:highlight w:val="white"/>
        </w:rPr>
        <w:t>The Identification of the Human Skeleton</w:t>
      </w:r>
      <w:r>
        <w:rPr>
          <w:highlight w:val="white"/>
        </w:rPr>
        <w:t xml:space="preserve">. The paper stated the pelvis as the most accurate way of determining the sex of an </w:t>
      </w:r>
      <w:r w:rsidR="004445CD">
        <w:rPr>
          <w:highlight w:val="white"/>
        </w:rPr>
        <w:t>individual’s</w:t>
      </w:r>
      <w:r>
        <w:rPr>
          <w:highlight w:val="white"/>
        </w:rPr>
        <w:t xml:space="preserve"> remains if </w:t>
      </w:r>
      <w:r w:rsidR="004445CD">
        <w:rPr>
          <w:highlight w:val="white"/>
        </w:rPr>
        <w:t>there</w:t>
      </w:r>
      <w:r>
        <w:rPr>
          <w:highlight w:val="white"/>
        </w:rPr>
        <w:t xml:space="preserve"> is not tissue pointing to sex organs “The shape of the female pelvis is essentially a sexual characteristic, and its peculiarities have a secondary influence on some other parts, as for instance the femur…” (Dwight.1878:30) with forensic anthropologists determining the sex of the individual, it makes identification easier. DNA can be extracted from bones and searched through the database to identify the individual or find a close living relative of the individual. Teeth can also be used as form of extraction of DNA but before DNA was around, the identification of individuals would come from dental records but with the advancement of forensic technology, dental records are the main source of identification unless a corpse is badly charred. The first use MTDNA identification was by the </w:t>
      </w:r>
      <w:r>
        <w:rPr>
          <w:highlight w:val="white"/>
        </w:rPr>
        <w:lastRenderedPageBreak/>
        <w:t xml:space="preserve">Genetic Laboratory of Royal Gendarmerie situated in </w:t>
      </w:r>
      <w:r w:rsidR="004445CD">
        <w:rPr>
          <w:highlight w:val="white"/>
        </w:rPr>
        <w:t>Morocco</w:t>
      </w:r>
      <w:r>
        <w:rPr>
          <w:highlight w:val="white"/>
        </w:rPr>
        <w:t>. MTDNA differs from DNA as for it solely comes from the mother and often does not change meaning individuals can trace their maternal lineage. MTDNA was used to determine whether the tissue found in Dr Crippen’s basement belonged to his wife, Cora.</w:t>
      </w:r>
    </w:p>
    <w:p w14:paraId="0B6DA133" w14:textId="33F37867" w:rsidR="00CC41C0" w:rsidRDefault="008D629E">
      <w:pPr>
        <w:spacing w:after="160" w:line="320" w:lineRule="auto"/>
        <w:rPr>
          <w:shd w:val="clear" w:color="auto" w:fill="FEFEFE"/>
        </w:rPr>
      </w:pPr>
      <w:r>
        <w:rPr>
          <w:highlight w:val="white"/>
        </w:rPr>
        <w:t xml:space="preserve">Even though DNA has changed forensics, many people often forget that DNA can also be misleading, DNA found at a crime scene does not always mean that a certain individual matching that profile has committed the crime. In some cases where DNA may be the only thing that can prove someone's guilt can be contaminated in the lab. According to CNN </w:t>
      </w:r>
      <w:r w:rsidR="00285A4F">
        <w:rPr>
          <w:highlight w:val="white"/>
        </w:rPr>
        <w:t>“</w:t>
      </w:r>
      <w:r w:rsidR="00285A4F">
        <w:rPr>
          <w:shd w:val="clear" w:color="auto" w:fill="FEFEFE"/>
        </w:rPr>
        <w:t>[</w:t>
      </w:r>
      <w:r>
        <w:rPr>
          <w:shd w:val="clear" w:color="auto" w:fill="FEFEFE"/>
        </w:rPr>
        <w:t xml:space="preserve">Investigators] they haven't always emphasized to the jury that science can make mistakes, such as DNA contamination in labs or DNA transferred from one crime scene to another.” (Hodge:2017). With hair analysis proven to be unreliable, DNA has on numerous occasions put thousands of criminals behind bars but has due to contamination making the evidence inconclusive, failed DNA profiling at the hands of forensic scientists and police officers has let individuals such as O.J Simpson walk free. </w:t>
      </w:r>
    </w:p>
    <w:p w14:paraId="0B6DA134" w14:textId="32AC5CE4" w:rsidR="00CC41C0" w:rsidRDefault="008D629E">
      <w:pPr>
        <w:spacing w:after="160" w:line="320" w:lineRule="auto"/>
        <w:rPr>
          <w:shd w:val="clear" w:color="auto" w:fill="FEFEFE"/>
        </w:rPr>
      </w:pPr>
      <w:r>
        <w:rPr>
          <w:shd w:val="clear" w:color="auto" w:fill="FEFEFE"/>
        </w:rPr>
        <w:t xml:space="preserve">Even though DNA can be used to catch criminals, it can also exonerate individuals who have been falsely imprisoned such as the case of Gary Dotson in 1977 when he was accused of raping a woman. Dotson was imprisoned based on his blood type and hair from the crime scene which was then matched to him. This was the first documented case that led to an individual's freedom and due to this, an Innocent Project was formed. </w:t>
      </w:r>
      <w:r>
        <w:rPr>
          <w:shd w:val="clear" w:color="auto" w:fill="FEFEFE"/>
        </w:rPr>
        <w:tab/>
      </w:r>
      <w:r>
        <w:rPr>
          <w:shd w:val="clear" w:color="auto" w:fill="FEFEFE"/>
        </w:rPr>
        <w:tab/>
      </w:r>
      <w:r>
        <w:rPr>
          <w:shd w:val="clear" w:color="auto" w:fill="FEFEFE"/>
        </w:rPr>
        <w:tab/>
      </w:r>
      <w:r>
        <w:rPr>
          <w:shd w:val="clear" w:color="auto" w:fill="FEFEFE"/>
        </w:rPr>
        <w:tab/>
        <w:t xml:space="preserve">Eyewitness testimonies used to be reliable and in most </w:t>
      </w:r>
      <w:r w:rsidR="00285A4F">
        <w:rPr>
          <w:shd w:val="clear" w:color="auto" w:fill="FEFEFE"/>
        </w:rPr>
        <w:t>cases, more</w:t>
      </w:r>
      <w:r>
        <w:rPr>
          <w:shd w:val="clear" w:color="auto" w:fill="FEFEFE"/>
        </w:rPr>
        <w:t xml:space="preserve"> reliable than the blood type evidence and can play a hand in sending an innocent person to prison “The majority of innocent people freed by the Innocence Project (more than 50%) were wrongfully convicted due to mistaken eyewitness testimony” (Roymisher:2007) scientist and lawmakers have had to rely on DNA in hopes to prove an individual's innocence even though that person has been seen by a number of others at crime scene which then raises the question, how can people be wrong and the science be correct or is the science wrong and the witnesses are correct? A </w:t>
      </w:r>
      <w:r w:rsidR="00285A4F">
        <w:rPr>
          <w:shd w:val="clear" w:color="auto" w:fill="FEFEFE"/>
        </w:rPr>
        <w:t>line-up</w:t>
      </w:r>
      <w:r>
        <w:rPr>
          <w:shd w:val="clear" w:color="auto" w:fill="FEFEFE"/>
        </w:rPr>
        <w:t xml:space="preserve"> was always used a way for victims or witness to pick out the offender but with witnesses becoming unreliable due to </w:t>
      </w:r>
      <w:proofErr w:type="gramStart"/>
      <w:r>
        <w:rPr>
          <w:shd w:val="clear" w:color="auto" w:fill="FEFEFE"/>
        </w:rPr>
        <w:t>a number of</w:t>
      </w:r>
      <w:proofErr w:type="gramEnd"/>
      <w:r>
        <w:rPr>
          <w:shd w:val="clear" w:color="auto" w:fill="FEFEFE"/>
        </w:rPr>
        <w:t xml:space="preserve"> reasons such as false profiling to send individuals to jail on purpose or a case of misidentification. </w:t>
      </w:r>
    </w:p>
    <w:p w14:paraId="0B6DA135" w14:textId="4C2AD9FC" w:rsidR="00CC41C0" w:rsidRDefault="008D629E">
      <w:pPr>
        <w:spacing w:after="160" w:line="320" w:lineRule="auto"/>
      </w:pPr>
      <w:r>
        <w:rPr>
          <w:shd w:val="clear" w:color="auto" w:fill="FEFEFE"/>
        </w:rPr>
        <w:t xml:space="preserve">In conclusion, years before DNA was an accepted form of bodily trace analysis, the criminal justice system was based on hearsay and unreliable forms of evidence such blood types and hair. Before DNA, it was a difficult to prove that an individual had committed the crimes they were accused of unless they were caught red handed when committing the crime or had other forms of evidence that could point toward their evil doing but on the other hand, in recent cases, DNA has proved be rather delicate meaning it has to the handled correctly in order to minimise the risk of contamination which can lead to wrong convictions or no convictions at all. The use of DNA has given investigators ways of catching unsuspecting criminals who think they might have not left anything </w:t>
      </w:r>
      <w:r w:rsidR="00285A4F">
        <w:rPr>
          <w:shd w:val="clear" w:color="auto" w:fill="FEFEFE"/>
        </w:rPr>
        <w:t>behind,</w:t>
      </w:r>
      <w:r>
        <w:rPr>
          <w:shd w:val="clear" w:color="auto" w:fill="FEFEFE"/>
        </w:rPr>
        <w:t xml:space="preserve"> but DNA can be found in </w:t>
      </w:r>
      <w:r>
        <w:rPr>
          <w:shd w:val="clear" w:color="auto" w:fill="FEFEFE"/>
        </w:rPr>
        <w:lastRenderedPageBreak/>
        <w:t xml:space="preserve">almost every part of the body. From the roots on attached to hair, to the urine left unflushed or sweat left behind on a weapon to even saliva left on a cigarette but that has been thrown 20ft away from the crime scene, DNA profiling has made modern day forensics impenetrable with an international DNA database being put in place in by </w:t>
      </w:r>
      <w:r w:rsidR="00285A4F">
        <w:rPr>
          <w:shd w:val="clear" w:color="auto" w:fill="FEFEFE"/>
        </w:rPr>
        <w:t>Interpol</w:t>
      </w:r>
      <w:r>
        <w:rPr>
          <w:shd w:val="clear" w:color="auto" w:fill="FEFEFE"/>
        </w:rPr>
        <w:t xml:space="preserve"> so that countries can easily share information on wanted or suspected criminals “</w:t>
      </w:r>
      <w:r>
        <w:t>Participating countries actively use the DNA Gateway as a tool in their criminal investigations, and it regularly detects potential links between DNA profiles submitted by member countries.” (Interpool</w:t>
      </w:r>
      <w:r w:rsidR="003416CF">
        <w:t>:2009)</w:t>
      </w:r>
      <w:r w:rsidR="0032406C">
        <w:t>.</w:t>
      </w:r>
      <w:r w:rsidR="002A4512">
        <w:t xml:space="preserve"> This use of sharing DNA amongst countries has made it possible to catch criminals who committed crimes in different borders but never being able to be identified. DNA has not only made it possible for criminals all over the world to be able to face justice. </w:t>
      </w:r>
      <w:r w:rsidR="00EE1066">
        <w:t>DNA has shown a clear and concise result in the legal system, thus making other forms of bodily trace analysis obsolete.</w:t>
      </w:r>
    </w:p>
    <w:p w14:paraId="1DE396A4" w14:textId="3F16D46A" w:rsidR="008D629E" w:rsidRDefault="008D629E">
      <w:pPr>
        <w:spacing w:after="160" w:line="320" w:lineRule="auto"/>
      </w:pPr>
    </w:p>
    <w:p w14:paraId="69DFC13E" w14:textId="48056674" w:rsidR="008D629E" w:rsidRDefault="008D629E">
      <w:pPr>
        <w:spacing w:after="160" w:line="320" w:lineRule="auto"/>
      </w:pPr>
    </w:p>
    <w:p w14:paraId="12383E72" w14:textId="12C047C6" w:rsidR="008D629E" w:rsidRDefault="008D629E">
      <w:pPr>
        <w:spacing w:after="160" w:line="320" w:lineRule="auto"/>
      </w:pPr>
    </w:p>
    <w:p w14:paraId="758E3EC8" w14:textId="6D0B8646" w:rsidR="008D629E" w:rsidRDefault="008D629E">
      <w:pPr>
        <w:spacing w:after="160" w:line="320" w:lineRule="auto"/>
      </w:pPr>
    </w:p>
    <w:p w14:paraId="6E2B22F0" w14:textId="07E8469B" w:rsidR="008D629E" w:rsidRDefault="008D629E">
      <w:pPr>
        <w:spacing w:after="160" w:line="320" w:lineRule="auto"/>
      </w:pPr>
    </w:p>
    <w:p w14:paraId="74E94DB2" w14:textId="35569801" w:rsidR="008D629E" w:rsidRDefault="008D629E">
      <w:pPr>
        <w:spacing w:after="160" w:line="320" w:lineRule="auto"/>
      </w:pPr>
    </w:p>
    <w:p w14:paraId="56123F65" w14:textId="1516E826" w:rsidR="008D629E" w:rsidRDefault="008D629E">
      <w:pPr>
        <w:spacing w:after="160" w:line="320" w:lineRule="auto"/>
      </w:pPr>
    </w:p>
    <w:p w14:paraId="2AD4C735" w14:textId="3FEB0815" w:rsidR="008D629E" w:rsidRDefault="008D629E">
      <w:pPr>
        <w:spacing w:after="160" w:line="320" w:lineRule="auto"/>
      </w:pPr>
    </w:p>
    <w:p w14:paraId="36A1E093" w14:textId="7B314429" w:rsidR="008D629E" w:rsidRDefault="008D629E">
      <w:pPr>
        <w:spacing w:after="160" w:line="320" w:lineRule="auto"/>
      </w:pPr>
    </w:p>
    <w:p w14:paraId="2C10D427" w14:textId="1CA7AE5E" w:rsidR="008D629E" w:rsidRDefault="008D629E">
      <w:pPr>
        <w:spacing w:after="160" w:line="320" w:lineRule="auto"/>
      </w:pPr>
    </w:p>
    <w:p w14:paraId="67D90996" w14:textId="0C51BD9A" w:rsidR="008D629E" w:rsidRDefault="008D629E">
      <w:pPr>
        <w:spacing w:after="160" w:line="320" w:lineRule="auto"/>
      </w:pPr>
    </w:p>
    <w:p w14:paraId="36E364F5" w14:textId="4CA4E4B1" w:rsidR="008D629E" w:rsidRDefault="008D629E">
      <w:pPr>
        <w:spacing w:after="160" w:line="320" w:lineRule="auto"/>
      </w:pPr>
    </w:p>
    <w:p w14:paraId="6CE64466" w14:textId="58DADEAF" w:rsidR="008D629E" w:rsidRDefault="008D629E">
      <w:pPr>
        <w:spacing w:after="160" w:line="320" w:lineRule="auto"/>
      </w:pPr>
    </w:p>
    <w:p w14:paraId="5F9DD37D" w14:textId="44C73C2D" w:rsidR="008D629E" w:rsidRDefault="008D629E">
      <w:pPr>
        <w:spacing w:after="160" w:line="320" w:lineRule="auto"/>
      </w:pPr>
    </w:p>
    <w:p w14:paraId="2A5C550E" w14:textId="3337B13C" w:rsidR="008D629E" w:rsidRDefault="008D629E">
      <w:pPr>
        <w:spacing w:after="160" w:line="320" w:lineRule="auto"/>
      </w:pPr>
    </w:p>
    <w:p w14:paraId="7A9718A5" w14:textId="11996795" w:rsidR="008D629E" w:rsidRDefault="008D629E">
      <w:pPr>
        <w:spacing w:after="160" w:line="320" w:lineRule="auto"/>
      </w:pPr>
    </w:p>
    <w:p w14:paraId="6F5F0915" w14:textId="669C045B" w:rsidR="008D629E" w:rsidRDefault="008D629E">
      <w:pPr>
        <w:spacing w:after="160" w:line="320" w:lineRule="auto"/>
      </w:pPr>
    </w:p>
    <w:p w14:paraId="0A60171D" w14:textId="77777777" w:rsidR="008D629E" w:rsidRDefault="008D629E">
      <w:pPr>
        <w:spacing w:after="160" w:line="320" w:lineRule="auto"/>
      </w:pPr>
    </w:p>
    <w:p w14:paraId="7860BBAB" w14:textId="77777777" w:rsidR="008D629E" w:rsidRDefault="008D629E">
      <w:pPr>
        <w:spacing w:after="160" w:line="320" w:lineRule="auto"/>
      </w:pPr>
      <w:r>
        <w:lastRenderedPageBreak/>
        <w:t>References</w:t>
      </w:r>
    </w:p>
    <w:p w14:paraId="4B91B822" w14:textId="3259C78B" w:rsidR="008D629E" w:rsidRDefault="008D629E" w:rsidP="008D629E">
      <w:pPr>
        <w:pStyle w:val="NormalWeb"/>
        <w:spacing w:before="0" w:beforeAutospacing="0" w:after="0" w:afterAutospacing="0"/>
      </w:pPr>
      <w:r>
        <w:rPr>
          <w:rFonts w:ascii="Verdana" w:hAnsi="Verdana"/>
          <w:color w:val="000000"/>
          <w:sz w:val="20"/>
          <w:szCs w:val="20"/>
        </w:rPr>
        <w:t xml:space="preserve">Dwight, </w:t>
      </w:r>
      <w:r w:rsidR="00285A4F">
        <w:rPr>
          <w:rFonts w:ascii="Verdana" w:hAnsi="Verdana"/>
          <w:color w:val="000000"/>
          <w:sz w:val="20"/>
          <w:szCs w:val="20"/>
        </w:rPr>
        <w:t>T.</w:t>
      </w:r>
      <w:bookmarkStart w:id="0" w:name="_GoBack"/>
      <w:bookmarkEnd w:id="0"/>
      <w:r>
        <w:rPr>
          <w:rFonts w:ascii="Verdana" w:hAnsi="Verdana"/>
          <w:color w:val="000000"/>
          <w:sz w:val="20"/>
          <w:szCs w:val="20"/>
        </w:rPr>
        <w:t xml:space="preserve"> (1878). The Sex. In: </w:t>
      </w:r>
      <w:r>
        <w:rPr>
          <w:rFonts w:ascii="Verdana" w:hAnsi="Verdana"/>
          <w:i/>
          <w:iCs/>
          <w:color w:val="000000"/>
          <w:sz w:val="20"/>
          <w:szCs w:val="20"/>
        </w:rPr>
        <w:t>THE IDENTIFICATION HUMAN SKELETON A MED/CO -LEGAL STUDY.</w:t>
      </w:r>
      <w:r>
        <w:rPr>
          <w:rFonts w:ascii="Verdana" w:hAnsi="Verdana"/>
          <w:color w:val="000000"/>
          <w:sz w:val="20"/>
          <w:szCs w:val="20"/>
        </w:rPr>
        <w:t xml:space="preserve"> Boston: David Clapp &amp; Son, Printers. 30.</w:t>
      </w:r>
    </w:p>
    <w:p w14:paraId="4B289E18" w14:textId="77777777" w:rsidR="008D629E" w:rsidRDefault="008D629E">
      <w:pPr>
        <w:spacing w:after="160" w:line="320" w:lineRule="auto"/>
      </w:pPr>
    </w:p>
    <w:p w14:paraId="68532224" w14:textId="426CFED6" w:rsidR="008D629E" w:rsidRDefault="008D629E">
      <w:pPr>
        <w:spacing w:after="160" w:line="320" w:lineRule="auto"/>
        <w:rPr>
          <w:rFonts w:ascii="Verdana" w:hAnsi="Verdana"/>
          <w:sz w:val="20"/>
          <w:szCs w:val="20"/>
        </w:rPr>
      </w:pPr>
      <w:r>
        <w:rPr>
          <w:rFonts w:ascii="Verdana" w:hAnsi="Verdana"/>
          <w:sz w:val="20"/>
          <w:szCs w:val="20"/>
        </w:rPr>
        <w:t xml:space="preserve">Genome News Network. (2003). </w:t>
      </w:r>
      <w:r>
        <w:rPr>
          <w:rFonts w:ascii="Verdana" w:hAnsi="Verdana"/>
          <w:i/>
          <w:iCs/>
          <w:sz w:val="20"/>
          <w:szCs w:val="20"/>
        </w:rPr>
        <w:t>GENOME VARIATIONS.</w:t>
      </w:r>
      <w:r>
        <w:rPr>
          <w:rFonts w:ascii="Verdana" w:hAnsi="Verdana"/>
          <w:sz w:val="20"/>
          <w:szCs w:val="20"/>
        </w:rPr>
        <w:t xml:space="preserve"> Available: http://www.genomenewsnetwork.org/resources/whats_a_genome/Chp4_1.shtml. Last accessed 1st March 2018.</w:t>
      </w:r>
    </w:p>
    <w:p w14:paraId="384065EF" w14:textId="10FB782B" w:rsidR="008D629E" w:rsidRDefault="008D629E" w:rsidP="008D629E">
      <w:pPr>
        <w:pStyle w:val="NormalWeb"/>
        <w:spacing w:before="0" w:beforeAutospacing="0" w:after="0" w:afterAutospacing="0"/>
      </w:pPr>
      <w:r>
        <w:rPr>
          <w:rFonts w:ascii="Verdana" w:hAnsi="Verdana"/>
          <w:color w:val="000000"/>
          <w:sz w:val="20"/>
          <w:szCs w:val="20"/>
        </w:rPr>
        <w:t xml:space="preserve">Harbison. (2016-06-02). </w:t>
      </w:r>
      <w:r>
        <w:rPr>
          <w:rFonts w:ascii="Verdana" w:hAnsi="Verdana"/>
          <w:i/>
          <w:iCs/>
          <w:color w:val="000000"/>
          <w:sz w:val="20"/>
          <w:szCs w:val="20"/>
        </w:rPr>
        <w:t>ABO Blood Type Identification and Forensic Science.</w:t>
      </w:r>
      <w:r>
        <w:rPr>
          <w:rFonts w:ascii="Verdana" w:hAnsi="Verdana"/>
          <w:color w:val="000000"/>
          <w:sz w:val="20"/>
          <w:szCs w:val="20"/>
        </w:rPr>
        <w:t xml:space="preserve"> Available: https://embryo.asu.edu/pages/abo-blood-type-identification-and-forensic-science-1900-1960. Last accessed 3rd March 2018.</w:t>
      </w:r>
    </w:p>
    <w:p w14:paraId="19936675" w14:textId="77777777" w:rsidR="008D629E" w:rsidRDefault="008D629E" w:rsidP="008D629E">
      <w:pPr>
        <w:pStyle w:val="NormalWeb"/>
        <w:spacing w:before="0" w:beforeAutospacing="0" w:after="0" w:afterAutospacing="0"/>
      </w:pPr>
      <w:r>
        <w:rPr>
          <w:rFonts w:ascii="Verdana" w:hAnsi="Verdana"/>
          <w:color w:val="000000"/>
          <w:sz w:val="20"/>
          <w:szCs w:val="20"/>
        </w:rPr>
        <w:t>Bbc.co.uk</w:t>
      </w:r>
    </w:p>
    <w:p w14:paraId="6A792D62" w14:textId="77777777" w:rsidR="008D629E" w:rsidRDefault="008D629E">
      <w:pPr>
        <w:spacing w:after="160" w:line="320" w:lineRule="auto"/>
        <w:rPr>
          <w:rFonts w:ascii="Verdana" w:hAnsi="Verdana"/>
          <w:sz w:val="20"/>
          <w:szCs w:val="20"/>
        </w:rPr>
      </w:pPr>
    </w:p>
    <w:p w14:paraId="285818B7" w14:textId="61D07526" w:rsidR="008D629E" w:rsidRDefault="008D629E" w:rsidP="008D629E">
      <w:pPr>
        <w:pStyle w:val="NormalWeb"/>
        <w:spacing w:before="0" w:beforeAutospacing="0" w:after="0" w:afterAutospacing="0"/>
        <w:rPr>
          <w:rFonts w:ascii="Verdana" w:hAnsi="Verdana"/>
          <w:color w:val="000000"/>
          <w:sz w:val="20"/>
          <w:szCs w:val="20"/>
        </w:rPr>
      </w:pPr>
      <w:r>
        <w:rPr>
          <w:rFonts w:ascii="Verdana" w:hAnsi="Verdana"/>
          <w:color w:val="000000"/>
          <w:sz w:val="20"/>
          <w:szCs w:val="20"/>
        </w:rPr>
        <w:t xml:space="preserve">Hays, B. (cited Williams, G. 2015). </w:t>
      </w:r>
      <w:r w:rsidR="00285A4F">
        <w:rPr>
          <w:rFonts w:ascii="Verdana" w:hAnsi="Verdana"/>
          <w:color w:val="000000"/>
          <w:sz w:val="20"/>
          <w:szCs w:val="20"/>
        </w:rPr>
        <w:t>(April</w:t>
      </w:r>
      <w:r>
        <w:rPr>
          <w:rFonts w:ascii="Verdana" w:hAnsi="Verdana"/>
          <w:color w:val="000000"/>
          <w:sz w:val="20"/>
          <w:szCs w:val="20"/>
        </w:rPr>
        <w:t xml:space="preserve"> 23, 2015). </w:t>
      </w:r>
      <w:r>
        <w:rPr>
          <w:rFonts w:ascii="Verdana" w:hAnsi="Verdana"/>
          <w:i/>
          <w:iCs/>
          <w:color w:val="000000"/>
          <w:sz w:val="20"/>
          <w:szCs w:val="20"/>
        </w:rPr>
        <w:t>Crime science: Separating the DNA of identical twins.</w:t>
      </w:r>
      <w:r>
        <w:rPr>
          <w:rFonts w:ascii="Verdana" w:hAnsi="Verdana"/>
          <w:color w:val="000000"/>
          <w:sz w:val="20"/>
          <w:szCs w:val="20"/>
        </w:rPr>
        <w:t xml:space="preserve"> Available: https://www.upi.com/Science_News/2015/04/23/Crime-science-Separating-the-DNA-of-identical-twins/2131429801430. Last accessed 6th March 2018.</w:t>
      </w:r>
    </w:p>
    <w:p w14:paraId="75F654D3" w14:textId="77777777" w:rsidR="008D629E" w:rsidRDefault="008D629E" w:rsidP="008D629E">
      <w:pPr>
        <w:pStyle w:val="NormalWeb"/>
        <w:spacing w:before="0" w:beforeAutospacing="0" w:after="0" w:afterAutospacing="0"/>
      </w:pPr>
    </w:p>
    <w:p w14:paraId="72A5979A" w14:textId="3CA20D2D" w:rsidR="008D629E" w:rsidRDefault="008D629E">
      <w:pPr>
        <w:spacing w:after="160" w:line="320" w:lineRule="auto"/>
        <w:rPr>
          <w:rFonts w:ascii="Verdana" w:hAnsi="Verdana"/>
          <w:sz w:val="20"/>
          <w:szCs w:val="20"/>
        </w:rPr>
      </w:pPr>
      <w:proofErr w:type="spellStart"/>
      <w:proofErr w:type="gramStart"/>
      <w:r>
        <w:rPr>
          <w:rFonts w:ascii="Verdana" w:hAnsi="Verdana"/>
          <w:sz w:val="20"/>
          <w:szCs w:val="20"/>
        </w:rPr>
        <w:t>Hodge,C</w:t>
      </w:r>
      <w:proofErr w:type="spellEnd"/>
      <w:r>
        <w:rPr>
          <w:rFonts w:ascii="Verdana" w:hAnsi="Verdana"/>
          <w:sz w:val="20"/>
          <w:szCs w:val="20"/>
        </w:rPr>
        <w:t>.</w:t>
      </w:r>
      <w:proofErr w:type="gramEnd"/>
      <w:r>
        <w:rPr>
          <w:rFonts w:ascii="Verdana" w:hAnsi="Verdana"/>
          <w:sz w:val="20"/>
          <w:szCs w:val="20"/>
        </w:rPr>
        <w:t xml:space="preserve"> (June 2017). </w:t>
      </w:r>
      <w:r>
        <w:rPr>
          <w:rFonts w:ascii="Verdana" w:hAnsi="Verdana"/>
          <w:i/>
          <w:iCs/>
          <w:sz w:val="20"/>
          <w:szCs w:val="20"/>
        </w:rPr>
        <w:t xml:space="preserve">The shifting science of DNA in the </w:t>
      </w:r>
      <w:r w:rsidR="00285A4F">
        <w:rPr>
          <w:rFonts w:ascii="Verdana" w:hAnsi="Verdana"/>
          <w:i/>
          <w:iCs/>
          <w:sz w:val="20"/>
          <w:szCs w:val="20"/>
        </w:rPr>
        <w:t>courtroom.</w:t>
      </w:r>
      <w:r w:rsidR="00285A4F">
        <w:rPr>
          <w:rFonts w:ascii="Verdana" w:hAnsi="Verdana"/>
          <w:sz w:val="20"/>
          <w:szCs w:val="20"/>
        </w:rPr>
        <w:t xml:space="preserve"> Available</w:t>
      </w:r>
      <w:r>
        <w:rPr>
          <w:rFonts w:ascii="Verdana" w:hAnsi="Verdana"/>
          <w:sz w:val="20"/>
          <w:szCs w:val="20"/>
        </w:rPr>
        <w:t>: https://edition.cnn.com/2017/06/09/health/dna-technology-forensic-evidence/index.html. Last accessed 5th March.</w:t>
      </w:r>
    </w:p>
    <w:p w14:paraId="3D34A2A7" w14:textId="4A050237" w:rsidR="008D629E" w:rsidRDefault="008D629E">
      <w:pPr>
        <w:spacing w:after="160" w:line="320" w:lineRule="auto"/>
        <w:rPr>
          <w:rFonts w:ascii="Verdana" w:hAnsi="Verdana"/>
          <w:sz w:val="20"/>
          <w:szCs w:val="20"/>
        </w:rPr>
      </w:pPr>
      <w:r>
        <w:rPr>
          <w:rFonts w:ascii="Verdana" w:hAnsi="Verdana"/>
          <w:sz w:val="20"/>
          <w:szCs w:val="20"/>
        </w:rPr>
        <w:t xml:space="preserve">Immigration DNA Testing </w:t>
      </w:r>
      <w:r w:rsidR="00285A4F">
        <w:rPr>
          <w:rFonts w:ascii="Verdana" w:hAnsi="Verdana"/>
          <w:sz w:val="20"/>
          <w:szCs w:val="20"/>
        </w:rPr>
        <w:t>Resources.</w:t>
      </w:r>
      <w:r>
        <w:rPr>
          <w:rFonts w:ascii="Verdana" w:hAnsi="Verdana"/>
          <w:sz w:val="20"/>
          <w:szCs w:val="20"/>
        </w:rPr>
        <w:t xml:space="preserve"> (2018). </w:t>
      </w:r>
      <w:r>
        <w:rPr>
          <w:rFonts w:ascii="Verdana" w:hAnsi="Verdana"/>
          <w:i/>
          <w:iCs/>
          <w:sz w:val="20"/>
          <w:szCs w:val="20"/>
        </w:rPr>
        <w:t>History of Paternity Testing.</w:t>
      </w:r>
      <w:r>
        <w:rPr>
          <w:rFonts w:ascii="Verdana" w:hAnsi="Verdana"/>
          <w:sz w:val="20"/>
          <w:szCs w:val="20"/>
        </w:rPr>
        <w:t xml:space="preserve"> Available: http://usimmigrationdnatesting.com/Html/Index.ashx?history-of-paternity-test. Last accessed 3rd March 2018.</w:t>
      </w:r>
    </w:p>
    <w:p w14:paraId="2E6761B6" w14:textId="77777777" w:rsidR="008D629E" w:rsidRDefault="008D629E" w:rsidP="008D629E">
      <w:pPr>
        <w:pStyle w:val="NormalWeb"/>
        <w:spacing w:before="0" w:beforeAutospacing="0" w:after="0" w:afterAutospacing="0"/>
      </w:pPr>
      <w:r>
        <w:rPr>
          <w:rFonts w:ascii="Verdana" w:hAnsi="Verdana"/>
          <w:color w:val="000000"/>
          <w:sz w:val="20"/>
          <w:szCs w:val="20"/>
        </w:rPr>
        <w:t xml:space="preserve">Interpol. (2009). </w:t>
      </w:r>
      <w:r>
        <w:rPr>
          <w:rFonts w:ascii="Verdana" w:hAnsi="Verdana"/>
          <w:i/>
          <w:iCs/>
          <w:color w:val="000000"/>
          <w:sz w:val="20"/>
          <w:szCs w:val="20"/>
        </w:rPr>
        <w:t>INTERPOL’s DNA database.</w:t>
      </w:r>
      <w:r>
        <w:rPr>
          <w:rFonts w:ascii="Verdana" w:hAnsi="Verdana"/>
          <w:color w:val="000000"/>
          <w:sz w:val="20"/>
          <w:szCs w:val="20"/>
        </w:rPr>
        <w:t xml:space="preserve"> Available: https://www.interpol.int/INTERPOL-expertise/Forensics/DNA. Last accessed 6th March 2018.</w:t>
      </w:r>
    </w:p>
    <w:p w14:paraId="20B35D9A" w14:textId="77777777" w:rsidR="008D629E" w:rsidRDefault="008D629E">
      <w:pPr>
        <w:spacing w:after="160" w:line="320" w:lineRule="auto"/>
        <w:rPr>
          <w:rFonts w:ascii="Verdana" w:hAnsi="Verdana"/>
          <w:sz w:val="20"/>
          <w:szCs w:val="20"/>
        </w:rPr>
      </w:pPr>
    </w:p>
    <w:p w14:paraId="5D0FC320" w14:textId="29CC6109" w:rsidR="008D629E" w:rsidRDefault="008D629E">
      <w:pPr>
        <w:spacing w:after="160" w:line="320" w:lineRule="auto"/>
        <w:rPr>
          <w:rFonts w:ascii="Verdana" w:hAnsi="Verdana"/>
          <w:sz w:val="20"/>
          <w:szCs w:val="20"/>
        </w:rPr>
      </w:pPr>
      <w:proofErr w:type="spellStart"/>
      <w:r>
        <w:rPr>
          <w:rFonts w:ascii="Verdana" w:hAnsi="Verdana"/>
          <w:sz w:val="20"/>
          <w:szCs w:val="20"/>
        </w:rPr>
        <w:t>Oien</w:t>
      </w:r>
      <w:proofErr w:type="spellEnd"/>
      <w:r>
        <w:rPr>
          <w:rFonts w:ascii="Verdana" w:hAnsi="Verdana"/>
          <w:sz w:val="20"/>
          <w:szCs w:val="20"/>
        </w:rPr>
        <w:t xml:space="preserve">, </w:t>
      </w:r>
      <w:proofErr w:type="gramStart"/>
      <w:r>
        <w:rPr>
          <w:rFonts w:ascii="Verdana" w:hAnsi="Verdana"/>
          <w:sz w:val="20"/>
          <w:szCs w:val="20"/>
        </w:rPr>
        <w:t>T.C..</w:t>
      </w:r>
      <w:proofErr w:type="gramEnd"/>
      <w:r>
        <w:rPr>
          <w:rFonts w:ascii="Verdana" w:hAnsi="Verdana"/>
          <w:sz w:val="20"/>
          <w:szCs w:val="20"/>
        </w:rPr>
        <w:t xml:space="preserve"> (April 2009). </w:t>
      </w:r>
      <w:r>
        <w:rPr>
          <w:rFonts w:ascii="Verdana" w:hAnsi="Verdana"/>
          <w:i/>
          <w:iCs/>
          <w:sz w:val="20"/>
          <w:szCs w:val="20"/>
        </w:rPr>
        <w:t>Forensic Hair Comparison: Background Information for Interpretation.</w:t>
      </w:r>
      <w:r>
        <w:rPr>
          <w:rFonts w:ascii="Verdana" w:hAnsi="Verdana"/>
          <w:sz w:val="20"/>
          <w:szCs w:val="20"/>
        </w:rPr>
        <w:t xml:space="preserve"> Available: https://archives.fbi.gov/archives/about-us/lab/forensic-science-communications/fsc/april2009/review/2009_04_review02.htm. Last accessed 3rd March 2018.</w:t>
      </w:r>
    </w:p>
    <w:p w14:paraId="32519777" w14:textId="68B15D9E" w:rsidR="008D629E" w:rsidRDefault="008D629E" w:rsidP="008D629E">
      <w:pPr>
        <w:pStyle w:val="NormalWeb"/>
        <w:spacing w:before="0" w:beforeAutospacing="0" w:after="0" w:afterAutospacing="0"/>
      </w:pPr>
      <w:proofErr w:type="spellStart"/>
      <w:r>
        <w:rPr>
          <w:rFonts w:ascii="Verdana" w:hAnsi="Verdana"/>
          <w:color w:val="000000"/>
          <w:sz w:val="20"/>
          <w:szCs w:val="20"/>
        </w:rPr>
        <w:t>Roymisher</w:t>
      </w:r>
      <w:proofErr w:type="spellEnd"/>
      <w:r>
        <w:rPr>
          <w:rFonts w:ascii="Verdana" w:hAnsi="Verdana"/>
          <w:color w:val="000000"/>
          <w:sz w:val="20"/>
          <w:szCs w:val="20"/>
        </w:rPr>
        <w:t xml:space="preserve">, Y. (2007). </w:t>
      </w:r>
      <w:r>
        <w:rPr>
          <w:rFonts w:ascii="Verdana" w:hAnsi="Verdana"/>
          <w:i/>
          <w:iCs/>
          <w:color w:val="000000"/>
          <w:sz w:val="20"/>
          <w:szCs w:val="20"/>
        </w:rPr>
        <w:t>The Absence of Justice in the United States Criminal Justice System.</w:t>
      </w:r>
      <w:r>
        <w:rPr>
          <w:rFonts w:ascii="Verdana" w:hAnsi="Verdana"/>
          <w:color w:val="000000"/>
          <w:sz w:val="20"/>
          <w:szCs w:val="20"/>
        </w:rPr>
        <w:t xml:space="preserve"> Available: https://digitalcommons.pace.edu/cgi/viewcontent.cgi?referer=https://edition.cnn.com/2017/06/09/health/dna-technology-forensic-evidence/index.html&amp;httpsredir=1&amp;article=1065&amp;context=honorscollege_theses. Last accessed 5th March.</w:t>
      </w:r>
    </w:p>
    <w:p w14:paraId="5263A695" w14:textId="4F387F50" w:rsidR="008D629E" w:rsidRPr="003416CF" w:rsidRDefault="008D629E">
      <w:pPr>
        <w:spacing w:after="160" w:line="320" w:lineRule="auto"/>
      </w:pPr>
    </w:p>
    <w:sectPr w:rsidR="008D629E" w:rsidRPr="003416CF" w:rsidSect="008D629E">
      <w:headerReference w:type="default" r:id="rId6"/>
      <w:footerReference w:type="default" r:id="rId7"/>
      <w:pgSz w:w="11909" w:h="16834"/>
      <w:pgMar w:top="1440" w:right="1440" w:bottom="1440" w:left="1440" w:header="0" w:footer="720" w:gutter="0"/>
      <w:pgBorders w:offsetFrom="page">
        <w:top w:val="double" w:sz="6" w:space="24" w:color="17365D" w:themeColor="text2" w:themeShade="BF"/>
        <w:left w:val="double" w:sz="6" w:space="24" w:color="17365D" w:themeColor="text2" w:themeShade="BF"/>
        <w:bottom w:val="double" w:sz="6" w:space="24" w:color="17365D" w:themeColor="text2" w:themeShade="BF"/>
        <w:right w:val="double" w:sz="6" w:space="24" w:color="17365D" w:themeColor="text2" w:themeShade="BF"/>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D66AC" w14:textId="77777777" w:rsidR="002A4512" w:rsidRDefault="002A4512" w:rsidP="002A4512">
      <w:pPr>
        <w:spacing w:line="240" w:lineRule="auto"/>
      </w:pPr>
      <w:r>
        <w:separator/>
      </w:r>
    </w:p>
  </w:endnote>
  <w:endnote w:type="continuationSeparator" w:id="0">
    <w:p w14:paraId="24CBF0A0" w14:textId="77777777" w:rsidR="002A4512" w:rsidRDefault="002A4512" w:rsidP="002A45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9444602"/>
      <w:docPartObj>
        <w:docPartGallery w:val="Page Numbers (Bottom of Page)"/>
        <w:docPartUnique/>
      </w:docPartObj>
    </w:sdtPr>
    <w:sdtEndPr>
      <w:rPr>
        <w:noProof/>
      </w:rPr>
    </w:sdtEndPr>
    <w:sdtContent>
      <w:p w14:paraId="1BBE3AB9" w14:textId="052D1BAB" w:rsidR="008D629E" w:rsidRDefault="008D629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5B945B0" w14:textId="77777777" w:rsidR="008D629E" w:rsidRDefault="008D6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40BC8" w14:textId="77777777" w:rsidR="002A4512" w:rsidRDefault="002A4512" w:rsidP="002A4512">
      <w:pPr>
        <w:spacing w:line="240" w:lineRule="auto"/>
      </w:pPr>
      <w:r>
        <w:separator/>
      </w:r>
    </w:p>
  </w:footnote>
  <w:footnote w:type="continuationSeparator" w:id="0">
    <w:p w14:paraId="6BEFC23B" w14:textId="77777777" w:rsidR="002A4512" w:rsidRDefault="002A4512" w:rsidP="002A45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3FE06F" w14:textId="5D656B92" w:rsidR="002A4512" w:rsidRDefault="002A4512">
    <w:pPr>
      <w:pStyle w:val="Header"/>
    </w:pPr>
  </w:p>
  <w:p w14:paraId="0AF2005D" w14:textId="77777777" w:rsidR="00EE1066" w:rsidRDefault="00EE1066">
    <w:pPr>
      <w:pStyle w:val="Header"/>
    </w:pPr>
  </w:p>
  <w:p w14:paraId="296E1939" w14:textId="77777777" w:rsidR="00EE1066" w:rsidRDefault="00EE1066">
    <w:pPr>
      <w:pStyle w:val="Header"/>
    </w:pPr>
  </w:p>
  <w:p w14:paraId="16DC9BD4" w14:textId="01049FAB" w:rsidR="002A4512" w:rsidRDefault="002A4512">
    <w:pPr>
      <w:pStyle w:val="Header"/>
    </w:pPr>
    <w:r>
      <w:t xml:space="preserve">Andile Ngulube </w:t>
    </w:r>
  </w:p>
  <w:p w14:paraId="3048FF0E" w14:textId="454FCAB2" w:rsidR="002A4512" w:rsidRDefault="002A4512">
    <w:pPr>
      <w:pStyle w:val="Header"/>
    </w:pPr>
    <w:r>
      <w:t xml:space="preserve">University of Wales Trinity Saint David </w:t>
    </w:r>
  </w:p>
  <w:p w14:paraId="211FDB9E" w14:textId="7FCA58BA" w:rsidR="002A4512" w:rsidRDefault="002A4512">
    <w:pPr>
      <w:pStyle w:val="Header"/>
    </w:pPr>
    <w:r>
      <w:t>1600218</w:t>
    </w:r>
  </w:p>
  <w:p w14:paraId="10BAC5AE" w14:textId="77777777" w:rsidR="00EE1066" w:rsidRDefault="00EE1066">
    <w:pPr>
      <w:pStyle w:val="Header"/>
    </w:pPr>
  </w:p>
  <w:p w14:paraId="52F5B24C" w14:textId="77777777" w:rsidR="002A4512" w:rsidRPr="002A4512" w:rsidRDefault="002A45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1C0"/>
    <w:rsid w:val="00025DCF"/>
    <w:rsid w:val="001024DC"/>
    <w:rsid w:val="00285A4F"/>
    <w:rsid w:val="002A4512"/>
    <w:rsid w:val="0032406C"/>
    <w:rsid w:val="003416CF"/>
    <w:rsid w:val="004445CD"/>
    <w:rsid w:val="00516594"/>
    <w:rsid w:val="00581B34"/>
    <w:rsid w:val="00632C3D"/>
    <w:rsid w:val="00817232"/>
    <w:rsid w:val="0088086B"/>
    <w:rsid w:val="008D629E"/>
    <w:rsid w:val="008F1470"/>
    <w:rsid w:val="009D2536"/>
    <w:rsid w:val="00CC41C0"/>
    <w:rsid w:val="00CF3522"/>
    <w:rsid w:val="00D91BDE"/>
    <w:rsid w:val="00E77915"/>
    <w:rsid w:val="00EE1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A128"/>
  <w15:docId w15:val="{44E6821F-6374-49E7-916D-6DF58AD4A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A4512"/>
    <w:pPr>
      <w:tabs>
        <w:tab w:val="center" w:pos="4513"/>
        <w:tab w:val="right" w:pos="9026"/>
      </w:tabs>
      <w:spacing w:line="240" w:lineRule="auto"/>
    </w:pPr>
  </w:style>
  <w:style w:type="character" w:customStyle="1" w:styleId="HeaderChar">
    <w:name w:val="Header Char"/>
    <w:basedOn w:val="DefaultParagraphFont"/>
    <w:link w:val="Header"/>
    <w:uiPriority w:val="99"/>
    <w:rsid w:val="002A4512"/>
  </w:style>
  <w:style w:type="paragraph" w:styleId="Footer">
    <w:name w:val="footer"/>
    <w:basedOn w:val="Normal"/>
    <w:link w:val="FooterChar"/>
    <w:uiPriority w:val="99"/>
    <w:unhideWhenUsed/>
    <w:rsid w:val="002A4512"/>
    <w:pPr>
      <w:tabs>
        <w:tab w:val="center" w:pos="4513"/>
        <w:tab w:val="right" w:pos="9026"/>
      </w:tabs>
      <w:spacing w:line="240" w:lineRule="auto"/>
    </w:pPr>
  </w:style>
  <w:style w:type="character" w:customStyle="1" w:styleId="FooterChar">
    <w:name w:val="Footer Char"/>
    <w:basedOn w:val="DefaultParagraphFont"/>
    <w:link w:val="Footer"/>
    <w:uiPriority w:val="99"/>
    <w:rsid w:val="002A4512"/>
  </w:style>
  <w:style w:type="paragraph" w:styleId="NormalWeb">
    <w:name w:val="Normal (Web)"/>
    <w:basedOn w:val="Normal"/>
    <w:uiPriority w:val="99"/>
    <w:unhideWhenUsed/>
    <w:rsid w:val="008D629E"/>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4445CD"/>
    <w:rPr>
      <w:color w:val="0000FF" w:themeColor="hyperlink"/>
      <w:u w:val="single"/>
    </w:rPr>
  </w:style>
  <w:style w:type="character" w:styleId="UnresolvedMention">
    <w:name w:val="Unresolved Mention"/>
    <w:basedOn w:val="DefaultParagraphFont"/>
    <w:uiPriority w:val="99"/>
    <w:semiHidden/>
    <w:unhideWhenUsed/>
    <w:rsid w:val="004445C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653161">
      <w:bodyDiv w:val="1"/>
      <w:marLeft w:val="0"/>
      <w:marRight w:val="0"/>
      <w:marTop w:val="0"/>
      <w:marBottom w:val="0"/>
      <w:divBdr>
        <w:top w:val="none" w:sz="0" w:space="0" w:color="auto"/>
        <w:left w:val="none" w:sz="0" w:space="0" w:color="auto"/>
        <w:bottom w:val="none" w:sz="0" w:space="0" w:color="auto"/>
        <w:right w:val="none" w:sz="0" w:space="0" w:color="auto"/>
      </w:divBdr>
    </w:div>
    <w:div w:id="1090393158">
      <w:bodyDiv w:val="1"/>
      <w:marLeft w:val="0"/>
      <w:marRight w:val="0"/>
      <w:marTop w:val="0"/>
      <w:marBottom w:val="0"/>
      <w:divBdr>
        <w:top w:val="none" w:sz="0" w:space="0" w:color="auto"/>
        <w:left w:val="none" w:sz="0" w:space="0" w:color="auto"/>
        <w:bottom w:val="none" w:sz="0" w:space="0" w:color="auto"/>
        <w:right w:val="none" w:sz="0" w:space="0" w:color="auto"/>
      </w:divBdr>
    </w:div>
    <w:div w:id="1487895313">
      <w:bodyDiv w:val="1"/>
      <w:marLeft w:val="0"/>
      <w:marRight w:val="0"/>
      <w:marTop w:val="0"/>
      <w:marBottom w:val="0"/>
      <w:divBdr>
        <w:top w:val="none" w:sz="0" w:space="0" w:color="auto"/>
        <w:left w:val="none" w:sz="0" w:space="0" w:color="auto"/>
        <w:bottom w:val="none" w:sz="0" w:space="0" w:color="auto"/>
        <w:right w:val="none" w:sz="0" w:space="0" w:color="auto"/>
      </w:divBdr>
    </w:div>
    <w:div w:id="1538004683">
      <w:bodyDiv w:val="1"/>
      <w:marLeft w:val="0"/>
      <w:marRight w:val="0"/>
      <w:marTop w:val="0"/>
      <w:marBottom w:val="0"/>
      <w:divBdr>
        <w:top w:val="none" w:sz="0" w:space="0" w:color="auto"/>
        <w:left w:val="none" w:sz="0" w:space="0" w:color="auto"/>
        <w:bottom w:val="none" w:sz="0" w:space="0" w:color="auto"/>
        <w:right w:val="none" w:sz="0" w:space="0" w:color="auto"/>
      </w:divBdr>
    </w:div>
    <w:div w:id="17080197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2457</Words>
  <Characters>14006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Andile Ngulube</dc:creator>
  <cp:lastModifiedBy>Andile Ngulube</cp:lastModifiedBy>
  <cp:revision>2</cp:revision>
  <dcterms:created xsi:type="dcterms:W3CDTF">2018-03-10T23:20:00Z</dcterms:created>
  <dcterms:modified xsi:type="dcterms:W3CDTF">2018-03-10T23:20:00Z</dcterms:modified>
</cp:coreProperties>
</file>