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27F2" w:rsidRDefault="00DA27F2" w:rsidP="00DA27F2">
      <w:pPr>
        <w:jc w:val="center"/>
        <w:rPr>
          <w:b/>
          <w:sz w:val="36"/>
          <w:szCs w:val="36"/>
        </w:rPr>
      </w:pPr>
    </w:p>
    <w:p w:rsidR="00DA27F2" w:rsidRDefault="00DA27F2" w:rsidP="00DA27F2">
      <w:pPr>
        <w:jc w:val="center"/>
        <w:rPr>
          <w:b/>
          <w:sz w:val="36"/>
          <w:szCs w:val="36"/>
        </w:rPr>
      </w:pPr>
    </w:p>
    <w:p w:rsidR="00DA27F2" w:rsidRDefault="00DA27F2" w:rsidP="00DA27F2">
      <w:pPr>
        <w:jc w:val="center"/>
        <w:rPr>
          <w:b/>
          <w:sz w:val="36"/>
          <w:szCs w:val="36"/>
        </w:rPr>
      </w:pPr>
    </w:p>
    <w:p w:rsidR="00DA27F2" w:rsidRPr="00DA27F2" w:rsidRDefault="00DA27F2" w:rsidP="00DA27F2">
      <w:pPr>
        <w:jc w:val="center"/>
        <w:rPr>
          <w:b/>
          <w:sz w:val="44"/>
          <w:szCs w:val="44"/>
        </w:rPr>
      </w:pPr>
      <w:r w:rsidRPr="00DA27F2">
        <w:rPr>
          <w:b/>
          <w:sz w:val="44"/>
          <w:szCs w:val="44"/>
        </w:rPr>
        <w:t>Human Resource Management</w:t>
      </w:r>
    </w:p>
    <w:p w:rsidR="00DA27F2" w:rsidRDefault="00DA27F2" w:rsidP="00DA27F2">
      <w:pPr>
        <w:jc w:val="center"/>
        <w:rPr>
          <w:sz w:val="36"/>
          <w:szCs w:val="36"/>
        </w:rPr>
      </w:pPr>
      <w:r w:rsidRPr="00DA27F2">
        <w:rPr>
          <w:sz w:val="36"/>
          <w:szCs w:val="36"/>
        </w:rPr>
        <w:t>Assessment 1</w:t>
      </w:r>
    </w:p>
    <w:p w:rsidR="00DA27F2" w:rsidRDefault="00DA27F2" w:rsidP="00DA27F2">
      <w:pPr>
        <w:jc w:val="center"/>
        <w:rPr>
          <w:sz w:val="36"/>
          <w:szCs w:val="36"/>
        </w:rPr>
      </w:pPr>
    </w:p>
    <w:p w:rsidR="00DA27F2" w:rsidRDefault="00DA27F2" w:rsidP="00DA27F2">
      <w:pPr>
        <w:jc w:val="center"/>
        <w:rPr>
          <w:sz w:val="36"/>
          <w:szCs w:val="36"/>
        </w:rPr>
      </w:pPr>
    </w:p>
    <w:p w:rsidR="00DA27F2" w:rsidRDefault="00DA27F2" w:rsidP="00DA27F2">
      <w:pPr>
        <w:rPr>
          <w:sz w:val="36"/>
          <w:szCs w:val="36"/>
        </w:rPr>
      </w:pPr>
    </w:p>
    <w:p w:rsidR="00DA27F2" w:rsidRDefault="00DA27F2" w:rsidP="00DA27F2">
      <w:pPr>
        <w:rPr>
          <w:sz w:val="36"/>
          <w:szCs w:val="36"/>
        </w:rPr>
      </w:pPr>
      <w:r>
        <w:rPr>
          <w:sz w:val="36"/>
          <w:szCs w:val="36"/>
        </w:rPr>
        <w:t>Student: Tsvetomir Georgiev</w:t>
      </w:r>
    </w:p>
    <w:p w:rsidR="00DA27F2" w:rsidRDefault="00DA27F2" w:rsidP="00DA27F2">
      <w:pPr>
        <w:rPr>
          <w:sz w:val="36"/>
          <w:szCs w:val="36"/>
        </w:rPr>
      </w:pPr>
      <w:r>
        <w:rPr>
          <w:sz w:val="36"/>
          <w:szCs w:val="36"/>
        </w:rPr>
        <w:t>Student ID: 2124036</w:t>
      </w:r>
    </w:p>
    <w:p w:rsidR="00DA27F2" w:rsidRDefault="00DA27F2" w:rsidP="00DA27F2">
      <w:pPr>
        <w:rPr>
          <w:sz w:val="36"/>
          <w:szCs w:val="36"/>
        </w:rPr>
      </w:pPr>
    </w:p>
    <w:p w:rsidR="00DA27F2" w:rsidRDefault="00DA27F2" w:rsidP="00DA27F2">
      <w:pPr>
        <w:rPr>
          <w:sz w:val="36"/>
          <w:szCs w:val="36"/>
        </w:rPr>
      </w:pPr>
    </w:p>
    <w:p w:rsidR="00DA27F2" w:rsidRDefault="00DA27F2" w:rsidP="00DA27F2">
      <w:pPr>
        <w:rPr>
          <w:sz w:val="36"/>
          <w:szCs w:val="36"/>
        </w:rPr>
      </w:pPr>
    </w:p>
    <w:p w:rsidR="00DA27F2" w:rsidRDefault="00DA27F2" w:rsidP="00DA27F2">
      <w:pPr>
        <w:rPr>
          <w:sz w:val="36"/>
          <w:szCs w:val="36"/>
        </w:rPr>
      </w:pPr>
    </w:p>
    <w:p w:rsidR="00DA27F2" w:rsidRDefault="00DA27F2" w:rsidP="00DA27F2">
      <w:pPr>
        <w:rPr>
          <w:sz w:val="36"/>
          <w:szCs w:val="36"/>
        </w:rPr>
      </w:pPr>
    </w:p>
    <w:p w:rsidR="00DA27F2" w:rsidRDefault="00DA27F2" w:rsidP="00DA27F2">
      <w:pPr>
        <w:rPr>
          <w:sz w:val="36"/>
          <w:szCs w:val="36"/>
        </w:rPr>
      </w:pPr>
    </w:p>
    <w:p w:rsidR="00DA27F2" w:rsidRDefault="00DA27F2" w:rsidP="00DA27F2">
      <w:pPr>
        <w:rPr>
          <w:sz w:val="36"/>
          <w:szCs w:val="36"/>
        </w:rPr>
      </w:pPr>
    </w:p>
    <w:p w:rsidR="00DA27F2" w:rsidRDefault="00DA27F2" w:rsidP="00DA27F2">
      <w:pPr>
        <w:rPr>
          <w:sz w:val="36"/>
          <w:szCs w:val="36"/>
        </w:rPr>
      </w:pPr>
    </w:p>
    <w:p w:rsidR="00DA27F2" w:rsidRDefault="00DA27F2" w:rsidP="00DA27F2">
      <w:pPr>
        <w:rPr>
          <w:sz w:val="36"/>
          <w:szCs w:val="36"/>
        </w:rPr>
      </w:pPr>
    </w:p>
    <w:p w:rsidR="00DA27F2" w:rsidRDefault="00DA27F2" w:rsidP="00DA27F2">
      <w:pPr>
        <w:rPr>
          <w:sz w:val="36"/>
          <w:szCs w:val="36"/>
        </w:rPr>
      </w:pPr>
    </w:p>
    <w:p w:rsidR="00DA27F2" w:rsidRDefault="00DA27F2" w:rsidP="00DA27F2">
      <w:pPr>
        <w:rPr>
          <w:sz w:val="36"/>
          <w:szCs w:val="36"/>
        </w:rPr>
      </w:pPr>
    </w:p>
    <w:p w:rsidR="00DA27F2" w:rsidRDefault="00DA27F2" w:rsidP="00DA27F2">
      <w:pPr>
        <w:rPr>
          <w:sz w:val="36"/>
          <w:szCs w:val="36"/>
        </w:rPr>
      </w:pPr>
    </w:p>
    <w:p w:rsidR="00DA27F2" w:rsidRPr="00C00D2C" w:rsidRDefault="00DA27F2" w:rsidP="00C00D2C">
      <w:pPr>
        <w:pStyle w:val="ListParagraph"/>
        <w:numPr>
          <w:ilvl w:val="0"/>
          <w:numId w:val="5"/>
        </w:numPr>
        <w:rPr>
          <w:b/>
          <w:sz w:val="36"/>
          <w:szCs w:val="36"/>
        </w:rPr>
      </w:pPr>
      <w:r w:rsidRPr="00C00D2C">
        <w:rPr>
          <w:b/>
          <w:sz w:val="36"/>
          <w:szCs w:val="36"/>
        </w:rPr>
        <w:lastRenderedPageBreak/>
        <w:t xml:space="preserve">Introduction </w:t>
      </w:r>
    </w:p>
    <w:p w:rsidR="00DA27F2" w:rsidRDefault="00DA27F2" w:rsidP="00DA27F2">
      <w:r w:rsidRPr="00DA27F2">
        <w:t>The Covid-19 pandemic</w:t>
      </w:r>
      <w:r w:rsidR="006069C7">
        <w:t xml:space="preserve"> and</w:t>
      </w:r>
      <w:r w:rsidRPr="00DA27F2">
        <w:t xml:space="preserve"> Britain's exit from the European Union changed the entire landscape in the country. Lots of people lost their jobs and the ones that kept them are learning how to adapt in a new world. People management needs to be more adaptable and responsive in light of the current circumstances.</w:t>
      </w:r>
    </w:p>
    <w:p w:rsidR="006069C7" w:rsidRPr="00DA27F2" w:rsidRDefault="006069C7" w:rsidP="00DA27F2"/>
    <w:p w:rsidR="00113AAD" w:rsidRPr="00C00D2C" w:rsidRDefault="00113AAD" w:rsidP="00C00D2C">
      <w:pPr>
        <w:pStyle w:val="ListParagraph"/>
        <w:numPr>
          <w:ilvl w:val="0"/>
          <w:numId w:val="5"/>
        </w:numPr>
        <w:rPr>
          <w:b/>
          <w:sz w:val="36"/>
          <w:szCs w:val="36"/>
        </w:rPr>
      </w:pPr>
      <w:r w:rsidRPr="00C00D2C">
        <w:rPr>
          <w:b/>
          <w:sz w:val="36"/>
          <w:szCs w:val="36"/>
        </w:rPr>
        <w:t>Emerging changes in the labou</w:t>
      </w:r>
      <w:r w:rsidR="009F6F45" w:rsidRPr="00C00D2C">
        <w:rPr>
          <w:b/>
          <w:sz w:val="36"/>
          <w:szCs w:val="36"/>
        </w:rPr>
        <w:t>r market in post Covid/</w:t>
      </w:r>
      <w:r w:rsidRPr="00C00D2C">
        <w:rPr>
          <w:b/>
          <w:sz w:val="36"/>
          <w:szCs w:val="36"/>
        </w:rPr>
        <w:t xml:space="preserve">Brexit Britain </w:t>
      </w:r>
    </w:p>
    <w:p w:rsidR="006069C7" w:rsidRDefault="006069C7" w:rsidP="006069C7">
      <w:r>
        <w:t>While Britain's withdrawal from the European Union has been a reality since the 2016 referendum, the separation agreement went into effect on January 31, 2020. Because of the prolonged time horizon and the danger that some of the potential consequences of COVID-19 might be conflated with Brexit, the ramifications of the withdrawal from the European Union have taken some time to trickle through into individuals' working lives. While Brexit is still understudied in the literature, recent work suggests that future research may seek to better capture the lived experience of migration using surveys, interviews, and ethnographic accounts of migrants' experiences (Breschi et al., 2020).</w:t>
      </w:r>
    </w:p>
    <w:p w:rsidR="006069C7" w:rsidRDefault="006069C7" w:rsidP="006069C7">
      <w:r>
        <w:t>One of the most obvious measures as a result of Brexit is the United Kingdom's new immigration system. EU nationals' free movement will end in January 2021, and foreigners intending to live or work in the UK would need to apply for a visa under a new set of criteria. The new arrangement is the culmination of years of debate about what should replace free movement. EU nationals were overrepresented in low-wage jobs, but non-EU people were ineligible for visas under free movement since they could work in any position without meeting skill standards (Sumption, 2017). Following the implementation of measures aimed at lowering net migration beginning in 2010, rules targeting non-EU employees grew increasingly restrictive over time. Prior to the implementation of the post-Brexit immigration system, non-EU citizens who wished to work in the UK could only get employer-sponsored work visas if they expected to work in graduate jobs paying at least £30,000. (with some exceptions, e.g. for nurses). As a result, there was a substantial divergence in the potential roles of EU and non-EU labour migration in the labour market, with a restrictive policy for non-EU persons and a liberal approach for EU individuals. As a result, one of the most important questions that the government had to address when developing a new system was which jobs would be open to migrants on work visas under the new system, which was no longer constrained by EU membership. The United Kingdom's withdrawal from the European Union has also affected decisions to work in the United Kingdom, which may explain the country's substantial gap in payroll. When Brexit took effect in January 2020, the UK employed 25.7 million people. The statistics show that the introduction of both Brexit and the coronavirus harmed the UK's employment market the most compared to its competitors, with a steady decline from this point until April 2021. In contrast to UK employees, non-EU workers have the highest percentages of self-employment and company ownership in the world, showing that they were not reliant on large businesses to exist and work.</w:t>
      </w:r>
    </w:p>
    <w:p w:rsidR="006069C7" w:rsidRDefault="006069C7" w:rsidP="006069C7">
      <w:r>
        <w:t xml:space="preserve">Since the early 1980s, economic inequality in developed countries has grown significantly, reaching previously unheard-of amounts today (A. B. Atkinson, 2015). Over the previous two decades, the pace of immigration to the United Kingdom has consistently increased. Despite attempts by the British media to demonise migrants from Central and Eastern Europe or Turkey, data from publications show that the bulk of immigrants come from Commonwealth countries (Glazar and </w:t>
      </w:r>
      <w:r>
        <w:lastRenderedPageBreak/>
        <w:t>Strielkowski, 2010;</w:t>
      </w:r>
      <w:r>
        <w:t xml:space="preserve"> Strielkowski and Weyskrabova, 2014). The case of migration from Central and Eastern Europe is unique in that the region is characterised by low productivity and a variety of social, economic, and administrative burdens, which drive many people to migrate to more prosperous and prosperous countries (Janda et al., 2013; Strielkowski and</w:t>
      </w:r>
      <w:r w:rsidR="00B629BE">
        <w:t xml:space="preserve"> </w:t>
      </w:r>
      <w:r w:rsidR="00B629BE" w:rsidRPr="00B629BE">
        <w:t>Č</w:t>
      </w:r>
      <w:r>
        <w:t>ábelková, 2015). Since 1995, the number of immigrants in the United Kingdom has quadrupled, rising from 0.9 million to 3.3 million (Strielkowski et al., 2016). According to the Social Market Foundation, just 12% of EU migrants will be able to migrate to the UK after Brexit. Restrictions aimed at lowering the number of migrants will almost probably increase illegal immigration. As a result, the demand for social services and other necessary services such as hospitals and schools would increase. Increased reliance on the country's resources would result in an economic downturn.</w:t>
      </w:r>
    </w:p>
    <w:p w:rsidR="006069C7" w:rsidRDefault="006069C7" w:rsidP="006069C7">
      <w:r>
        <w:t>Despite the fact that the implications of Brexit are projected to be quite unequal, they do not appear to be reliably linked to existing gaps among workers or geographical areas. Certain components, however, may be in bad condition. Areas that have already been impacted by Brexit and are struggling, particularly those with significant industrial employment, may make the task of 'levelling up' that much more difficult. The areas to the left of the track are more difficult. Some of the largest cities were particularly hard hit by the calamity. The Covid-19 pandemic might be worsened as a result of Brexit, especially as a large percentage of their workforce is still employed in export-intensive manufacturing companies.</w:t>
      </w:r>
    </w:p>
    <w:p w:rsidR="009F6F45" w:rsidRDefault="006069C7" w:rsidP="006069C7">
      <w:r>
        <w:t>During the early stages of the pandemic, the World Health Organization pushed governments to limit the spread of COVID19 by rigorous testing, tracking, and quarantine procedures to prevent the virus from spreading further. Because of the rapid spread of COVID-19, this advice was unable to be implemented as rapidly as it should have been. Following the "stay-at-home" rule, the United Kingdom prohibited all but essential social and economic activity outside the house. Unemployment increased, as did home-work, and some workers were placed on short-term job programmes or got government help while on leave. In this circumstance, there were significant distinctions between individuals who lost their employment and income and others who continued to work from home and were paid as normal. These imbalances are clearly shaped by the adoption of workforce strategy ideas reflected by flexible business and HR architecture models. By the end of April 2020, around 17% of employees in the United Kingdom will have been laid off. Adams-Prasslet and colleagues (2020).</w:t>
      </w:r>
    </w:p>
    <w:p w:rsidR="009F6F45" w:rsidRDefault="009F6F45" w:rsidP="009F6F45"/>
    <w:p w:rsidR="00113AAD" w:rsidRPr="00C00D2C" w:rsidRDefault="00113AAD" w:rsidP="00C00D2C">
      <w:pPr>
        <w:pStyle w:val="ListParagraph"/>
        <w:numPr>
          <w:ilvl w:val="0"/>
          <w:numId w:val="5"/>
        </w:numPr>
        <w:rPr>
          <w:b/>
          <w:sz w:val="36"/>
          <w:szCs w:val="36"/>
        </w:rPr>
      </w:pPr>
      <w:r w:rsidRPr="00C00D2C">
        <w:rPr>
          <w:b/>
          <w:sz w:val="36"/>
          <w:szCs w:val="36"/>
        </w:rPr>
        <w:t xml:space="preserve">Changes needed in human resources strategies </w:t>
      </w:r>
    </w:p>
    <w:p w:rsidR="006069C7" w:rsidRDefault="006069C7" w:rsidP="006069C7">
      <w:r>
        <w:t>One of the management methods examined in several scholarly fora is the critical role of human resource management (HRM) in crisis settings. Over the last two decades, HRM has moved from its traditional role in labour management to a more strategic one that recognises people as assets that contribute to company sustainability and organisational strength, especially during lengthy downturns (Avey et al., 2008; Bustinza et al., 2019; Naznin &amp; Hussain, 2016; Pfeffer, 1995).</w:t>
      </w:r>
    </w:p>
    <w:p w:rsidR="006069C7" w:rsidRDefault="006069C7" w:rsidP="006069C7">
      <w:r>
        <w:t>HRM can give companies with two important contributions in the event of a crisis: operational skills to manage crises and interventions to improve collective and individual organisational performance that improve crisis responses (Hillyard, 2000; Wang et al., 2009).</w:t>
      </w:r>
    </w:p>
    <w:p w:rsidR="006069C7" w:rsidRDefault="006069C7" w:rsidP="006069C7">
      <w:r>
        <w:t xml:space="preserve">Businesses are increasingly embracing the concept of skills-based hiring, which involves defining specific skills and competency requirements for a job rather than relying solely on a candidate's credentials. By developing educational routes for particular sectors and job categories, skills-based </w:t>
      </w:r>
      <w:r>
        <w:lastRenderedPageBreak/>
        <w:t>recruiting not only broadens the prospective talent pool, but it also gives internal employees better visibility into their own career mobility. Because of the pandemic, there is a shift in how workers maintain their productivity and dedication, especially when teams are separated - some working totally or partially from home, while others remain in the office. In order to get a real image of the employee experience, HR specialists must consider three key factors that impact the company: How much do employees think they are important to the company and that their well-being is protected? The loyalty of co</w:t>
      </w:r>
      <w:r w:rsidR="007E3968">
        <w:t>-</w:t>
      </w:r>
      <w:r>
        <w:t>workers is a top priority. Which strategies are employed to foster cross-departmental collaboration and staff knowledge exchange? Leaders that are resilient are more crucial than ever before. Support for leaders and managers is required at all levels of the organisation, including personal, team, and organisational levels. HR specialists may assist by identifying management skill shortages and building coalitions amongst leaders to share knowledge and experience and profit from each other's expertise. According to the study, employees who work from home are 3.5 times more likely than those who work in an office to cooperate with numerous teams. Leaders must improve their abilities in a variety of areas, including crisis management, finding and delivering resources to their teams, and establishing team partnerships so that more knowledge and skills can be shared.</w:t>
      </w:r>
    </w:p>
    <w:p w:rsidR="006069C7" w:rsidRDefault="006069C7" w:rsidP="006069C7">
      <w:r>
        <w:t>While there is already substantial debate concerning the influence of Covid-19 on working practises and HRM, most of the content and commentary on these themes is of a broad nature, presenting observations and/or suggestions that aims to define what a "new normal" may be. Working from home, for example, will become more common, and working styles will become more flexible. While this may be true, because Covid-19 is a worldwide epidemic, we must understand how it impacts working habits, well-being, and HRM in a variety of scenarios. Many improvements will almost certainly be universal across countries, but given institutional disparities, we should expect regional variations.</w:t>
      </w:r>
    </w:p>
    <w:p w:rsidR="006069C7" w:rsidRDefault="006069C7" w:rsidP="006069C7">
      <w:r>
        <w:t>Covid-19 has had a negative impact on the majority of businesses, but it has had a positive influence on particular industries and sectors. Despite some claims to the contrary, many respondents from the fields of healthcare and social assistance, government administration, banking and insurance, and mining said the impact was positive. As predicted, the majority of workers have moved to remote work, but most firms have avoided making employment obsolete by attempting to retain employees without relying on government subsidies. In certain areas, fresh hiring has occurred, whereas in the majority of businesses, hiring freezes have been enacted.</w:t>
      </w:r>
    </w:p>
    <w:p w:rsidR="006069C7" w:rsidRDefault="006069C7" w:rsidP="006069C7">
      <w:r>
        <w:t>While many analysts predict that remote working will become more popular in the future, data to date contradicts this. Organizations are reviewing the performance of remote working on a daily basis, as one might expect, but few have committed to long-term remote working. It demonstrates that businesses are still unsure about how remote working impacts performance and productivity, which is expected given that the majority of employees are doing it for the first time. Organizations are obviously discussing the issue, and there is no clear consensus on whether remote working will continue when the epidemic is over.</w:t>
      </w:r>
    </w:p>
    <w:p w:rsidR="006069C7" w:rsidRDefault="006069C7" w:rsidP="006069C7">
      <w:r>
        <w:t>People management must become more flexible and responsive as a result of the new scenario, according to the general view. We must emphasise the distinction between context-specific compliance (for example, the need of complying with changing legal situations) and compliance with internal policies and procedures that may be ignored to enable more agility and flexibility. In all national situations where employment-related rules may be ignored or bypassed, this balancing act will not be important.</w:t>
      </w:r>
    </w:p>
    <w:p w:rsidR="006069C7" w:rsidRDefault="006069C7" w:rsidP="006069C7">
      <w:r>
        <w:lastRenderedPageBreak/>
        <w:t>HR specialists' roles and talents have become increasingly important in many organisations as they attempt to implement swift and successful changes. It is also clear that employee well-being and safety are critical considerations. The change to remote working is not for everyone, and there are worries about psychological well-being and safety. There are certainly a lot of factors at play here. People may react differently to the demands of remote work, but the home environment will also play a role in deciding well-being and safety, such as in terms of spatial arrangements and family duties. These aspects of employee happiness involve the use of new and diverse HR talents inside organisations.</w:t>
      </w:r>
    </w:p>
    <w:p w:rsidR="006069C7" w:rsidRDefault="006069C7" w:rsidP="006069C7">
      <w:r>
        <w:t>Employee desire to work together in making changes, as well as with human resource professionals and departments, and employee ability to be flexible and adaptable; compliance with essential modifications to safety measures; and a willingness to learn and upskill fast are just a few examples. Some organisations have been able to effectively handle fast change as a result of such positive behaviours. Supervisors have had trouble implementing remote working because they feel it negatively impacts performance, which leads to micromanagement, according to respondents. Micromanagement is commonly used as a cover for managers' lack of faith in their employees once they are "invisible," thus HR consultants must be proficient at advising managers on how to appropriately supervise the performance of a remote workforce. Because supervisors who lack faith in their workers in the office will not suddenly generate it when their employees work remotely, the problem of trust is clearly critical. Given the significance of trust (and justice) in effective management and employee performance, micromanaging supervisors are bound to see a decrease in productivity. These are difficulties that, in the long run, need to be handled by organisations in a larger framework.</w:t>
      </w:r>
    </w:p>
    <w:p w:rsidR="009F6F45" w:rsidRDefault="006069C7" w:rsidP="006069C7">
      <w:r>
        <w:t>In addition to their physical health, employees' mental health must be considered. Positive psychology, which emphasises employee happiness, must be incorporated in order for an organisation to be resilient (Hall et al., 2017; Khan et al., 2019). Through resilience-oriented conversations, managers may better understand their workers' psychological states, such as worry, despair, and dread, while also demonstrating that management cares about their well-being as a consequence of their efforts (Cooper et al., 2013). Employees are also given the authority to provide feedback on company adjustments that they feel may assist in the crisis management from their individual operational perspectives.</w:t>
      </w:r>
    </w:p>
    <w:p w:rsidR="007E3968" w:rsidRDefault="007E3968" w:rsidP="006069C7">
      <w:bookmarkStart w:id="0" w:name="_GoBack"/>
      <w:bookmarkEnd w:id="0"/>
    </w:p>
    <w:p w:rsidR="00113AAD" w:rsidRPr="00C00D2C" w:rsidRDefault="00113AAD" w:rsidP="00C00D2C">
      <w:pPr>
        <w:pStyle w:val="ListParagraph"/>
        <w:numPr>
          <w:ilvl w:val="0"/>
          <w:numId w:val="5"/>
        </w:numPr>
        <w:rPr>
          <w:b/>
          <w:sz w:val="36"/>
          <w:szCs w:val="36"/>
        </w:rPr>
      </w:pPr>
      <w:r w:rsidRPr="00C00D2C">
        <w:rPr>
          <w:b/>
          <w:sz w:val="36"/>
          <w:szCs w:val="36"/>
        </w:rPr>
        <w:t xml:space="preserve">Conclusion </w:t>
      </w:r>
    </w:p>
    <w:p w:rsidR="00113AAD" w:rsidRDefault="00113AAD" w:rsidP="00113AAD">
      <w:r w:rsidRPr="00113AAD">
        <w:t>HR professionals and others with people management duties in the UK must learn new skills, create new expertise, and disrupt certain old processes as part of the demand to be more agile. They have to learn very quickly how to support remote working. This is especially true when it comes to issues of performance, changing benefit circumstances, and psychological well-being. They're also dealing with managerial trust concerns with remote workers and micromanagement. They need to be much more 'tech savvy' while providing help and in other elements of their support function as HR professionals. They must also create new policies, but more significantly, practises, in the area of performance management. To have business and people management continuity strategies in place has become much more important in the future.</w:t>
      </w:r>
    </w:p>
    <w:p w:rsidR="00C16E97" w:rsidRDefault="00C16E97" w:rsidP="00113AAD"/>
    <w:p w:rsidR="00C16E97" w:rsidRDefault="00C16E97" w:rsidP="00113AAD"/>
    <w:p w:rsidR="004E0A23" w:rsidRPr="00C00D2C" w:rsidRDefault="00113AAD" w:rsidP="00C00D2C">
      <w:pPr>
        <w:pStyle w:val="ListParagraph"/>
        <w:numPr>
          <w:ilvl w:val="0"/>
          <w:numId w:val="5"/>
        </w:numPr>
        <w:rPr>
          <w:b/>
          <w:sz w:val="36"/>
          <w:szCs w:val="36"/>
        </w:rPr>
      </w:pPr>
      <w:r w:rsidRPr="00C00D2C">
        <w:rPr>
          <w:b/>
          <w:sz w:val="36"/>
          <w:szCs w:val="36"/>
        </w:rPr>
        <w:lastRenderedPageBreak/>
        <w:t>References</w:t>
      </w:r>
    </w:p>
    <w:p w:rsidR="009F6F45" w:rsidRDefault="009F6F45" w:rsidP="00B1118B">
      <w:pPr>
        <w:rPr>
          <w:lang w:val="bg-BG"/>
        </w:rPr>
      </w:pPr>
    </w:p>
    <w:p w:rsidR="004E0A23" w:rsidRDefault="004E0A23" w:rsidP="00B1118B">
      <w:pPr>
        <w:rPr>
          <w:lang w:val="bg-BG"/>
        </w:rPr>
      </w:pPr>
      <w:r w:rsidRPr="004E0A23">
        <w:rPr>
          <w:lang w:val="bg-BG"/>
        </w:rPr>
        <w:t>Adams‐Prassl, A., Boneva, T., Golin, M., &amp; Rauh, C. (2020). Inequality in the impact of the coronavirus shock: Evidence from real time surveys. Journal of Public Economics. 189, 1-33</w:t>
      </w:r>
    </w:p>
    <w:p w:rsidR="004E0A23" w:rsidRDefault="004E0A23" w:rsidP="00B1118B">
      <w:pPr>
        <w:rPr>
          <w:lang w:val="bg-BG"/>
        </w:rPr>
      </w:pPr>
      <w:r w:rsidRPr="004E0A23">
        <w:rPr>
          <w:lang w:val="bg-BG"/>
        </w:rPr>
        <w:t>Atkinson, A. B. (2015). Inequality:What can be done? Harvard University Press</w:t>
      </w:r>
    </w:p>
    <w:p w:rsidR="00FC1A87" w:rsidRDefault="00FC1A87" w:rsidP="00FC1A87">
      <w:pPr>
        <w:rPr>
          <w:lang w:val="bg-BG"/>
        </w:rPr>
      </w:pPr>
      <w:r w:rsidRPr="00FC1A87">
        <w:rPr>
          <w:lang w:val="bg-BG"/>
        </w:rPr>
        <w:t>Breschi, S., Cornelia Lawson, C., Francesco Lissoni, F., Morrison, A</w:t>
      </w:r>
      <w:r>
        <w:rPr>
          <w:lang w:val="bg-BG"/>
        </w:rPr>
        <w:t>., and Salter, A. (2020).’ STEM</w:t>
      </w:r>
      <w:r>
        <w:t xml:space="preserve"> </w:t>
      </w:r>
      <w:r w:rsidRPr="00FC1A87">
        <w:rPr>
          <w:lang w:val="bg-BG"/>
        </w:rPr>
        <w:t>migration, research, and innovation’, Research Policy 49 (2020) 104070.</w:t>
      </w:r>
    </w:p>
    <w:p w:rsidR="004E0A23" w:rsidRPr="004E0A23" w:rsidRDefault="004E0A23" w:rsidP="004E0A23">
      <w:pPr>
        <w:rPr>
          <w:lang w:val="bg-BG"/>
        </w:rPr>
      </w:pPr>
      <w:r w:rsidRPr="004E0A23">
        <w:rPr>
          <w:lang w:val="bg-BG"/>
        </w:rPr>
        <w:t>Čábelková, I., Strielkowski, W. and Mirvald, M. 2015. Business influence on the mass media: a case study of 21 countries. Transformation in Business &amp; Economics, 14(1), 65–75.</w:t>
      </w:r>
    </w:p>
    <w:p w:rsidR="004E0A23" w:rsidRPr="004E0A23" w:rsidRDefault="004E0A23" w:rsidP="004E0A23">
      <w:pPr>
        <w:rPr>
          <w:lang w:val="bg-BG"/>
        </w:rPr>
      </w:pPr>
      <w:r w:rsidRPr="004E0A23">
        <w:rPr>
          <w:lang w:val="bg-BG"/>
        </w:rPr>
        <w:t xml:space="preserve"> Chiabai, A., Platt, S. and Strielkowski, W. 2014. Eliciting users’ preferences for cultural heritage and tourism-related e-services: a tale of three European cities. Tourism Economics, 20(2), 263–277.</w:t>
      </w:r>
    </w:p>
    <w:p w:rsidR="006A0766" w:rsidRDefault="006A0766" w:rsidP="00FC1A87">
      <w:pPr>
        <w:rPr>
          <w:lang w:val="bg-BG"/>
        </w:rPr>
      </w:pPr>
      <w:r w:rsidRPr="006A0766">
        <w:rPr>
          <w:lang w:val="bg-BG"/>
        </w:rPr>
        <w:t>Sumption, M. (2017), ‘Labour Immigration after Brexit: Questions and Trade-offs in Designing a Work Permit System for EU Citizens’, Oxford Review of Economic Policy, 33</w:t>
      </w:r>
    </w:p>
    <w:p w:rsidR="006A0766" w:rsidRPr="006A0766" w:rsidRDefault="006A0766" w:rsidP="006A0766">
      <w:pPr>
        <w:rPr>
          <w:lang w:val="bg-BG"/>
        </w:rPr>
      </w:pPr>
      <w:r w:rsidRPr="006A0766">
        <w:rPr>
          <w:lang w:val="bg-BG"/>
        </w:rPr>
        <w:t>Hall, C. M., Prayag, G., &amp; Amore, A. (2017). Tourism and resilience: Individual, organisational and destination perspectives. Channel View Publications.</w:t>
      </w:r>
    </w:p>
    <w:p w:rsidR="006A0766" w:rsidRPr="006A0766" w:rsidRDefault="006A0766" w:rsidP="006A0766">
      <w:pPr>
        <w:rPr>
          <w:lang w:val="bg-BG"/>
        </w:rPr>
      </w:pPr>
      <w:r w:rsidRPr="006A0766">
        <w:rPr>
          <w:lang w:val="bg-BG"/>
        </w:rPr>
        <w:t xml:space="preserve">Khan, Z., Rao-Nicholson, R., Akhtar, P., Tarba, S. Y., Ahammad, M. F., &amp; Vorley, T. (2019). The role of HR practices in developing employee resilience: A case study from the Pakistani telecommunications sector. The International Journal of Human Resource Management, 30(8), 1342–1369. </w:t>
      </w:r>
    </w:p>
    <w:p w:rsidR="006A0766" w:rsidRDefault="006A0766" w:rsidP="006A0766">
      <w:pPr>
        <w:rPr>
          <w:lang w:val="bg-BG"/>
        </w:rPr>
      </w:pPr>
      <w:r w:rsidRPr="006A0766">
        <w:rPr>
          <w:lang w:val="bg-BG"/>
        </w:rPr>
        <w:t>Cooper, C., Flint-Taylor, J. &amp; Pearn, M. 2013. Building resilience for success: A resource for managers and organizations, Springer.</w:t>
      </w:r>
    </w:p>
    <w:p w:rsidR="006A0766" w:rsidRDefault="006A0766" w:rsidP="006A0766">
      <w:pPr>
        <w:rPr>
          <w:lang w:val="bg-BG"/>
        </w:rPr>
      </w:pPr>
      <w:r w:rsidRPr="006A0766">
        <w:rPr>
          <w:lang w:val="bg-BG"/>
        </w:rPr>
        <w:t>Hillyard, M. T. (2000). Public crisis management, how and why organizations work together to solve society’s most threatening problems. Writers Press Club.</w:t>
      </w:r>
    </w:p>
    <w:p w:rsidR="004E0A23" w:rsidRDefault="004E0A23" w:rsidP="006A0766">
      <w:pPr>
        <w:rPr>
          <w:lang w:val="bg-BG"/>
        </w:rPr>
      </w:pPr>
      <w:r w:rsidRPr="004E0A23">
        <w:rPr>
          <w:lang w:val="bg-BG"/>
        </w:rPr>
        <w:t>Avey, J. B., Wernsing, T. S., &amp; Luthans, F. (2008). Can positive employees help positive organizational change? Impact of psychological capital and emotions on relevant attitudes and behaviors. The Journal of Applied Behavioral Science, 44(1), 48–70.</w:t>
      </w:r>
    </w:p>
    <w:p w:rsidR="00516020" w:rsidRDefault="00516020" w:rsidP="00C90832">
      <w:pPr>
        <w:rPr>
          <w:lang w:val="bg-BG"/>
        </w:rPr>
      </w:pPr>
    </w:p>
    <w:p w:rsidR="00516020" w:rsidRDefault="00516020" w:rsidP="00C90832">
      <w:pPr>
        <w:rPr>
          <w:lang w:val="bg-BG"/>
        </w:rPr>
      </w:pPr>
    </w:p>
    <w:p w:rsidR="005D62AD" w:rsidRPr="000B6915" w:rsidRDefault="005D62AD" w:rsidP="00C90832">
      <w:pPr>
        <w:rPr>
          <w:lang w:val="bg-BG"/>
        </w:rPr>
      </w:pPr>
    </w:p>
    <w:sectPr w:rsidR="005D62AD" w:rsidRPr="000B69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7921" w:rsidRDefault="00697921" w:rsidP="00DA27F2">
      <w:pPr>
        <w:spacing w:after="0" w:line="240" w:lineRule="auto"/>
      </w:pPr>
      <w:r>
        <w:separator/>
      </w:r>
    </w:p>
  </w:endnote>
  <w:endnote w:type="continuationSeparator" w:id="0">
    <w:p w:rsidR="00697921" w:rsidRDefault="00697921" w:rsidP="00DA27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7921" w:rsidRDefault="00697921" w:rsidP="00DA27F2">
      <w:pPr>
        <w:spacing w:after="0" w:line="240" w:lineRule="auto"/>
      </w:pPr>
      <w:r>
        <w:separator/>
      </w:r>
    </w:p>
  </w:footnote>
  <w:footnote w:type="continuationSeparator" w:id="0">
    <w:p w:rsidR="00697921" w:rsidRDefault="00697921" w:rsidP="00DA27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BE0D4F"/>
    <w:multiLevelType w:val="hybridMultilevel"/>
    <w:tmpl w:val="6A48C658"/>
    <w:lvl w:ilvl="0" w:tplc="D05ACDD8">
      <w:start w:val="1"/>
      <w:numFmt w:val="decimal"/>
      <w:lvlText w:val="%1."/>
      <w:lvlJc w:val="left"/>
      <w:pPr>
        <w:ind w:left="678" w:hanging="395"/>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1F4E1DCB"/>
    <w:multiLevelType w:val="hybridMultilevel"/>
    <w:tmpl w:val="8550B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C24691"/>
    <w:multiLevelType w:val="hybridMultilevel"/>
    <w:tmpl w:val="DCE26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64222A"/>
    <w:multiLevelType w:val="hybridMultilevel"/>
    <w:tmpl w:val="A16E603C"/>
    <w:lvl w:ilvl="0" w:tplc="D05ACDD8">
      <w:start w:val="1"/>
      <w:numFmt w:val="decimal"/>
      <w:lvlText w:val="%1."/>
      <w:lvlJc w:val="left"/>
      <w:pPr>
        <w:ind w:left="755" w:hanging="395"/>
      </w:pPr>
      <w:rPr>
        <w:rFonts w:hint="default"/>
      </w:rPr>
    </w:lvl>
    <w:lvl w:ilvl="1" w:tplc="08090019" w:tentative="1">
      <w:start w:val="1"/>
      <w:numFmt w:val="lowerLetter"/>
      <w:lvlText w:val="%2."/>
      <w:lvlJc w:val="left"/>
      <w:pPr>
        <w:ind w:left="1517" w:hanging="360"/>
      </w:pPr>
    </w:lvl>
    <w:lvl w:ilvl="2" w:tplc="0809001B" w:tentative="1">
      <w:start w:val="1"/>
      <w:numFmt w:val="lowerRoman"/>
      <w:lvlText w:val="%3."/>
      <w:lvlJc w:val="right"/>
      <w:pPr>
        <w:ind w:left="2237" w:hanging="180"/>
      </w:pPr>
    </w:lvl>
    <w:lvl w:ilvl="3" w:tplc="0809000F" w:tentative="1">
      <w:start w:val="1"/>
      <w:numFmt w:val="decimal"/>
      <w:lvlText w:val="%4."/>
      <w:lvlJc w:val="left"/>
      <w:pPr>
        <w:ind w:left="2957" w:hanging="360"/>
      </w:pPr>
    </w:lvl>
    <w:lvl w:ilvl="4" w:tplc="08090019" w:tentative="1">
      <w:start w:val="1"/>
      <w:numFmt w:val="lowerLetter"/>
      <w:lvlText w:val="%5."/>
      <w:lvlJc w:val="left"/>
      <w:pPr>
        <w:ind w:left="3677" w:hanging="360"/>
      </w:pPr>
    </w:lvl>
    <w:lvl w:ilvl="5" w:tplc="0809001B" w:tentative="1">
      <w:start w:val="1"/>
      <w:numFmt w:val="lowerRoman"/>
      <w:lvlText w:val="%6."/>
      <w:lvlJc w:val="right"/>
      <w:pPr>
        <w:ind w:left="4397" w:hanging="180"/>
      </w:pPr>
    </w:lvl>
    <w:lvl w:ilvl="6" w:tplc="0809000F" w:tentative="1">
      <w:start w:val="1"/>
      <w:numFmt w:val="decimal"/>
      <w:lvlText w:val="%7."/>
      <w:lvlJc w:val="left"/>
      <w:pPr>
        <w:ind w:left="5117" w:hanging="360"/>
      </w:pPr>
    </w:lvl>
    <w:lvl w:ilvl="7" w:tplc="08090019" w:tentative="1">
      <w:start w:val="1"/>
      <w:numFmt w:val="lowerLetter"/>
      <w:lvlText w:val="%8."/>
      <w:lvlJc w:val="left"/>
      <w:pPr>
        <w:ind w:left="5837" w:hanging="360"/>
      </w:pPr>
    </w:lvl>
    <w:lvl w:ilvl="8" w:tplc="0809001B" w:tentative="1">
      <w:start w:val="1"/>
      <w:numFmt w:val="lowerRoman"/>
      <w:lvlText w:val="%9."/>
      <w:lvlJc w:val="right"/>
      <w:pPr>
        <w:ind w:left="6557" w:hanging="180"/>
      </w:pPr>
    </w:lvl>
  </w:abstractNum>
  <w:abstractNum w:abstractNumId="4" w15:restartNumberingAfterBreak="0">
    <w:nsid w:val="6D1B0366"/>
    <w:multiLevelType w:val="hybridMultilevel"/>
    <w:tmpl w:val="108AF282"/>
    <w:lvl w:ilvl="0" w:tplc="0809000F">
      <w:start w:val="1"/>
      <w:numFmt w:val="decimal"/>
      <w:lvlText w:val="%1."/>
      <w:lvlJc w:val="left"/>
      <w:pPr>
        <w:ind w:left="1045" w:hanging="360"/>
      </w:pPr>
    </w:lvl>
    <w:lvl w:ilvl="1" w:tplc="08090019" w:tentative="1">
      <w:start w:val="1"/>
      <w:numFmt w:val="lowerLetter"/>
      <w:lvlText w:val="%2."/>
      <w:lvlJc w:val="left"/>
      <w:pPr>
        <w:ind w:left="1765" w:hanging="360"/>
      </w:pPr>
    </w:lvl>
    <w:lvl w:ilvl="2" w:tplc="0809001B" w:tentative="1">
      <w:start w:val="1"/>
      <w:numFmt w:val="lowerRoman"/>
      <w:lvlText w:val="%3."/>
      <w:lvlJc w:val="right"/>
      <w:pPr>
        <w:ind w:left="2485" w:hanging="180"/>
      </w:pPr>
    </w:lvl>
    <w:lvl w:ilvl="3" w:tplc="0809000F" w:tentative="1">
      <w:start w:val="1"/>
      <w:numFmt w:val="decimal"/>
      <w:lvlText w:val="%4."/>
      <w:lvlJc w:val="left"/>
      <w:pPr>
        <w:ind w:left="3205" w:hanging="360"/>
      </w:pPr>
    </w:lvl>
    <w:lvl w:ilvl="4" w:tplc="08090019" w:tentative="1">
      <w:start w:val="1"/>
      <w:numFmt w:val="lowerLetter"/>
      <w:lvlText w:val="%5."/>
      <w:lvlJc w:val="left"/>
      <w:pPr>
        <w:ind w:left="3925" w:hanging="360"/>
      </w:pPr>
    </w:lvl>
    <w:lvl w:ilvl="5" w:tplc="0809001B" w:tentative="1">
      <w:start w:val="1"/>
      <w:numFmt w:val="lowerRoman"/>
      <w:lvlText w:val="%6."/>
      <w:lvlJc w:val="right"/>
      <w:pPr>
        <w:ind w:left="4645" w:hanging="180"/>
      </w:pPr>
    </w:lvl>
    <w:lvl w:ilvl="6" w:tplc="0809000F" w:tentative="1">
      <w:start w:val="1"/>
      <w:numFmt w:val="decimal"/>
      <w:lvlText w:val="%7."/>
      <w:lvlJc w:val="left"/>
      <w:pPr>
        <w:ind w:left="5365" w:hanging="360"/>
      </w:pPr>
    </w:lvl>
    <w:lvl w:ilvl="7" w:tplc="08090019" w:tentative="1">
      <w:start w:val="1"/>
      <w:numFmt w:val="lowerLetter"/>
      <w:lvlText w:val="%8."/>
      <w:lvlJc w:val="left"/>
      <w:pPr>
        <w:ind w:left="6085" w:hanging="360"/>
      </w:pPr>
    </w:lvl>
    <w:lvl w:ilvl="8" w:tplc="0809001B" w:tentative="1">
      <w:start w:val="1"/>
      <w:numFmt w:val="lowerRoman"/>
      <w:lvlText w:val="%9."/>
      <w:lvlJc w:val="right"/>
      <w:pPr>
        <w:ind w:left="6805" w:hanging="180"/>
      </w:p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7940"/>
    <w:rsid w:val="000926BC"/>
    <w:rsid w:val="000B6915"/>
    <w:rsid w:val="00113AAD"/>
    <w:rsid w:val="00157940"/>
    <w:rsid w:val="002320FC"/>
    <w:rsid w:val="00290FA5"/>
    <w:rsid w:val="002E526E"/>
    <w:rsid w:val="00387B73"/>
    <w:rsid w:val="003F0601"/>
    <w:rsid w:val="004E0A23"/>
    <w:rsid w:val="00516020"/>
    <w:rsid w:val="005D62AD"/>
    <w:rsid w:val="006069C7"/>
    <w:rsid w:val="00623FA7"/>
    <w:rsid w:val="00674367"/>
    <w:rsid w:val="00697921"/>
    <w:rsid w:val="006A0766"/>
    <w:rsid w:val="006C0BC8"/>
    <w:rsid w:val="007D5EAC"/>
    <w:rsid w:val="007E3968"/>
    <w:rsid w:val="007F2D9C"/>
    <w:rsid w:val="009F6F45"/>
    <w:rsid w:val="00AC4FFD"/>
    <w:rsid w:val="00B1118B"/>
    <w:rsid w:val="00B629BE"/>
    <w:rsid w:val="00C00D2C"/>
    <w:rsid w:val="00C16E97"/>
    <w:rsid w:val="00C90832"/>
    <w:rsid w:val="00DA27F2"/>
    <w:rsid w:val="00DE6DF8"/>
    <w:rsid w:val="00FC1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A4D6E6"/>
  <w15:chartTrackingRefBased/>
  <w15:docId w15:val="{6D09E17D-A0B6-4570-95AD-46803DACA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20FC"/>
    <w:rPr>
      <w:color w:val="0563C1" w:themeColor="hyperlink"/>
      <w:u w:val="single"/>
    </w:rPr>
  </w:style>
  <w:style w:type="paragraph" w:styleId="ListParagraph">
    <w:name w:val="List Paragraph"/>
    <w:basedOn w:val="Normal"/>
    <w:uiPriority w:val="34"/>
    <w:qFormat/>
    <w:rsid w:val="004E0A23"/>
    <w:pPr>
      <w:ind w:left="720"/>
      <w:contextualSpacing/>
    </w:pPr>
  </w:style>
  <w:style w:type="paragraph" w:styleId="Header">
    <w:name w:val="header"/>
    <w:basedOn w:val="Normal"/>
    <w:link w:val="HeaderChar"/>
    <w:uiPriority w:val="99"/>
    <w:unhideWhenUsed/>
    <w:rsid w:val="00DA27F2"/>
    <w:pPr>
      <w:tabs>
        <w:tab w:val="center" w:pos="4536"/>
        <w:tab w:val="right" w:pos="9072"/>
      </w:tabs>
      <w:spacing w:after="0" w:line="240" w:lineRule="auto"/>
    </w:pPr>
  </w:style>
  <w:style w:type="character" w:customStyle="1" w:styleId="HeaderChar">
    <w:name w:val="Header Char"/>
    <w:basedOn w:val="DefaultParagraphFont"/>
    <w:link w:val="Header"/>
    <w:uiPriority w:val="99"/>
    <w:rsid w:val="00DA27F2"/>
  </w:style>
  <w:style w:type="paragraph" w:styleId="Footer">
    <w:name w:val="footer"/>
    <w:basedOn w:val="Normal"/>
    <w:link w:val="FooterChar"/>
    <w:uiPriority w:val="99"/>
    <w:unhideWhenUsed/>
    <w:rsid w:val="00DA27F2"/>
    <w:pPr>
      <w:tabs>
        <w:tab w:val="center" w:pos="4536"/>
        <w:tab w:val="right" w:pos="9072"/>
      </w:tabs>
      <w:spacing w:after="0" w:line="240" w:lineRule="auto"/>
    </w:pPr>
  </w:style>
  <w:style w:type="character" w:customStyle="1" w:styleId="FooterChar">
    <w:name w:val="Footer Char"/>
    <w:basedOn w:val="DefaultParagraphFont"/>
    <w:link w:val="Footer"/>
    <w:uiPriority w:val="99"/>
    <w:rsid w:val="00DA27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2827</TotalTime>
  <Pages>6</Pages>
  <Words>2541</Words>
  <Characters>14486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Tsvetomir Georgiev</dc:creator>
  <cp:keywords/>
  <dc:description/>
  <cp:lastModifiedBy>Tsvetomir Georgiev</cp:lastModifiedBy>
  <cp:revision>12</cp:revision>
  <dcterms:created xsi:type="dcterms:W3CDTF">2022-04-20T17:32:00Z</dcterms:created>
  <dcterms:modified xsi:type="dcterms:W3CDTF">2022-04-25T17:08:00Z</dcterms:modified>
</cp:coreProperties>
</file>