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CEBCF1" w14:textId="674C92C6" w:rsidR="00282092" w:rsidRPr="00A820CB" w:rsidRDefault="00282092" w:rsidP="00282092">
      <w:pPr>
        <w:spacing w:line="360" w:lineRule="auto"/>
        <w:jc w:val="center"/>
        <w:rPr>
          <w:rFonts w:ascii="Times New Roman" w:eastAsia="Times New Roman" w:hAnsi="Times New Roman" w:cs="Times New Roman"/>
          <w:b/>
          <w:bCs/>
          <w:sz w:val="24"/>
          <w:szCs w:val="24"/>
        </w:rPr>
      </w:pPr>
      <w:r w:rsidRPr="00A820CB">
        <w:rPr>
          <w:rFonts w:ascii="Times New Roman" w:hAnsi="Times New Roman" w:cs="Times New Roman"/>
          <w:noProof/>
        </w:rPr>
        <w:drawing>
          <wp:inline distT="0" distB="0" distL="0" distR="0" wp14:anchorId="7FA79FBA" wp14:editId="4BFDAB9B">
            <wp:extent cx="2857500" cy="1143000"/>
            <wp:effectExtent l="19050" t="19050" r="19050" b="1905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1143000"/>
                    </a:xfrm>
                    <a:prstGeom prst="rect">
                      <a:avLst/>
                    </a:prstGeom>
                    <a:noFill/>
                    <a:ln w="3175">
                      <a:solidFill>
                        <a:schemeClr val="tx1"/>
                      </a:solidFill>
                    </a:ln>
                  </pic:spPr>
                </pic:pic>
              </a:graphicData>
            </a:graphic>
          </wp:inline>
        </w:drawing>
      </w:r>
    </w:p>
    <w:p w14:paraId="453353A6" w14:textId="77777777" w:rsidR="00282092" w:rsidRPr="00A820CB" w:rsidRDefault="00282092" w:rsidP="00282092">
      <w:pPr>
        <w:spacing w:line="360" w:lineRule="auto"/>
        <w:jc w:val="both"/>
        <w:rPr>
          <w:rFonts w:ascii="Times New Roman" w:eastAsia="Times New Roman" w:hAnsi="Times New Roman" w:cs="Times New Roman"/>
          <w:b/>
          <w:bCs/>
          <w:sz w:val="24"/>
          <w:szCs w:val="24"/>
        </w:rPr>
      </w:pPr>
    </w:p>
    <w:p w14:paraId="5D1CE8EF" w14:textId="77777777" w:rsidR="00282092" w:rsidRPr="00A820CB" w:rsidRDefault="00282092" w:rsidP="00282092">
      <w:pPr>
        <w:spacing w:line="360" w:lineRule="auto"/>
        <w:jc w:val="both"/>
        <w:rPr>
          <w:rFonts w:ascii="Times New Roman" w:eastAsia="Times New Roman" w:hAnsi="Times New Roman" w:cs="Times New Roman"/>
          <w:b/>
          <w:bCs/>
          <w:sz w:val="24"/>
          <w:szCs w:val="24"/>
        </w:rPr>
      </w:pPr>
    </w:p>
    <w:p w14:paraId="39210CAA" w14:textId="77777777" w:rsidR="00282092" w:rsidRPr="00A820CB" w:rsidRDefault="00282092" w:rsidP="00282092">
      <w:pPr>
        <w:spacing w:line="360" w:lineRule="auto"/>
        <w:jc w:val="center"/>
        <w:rPr>
          <w:rFonts w:ascii="Times New Roman" w:eastAsia="Times New Roman" w:hAnsi="Times New Roman" w:cs="Times New Roman"/>
          <w:b/>
          <w:bCs/>
          <w:sz w:val="24"/>
          <w:szCs w:val="24"/>
        </w:rPr>
      </w:pPr>
      <w:r w:rsidRPr="00A820CB">
        <w:rPr>
          <w:rFonts w:ascii="Times New Roman" w:eastAsia="Times New Roman" w:hAnsi="Times New Roman" w:cs="Times New Roman"/>
          <w:b/>
          <w:bCs/>
          <w:sz w:val="24"/>
          <w:szCs w:val="24"/>
        </w:rPr>
        <w:t>Student Name: Peri Hiteshkumar Patel</w:t>
      </w:r>
    </w:p>
    <w:p w14:paraId="43EFA88E" w14:textId="77777777" w:rsidR="00282092" w:rsidRPr="00A820CB" w:rsidRDefault="00282092" w:rsidP="00282092">
      <w:pPr>
        <w:spacing w:line="360" w:lineRule="auto"/>
        <w:jc w:val="center"/>
        <w:rPr>
          <w:rFonts w:ascii="Times New Roman" w:eastAsia="Times New Roman" w:hAnsi="Times New Roman" w:cs="Times New Roman"/>
          <w:b/>
          <w:bCs/>
          <w:sz w:val="24"/>
          <w:szCs w:val="24"/>
        </w:rPr>
      </w:pPr>
      <w:r w:rsidRPr="00A820CB">
        <w:rPr>
          <w:rFonts w:ascii="Times New Roman" w:eastAsia="Times New Roman" w:hAnsi="Times New Roman" w:cs="Times New Roman"/>
          <w:b/>
          <w:bCs/>
          <w:sz w:val="24"/>
          <w:szCs w:val="24"/>
        </w:rPr>
        <w:t>Student ID: 2504928</w:t>
      </w:r>
    </w:p>
    <w:p w14:paraId="5C221E69" w14:textId="77777777" w:rsidR="00282092" w:rsidRPr="00A820CB" w:rsidRDefault="00282092" w:rsidP="00282092">
      <w:pPr>
        <w:spacing w:line="360" w:lineRule="auto"/>
        <w:jc w:val="both"/>
        <w:rPr>
          <w:rFonts w:ascii="Times New Roman" w:eastAsia="Times New Roman" w:hAnsi="Times New Roman" w:cs="Times New Roman"/>
          <w:b/>
          <w:bCs/>
          <w:sz w:val="24"/>
          <w:szCs w:val="24"/>
        </w:rPr>
      </w:pPr>
    </w:p>
    <w:p w14:paraId="23F57F48" w14:textId="77777777" w:rsidR="00282092" w:rsidRPr="00A820CB" w:rsidRDefault="00282092" w:rsidP="00282092">
      <w:pPr>
        <w:spacing w:line="360" w:lineRule="auto"/>
        <w:jc w:val="both"/>
        <w:rPr>
          <w:rFonts w:ascii="Times New Roman" w:eastAsia="Times New Roman" w:hAnsi="Times New Roman" w:cs="Times New Roman"/>
          <w:b/>
          <w:bCs/>
          <w:sz w:val="24"/>
          <w:szCs w:val="24"/>
        </w:rPr>
      </w:pPr>
    </w:p>
    <w:p w14:paraId="1C20BE88" w14:textId="77777777" w:rsidR="00282092" w:rsidRPr="00A820CB" w:rsidRDefault="00282092" w:rsidP="00282092">
      <w:pPr>
        <w:spacing w:line="360" w:lineRule="auto"/>
        <w:jc w:val="center"/>
        <w:rPr>
          <w:rFonts w:ascii="Times New Roman" w:hAnsi="Times New Roman" w:cs="Times New Roman"/>
          <w:b/>
          <w:sz w:val="24"/>
          <w:szCs w:val="24"/>
        </w:rPr>
      </w:pPr>
      <w:r w:rsidRPr="00A820CB">
        <w:rPr>
          <w:rFonts w:ascii="Times New Roman" w:hAnsi="Times New Roman" w:cs="Times New Roman"/>
          <w:b/>
          <w:sz w:val="24"/>
          <w:szCs w:val="24"/>
        </w:rPr>
        <w:t>Programme: Master of Business Administration</w:t>
      </w:r>
    </w:p>
    <w:p w14:paraId="2F3A24EC" w14:textId="2E902A13" w:rsidR="00282092" w:rsidRPr="00A820CB" w:rsidRDefault="00282092" w:rsidP="00282092">
      <w:pPr>
        <w:spacing w:line="360" w:lineRule="auto"/>
        <w:jc w:val="center"/>
        <w:rPr>
          <w:rFonts w:ascii="Times New Roman" w:hAnsi="Times New Roman" w:cs="Times New Roman"/>
          <w:b/>
          <w:sz w:val="24"/>
          <w:szCs w:val="24"/>
        </w:rPr>
      </w:pPr>
      <w:r w:rsidRPr="00A820CB">
        <w:rPr>
          <w:rFonts w:ascii="Times New Roman" w:eastAsia="Times New Roman" w:hAnsi="Times New Roman" w:cs="Times New Roman"/>
          <w:b/>
          <w:bCs/>
          <w:sz w:val="24"/>
          <w:szCs w:val="24"/>
        </w:rPr>
        <w:t xml:space="preserve">Module Name: </w:t>
      </w:r>
      <w:r w:rsidRPr="00A820CB">
        <w:rPr>
          <w:rFonts w:ascii="Times New Roman" w:hAnsi="Times New Roman" w:cs="Times New Roman"/>
          <w:b/>
          <w:sz w:val="24"/>
          <w:szCs w:val="24"/>
        </w:rPr>
        <w:t>International Business Concepts</w:t>
      </w:r>
    </w:p>
    <w:p w14:paraId="166D4FE1" w14:textId="77777777" w:rsidR="00282092" w:rsidRPr="00A820CB" w:rsidRDefault="00282092" w:rsidP="00282092">
      <w:pPr>
        <w:spacing w:line="360" w:lineRule="auto"/>
        <w:jc w:val="center"/>
        <w:rPr>
          <w:rFonts w:ascii="Times New Roman" w:hAnsi="Times New Roman" w:cs="Times New Roman"/>
          <w:b/>
          <w:sz w:val="24"/>
          <w:szCs w:val="24"/>
        </w:rPr>
      </w:pPr>
      <w:r w:rsidRPr="00A820CB">
        <w:rPr>
          <w:rFonts w:ascii="Times New Roman" w:eastAsia="Times New Roman" w:hAnsi="Times New Roman" w:cs="Times New Roman"/>
          <w:b/>
          <w:bCs/>
          <w:sz w:val="24"/>
          <w:szCs w:val="24"/>
        </w:rPr>
        <w:t xml:space="preserve">Module code: </w:t>
      </w:r>
      <w:r w:rsidRPr="00A820CB">
        <w:rPr>
          <w:rFonts w:ascii="Times New Roman" w:hAnsi="Times New Roman" w:cs="Times New Roman"/>
          <w:b/>
          <w:sz w:val="24"/>
          <w:szCs w:val="24"/>
        </w:rPr>
        <w:t>LCMB7034</w:t>
      </w:r>
    </w:p>
    <w:p w14:paraId="64A75071" w14:textId="7A9E2721" w:rsidR="00282092" w:rsidRPr="00A820CB" w:rsidRDefault="00282092" w:rsidP="00282092">
      <w:pPr>
        <w:spacing w:line="360" w:lineRule="auto"/>
        <w:jc w:val="center"/>
        <w:rPr>
          <w:rFonts w:ascii="Times New Roman" w:eastAsia="Times New Roman" w:hAnsi="Times New Roman" w:cs="Times New Roman"/>
          <w:b/>
          <w:bCs/>
          <w:sz w:val="24"/>
          <w:szCs w:val="24"/>
        </w:rPr>
      </w:pPr>
    </w:p>
    <w:p w14:paraId="01C5EFAC" w14:textId="77777777" w:rsidR="00282092" w:rsidRPr="00A820CB" w:rsidRDefault="00282092" w:rsidP="00282092">
      <w:pPr>
        <w:spacing w:line="360" w:lineRule="auto"/>
        <w:jc w:val="center"/>
        <w:rPr>
          <w:rFonts w:ascii="Times New Roman" w:eastAsia="Times New Roman" w:hAnsi="Times New Roman" w:cs="Times New Roman"/>
          <w:b/>
          <w:bCs/>
          <w:sz w:val="24"/>
          <w:szCs w:val="24"/>
        </w:rPr>
      </w:pPr>
    </w:p>
    <w:p w14:paraId="21884D30" w14:textId="77777777" w:rsidR="00282092" w:rsidRPr="00A820CB" w:rsidRDefault="00282092" w:rsidP="00282092">
      <w:pPr>
        <w:spacing w:line="360" w:lineRule="auto"/>
        <w:jc w:val="center"/>
        <w:rPr>
          <w:rFonts w:ascii="Times New Roman" w:eastAsia="Times New Roman" w:hAnsi="Times New Roman" w:cs="Times New Roman"/>
          <w:b/>
          <w:bCs/>
          <w:sz w:val="24"/>
          <w:szCs w:val="24"/>
        </w:rPr>
      </w:pPr>
    </w:p>
    <w:p w14:paraId="0505EAA8" w14:textId="77777777" w:rsidR="00282092" w:rsidRPr="00A820CB" w:rsidRDefault="00282092" w:rsidP="00282092">
      <w:pPr>
        <w:spacing w:line="360" w:lineRule="auto"/>
        <w:jc w:val="center"/>
        <w:rPr>
          <w:rFonts w:ascii="Times New Roman" w:eastAsia="Times New Roman" w:hAnsi="Times New Roman" w:cs="Times New Roman"/>
          <w:b/>
          <w:bCs/>
          <w:sz w:val="24"/>
          <w:szCs w:val="24"/>
        </w:rPr>
      </w:pPr>
    </w:p>
    <w:p w14:paraId="4F07ECB2" w14:textId="600EA002" w:rsidR="00282092" w:rsidRPr="00A820CB" w:rsidRDefault="00282092" w:rsidP="00282092">
      <w:pPr>
        <w:spacing w:line="360" w:lineRule="auto"/>
        <w:jc w:val="center"/>
        <w:rPr>
          <w:rFonts w:ascii="Times New Roman" w:eastAsia="Times New Roman" w:hAnsi="Times New Roman" w:cs="Times New Roman"/>
          <w:b/>
          <w:bCs/>
          <w:sz w:val="24"/>
          <w:szCs w:val="24"/>
        </w:rPr>
      </w:pPr>
      <w:r w:rsidRPr="00A820CB">
        <w:rPr>
          <w:rFonts w:ascii="Times New Roman" w:eastAsia="Times New Roman" w:hAnsi="Times New Roman" w:cs="Times New Roman"/>
          <w:b/>
          <w:bCs/>
          <w:sz w:val="24"/>
          <w:szCs w:val="24"/>
        </w:rPr>
        <w:t>Lecturer’s Name:  </w:t>
      </w:r>
      <w:r w:rsidR="008A4357" w:rsidRPr="00A820CB">
        <w:rPr>
          <w:rFonts w:ascii="Times New Roman" w:eastAsia="Times New Roman" w:hAnsi="Times New Roman" w:cs="Times New Roman"/>
          <w:b/>
          <w:bCs/>
          <w:sz w:val="24"/>
          <w:szCs w:val="24"/>
        </w:rPr>
        <w:t>Akshay Narayanan</w:t>
      </w:r>
    </w:p>
    <w:p w14:paraId="7E10554E" w14:textId="77777777" w:rsidR="00282092" w:rsidRPr="00A820CB" w:rsidRDefault="00282092" w:rsidP="00282092">
      <w:pPr>
        <w:spacing w:line="360" w:lineRule="auto"/>
        <w:jc w:val="center"/>
        <w:rPr>
          <w:rFonts w:ascii="Times New Roman" w:eastAsia="Times New Roman" w:hAnsi="Times New Roman" w:cs="Times New Roman"/>
          <w:b/>
          <w:bCs/>
          <w:sz w:val="24"/>
          <w:szCs w:val="24"/>
        </w:rPr>
      </w:pPr>
    </w:p>
    <w:p w14:paraId="53A5A013" w14:textId="77777777" w:rsidR="00282092" w:rsidRPr="00A820CB" w:rsidRDefault="00282092" w:rsidP="00282092">
      <w:pPr>
        <w:spacing w:line="360" w:lineRule="auto"/>
        <w:jc w:val="center"/>
        <w:rPr>
          <w:rFonts w:ascii="Times New Roman" w:eastAsia="Times New Roman" w:hAnsi="Times New Roman" w:cs="Times New Roman"/>
          <w:b/>
          <w:bCs/>
          <w:sz w:val="24"/>
          <w:szCs w:val="24"/>
        </w:rPr>
      </w:pPr>
    </w:p>
    <w:p w14:paraId="13FAD3CB" w14:textId="77777777" w:rsidR="00282092" w:rsidRPr="00A820CB" w:rsidRDefault="00282092" w:rsidP="00282092">
      <w:pPr>
        <w:spacing w:line="360" w:lineRule="auto"/>
        <w:jc w:val="center"/>
        <w:rPr>
          <w:rFonts w:ascii="Times New Roman" w:eastAsia="Times New Roman" w:hAnsi="Times New Roman" w:cs="Times New Roman"/>
          <w:b/>
          <w:bCs/>
          <w:sz w:val="24"/>
          <w:szCs w:val="24"/>
        </w:rPr>
      </w:pPr>
    </w:p>
    <w:p w14:paraId="189BD2E3" w14:textId="77777777" w:rsidR="00282092" w:rsidRPr="00A820CB" w:rsidRDefault="00282092" w:rsidP="00282092">
      <w:pPr>
        <w:spacing w:line="360" w:lineRule="auto"/>
        <w:rPr>
          <w:rFonts w:ascii="Times New Roman" w:eastAsia="Times New Roman" w:hAnsi="Times New Roman" w:cs="Times New Roman"/>
          <w:b/>
          <w:bCs/>
          <w:sz w:val="24"/>
          <w:szCs w:val="24"/>
        </w:rPr>
      </w:pPr>
    </w:p>
    <w:p w14:paraId="2CF61486" w14:textId="77777777" w:rsidR="00282092" w:rsidRPr="00A820CB" w:rsidRDefault="00282092" w:rsidP="00282092">
      <w:pPr>
        <w:spacing w:line="360" w:lineRule="auto"/>
        <w:jc w:val="center"/>
        <w:rPr>
          <w:rFonts w:ascii="Times New Roman" w:eastAsia="Times New Roman" w:hAnsi="Times New Roman" w:cs="Times New Roman"/>
          <w:b/>
          <w:bCs/>
          <w:sz w:val="24"/>
          <w:szCs w:val="24"/>
        </w:rPr>
      </w:pPr>
    </w:p>
    <w:p w14:paraId="777E2C26" w14:textId="77777777" w:rsidR="00282092" w:rsidRPr="00A820CB" w:rsidRDefault="00282092" w:rsidP="00282092">
      <w:pPr>
        <w:spacing w:line="360" w:lineRule="auto"/>
        <w:jc w:val="center"/>
        <w:rPr>
          <w:rFonts w:ascii="Times New Roman" w:eastAsia="Times New Roman" w:hAnsi="Times New Roman" w:cs="Times New Roman"/>
          <w:b/>
          <w:bCs/>
          <w:sz w:val="24"/>
          <w:szCs w:val="24"/>
        </w:rPr>
      </w:pPr>
      <w:r w:rsidRPr="00A820CB">
        <w:rPr>
          <w:rFonts w:ascii="Times New Roman" w:eastAsia="Times New Roman" w:hAnsi="Times New Roman" w:cs="Times New Roman"/>
          <w:b/>
          <w:bCs/>
          <w:sz w:val="24"/>
          <w:szCs w:val="24"/>
        </w:rPr>
        <w:t>Term: 2</w:t>
      </w:r>
    </w:p>
    <w:p w14:paraId="3E7094FB" w14:textId="77777777" w:rsidR="00282092" w:rsidRPr="00A820CB" w:rsidRDefault="00282092" w:rsidP="00282092">
      <w:pPr>
        <w:spacing w:line="360" w:lineRule="auto"/>
        <w:rPr>
          <w:rFonts w:ascii="Times New Roman" w:eastAsia="Times New Roman" w:hAnsi="Times New Roman" w:cs="Times New Roman"/>
          <w:b/>
          <w:bCs/>
          <w:sz w:val="24"/>
          <w:szCs w:val="24"/>
        </w:rPr>
      </w:pPr>
    </w:p>
    <w:p w14:paraId="00103FAC" w14:textId="77777777" w:rsidR="00282092" w:rsidRPr="00A820CB" w:rsidRDefault="00282092" w:rsidP="00282092">
      <w:pPr>
        <w:spacing w:line="360" w:lineRule="auto"/>
        <w:rPr>
          <w:rFonts w:ascii="Times New Roman" w:eastAsia="Times New Roman" w:hAnsi="Times New Roman" w:cs="Times New Roman"/>
          <w:b/>
          <w:bCs/>
          <w:sz w:val="24"/>
          <w:szCs w:val="24"/>
        </w:rPr>
      </w:pPr>
    </w:p>
    <w:p w14:paraId="0A675ED6" w14:textId="77777777" w:rsidR="00282092" w:rsidRPr="00A820CB" w:rsidRDefault="00282092" w:rsidP="00282092">
      <w:pPr>
        <w:spacing w:line="360" w:lineRule="auto"/>
        <w:rPr>
          <w:rFonts w:ascii="Times New Roman" w:eastAsia="Times New Roman" w:hAnsi="Times New Roman" w:cs="Times New Roman"/>
          <w:b/>
          <w:bCs/>
          <w:sz w:val="24"/>
          <w:szCs w:val="24"/>
        </w:rPr>
      </w:pPr>
    </w:p>
    <w:p w14:paraId="3AADF7CF" w14:textId="77777777" w:rsidR="00282092" w:rsidRPr="00A820CB" w:rsidRDefault="00282092" w:rsidP="00282092">
      <w:pPr>
        <w:spacing w:line="360" w:lineRule="auto"/>
        <w:jc w:val="center"/>
        <w:rPr>
          <w:rFonts w:ascii="Times New Roman" w:eastAsia="Times New Roman" w:hAnsi="Times New Roman" w:cs="Times New Roman"/>
          <w:b/>
          <w:bCs/>
          <w:sz w:val="24"/>
          <w:szCs w:val="24"/>
        </w:rPr>
      </w:pPr>
    </w:p>
    <w:p w14:paraId="3F088CF2" w14:textId="77777777" w:rsidR="00282092" w:rsidRPr="00A820CB" w:rsidRDefault="00282092" w:rsidP="00282092">
      <w:pPr>
        <w:spacing w:line="360" w:lineRule="auto"/>
        <w:jc w:val="center"/>
        <w:rPr>
          <w:rFonts w:ascii="Times New Roman" w:eastAsia="Times New Roman" w:hAnsi="Times New Roman" w:cs="Times New Roman"/>
          <w:b/>
          <w:bCs/>
          <w:sz w:val="24"/>
          <w:szCs w:val="24"/>
        </w:rPr>
      </w:pPr>
    </w:p>
    <w:p w14:paraId="3C4E5F8A" w14:textId="305D7DBF" w:rsidR="00653888" w:rsidRPr="00A820CB" w:rsidRDefault="00653888" w:rsidP="00C53B27">
      <w:pPr>
        <w:spacing w:line="360" w:lineRule="auto"/>
        <w:rPr>
          <w:rFonts w:ascii="Times New Roman" w:hAnsi="Times New Roman" w:cs="Times New Roman"/>
          <w:sz w:val="24"/>
          <w:szCs w:val="24"/>
        </w:rPr>
      </w:pPr>
    </w:p>
    <w:sdt>
      <w:sdtPr>
        <w:rPr>
          <w:rFonts w:ascii="Times New Roman" w:eastAsia="Arial" w:hAnsi="Times New Roman" w:cs="Times New Roman"/>
          <w:color w:val="auto"/>
          <w:sz w:val="24"/>
          <w:szCs w:val="24"/>
          <w:lang w:val="en-IN" w:eastAsia="en-IN"/>
        </w:rPr>
        <w:id w:val="1203373150"/>
        <w:docPartObj>
          <w:docPartGallery w:val="Table of Contents"/>
          <w:docPartUnique/>
        </w:docPartObj>
      </w:sdtPr>
      <w:sdtEndPr>
        <w:rPr>
          <w:b/>
          <w:bCs/>
          <w:noProof/>
          <w:lang w:val="en-GB"/>
        </w:rPr>
      </w:sdtEndPr>
      <w:sdtContent>
        <w:p w14:paraId="2125950D" w14:textId="4F7F8D1E" w:rsidR="006E5165" w:rsidRPr="00A820CB" w:rsidRDefault="006E5165" w:rsidP="00C53B27">
          <w:pPr>
            <w:pStyle w:val="TOCHeading"/>
            <w:spacing w:line="360" w:lineRule="auto"/>
            <w:jc w:val="center"/>
            <w:rPr>
              <w:rFonts w:ascii="Times New Roman" w:hAnsi="Times New Roman" w:cs="Times New Roman"/>
              <w:b/>
              <w:color w:val="auto"/>
              <w:sz w:val="24"/>
              <w:szCs w:val="24"/>
            </w:rPr>
          </w:pPr>
          <w:r w:rsidRPr="00A820CB">
            <w:rPr>
              <w:rFonts w:ascii="Times New Roman" w:hAnsi="Times New Roman" w:cs="Times New Roman"/>
              <w:b/>
              <w:color w:val="auto"/>
              <w:sz w:val="24"/>
              <w:szCs w:val="24"/>
            </w:rPr>
            <w:t>Table of Contents</w:t>
          </w:r>
        </w:p>
        <w:p w14:paraId="449FEA42" w14:textId="5801CD3D" w:rsidR="000216E8" w:rsidRPr="00A820CB" w:rsidRDefault="006E5165" w:rsidP="00C53B27">
          <w:pPr>
            <w:pStyle w:val="TOC1"/>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r w:rsidRPr="00A820CB">
            <w:rPr>
              <w:rFonts w:ascii="Times New Roman" w:hAnsi="Times New Roman" w:cs="Times New Roman"/>
              <w:sz w:val="24"/>
              <w:szCs w:val="24"/>
            </w:rPr>
            <w:fldChar w:fldCharType="begin"/>
          </w:r>
          <w:r w:rsidRPr="00A820CB">
            <w:rPr>
              <w:rFonts w:ascii="Times New Roman" w:hAnsi="Times New Roman" w:cs="Times New Roman"/>
              <w:sz w:val="24"/>
              <w:szCs w:val="24"/>
            </w:rPr>
            <w:instrText xml:space="preserve"> TOC \o "1-3" \h \z \u </w:instrText>
          </w:r>
          <w:r w:rsidRPr="00A820CB">
            <w:rPr>
              <w:rFonts w:ascii="Times New Roman" w:hAnsi="Times New Roman" w:cs="Times New Roman"/>
              <w:sz w:val="24"/>
              <w:szCs w:val="24"/>
            </w:rPr>
            <w:fldChar w:fldCharType="separate"/>
          </w:r>
          <w:hyperlink w:anchor="_Toc225370679" w:history="1">
            <w:r w:rsidR="000216E8" w:rsidRPr="00A820CB">
              <w:rPr>
                <w:rStyle w:val="Hyperlink"/>
                <w:rFonts w:ascii="Times New Roman" w:hAnsi="Times New Roman" w:cs="Times New Roman"/>
                <w:noProof/>
                <w:sz w:val="24"/>
                <w:szCs w:val="24"/>
              </w:rPr>
              <w:t>Section 1</w:t>
            </w:r>
            <w:r w:rsidR="000216E8" w:rsidRPr="00A820CB">
              <w:rPr>
                <w:rFonts w:ascii="Times New Roman" w:hAnsi="Times New Roman" w:cs="Times New Roman"/>
                <w:noProof/>
                <w:webHidden/>
                <w:sz w:val="24"/>
                <w:szCs w:val="24"/>
              </w:rPr>
              <w:tab/>
            </w:r>
            <w:r w:rsidR="000216E8" w:rsidRPr="00A820CB">
              <w:rPr>
                <w:rFonts w:ascii="Times New Roman" w:hAnsi="Times New Roman" w:cs="Times New Roman"/>
                <w:noProof/>
                <w:webHidden/>
                <w:sz w:val="24"/>
                <w:szCs w:val="24"/>
              </w:rPr>
              <w:fldChar w:fldCharType="begin"/>
            </w:r>
            <w:r w:rsidR="000216E8" w:rsidRPr="00A820CB">
              <w:rPr>
                <w:rFonts w:ascii="Times New Roman" w:hAnsi="Times New Roman" w:cs="Times New Roman"/>
                <w:noProof/>
                <w:webHidden/>
                <w:sz w:val="24"/>
                <w:szCs w:val="24"/>
              </w:rPr>
              <w:instrText xml:space="preserve"> PAGEREF _Toc225370679 \h </w:instrText>
            </w:r>
            <w:r w:rsidR="000216E8" w:rsidRPr="00A820CB">
              <w:rPr>
                <w:rFonts w:ascii="Times New Roman" w:hAnsi="Times New Roman" w:cs="Times New Roman"/>
                <w:noProof/>
                <w:webHidden/>
                <w:sz w:val="24"/>
                <w:szCs w:val="24"/>
              </w:rPr>
            </w:r>
            <w:r w:rsidR="000216E8" w:rsidRPr="00A820CB">
              <w:rPr>
                <w:rFonts w:ascii="Times New Roman" w:hAnsi="Times New Roman" w:cs="Times New Roman"/>
                <w:noProof/>
                <w:webHidden/>
                <w:sz w:val="24"/>
                <w:szCs w:val="24"/>
              </w:rPr>
              <w:fldChar w:fldCharType="separate"/>
            </w:r>
            <w:r w:rsidR="000216E8" w:rsidRPr="00A820CB">
              <w:rPr>
                <w:rFonts w:ascii="Times New Roman" w:hAnsi="Times New Roman" w:cs="Times New Roman"/>
                <w:noProof/>
                <w:webHidden/>
                <w:sz w:val="24"/>
                <w:szCs w:val="24"/>
              </w:rPr>
              <w:t>3</w:t>
            </w:r>
            <w:r w:rsidR="000216E8" w:rsidRPr="00A820CB">
              <w:rPr>
                <w:rFonts w:ascii="Times New Roman" w:hAnsi="Times New Roman" w:cs="Times New Roman"/>
                <w:noProof/>
                <w:webHidden/>
                <w:sz w:val="24"/>
                <w:szCs w:val="24"/>
              </w:rPr>
              <w:fldChar w:fldCharType="end"/>
            </w:r>
          </w:hyperlink>
        </w:p>
        <w:p w14:paraId="45EACE20" w14:textId="1713A614" w:rsidR="000216E8" w:rsidRPr="00A820CB" w:rsidRDefault="000216E8" w:rsidP="00C53B27">
          <w:pPr>
            <w:pStyle w:val="TOC2"/>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80" w:history="1">
            <w:r w:rsidRPr="00A820CB">
              <w:rPr>
                <w:rStyle w:val="Hyperlink"/>
                <w:rFonts w:ascii="Times New Roman" w:hAnsi="Times New Roman" w:cs="Times New Roman"/>
                <w:noProof/>
                <w:sz w:val="24"/>
                <w:szCs w:val="24"/>
              </w:rPr>
              <w:t>1. Introduction</w:t>
            </w:r>
            <w:r w:rsidRPr="00A820CB">
              <w:rPr>
                <w:rFonts w:ascii="Times New Roman" w:hAnsi="Times New Roman" w:cs="Times New Roman"/>
                <w:noProof/>
                <w:webHidden/>
                <w:sz w:val="24"/>
                <w:szCs w:val="24"/>
              </w:rPr>
              <w:tab/>
            </w:r>
            <w:r w:rsidRPr="00A820CB">
              <w:rPr>
                <w:rFonts w:ascii="Times New Roman" w:hAnsi="Times New Roman" w:cs="Times New Roman"/>
                <w:noProof/>
                <w:webHidden/>
                <w:sz w:val="24"/>
                <w:szCs w:val="24"/>
              </w:rPr>
              <w:fldChar w:fldCharType="begin"/>
            </w:r>
            <w:r w:rsidRPr="00A820CB">
              <w:rPr>
                <w:rFonts w:ascii="Times New Roman" w:hAnsi="Times New Roman" w:cs="Times New Roman"/>
                <w:noProof/>
                <w:webHidden/>
                <w:sz w:val="24"/>
                <w:szCs w:val="24"/>
              </w:rPr>
              <w:instrText xml:space="preserve"> PAGEREF _Toc225370680 \h </w:instrText>
            </w:r>
            <w:r w:rsidRPr="00A820CB">
              <w:rPr>
                <w:rFonts w:ascii="Times New Roman" w:hAnsi="Times New Roman" w:cs="Times New Roman"/>
                <w:noProof/>
                <w:webHidden/>
                <w:sz w:val="24"/>
                <w:szCs w:val="24"/>
              </w:rPr>
            </w:r>
            <w:r w:rsidRPr="00A820CB">
              <w:rPr>
                <w:rFonts w:ascii="Times New Roman" w:hAnsi="Times New Roman" w:cs="Times New Roman"/>
                <w:noProof/>
                <w:webHidden/>
                <w:sz w:val="24"/>
                <w:szCs w:val="24"/>
              </w:rPr>
              <w:fldChar w:fldCharType="separate"/>
            </w:r>
            <w:r w:rsidRPr="00A820CB">
              <w:rPr>
                <w:rFonts w:ascii="Times New Roman" w:hAnsi="Times New Roman" w:cs="Times New Roman"/>
                <w:noProof/>
                <w:webHidden/>
                <w:sz w:val="24"/>
                <w:szCs w:val="24"/>
              </w:rPr>
              <w:t>3</w:t>
            </w:r>
            <w:r w:rsidRPr="00A820CB">
              <w:rPr>
                <w:rFonts w:ascii="Times New Roman" w:hAnsi="Times New Roman" w:cs="Times New Roman"/>
                <w:noProof/>
                <w:webHidden/>
                <w:sz w:val="24"/>
                <w:szCs w:val="24"/>
              </w:rPr>
              <w:fldChar w:fldCharType="end"/>
            </w:r>
          </w:hyperlink>
        </w:p>
        <w:p w14:paraId="5BF28DE5" w14:textId="413288F1" w:rsidR="000216E8" w:rsidRPr="00A820CB" w:rsidRDefault="000216E8" w:rsidP="00C53B27">
          <w:pPr>
            <w:pStyle w:val="TOC2"/>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81" w:history="1">
            <w:r w:rsidRPr="00A820CB">
              <w:rPr>
                <w:rStyle w:val="Hyperlink"/>
                <w:rFonts w:ascii="Times New Roman" w:hAnsi="Times New Roman" w:cs="Times New Roman"/>
                <w:noProof/>
                <w:sz w:val="24"/>
                <w:szCs w:val="24"/>
              </w:rPr>
              <w:t>2. Industry and Country Overview</w:t>
            </w:r>
            <w:r w:rsidRPr="00A820CB">
              <w:rPr>
                <w:rFonts w:ascii="Times New Roman" w:hAnsi="Times New Roman" w:cs="Times New Roman"/>
                <w:noProof/>
                <w:webHidden/>
                <w:sz w:val="24"/>
                <w:szCs w:val="24"/>
              </w:rPr>
              <w:tab/>
            </w:r>
            <w:r w:rsidRPr="00A820CB">
              <w:rPr>
                <w:rFonts w:ascii="Times New Roman" w:hAnsi="Times New Roman" w:cs="Times New Roman"/>
                <w:noProof/>
                <w:webHidden/>
                <w:sz w:val="24"/>
                <w:szCs w:val="24"/>
              </w:rPr>
              <w:fldChar w:fldCharType="begin"/>
            </w:r>
            <w:r w:rsidRPr="00A820CB">
              <w:rPr>
                <w:rFonts w:ascii="Times New Roman" w:hAnsi="Times New Roman" w:cs="Times New Roman"/>
                <w:noProof/>
                <w:webHidden/>
                <w:sz w:val="24"/>
                <w:szCs w:val="24"/>
              </w:rPr>
              <w:instrText xml:space="preserve"> PAGEREF _Toc225370681 \h </w:instrText>
            </w:r>
            <w:r w:rsidRPr="00A820CB">
              <w:rPr>
                <w:rFonts w:ascii="Times New Roman" w:hAnsi="Times New Roman" w:cs="Times New Roman"/>
                <w:noProof/>
                <w:webHidden/>
                <w:sz w:val="24"/>
                <w:szCs w:val="24"/>
              </w:rPr>
            </w:r>
            <w:r w:rsidRPr="00A820CB">
              <w:rPr>
                <w:rFonts w:ascii="Times New Roman" w:hAnsi="Times New Roman" w:cs="Times New Roman"/>
                <w:noProof/>
                <w:webHidden/>
                <w:sz w:val="24"/>
                <w:szCs w:val="24"/>
              </w:rPr>
              <w:fldChar w:fldCharType="separate"/>
            </w:r>
            <w:r w:rsidRPr="00A820CB">
              <w:rPr>
                <w:rFonts w:ascii="Times New Roman" w:hAnsi="Times New Roman" w:cs="Times New Roman"/>
                <w:noProof/>
                <w:webHidden/>
                <w:sz w:val="24"/>
                <w:szCs w:val="24"/>
              </w:rPr>
              <w:t>3</w:t>
            </w:r>
            <w:r w:rsidRPr="00A820CB">
              <w:rPr>
                <w:rFonts w:ascii="Times New Roman" w:hAnsi="Times New Roman" w:cs="Times New Roman"/>
                <w:noProof/>
                <w:webHidden/>
                <w:sz w:val="24"/>
                <w:szCs w:val="24"/>
              </w:rPr>
              <w:fldChar w:fldCharType="end"/>
            </w:r>
          </w:hyperlink>
        </w:p>
        <w:p w14:paraId="033A7618" w14:textId="375C743C" w:rsidR="000216E8" w:rsidRPr="00A820CB" w:rsidRDefault="000216E8" w:rsidP="00C53B27">
          <w:pPr>
            <w:pStyle w:val="TOC3"/>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82" w:history="1">
            <w:r w:rsidRPr="00A820CB">
              <w:rPr>
                <w:rStyle w:val="Hyperlink"/>
                <w:rFonts w:ascii="Times New Roman" w:hAnsi="Times New Roman" w:cs="Times New Roman"/>
                <w:noProof/>
                <w:sz w:val="24"/>
                <w:szCs w:val="24"/>
              </w:rPr>
              <w:t>Introduction of the industry</w:t>
            </w:r>
            <w:r w:rsidRPr="00A820CB">
              <w:rPr>
                <w:rFonts w:ascii="Times New Roman" w:hAnsi="Times New Roman" w:cs="Times New Roman"/>
                <w:noProof/>
                <w:webHidden/>
                <w:sz w:val="24"/>
                <w:szCs w:val="24"/>
              </w:rPr>
              <w:tab/>
            </w:r>
            <w:r w:rsidRPr="00A820CB">
              <w:rPr>
                <w:rFonts w:ascii="Times New Roman" w:hAnsi="Times New Roman" w:cs="Times New Roman"/>
                <w:noProof/>
                <w:webHidden/>
                <w:sz w:val="24"/>
                <w:szCs w:val="24"/>
              </w:rPr>
              <w:fldChar w:fldCharType="begin"/>
            </w:r>
            <w:r w:rsidRPr="00A820CB">
              <w:rPr>
                <w:rFonts w:ascii="Times New Roman" w:hAnsi="Times New Roman" w:cs="Times New Roman"/>
                <w:noProof/>
                <w:webHidden/>
                <w:sz w:val="24"/>
                <w:szCs w:val="24"/>
              </w:rPr>
              <w:instrText xml:space="preserve"> PAGEREF _Toc225370682 \h </w:instrText>
            </w:r>
            <w:r w:rsidRPr="00A820CB">
              <w:rPr>
                <w:rFonts w:ascii="Times New Roman" w:hAnsi="Times New Roman" w:cs="Times New Roman"/>
                <w:noProof/>
                <w:webHidden/>
                <w:sz w:val="24"/>
                <w:szCs w:val="24"/>
              </w:rPr>
            </w:r>
            <w:r w:rsidRPr="00A820CB">
              <w:rPr>
                <w:rFonts w:ascii="Times New Roman" w:hAnsi="Times New Roman" w:cs="Times New Roman"/>
                <w:noProof/>
                <w:webHidden/>
                <w:sz w:val="24"/>
                <w:szCs w:val="24"/>
              </w:rPr>
              <w:fldChar w:fldCharType="separate"/>
            </w:r>
            <w:r w:rsidRPr="00A820CB">
              <w:rPr>
                <w:rFonts w:ascii="Times New Roman" w:hAnsi="Times New Roman" w:cs="Times New Roman"/>
                <w:noProof/>
                <w:webHidden/>
                <w:sz w:val="24"/>
                <w:szCs w:val="24"/>
              </w:rPr>
              <w:t>3</w:t>
            </w:r>
            <w:r w:rsidRPr="00A820CB">
              <w:rPr>
                <w:rFonts w:ascii="Times New Roman" w:hAnsi="Times New Roman" w:cs="Times New Roman"/>
                <w:noProof/>
                <w:webHidden/>
                <w:sz w:val="24"/>
                <w:szCs w:val="24"/>
              </w:rPr>
              <w:fldChar w:fldCharType="end"/>
            </w:r>
          </w:hyperlink>
        </w:p>
        <w:p w14:paraId="74D11968" w14:textId="7359637B" w:rsidR="000216E8" w:rsidRPr="00A820CB" w:rsidRDefault="000216E8" w:rsidP="00C53B27">
          <w:pPr>
            <w:pStyle w:val="TOC3"/>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83" w:history="1">
            <w:r w:rsidRPr="00A820CB">
              <w:rPr>
                <w:rStyle w:val="Hyperlink"/>
                <w:rFonts w:ascii="Times New Roman" w:hAnsi="Times New Roman" w:cs="Times New Roman"/>
                <w:noProof/>
                <w:sz w:val="24"/>
                <w:szCs w:val="24"/>
              </w:rPr>
              <w:t>Industry overview</w:t>
            </w:r>
            <w:r w:rsidRPr="00A820CB">
              <w:rPr>
                <w:rFonts w:ascii="Times New Roman" w:hAnsi="Times New Roman" w:cs="Times New Roman"/>
                <w:noProof/>
                <w:webHidden/>
                <w:sz w:val="24"/>
                <w:szCs w:val="24"/>
              </w:rPr>
              <w:tab/>
            </w:r>
            <w:r w:rsidRPr="00A820CB">
              <w:rPr>
                <w:rFonts w:ascii="Times New Roman" w:hAnsi="Times New Roman" w:cs="Times New Roman"/>
                <w:noProof/>
                <w:webHidden/>
                <w:sz w:val="24"/>
                <w:szCs w:val="24"/>
              </w:rPr>
              <w:fldChar w:fldCharType="begin"/>
            </w:r>
            <w:r w:rsidRPr="00A820CB">
              <w:rPr>
                <w:rFonts w:ascii="Times New Roman" w:hAnsi="Times New Roman" w:cs="Times New Roman"/>
                <w:noProof/>
                <w:webHidden/>
                <w:sz w:val="24"/>
                <w:szCs w:val="24"/>
              </w:rPr>
              <w:instrText xml:space="preserve"> PAGEREF _Toc225370683 \h </w:instrText>
            </w:r>
            <w:r w:rsidRPr="00A820CB">
              <w:rPr>
                <w:rFonts w:ascii="Times New Roman" w:hAnsi="Times New Roman" w:cs="Times New Roman"/>
                <w:noProof/>
                <w:webHidden/>
                <w:sz w:val="24"/>
                <w:szCs w:val="24"/>
              </w:rPr>
            </w:r>
            <w:r w:rsidRPr="00A820CB">
              <w:rPr>
                <w:rFonts w:ascii="Times New Roman" w:hAnsi="Times New Roman" w:cs="Times New Roman"/>
                <w:noProof/>
                <w:webHidden/>
                <w:sz w:val="24"/>
                <w:szCs w:val="24"/>
              </w:rPr>
              <w:fldChar w:fldCharType="separate"/>
            </w:r>
            <w:r w:rsidRPr="00A820CB">
              <w:rPr>
                <w:rFonts w:ascii="Times New Roman" w:hAnsi="Times New Roman" w:cs="Times New Roman"/>
                <w:noProof/>
                <w:webHidden/>
                <w:sz w:val="24"/>
                <w:szCs w:val="24"/>
              </w:rPr>
              <w:t>4</w:t>
            </w:r>
            <w:r w:rsidRPr="00A820CB">
              <w:rPr>
                <w:rFonts w:ascii="Times New Roman" w:hAnsi="Times New Roman" w:cs="Times New Roman"/>
                <w:noProof/>
                <w:webHidden/>
                <w:sz w:val="24"/>
                <w:szCs w:val="24"/>
              </w:rPr>
              <w:fldChar w:fldCharType="end"/>
            </w:r>
          </w:hyperlink>
        </w:p>
        <w:p w14:paraId="14C8AECF" w14:textId="1C3B128F" w:rsidR="000216E8" w:rsidRPr="00A820CB" w:rsidRDefault="000216E8" w:rsidP="00C53B27">
          <w:pPr>
            <w:pStyle w:val="TOC3"/>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84" w:history="1">
            <w:r w:rsidRPr="00A820CB">
              <w:rPr>
                <w:rStyle w:val="Hyperlink"/>
                <w:rFonts w:ascii="Times New Roman" w:hAnsi="Times New Roman" w:cs="Times New Roman"/>
                <w:noProof/>
                <w:sz w:val="24"/>
                <w:szCs w:val="24"/>
              </w:rPr>
              <w:t>Identification of leading firms and evaluation of their positions</w:t>
            </w:r>
            <w:r w:rsidRPr="00A820CB">
              <w:rPr>
                <w:rFonts w:ascii="Times New Roman" w:hAnsi="Times New Roman" w:cs="Times New Roman"/>
                <w:noProof/>
                <w:webHidden/>
                <w:sz w:val="24"/>
                <w:szCs w:val="24"/>
              </w:rPr>
              <w:tab/>
            </w:r>
            <w:r w:rsidR="004E4E2E">
              <w:rPr>
                <w:rFonts w:ascii="Times New Roman" w:hAnsi="Times New Roman" w:cs="Times New Roman"/>
                <w:noProof/>
                <w:webHidden/>
                <w:sz w:val="24"/>
                <w:szCs w:val="24"/>
              </w:rPr>
              <w:t>5</w:t>
            </w:r>
          </w:hyperlink>
        </w:p>
        <w:p w14:paraId="71E7078C" w14:textId="6FDEB39F" w:rsidR="000216E8" w:rsidRPr="00A820CB" w:rsidRDefault="000216E8" w:rsidP="00C53B27">
          <w:pPr>
            <w:pStyle w:val="TOC2"/>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85" w:history="1">
            <w:r w:rsidRPr="00A820CB">
              <w:rPr>
                <w:rStyle w:val="Hyperlink"/>
                <w:rFonts w:ascii="Times New Roman" w:hAnsi="Times New Roman" w:cs="Times New Roman"/>
                <w:noProof/>
                <w:sz w:val="24"/>
                <w:szCs w:val="24"/>
              </w:rPr>
              <w:t>3. Critically analysing the global competitiveness by using Porter’s Diamond Model</w:t>
            </w:r>
            <w:r w:rsidRPr="00A820CB">
              <w:rPr>
                <w:rFonts w:ascii="Times New Roman" w:hAnsi="Times New Roman" w:cs="Times New Roman"/>
                <w:noProof/>
                <w:webHidden/>
                <w:sz w:val="24"/>
                <w:szCs w:val="24"/>
              </w:rPr>
              <w:tab/>
            </w:r>
            <w:r w:rsidRPr="00A820CB">
              <w:rPr>
                <w:rFonts w:ascii="Times New Roman" w:hAnsi="Times New Roman" w:cs="Times New Roman"/>
                <w:noProof/>
                <w:webHidden/>
                <w:sz w:val="24"/>
                <w:szCs w:val="24"/>
              </w:rPr>
              <w:fldChar w:fldCharType="begin"/>
            </w:r>
            <w:r w:rsidRPr="00A820CB">
              <w:rPr>
                <w:rFonts w:ascii="Times New Roman" w:hAnsi="Times New Roman" w:cs="Times New Roman"/>
                <w:noProof/>
                <w:webHidden/>
                <w:sz w:val="24"/>
                <w:szCs w:val="24"/>
              </w:rPr>
              <w:instrText xml:space="preserve"> PAGEREF _Toc225370685 \h </w:instrText>
            </w:r>
            <w:r w:rsidRPr="00A820CB">
              <w:rPr>
                <w:rFonts w:ascii="Times New Roman" w:hAnsi="Times New Roman" w:cs="Times New Roman"/>
                <w:noProof/>
                <w:webHidden/>
                <w:sz w:val="24"/>
                <w:szCs w:val="24"/>
              </w:rPr>
            </w:r>
            <w:r w:rsidRPr="00A820CB">
              <w:rPr>
                <w:rFonts w:ascii="Times New Roman" w:hAnsi="Times New Roman" w:cs="Times New Roman"/>
                <w:noProof/>
                <w:webHidden/>
                <w:sz w:val="24"/>
                <w:szCs w:val="24"/>
              </w:rPr>
              <w:fldChar w:fldCharType="separate"/>
            </w:r>
            <w:r w:rsidRPr="00A820CB">
              <w:rPr>
                <w:rFonts w:ascii="Times New Roman" w:hAnsi="Times New Roman" w:cs="Times New Roman"/>
                <w:noProof/>
                <w:webHidden/>
                <w:sz w:val="24"/>
                <w:szCs w:val="24"/>
              </w:rPr>
              <w:t>6</w:t>
            </w:r>
            <w:r w:rsidRPr="00A820CB">
              <w:rPr>
                <w:rFonts w:ascii="Times New Roman" w:hAnsi="Times New Roman" w:cs="Times New Roman"/>
                <w:noProof/>
                <w:webHidden/>
                <w:sz w:val="24"/>
                <w:szCs w:val="24"/>
              </w:rPr>
              <w:fldChar w:fldCharType="end"/>
            </w:r>
          </w:hyperlink>
        </w:p>
        <w:p w14:paraId="47198995" w14:textId="3AFE893C" w:rsidR="000216E8" w:rsidRPr="00A820CB" w:rsidRDefault="000216E8" w:rsidP="00C53B27">
          <w:pPr>
            <w:pStyle w:val="TOC2"/>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86" w:history="1">
            <w:r w:rsidRPr="00A820CB">
              <w:rPr>
                <w:rStyle w:val="Hyperlink"/>
                <w:rFonts w:ascii="Times New Roman" w:hAnsi="Times New Roman" w:cs="Times New Roman"/>
                <w:noProof/>
                <w:sz w:val="24"/>
                <w:szCs w:val="24"/>
              </w:rPr>
              <w:t>4. Evaluating influencing factors on the success of Tata Motors’ operations</w:t>
            </w:r>
            <w:r w:rsidRPr="00A820CB">
              <w:rPr>
                <w:rFonts w:ascii="Times New Roman" w:hAnsi="Times New Roman" w:cs="Times New Roman"/>
                <w:noProof/>
                <w:webHidden/>
                <w:sz w:val="24"/>
                <w:szCs w:val="24"/>
              </w:rPr>
              <w:tab/>
            </w:r>
            <w:r w:rsidR="00F84EE6">
              <w:rPr>
                <w:rFonts w:ascii="Times New Roman" w:hAnsi="Times New Roman" w:cs="Times New Roman"/>
                <w:noProof/>
                <w:webHidden/>
                <w:sz w:val="24"/>
                <w:szCs w:val="24"/>
              </w:rPr>
              <w:t>11</w:t>
            </w:r>
          </w:hyperlink>
        </w:p>
        <w:p w14:paraId="39BFFF68" w14:textId="3792402C" w:rsidR="000216E8" w:rsidRPr="00A820CB" w:rsidRDefault="000216E8" w:rsidP="00C53B27">
          <w:pPr>
            <w:pStyle w:val="TOC3"/>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87" w:history="1">
            <w:r w:rsidRPr="00A820CB">
              <w:rPr>
                <w:rStyle w:val="Hyperlink"/>
                <w:rFonts w:ascii="Times New Roman" w:hAnsi="Times New Roman" w:cs="Times New Roman"/>
                <w:noProof/>
                <w:sz w:val="24"/>
                <w:szCs w:val="24"/>
              </w:rPr>
              <w:t>Identification of a major MNC/TNC in the country-industry pair</w:t>
            </w:r>
            <w:r w:rsidRPr="00A820CB">
              <w:rPr>
                <w:rFonts w:ascii="Times New Roman" w:hAnsi="Times New Roman" w:cs="Times New Roman"/>
                <w:noProof/>
                <w:webHidden/>
                <w:sz w:val="24"/>
                <w:szCs w:val="24"/>
              </w:rPr>
              <w:tab/>
            </w:r>
            <w:r w:rsidRPr="00A820CB">
              <w:rPr>
                <w:rFonts w:ascii="Times New Roman" w:hAnsi="Times New Roman" w:cs="Times New Roman"/>
                <w:noProof/>
                <w:webHidden/>
                <w:sz w:val="24"/>
                <w:szCs w:val="24"/>
              </w:rPr>
              <w:fldChar w:fldCharType="begin"/>
            </w:r>
            <w:r w:rsidRPr="00A820CB">
              <w:rPr>
                <w:rFonts w:ascii="Times New Roman" w:hAnsi="Times New Roman" w:cs="Times New Roman"/>
                <w:noProof/>
                <w:webHidden/>
                <w:sz w:val="24"/>
                <w:szCs w:val="24"/>
              </w:rPr>
              <w:instrText xml:space="preserve"> PAGEREF _Toc225370687 \h </w:instrText>
            </w:r>
            <w:r w:rsidRPr="00A820CB">
              <w:rPr>
                <w:rFonts w:ascii="Times New Roman" w:hAnsi="Times New Roman" w:cs="Times New Roman"/>
                <w:noProof/>
                <w:webHidden/>
                <w:sz w:val="24"/>
                <w:szCs w:val="24"/>
              </w:rPr>
            </w:r>
            <w:r w:rsidRPr="00A820CB">
              <w:rPr>
                <w:rFonts w:ascii="Times New Roman" w:hAnsi="Times New Roman" w:cs="Times New Roman"/>
                <w:noProof/>
                <w:webHidden/>
                <w:sz w:val="24"/>
                <w:szCs w:val="24"/>
              </w:rPr>
              <w:fldChar w:fldCharType="separate"/>
            </w:r>
            <w:r w:rsidRPr="00A820CB">
              <w:rPr>
                <w:rFonts w:ascii="Times New Roman" w:hAnsi="Times New Roman" w:cs="Times New Roman"/>
                <w:noProof/>
                <w:webHidden/>
                <w:sz w:val="24"/>
                <w:szCs w:val="24"/>
              </w:rPr>
              <w:t>1</w:t>
            </w:r>
            <w:r w:rsidR="004E4E2E">
              <w:rPr>
                <w:rFonts w:ascii="Times New Roman" w:hAnsi="Times New Roman" w:cs="Times New Roman"/>
                <w:noProof/>
                <w:webHidden/>
                <w:sz w:val="24"/>
                <w:szCs w:val="24"/>
              </w:rPr>
              <w:t>1</w:t>
            </w:r>
            <w:r w:rsidRPr="00A820CB">
              <w:rPr>
                <w:rFonts w:ascii="Times New Roman" w:hAnsi="Times New Roman" w:cs="Times New Roman"/>
                <w:noProof/>
                <w:webHidden/>
                <w:sz w:val="24"/>
                <w:szCs w:val="24"/>
              </w:rPr>
              <w:fldChar w:fldCharType="end"/>
            </w:r>
          </w:hyperlink>
        </w:p>
        <w:p w14:paraId="15B6104D" w14:textId="52FAD1F7" w:rsidR="000216E8" w:rsidRPr="00A820CB" w:rsidRDefault="000216E8" w:rsidP="00C53B27">
          <w:pPr>
            <w:pStyle w:val="TOC3"/>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88" w:history="1">
            <w:r w:rsidRPr="00A820CB">
              <w:rPr>
                <w:rStyle w:val="Hyperlink"/>
                <w:rFonts w:ascii="Times New Roman" w:hAnsi="Times New Roman" w:cs="Times New Roman"/>
                <w:noProof/>
                <w:sz w:val="24"/>
                <w:szCs w:val="24"/>
              </w:rPr>
              <w:t>Evaluating the factors influencing Tata Motors’ operations in India</w:t>
            </w:r>
            <w:r w:rsidRPr="00A820CB">
              <w:rPr>
                <w:rFonts w:ascii="Times New Roman" w:hAnsi="Times New Roman" w:cs="Times New Roman"/>
                <w:noProof/>
                <w:webHidden/>
                <w:sz w:val="24"/>
                <w:szCs w:val="24"/>
              </w:rPr>
              <w:tab/>
            </w:r>
            <w:r w:rsidR="00F84EE6">
              <w:rPr>
                <w:rFonts w:ascii="Times New Roman" w:hAnsi="Times New Roman" w:cs="Times New Roman"/>
                <w:noProof/>
                <w:webHidden/>
                <w:sz w:val="24"/>
                <w:szCs w:val="24"/>
              </w:rPr>
              <w:t>12</w:t>
            </w:r>
          </w:hyperlink>
        </w:p>
        <w:p w14:paraId="049C1372" w14:textId="7144212B" w:rsidR="000216E8" w:rsidRPr="00A820CB" w:rsidRDefault="000216E8" w:rsidP="00C53B27">
          <w:pPr>
            <w:pStyle w:val="TOC3"/>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89" w:history="1">
            <w:r w:rsidRPr="00A820CB">
              <w:rPr>
                <w:rStyle w:val="Hyperlink"/>
                <w:rFonts w:ascii="Times New Roman" w:hAnsi="Times New Roman" w:cs="Times New Roman"/>
                <w:noProof/>
                <w:sz w:val="24"/>
                <w:szCs w:val="24"/>
              </w:rPr>
              <w:t>Cultural factor analysis through Hofstede’s Cultural Dimension Theory</w:t>
            </w:r>
            <w:r w:rsidRPr="00A820CB">
              <w:rPr>
                <w:rFonts w:ascii="Times New Roman" w:hAnsi="Times New Roman" w:cs="Times New Roman"/>
                <w:noProof/>
                <w:webHidden/>
                <w:sz w:val="24"/>
                <w:szCs w:val="24"/>
              </w:rPr>
              <w:tab/>
            </w:r>
            <w:r w:rsidR="00F84EE6">
              <w:rPr>
                <w:rFonts w:ascii="Times New Roman" w:hAnsi="Times New Roman" w:cs="Times New Roman"/>
                <w:noProof/>
                <w:webHidden/>
                <w:sz w:val="24"/>
                <w:szCs w:val="24"/>
              </w:rPr>
              <w:t>14</w:t>
            </w:r>
          </w:hyperlink>
        </w:p>
        <w:p w14:paraId="72A2BC1A" w14:textId="7E1ECDF4" w:rsidR="000216E8" w:rsidRPr="00A820CB" w:rsidRDefault="000216E8" w:rsidP="00C53B27">
          <w:pPr>
            <w:pStyle w:val="TOC3"/>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90" w:history="1">
            <w:r w:rsidRPr="00A820CB">
              <w:rPr>
                <w:rStyle w:val="Hyperlink"/>
                <w:rFonts w:ascii="Times New Roman" w:hAnsi="Times New Roman" w:cs="Times New Roman"/>
                <w:noProof/>
                <w:sz w:val="24"/>
                <w:szCs w:val="24"/>
              </w:rPr>
              <w:t>Overall market attractiveness</w:t>
            </w:r>
            <w:r w:rsidRPr="00A820CB">
              <w:rPr>
                <w:rFonts w:ascii="Times New Roman" w:hAnsi="Times New Roman" w:cs="Times New Roman"/>
                <w:noProof/>
                <w:webHidden/>
                <w:sz w:val="24"/>
                <w:szCs w:val="24"/>
              </w:rPr>
              <w:tab/>
            </w:r>
            <w:r w:rsidR="00F84EE6">
              <w:rPr>
                <w:rFonts w:ascii="Times New Roman" w:hAnsi="Times New Roman" w:cs="Times New Roman"/>
                <w:noProof/>
                <w:webHidden/>
                <w:sz w:val="24"/>
                <w:szCs w:val="24"/>
              </w:rPr>
              <w:t>17</w:t>
            </w:r>
          </w:hyperlink>
        </w:p>
        <w:p w14:paraId="68171A6B" w14:textId="6F3C0A7B" w:rsidR="000216E8" w:rsidRPr="00A820CB" w:rsidRDefault="000216E8" w:rsidP="00C53B27">
          <w:pPr>
            <w:pStyle w:val="TOC2"/>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91" w:history="1">
            <w:r w:rsidRPr="00A820CB">
              <w:rPr>
                <w:rStyle w:val="Hyperlink"/>
                <w:rFonts w:ascii="Times New Roman" w:hAnsi="Times New Roman" w:cs="Times New Roman"/>
                <w:noProof/>
                <w:sz w:val="24"/>
                <w:szCs w:val="24"/>
              </w:rPr>
              <w:t>5. Conclusion</w:t>
            </w:r>
            <w:r w:rsidRPr="00A820CB">
              <w:rPr>
                <w:rFonts w:ascii="Times New Roman" w:hAnsi="Times New Roman" w:cs="Times New Roman"/>
                <w:noProof/>
                <w:webHidden/>
                <w:sz w:val="24"/>
                <w:szCs w:val="24"/>
              </w:rPr>
              <w:tab/>
            </w:r>
            <w:r w:rsidRPr="00A820CB">
              <w:rPr>
                <w:rFonts w:ascii="Times New Roman" w:hAnsi="Times New Roman" w:cs="Times New Roman"/>
                <w:noProof/>
                <w:webHidden/>
                <w:sz w:val="24"/>
                <w:szCs w:val="24"/>
              </w:rPr>
              <w:fldChar w:fldCharType="begin"/>
            </w:r>
            <w:r w:rsidRPr="00A820CB">
              <w:rPr>
                <w:rFonts w:ascii="Times New Roman" w:hAnsi="Times New Roman" w:cs="Times New Roman"/>
                <w:noProof/>
                <w:webHidden/>
                <w:sz w:val="24"/>
                <w:szCs w:val="24"/>
              </w:rPr>
              <w:instrText xml:space="preserve"> PAGEREF _Toc225370691 \h </w:instrText>
            </w:r>
            <w:r w:rsidRPr="00A820CB">
              <w:rPr>
                <w:rFonts w:ascii="Times New Roman" w:hAnsi="Times New Roman" w:cs="Times New Roman"/>
                <w:noProof/>
                <w:webHidden/>
                <w:sz w:val="24"/>
                <w:szCs w:val="24"/>
              </w:rPr>
            </w:r>
            <w:r w:rsidRPr="00A820CB">
              <w:rPr>
                <w:rFonts w:ascii="Times New Roman" w:hAnsi="Times New Roman" w:cs="Times New Roman"/>
                <w:noProof/>
                <w:webHidden/>
                <w:sz w:val="24"/>
                <w:szCs w:val="24"/>
              </w:rPr>
              <w:fldChar w:fldCharType="separate"/>
            </w:r>
            <w:r w:rsidRPr="00A820CB">
              <w:rPr>
                <w:rFonts w:ascii="Times New Roman" w:hAnsi="Times New Roman" w:cs="Times New Roman"/>
                <w:noProof/>
                <w:webHidden/>
                <w:sz w:val="24"/>
                <w:szCs w:val="24"/>
              </w:rPr>
              <w:t>17</w:t>
            </w:r>
            <w:r w:rsidRPr="00A820CB">
              <w:rPr>
                <w:rFonts w:ascii="Times New Roman" w:hAnsi="Times New Roman" w:cs="Times New Roman"/>
                <w:noProof/>
                <w:webHidden/>
                <w:sz w:val="24"/>
                <w:szCs w:val="24"/>
              </w:rPr>
              <w:fldChar w:fldCharType="end"/>
            </w:r>
          </w:hyperlink>
        </w:p>
        <w:p w14:paraId="595D6724" w14:textId="35DC93C3" w:rsidR="000216E8" w:rsidRPr="00A820CB" w:rsidRDefault="000216E8" w:rsidP="00C53B27">
          <w:pPr>
            <w:pStyle w:val="TOC1"/>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92" w:history="1">
            <w:r w:rsidRPr="00A820CB">
              <w:rPr>
                <w:rStyle w:val="Hyperlink"/>
                <w:rFonts w:ascii="Times New Roman" w:hAnsi="Times New Roman" w:cs="Times New Roman"/>
                <w:noProof/>
                <w:sz w:val="24"/>
                <w:szCs w:val="24"/>
              </w:rPr>
              <w:t>Section 2</w:t>
            </w:r>
            <w:r w:rsidRPr="00A820CB">
              <w:rPr>
                <w:rFonts w:ascii="Times New Roman" w:hAnsi="Times New Roman" w:cs="Times New Roman"/>
                <w:noProof/>
                <w:webHidden/>
                <w:sz w:val="24"/>
                <w:szCs w:val="24"/>
              </w:rPr>
              <w:tab/>
            </w:r>
            <w:r w:rsidR="00F84EE6">
              <w:rPr>
                <w:rFonts w:ascii="Times New Roman" w:hAnsi="Times New Roman" w:cs="Times New Roman"/>
                <w:noProof/>
                <w:webHidden/>
                <w:sz w:val="24"/>
                <w:szCs w:val="24"/>
              </w:rPr>
              <w:t>19</w:t>
            </w:r>
          </w:hyperlink>
        </w:p>
        <w:p w14:paraId="6F4ABBF9" w14:textId="69E324FE" w:rsidR="000216E8" w:rsidRPr="00A820CB" w:rsidRDefault="000216E8" w:rsidP="00C53B27">
          <w:pPr>
            <w:pStyle w:val="TOC2"/>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93" w:history="1">
            <w:r w:rsidRPr="00A820CB">
              <w:rPr>
                <w:rStyle w:val="Hyperlink"/>
                <w:rFonts w:ascii="Times New Roman" w:hAnsi="Times New Roman" w:cs="Times New Roman"/>
                <w:noProof/>
                <w:sz w:val="24"/>
                <w:szCs w:val="24"/>
              </w:rPr>
              <w:t>Reflective account by using Gibbs’ Reflective Cycle</w:t>
            </w:r>
            <w:r w:rsidRPr="00A820CB">
              <w:rPr>
                <w:rFonts w:ascii="Times New Roman" w:hAnsi="Times New Roman" w:cs="Times New Roman"/>
                <w:noProof/>
                <w:webHidden/>
                <w:sz w:val="24"/>
                <w:szCs w:val="24"/>
              </w:rPr>
              <w:tab/>
            </w:r>
            <w:r w:rsidR="00F84EE6">
              <w:rPr>
                <w:rFonts w:ascii="Times New Roman" w:hAnsi="Times New Roman" w:cs="Times New Roman"/>
                <w:noProof/>
                <w:webHidden/>
                <w:sz w:val="24"/>
                <w:szCs w:val="24"/>
              </w:rPr>
              <w:t>19</w:t>
            </w:r>
          </w:hyperlink>
        </w:p>
        <w:p w14:paraId="211A2EE1" w14:textId="4C029A64" w:rsidR="000216E8" w:rsidRPr="00A820CB" w:rsidRDefault="000216E8" w:rsidP="00C53B27">
          <w:pPr>
            <w:pStyle w:val="TOC1"/>
            <w:tabs>
              <w:tab w:val="right" w:leader="dot" w:pos="9350"/>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225370694" w:history="1">
            <w:r w:rsidRPr="00A820CB">
              <w:rPr>
                <w:rStyle w:val="Hyperlink"/>
                <w:rFonts w:ascii="Times New Roman" w:hAnsi="Times New Roman" w:cs="Times New Roman"/>
                <w:noProof/>
                <w:sz w:val="24"/>
                <w:szCs w:val="24"/>
              </w:rPr>
              <w:t>References</w:t>
            </w:r>
            <w:r w:rsidRPr="00A820CB">
              <w:rPr>
                <w:rFonts w:ascii="Times New Roman" w:hAnsi="Times New Roman" w:cs="Times New Roman"/>
                <w:noProof/>
                <w:webHidden/>
                <w:sz w:val="24"/>
                <w:szCs w:val="24"/>
              </w:rPr>
              <w:tab/>
            </w:r>
            <w:r w:rsidR="00434C0A">
              <w:rPr>
                <w:rFonts w:ascii="Times New Roman" w:hAnsi="Times New Roman" w:cs="Times New Roman"/>
                <w:noProof/>
                <w:webHidden/>
                <w:sz w:val="24"/>
                <w:szCs w:val="24"/>
              </w:rPr>
              <w:t>23</w:t>
            </w:r>
          </w:hyperlink>
        </w:p>
        <w:p w14:paraId="0485251D" w14:textId="00A0C1C2" w:rsidR="000216E8" w:rsidRPr="00A820CB" w:rsidRDefault="004E4E2E" w:rsidP="004E4E2E">
          <w:pPr>
            <w:pStyle w:val="TOC3"/>
            <w:tabs>
              <w:tab w:val="right" w:leader="dot" w:pos="9350"/>
            </w:tabs>
            <w:spacing w:line="360" w:lineRule="auto"/>
            <w:ind w:left="0"/>
            <w:rPr>
              <w:rFonts w:ascii="Times New Roman" w:eastAsiaTheme="minorEastAsia" w:hAnsi="Times New Roman" w:cs="Times New Roman"/>
              <w:noProof/>
              <w:kern w:val="2"/>
              <w:sz w:val="24"/>
              <w:szCs w:val="24"/>
              <w:lang w:val="en-IN" w:eastAsia="en-GB"/>
              <w14:ligatures w14:val="standardContextual"/>
            </w:rPr>
          </w:pPr>
          <w:r>
            <w:rPr>
              <w:rFonts w:ascii="Times New Roman" w:hAnsi="Times New Roman" w:cs="Times New Roman"/>
            </w:rPr>
            <w:t xml:space="preserve">    </w:t>
          </w:r>
          <w:hyperlink w:anchor="_Toc225370695" w:history="1">
            <w:r w:rsidR="000216E8" w:rsidRPr="00A820CB">
              <w:rPr>
                <w:rStyle w:val="Hyperlink"/>
                <w:rFonts w:ascii="Times New Roman" w:hAnsi="Times New Roman" w:cs="Times New Roman"/>
                <w:noProof/>
                <w:sz w:val="24"/>
                <w:szCs w:val="24"/>
              </w:rPr>
              <w:t>Appendix 1: Identification of leading firms and evaluation of their positions</w:t>
            </w:r>
            <w:r w:rsidR="000216E8" w:rsidRPr="00A820CB">
              <w:rPr>
                <w:rFonts w:ascii="Times New Roman" w:hAnsi="Times New Roman" w:cs="Times New Roman"/>
                <w:noProof/>
                <w:webHidden/>
                <w:sz w:val="24"/>
                <w:szCs w:val="24"/>
              </w:rPr>
              <w:tab/>
            </w:r>
            <w:r w:rsidR="00434C0A">
              <w:rPr>
                <w:rFonts w:ascii="Times New Roman" w:hAnsi="Times New Roman" w:cs="Times New Roman"/>
                <w:noProof/>
                <w:webHidden/>
                <w:sz w:val="24"/>
                <w:szCs w:val="24"/>
              </w:rPr>
              <w:t>29</w:t>
            </w:r>
          </w:hyperlink>
        </w:p>
        <w:p w14:paraId="3153C587" w14:textId="02ED85EE" w:rsidR="006E5165" w:rsidRPr="00A820CB" w:rsidRDefault="006E5165" w:rsidP="00C53B27">
          <w:pPr>
            <w:spacing w:line="360" w:lineRule="auto"/>
            <w:rPr>
              <w:rFonts w:ascii="Times New Roman" w:hAnsi="Times New Roman" w:cs="Times New Roman"/>
              <w:sz w:val="24"/>
              <w:szCs w:val="24"/>
            </w:rPr>
          </w:pPr>
          <w:r w:rsidRPr="00A820CB">
            <w:rPr>
              <w:rFonts w:ascii="Times New Roman" w:hAnsi="Times New Roman" w:cs="Times New Roman"/>
              <w:b/>
              <w:bCs/>
              <w:noProof/>
              <w:sz w:val="24"/>
              <w:szCs w:val="24"/>
            </w:rPr>
            <w:fldChar w:fldCharType="end"/>
          </w:r>
        </w:p>
      </w:sdtContent>
    </w:sdt>
    <w:p w14:paraId="5FCEC38E" w14:textId="77777777" w:rsidR="006E5165" w:rsidRPr="00A820CB" w:rsidRDefault="006E5165" w:rsidP="00C53B27">
      <w:pPr>
        <w:spacing w:line="360" w:lineRule="auto"/>
        <w:rPr>
          <w:rFonts w:ascii="Times New Roman" w:hAnsi="Times New Roman" w:cs="Times New Roman"/>
          <w:b/>
          <w:sz w:val="24"/>
          <w:szCs w:val="24"/>
        </w:rPr>
      </w:pPr>
      <w:r w:rsidRPr="00A820CB">
        <w:rPr>
          <w:rFonts w:ascii="Times New Roman" w:hAnsi="Times New Roman" w:cs="Times New Roman"/>
          <w:sz w:val="24"/>
          <w:szCs w:val="24"/>
        </w:rPr>
        <w:br w:type="page"/>
      </w:r>
    </w:p>
    <w:p w14:paraId="081EB9D5" w14:textId="77777777" w:rsidR="00CF1338" w:rsidRPr="00A820CB" w:rsidRDefault="00CF1338" w:rsidP="00C53B27">
      <w:pPr>
        <w:pStyle w:val="Heading1"/>
        <w:spacing w:line="360" w:lineRule="auto"/>
        <w:rPr>
          <w:rFonts w:ascii="Times New Roman" w:hAnsi="Times New Roman" w:cs="Times New Roman"/>
          <w:szCs w:val="24"/>
        </w:rPr>
      </w:pPr>
      <w:bookmarkStart w:id="0" w:name="_Toc225370679"/>
      <w:r w:rsidRPr="00A820CB">
        <w:rPr>
          <w:rFonts w:ascii="Times New Roman" w:hAnsi="Times New Roman" w:cs="Times New Roman"/>
          <w:szCs w:val="24"/>
        </w:rPr>
        <w:lastRenderedPageBreak/>
        <w:t>Section 1</w:t>
      </w:r>
      <w:bookmarkEnd w:id="0"/>
    </w:p>
    <w:p w14:paraId="1DCBE218" w14:textId="54F73338" w:rsidR="00CF1338" w:rsidRPr="00A820CB" w:rsidRDefault="00CF1338" w:rsidP="000F738B">
      <w:pPr>
        <w:pStyle w:val="Heading2"/>
        <w:spacing w:before="0" w:line="360" w:lineRule="auto"/>
        <w:rPr>
          <w:rFonts w:ascii="Times New Roman" w:hAnsi="Times New Roman" w:cs="Times New Roman"/>
          <w:szCs w:val="24"/>
        </w:rPr>
      </w:pPr>
      <w:bookmarkStart w:id="1" w:name="_Toc225370680"/>
      <w:r w:rsidRPr="00A820CB">
        <w:rPr>
          <w:rFonts w:ascii="Times New Roman" w:hAnsi="Times New Roman" w:cs="Times New Roman"/>
          <w:szCs w:val="24"/>
        </w:rPr>
        <w:t>1. Introduction</w:t>
      </w:r>
      <w:bookmarkEnd w:id="1"/>
      <w:r w:rsidRPr="00A820CB">
        <w:rPr>
          <w:rFonts w:ascii="Times New Roman" w:hAnsi="Times New Roman" w:cs="Times New Roman"/>
          <w:szCs w:val="24"/>
        </w:rPr>
        <w:t xml:space="preserve"> </w:t>
      </w:r>
    </w:p>
    <w:p w14:paraId="418D48AB" w14:textId="77777777" w:rsidR="00617561" w:rsidRPr="00A820CB" w:rsidRDefault="00F87A91" w:rsidP="00C53B27">
      <w:pPr>
        <w:spacing w:line="360" w:lineRule="auto"/>
        <w:jc w:val="both"/>
        <w:rPr>
          <w:rFonts w:ascii="Times New Roman" w:hAnsi="Times New Roman" w:cs="Times New Roman"/>
          <w:sz w:val="24"/>
          <w:szCs w:val="24"/>
        </w:rPr>
      </w:pPr>
      <w:r w:rsidRPr="00A820CB">
        <w:rPr>
          <w:rFonts w:ascii="Times New Roman" w:hAnsi="Times New Roman" w:cs="Times New Roman"/>
          <w:sz w:val="24"/>
          <w:szCs w:val="24"/>
        </w:rPr>
        <w:t xml:space="preserve">The report aims to identify the intensity of industry competitiveness in the Indian automobile market and evaluate the environmental factors which influence organisational competencies in navigating globalised and institutionally complex markets. This report will outline the industry conditions and identify potential opportunities by analysing the strategic comparisons between multiple domestic and international companies. By applying </w:t>
      </w:r>
      <w:r w:rsidRPr="00A820CB">
        <w:rPr>
          <w:rFonts w:ascii="Times New Roman" w:hAnsi="Times New Roman" w:cs="Times New Roman"/>
          <w:i/>
          <w:iCs/>
          <w:sz w:val="24"/>
          <w:szCs w:val="24"/>
        </w:rPr>
        <w:t>Porter’s Diamond Model,</w:t>
      </w:r>
      <w:r w:rsidRPr="00A820CB">
        <w:rPr>
          <w:rFonts w:ascii="Times New Roman" w:hAnsi="Times New Roman" w:cs="Times New Roman"/>
          <w:sz w:val="24"/>
          <w:szCs w:val="24"/>
        </w:rPr>
        <w:t xml:space="preserve"> the report will recognise the global competitiveness of the Indian automotive industry. From India-automobile industry pair, Tata Motors has been selected for its consistent performance and contribution to the industry growth, to demonstrate environmental influence on its strategic decision-making. Tata Motors integrates future-ready technologies, such as hydrogen-powered internal combustion engines and battery electric powertrains, alongside leaner designs that are capable of navigating market changes and enhancing its competency to impose strong competition to the existing companies (Tata Motors, 2026b). Moreover, the analysis of different environmental factors will help to understand their influence on Tata Motors’ strategic changes. Lastly, to conclude, a reflective account, by integrating </w:t>
      </w:r>
      <w:r w:rsidRPr="00A820CB">
        <w:rPr>
          <w:rFonts w:ascii="Times New Roman" w:hAnsi="Times New Roman" w:cs="Times New Roman"/>
          <w:i/>
          <w:iCs/>
          <w:sz w:val="24"/>
          <w:szCs w:val="24"/>
        </w:rPr>
        <w:t>Gibbs’ Reflective Cycle</w:t>
      </w:r>
      <w:r w:rsidRPr="00A820CB">
        <w:rPr>
          <w:rFonts w:ascii="Times New Roman" w:hAnsi="Times New Roman" w:cs="Times New Roman"/>
          <w:sz w:val="24"/>
          <w:szCs w:val="24"/>
        </w:rPr>
        <w:t xml:space="preserve">, will be conducted. </w:t>
      </w:r>
    </w:p>
    <w:p w14:paraId="7CCFFD66" w14:textId="51583F9D" w:rsidR="00CF1338" w:rsidRPr="00A820CB" w:rsidRDefault="00CF1338" w:rsidP="00C53B27">
      <w:pPr>
        <w:pStyle w:val="Heading2"/>
        <w:spacing w:line="360" w:lineRule="auto"/>
        <w:rPr>
          <w:rFonts w:ascii="Times New Roman" w:hAnsi="Times New Roman" w:cs="Times New Roman"/>
          <w:szCs w:val="24"/>
        </w:rPr>
      </w:pPr>
      <w:bookmarkStart w:id="2" w:name="_Toc225370681"/>
      <w:r w:rsidRPr="00A820CB">
        <w:rPr>
          <w:rFonts w:ascii="Times New Roman" w:hAnsi="Times New Roman" w:cs="Times New Roman"/>
          <w:szCs w:val="24"/>
        </w:rPr>
        <w:t>2. Industry and Country Overview</w:t>
      </w:r>
      <w:bookmarkEnd w:id="2"/>
      <w:r w:rsidRPr="00A820CB">
        <w:rPr>
          <w:rFonts w:ascii="Times New Roman" w:hAnsi="Times New Roman" w:cs="Times New Roman"/>
          <w:szCs w:val="24"/>
        </w:rPr>
        <w:t xml:space="preserve"> </w:t>
      </w:r>
    </w:p>
    <w:p w14:paraId="52393999" w14:textId="77777777" w:rsidR="00CF1338" w:rsidRPr="00A820CB" w:rsidRDefault="00CF1338" w:rsidP="00C53B27">
      <w:pPr>
        <w:pStyle w:val="Heading3"/>
        <w:spacing w:line="360" w:lineRule="auto"/>
        <w:rPr>
          <w:rFonts w:ascii="Times New Roman" w:hAnsi="Times New Roman" w:cs="Times New Roman"/>
          <w:szCs w:val="24"/>
        </w:rPr>
      </w:pPr>
      <w:bookmarkStart w:id="3" w:name="_Toc225370682"/>
      <w:r w:rsidRPr="00A820CB">
        <w:rPr>
          <w:rFonts w:ascii="Times New Roman" w:hAnsi="Times New Roman" w:cs="Times New Roman"/>
          <w:szCs w:val="24"/>
        </w:rPr>
        <w:t>Introduction of the industry</w:t>
      </w:r>
      <w:bookmarkEnd w:id="3"/>
    </w:p>
    <w:p w14:paraId="439E6E05" w14:textId="77777777" w:rsidR="00F87A91" w:rsidRPr="00A820CB" w:rsidRDefault="00F87A91" w:rsidP="00C53B27">
      <w:pPr>
        <w:spacing w:line="360" w:lineRule="auto"/>
        <w:jc w:val="both"/>
        <w:rPr>
          <w:rFonts w:ascii="Times New Roman" w:hAnsi="Times New Roman" w:cs="Times New Roman"/>
          <w:sz w:val="24"/>
          <w:szCs w:val="24"/>
        </w:rPr>
      </w:pPr>
      <w:r w:rsidRPr="00A820CB">
        <w:rPr>
          <w:rFonts w:ascii="Times New Roman" w:hAnsi="Times New Roman" w:cs="Times New Roman"/>
          <w:sz w:val="24"/>
          <w:szCs w:val="24"/>
        </w:rPr>
        <w:t xml:space="preserve">Indian real GDP has been forecasted to increase at a rate of 7.4% in FY 2025-26 compared to the 6.5% in FY 2024-25 (MoSPI.gov.in, 2026). The country will be home to almost 600 million by 2036 (World Bank Group, 2024). Due to rapid urbanisation, vehicle demands are increasing faster, and the Indian automobile industry has been a long-term reliable economic contributor to the national economy through its macroeconomic performance and advanced technological integrations. Contrarily, the Indian inflation rate has surged to 3.21% in February 2026, up 2.74% in January (Trading Economics, 2026). Rising inflation may increase vehicle prices and limit buyer power in the respective industry. Despite this, the automobile manufacturing industry has been considered a leading auto exporter in the global market with a higher growth potential (IBEF, 2026). Therefore, the industry has been chosen for its growing demands, economic growth and increasing competitiveness. </w:t>
      </w:r>
    </w:p>
    <w:p w14:paraId="7863930C" w14:textId="377CA3A3" w:rsidR="00CF1338" w:rsidRPr="00A820CB" w:rsidRDefault="00CF1338" w:rsidP="00C53B27">
      <w:pPr>
        <w:pStyle w:val="Heading3"/>
        <w:spacing w:line="360" w:lineRule="auto"/>
        <w:rPr>
          <w:rFonts w:ascii="Times New Roman" w:hAnsi="Times New Roman" w:cs="Times New Roman"/>
          <w:szCs w:val="24"/>
        </w:rPr>
      </w:pPr>
      <w:bookmarkStart w:id="4" w:name="_Toc225370683"/>
      <w:r w:rsidRPr="00A820CB">
        <w:rPr>
          <w:rFonts w:ascii="Times New Roman" w:hAnsi="Times New Roman" w:cs="Times New Roman"/>
          <w:szCs w:val="24"/>
        </w:rPr>
        <w:lastRenderedPageBreak/>
        <w:t>Industry overview</w:t>
      </w:r>
      <w:bookmarkEnd w:id="4"/>
    </w:p>
    <w:p w14:paraId="5671E4A6" w14:textId="567BD5B4" w:rsidR="00CF1338" w:rsidRPr="00A820CB" w:rsidRDefault="00CF1338" w:rsidP="00282092">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Industry size:</w:t>
      </w:r>
      <w:r w:rsidRPr="00A820CB">
        <w:rPr>
          <w:rFonts w:ascii="Times New Roman" w:eastAsia="Times New Roman" w:hAnsi="Times New Roman" w:cs="Times New Roman"/>
          <w:sz w:val="24"/>
          <w:szCs w:val="24"/>
        </w:rPr>
        <w:t xml:space="preserve"> The Indian automobile industry is seeing a high surge of growth in recent years due to the increase in middle-class income and young populations, while focusing strongly on the production of electric vehicles to reduce emissions (IBEF, 2026). As of the fiscal year 2024-2025 report, the Indian automobile industry has generated a turnover of around $240 billion through an exceeding growth of automobile exports of around 5.3 million units (Invest India, 2026).</w:t>
      </w:r>
    </w:p>
    <w:p w14:paraId="6A5DA6F1" w14:textId="05952559" w:rsidR="00CF1338" w:rsidRPr="00A820CB" w:rsidRDefault="00282092"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noProof/>
          <w:sz w:val="24"/>
          <w:szCs w:val="24"/>
        </w:rPr>
        <w:drawing>
          <wp:inline distT="0" distB="0" distL="0" distR="0" wp14:anchorId="45C68BAB" wp14:editId="18E095F8">
            <wp:extent cx="5943600" cy="3674110"/>
            <wp:effectExtent l="19050" t="19050" r="19050" b="21590"/>
            <wp:docPr id="826325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325426" name=""/>
                    <pic:cNvPicPr/>
                  </pic:nvPicPr>
                  <pic:blipFill>
                    <a:blip r:embed="rId9"/>
                    <a:stretch>
                      <a:fillRect/>
                    </a:stretch>
                  </pic:blipFill>
                  <pic:spPr>
                    <a:xfrm>
                      <a:off x="0" y="0"/>
                      <a:ext cx="5943600" cy="3674110"/>
                    </a:xfrm>
                    <a:prstGeom prst="rect">
                      <a:avLst/>
                    </a:prstGeom>
                    <a:ln w="9525">
                      <a:solidFill>
                        <a:schemeClr val="tx1"/>
                      </a:solidFill>
                    </a:ln>
                  </pic:spPr>
                </pic:pic>
              </a:graphicData>
            </a:graphic>
          </wp:inline>
        </w:drawing>
      </w:r>
    </w:p>
    <w:p w14:paraId="25DA684F" w14:textId="77777777" w:rsidR="00CF1338" w:rsidRPr="00A820CB" w:rsidRDefault="00CF1338"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Figure 1: Automobile sales in India </w:t>
      </w:r>
    </w:p>
    <w:p w14:paraId="46E062BC" w14:textId="77777777" w:rsidR="00CF1338" w:rsidRPr="00A820CB" w:rsidRDefault="00CF1338"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(source: Sasu, 2025)</w:t>
      </w:r>
    </w:p>
    <w:p w14:paraId="29389D71"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The market is mostly occupied by the two-wheelers and passenger vehicles, and the growing number of sales of different automobile segments is indicating potential market expansions (Sasu, 2025).</w:t>
      </w:r>
    </w:p>
    <w:p w14:paraId="7BFCB50A" w14:textId="0E55A1B3"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Scopes:</w:t>
      </w:r>
      <w:r w:rsidRPr="00A820CB">
        <w:rPr>
          <w:rFonts w:ascii="Times New Roman" w:eastAsia="Times New Roman" w:hAnsi="Times New Roman" w:cs="Times New Roman"/>
          <w:sz w:val="24"/>
          <w:szCs w:val="24"/>
        </w:rPr>
        <w:t xml:space="preserve"> India is advancing in sustainable automobile manufacturing, which is evidenced through the 5.3 million EV registrations in August 2025 (Invest India, 2026). The market is focusing on shifting towards EV production through the governmental intervention, ‘PM E-DRIVE’ scheme of 2024-2026, with a budget of ₹10,900 </w:t>
      </w:r>
      <w:r w:rsidR="004D794C" w:rsidRPr="00A820CB">
        <w:rPr>
          <w:rFonts w:ascii="Times New Roman" w:eastAsia="Times New Roman" w:hAnsi="Times New Roman" w:cs="Times New Roman"/>
          <w:sz w:val="24"/>
          <w:szCs w:val="24"/>
        </w:rPr>
        <w:t>crores</w:t>
      </w:r>
      <w:r w:rsidRPr="00A820CB">
        <w:rPr>
          <w:rFonts w:ascii="Times New Roman" w:eastAsia="Times New Roman" w:hAnsi="Times New Roman" w:cs="Times New Roman"/>
          <w:sz w:val="24"/>
          <w:szCs w:val="24"/>
        </w:rPr>
        <w:t xml:space="preserve">. Consequently, India will lead the global EV market by 2030 through an investment of $200 billion in the next 5 years with a forecasted revenue of </w:t>
      </w:r>
      <w:r w:rsidRPr="00A820CB">
        <w:rPr>
          <w:rFonts w:ascii="Times New Roman" w:eastAsia="Times New Roman" w:hAnsi="Times New Roman" w:cs="Times New Roman"/>
          <w:sz w:val="24"/>
          <w:szCs w:val="24"/>
        </w:rPr>
        <w:lastRenderedPageBreak/>
        <w:t xml:space="preserve">around ₹20,00,000 </w:t>
      </w:r>
      <w:r w:rsidR="004D794C" w:rsidRPr="00A820CB">
        <w:rPr>
          <w:rFonts w:ascii="Times New Roman" w:eastAsia="Times New Roman" w:hAnsi="Times New Roman" w:cs="Times New Roman"/>
          <w:sz w:val="24"/>
          <w:szCs w:val="24"/>
        </w:rPr>
        <w:t>crores</w:t>
      </w:r>
      <w:r w:rsidRPr="00A820CB">
        <w:rPr>
          <w:rFonts w:ascii="Times New Roman" w:eastAsia="Times New Roman" w:hAnsi="Times New Roman" w:cs="Times New Roman"/>
          <w:sz w:val="24"/>
          <w:szCs w:val="24"/>
        </w:rPr>
        <w:t xml:space="preserve"> and creating 5 crore new jobs (IBEF, 2026). Apart from that, through the PLI-Auto scheme of ₹25,938 Crore, the Indian government has emphasised optimising technological capabilities of the automobile industry and producing more Advanced Automotive Technology (AAT) products (pib.gov, 2025). This initiative will enhance the improvement of EVs and hydrogen Fuel-Cell components, which will influence automobile companies to enhance infrastructure and ensure global competitive strength. Moreover, the market has attracted $37 billion in FDI over 25 years, which is highly effective for attracting investors (Invest India, 2026). Contrarily, the Middle East conflict may invade the Indian automobile market by restricting exports, increasing freight costs and raw material prices in the coming years (Suresh, 2026). However, high FDI and investors’ engagement may strengthen the funding structure for human resource management, technology upgradation and ensure economic expansion across the market.  </w:t>
      </w:r>
    </w:p>
    <w:p w14:paraId="28BA3B4B"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Economic importance:</w:t>
      </w:r>
      <w:r w:rsidRPr="00A820CB">
        <w:rPr>
          <w:rFonts w:ascii="Times New Roman" w:eastAsia="Times New Roman" w:hAnsi="Times New Roman" w:cs="Times New Roman"/>
          <w:sz w:val="24"/>
          <w:szCs w:val="24"/>
        </w:rPr>
        <w:t xml:space="preserve"> India is aiming to become a $5 trillion economy, and in this journey, the automobile industry has become a major contributor in terms of GDP, exports and employment activities (ET Auto, 2025). As per the FY 2023-2024 report, the automobile industry contributes almost 6% of Indian GDP by generating exports of 4.5 million units, including each vehicle category (pib.gov, 2025). With its high growth potential and aim to become the largest EV market, the Indian automobile industry will boost the Indian economy in the long-term.</w:t>
      </w:r>
    </w:p>
    <w:p w14:paraId="0B816D10" w14:textId="77777777" w:rsidR="00CF1338" w:rsidRPr="00A820CB" w:rsidRDefault="00CF1338" w:rsidP="00C53B27">
      <w:pPr>
        <w:pStyle w:val="Heading3"/>
        <w:spacing w:line="360" w:lineRule="auto"/>
        <w:rPr>
          <w:rFonts w:ascii="Times New Roman" w:hAnsi="Times New Roman" w:cs="Times New Roman"/>
          <w:szCs w:val="24"/>
        </w:rPr>
      </w:pPr>
      <w:bookmarkStart w:id="5" w:name="_Toc225370684"/>
      <w:r w:rsidRPr="00A820CB">
        <w:rPr>
          <w:rFonts w:ascii="Times New Roman" w:hAnsi="Times New Roman" w:cs="Times New Roman"/>
          <w:szCs w:val="24"/>
        </w:rPr>
        <w:t>Identification of leading firms and evaluation of their positions</w:t>
      </w:r>
      <w:bookmarkEnd w:id="5"/>
    </w:p>
    <w:p w14:paraId="7F41B6DB"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The Indian automobile market is highly competitive due to the ruling domestic and international firms, such as Tata Motors, Mahindra&amp;Mahindra, Hindustan Motors, Hyundai Motor Company and Toyota Motor Corporation. </w:t>
      </w:r>
    </w:p>
    <w:p w14:paraId="1710EAAB" w14:textId="1977ABBE"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Tata Motors, Mahindra&amp;Mahindra and Hindustan Motors are leading companies in the Indian automobile market with strong global presence [Refer to Appendix</w:t>
      </w:r>
      <w:r w:rsidR="000216E8" w:rsidRPr="00A820CB">
        <w:rPr>
          <w:rFonts w:ascii="Times New Roman" w:eastAsia="Times New Roman" w:hAnsi="Times New Roman" w:cs="Times New Roman"/>
          <w:sz w:val="24"/>
          <w:szCs w:val="24"/>
        </w:rPr>
        <w:t xml:space="preserve"> 1</w:t>
      </w:r>
      <w:r w:rsidRPr="00A820CB">
        <w:rPr>
          <w:rFonts w:ascii="Times New Roman" w:eastAsia="Times New Roman" w:hAnsi="Times New Roman" w:cs="Times New Roman"/>
          <w:sz w:val="24"/>
          <w:szCs w:val="24"/>
        </w:rPr>
        <w:t xml:space="preserve">]. Mahindra&amp;Mahindra has focused on improving quality and designs while fostering innovation, which aligns with the growing EV demands in the Indian market and meets sustainability goals. Its vehicle range consists mostly of EVs, whereas it is electrifying its SUVs and </w:t>
      </w:r>
      <w:r w:rsidR="004D794C" w:rsidRPr="00A820CB">
        <w:rPr>
          <w:rFonts w:ascii="Times New Roman" w:eastAsia="Times New Roman" w:hAnsi="Times New Roman" w:cs="Times New Roman"/>
          <w:sz w:val="24"/>
          <w:szCs w:val="24"/>
        </w:rPr>
        <w:t>Hyper car</w:t>
      </w:r>
      <w:r w:rsidRPr="00A820CB">
        <w:rPr>
          <w:rFonts w:ascii="Times New Roman" w:eastAsia="Times New Roman" w:hAnsi="Times New Roman" w:cs="Times New Roman"/>
          <w:sz w:val="24"/>
          <w:szCs w:val="24"/>
        </w:rPr>
        <w:t xml:space="preserve"> segments as well (Mahindra, 2026a). On the other hand, Hindustan Motors has a limited range of vehicles, largely focused on the Ambassador, which is renowned for its elegance, comfort and classy design (Hindustan Motors, 2026a). Contrastingly, both Toyota and Hyundai have a primary focus on technological </w:t>
      </w:r>
      <w:r w:rsidRPr="00A820CB">
        <w:rPr>
          <w:rFonts w:ascii="Times New Roman" w:eastAsia="Times New Roman" w:hAnsi="Times New Roman" w:cs="Times New Roman"/>
          <w:sz w:val="24"/>
          <w:szCs w:val="24"/>
        </w:rPr>
        <w:lastRenderedPageBreak/>
        <w:t xml:space="preserve">integration by leveraging the emergence of advanced automobile technologies. Toyota is transforming operations and infrastructure by integrating </w:t>
      </w:r>
      <w:r w:rsidR="004D794C" w:rsidRPr="00A820CB">
        <w:rPr>
          <w:rFonts w:ascii="Times New Roman" w:eastAsia="Times New Roman" w:hAnsi="Times New Roman" w:cs="Times New Roman"/>
          <w:sz w:val="24"/>
          <w:szCs w:val="24"/>
        </w:rPr>
        <w:t>gig cast</w:t>
      </w:r>
      <w:r w:rsidRPr="00A820CB">
        <w:rPr>
          <w:rFonts w:ascii="Times New Roman" w:eastAsia="Times New Roman" w:hAnsi="Times New Roman" w:cs="Times New Roman"/>
          <w:sz w:val="24"/>
          <w:szCs w:val="24"/>
        </w:rPr>
        <w:t xml:space="preserve"> technology, a self-propelling production line, and next-gen batteries (Toyota, 2023) [Refer to Appendix</w:t>
      </w:r>
      <w:r w:rsidR="000216E8" w:rsidRPr="00A820CB">
        <w:rPr>
          <w:rFonts w:ascii="Times New Roman" w:eastAsia="Times New Roman" w:hAnsi="Times New Roman" w:cs="Times New Roman"/>
          <w:sz w:val="24"/>
          <w:szCs w:val="24"/>
        </w:rPr>
        <w:t xml:space="preserve"> 1</w:t>
      </w:r>
      <w:r w:rsidRPr="00A820CB">
        <w:rPr>
          <w:rFonts w:ascii="Times New Roman" w:eastAsia="Times New Roman" w:hAnsi="Times New Roman" w:cs="Times New Roman"/>
          <w:sz w:val="24"/>
          <w:szCs w:val="24"/>
        </w:rPr>
        <w:t>]. Hyundai has prioritised technological transformation across operations, production and supply chain by integrating the power of robotics (Hyundai, 2026a). Whereas, Tata Motors’ next-gen technologies and ‘software on wheels’ are not equivalent to the competitors’ tech strategies.  Despite this, the company has a high adaptability power which helps to cope with shifts in the global market in terms of regulations, trading, customer demands and economy. Ambience, resilience, complexity navigation and technological shifts have helped Tata Motors to secure a place in the first 10 global automobile companies (Tata Motors, 2025).  </w:t>
      </w:r>
    </w:p>
    <w:p w14:paraId="59EF8349" w14:textId="79B8CB71" w:rsidR="00CF1338" w:rsidRPr="00A820CB" w:rsidRDefault="00CF1338" w:rsidP="00C53B27">
      <w:pPr>
        <w:pStyle w:val="Heading2"/>
        <w:spacing w:line="360" w:lineRule="auto"/>
        <w:rPr>
          <w:rFonts w:ascii="Times New Roman" w:hAnsi="Times New Roman" w:cs="Times New Roman"/>
          <w:szCs w:val="24"/>
        </w:rPr>
      </w:pPr>
      <w:bookmarkStart w:id="6" w:name="_Toc225370685"/>
      <w:r w:rsidRPr="00A820CB">
        <w:rPr>
          <w:rFonts w:ascii="Times New Roman" w:hAnsi="Times New Roman" w:cs="Times New Roman"/>
          <w:szCs w:val="24"/>
        </w:rPr>
        <w:t>3. Critically analysing the global competitiveness by using Porter’s Diamond Model</w:t>
      </w:r>
      <w:bookmarkEnd w:id="6"/>
      <w:r w:rsidRPr="00A820CB">
        <w:rPr>
          <w:rFonts w:ascii="Times New Roman" w:hAnsi="Times New Roman" w:cs="Times New Roman"/>
          <w:szCs w:val="24"/>
        </w:rPr>
        <w:t xml:space="preserve"> </w:t>
      </w:r>
    </w:p>
    <w:p w14:paraId="548C5EA9"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Factor Condition</w:t>
      </w:r>
    </w:p>
    <w:p w14:paraId="28185CC0" w14:textId="60FAB863"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The Indian automobile market is emerging robustly to become an EV leader </w:t>
      </w:r>
      <w:r w:rsidR="004D794C" w:rsidRPr="00A820CB">
        <w:rPr>
          <w:rFonts w:ascii="Times New Roman" w:eastAsia="Times New Roman" w:hAnsi="Times New Roman" w:cs="Times New Roman"/>
          <w:sz w:val="24"/>
          <w:szCs w:val="24"/>
        </w:rPr>
        <w:t>in the</w:t>
      </w:r>
      <w:r w:rsidRPr="00A820CB">
        <w:rPr>
          <w:rFonts w:ascii="Times New Roman" w:eastAsia="Times New Roman" w:hAnsi="Times New Roman" w:cs="Times New Roman"/>
          <w:sz w:val="24"/>
          <w:szCs w:val="24"/>
        </w:rPr>
        <w:t xml:space="preserve"> global market.  Indian Government's Viksit Bharat vision policy and youth-centric interventions have resulted in a growth of employment in 2023-2024 to 64.33 crore (PIB, 2025). Moreover, the Indian National Automotive Skill Development Council (NSDC) has emphasised enhancing automotive skills among the young people </w:t>
      </w:r>
      <w:r w:rsidRPr="00A820CB">
        <w:rPr>
          <w:rFonts w:ascii="Times New Roman" w:eastAsia="Times New Roman" w:hAnsi="Times New Roman" w:cs="Times New Roman"/>
          <w:bCs/>
          <w:sz w:val="24"/>
          <w:szCs w:val="24"/>
        </w:rPr>
        <w:t>for their career advancements and industrial benefits</w:t>
      </w:r>
      <w:r w:rsidRPr="00A820CB">
        <w:rPr>
          <w:rFonts w:ascii="Times New Roman" w:eastAsia="Times New Roman" w:hAnsi="Times New Roman" w:cs="Times New Roman"/>
          <w:sz w:val="24"/>
          <w:szCs w:val="24"/>
        </w:rPr>
        <w:t xml:space="preserve"> (NSDC, 2022). Transport is considered a major contributor to India’s total pollution, which is increasing concerns and compelled the government to focus on EV productions to control emissions (World Resources Institute, 2025). But Indian automobile companies are facing challenges due to insufficient charging infrastructure, domestic manufacturing process and policy coordination (Mukherjee, 2026). Comparably, the global labour market is being disrupted by the unemployment rate, which has reached 6.6% since 2020 (World Economic Forum, 2025).</w:t>
      </w:r>
      <w:r w:rsidR="004E4E2E" w:rsidRPr="004E4E2E">
        <w:t xml:space="preserve"> </w:t>
      </w:r>
      <w:r w:rsidR="004E4E2E" w:rsidRPr="004E4E2E">
        <w:rPr>
          <w:rFonts w:ascii="Times New Roman" w:hAnsi="Times New Roman" w:cs="Times New Roman"/>
        </w:rPr>
        <w:t>Global climate conditions are a powerful influencing factor in the automobile industry in terms of product innovation, strategic moves and technology adoptions</w:t>
      </w:r>
      <w:r w:rsidR="004E4E2E" w:rsidRPr="004E4E2E">
        <w:rPr>
          <w:rFonts w:ascii="Times New Roman" w:hAnsi="Times New Roman" w:cs="Times New Roman"/>
        </w:rPr>
        <w:t>.</w:t>
      </w:r>
      <w:r w:rsidR="004E4E2E">
        <w:t xml:space="preserve"> </w:t>
      </w:r>
      <w:r w:rsidRPr="00A820CB">
        <w:rPr>
          <w:rFonts w:ascii="Times New Roman" w:eastAsia="Times New Roman" w:hAnsi="Times New Roman" w:cs="Times New Roman"/>
          <w:sz w:val="24"/>
          <w:szCs w:val="24"/>
        </w:rPr>
        <w:t>A disrupted climate is increasing the needs and developments for ICVs and EVs for broader consumption (Vidovic, 2021). Although the ICVs are not completely replaced by EVs, the demand is increasing, which has influenced automobile companies to focus on manufacturing EVs to meet sustainable goals and reduce climate change. Therefore, the abundance of a skilled workforce has accelerated the growth of the Indian automobile industry and increased readiness to expand in the global market by navigating the labour market challenge. </w:t>
      </w:r>
    </w:p>
    <w:p w14:paraId="49AB060B"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lastRenderedPageBreak/>
        <w:t>Demand Condition</w:t>
      </w:r>
    </w:p>
    <w:p w14:paraId="4113BB19" w14:textId="56BF39B3"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The Indian automobile</w:t>
      </w:r>
      <w:r w:rsidR="004E4E2E">
        <w:rPr>
          <w:rFonts w:ascii="Times New Roman" w:eastAsia="Times New Roman" w:hAnsi="Times New Roman" w:cs="Times New Roman"/>
          <w:sz w:val="24"/>
          <w:szCs w:val="24"/>
        </w:rPr>
        <w:t>-</w:t>
      </w:r>
      <w:r w:rsidRPr="00A820CB">
        <w:rPr>
          <w:rFonts w:ascii="Times New Roman" w:eastAsia="Times New Roman" w:hAnsi="Times New Roman" w:cs="Times New Roman"/>
          <w:sz w:val="24"/>
          <w:szCs w:val="24"/>
        </w:rPr>
        <w:t>market is one of the largest markets across the globe, with a constant upward-moving demand for vehicles, especially two-wheelers. </w:t>
      </w:r>
    </w:p>
    <w:p w14:paraId="2CFD8586" w14:textId="7AB1E4F2" w:rsidR="00CF1338" w:rsidRPr="00A820CB" w:rsidRDefault="00094F38"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noProof/>
          <w:sz w:val="24"/>
          <w:szCs w:val="24"/>
        </w:rPr>
        <w:drawing>
          <wp:inline distT="0" distB="0" distL="0" distR="0" wp14:anchorId="15A91DBD" wp14:editId="316ADB7E">
            <wp:extent cx="5665787" cy="3162300"/>
            <wp:effectExtent l="19050" t="19050" r="11430" b="19050"/>
            <wp:docPr id="2032122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122514" name=""/>
                    <pic:cNvPicPr/>
                  </pic:nvPicPr>
                  <pic:blipFill>
                    <a:blip r:embed="rId10"/>
                    <a:stretch>
                      <a:fillRect/>
                    </a:stretch>
                  </pic:blipFill>
                  <pic:spPr>
                    <a:xfrm>
                      <a:off x="0" y="0"/>
                      <a:ext cx="5679513" cy="3169961"/>
                    </a:xfrm>
                    <a:prstGeom prst="rect">
                      <a:avLst/>
                    </a:prstGeom>
                    <a:ln>
                      <a:solidFill>
                        <a:schemeClr val="tx1"/>
                      </a:solidFill>
                    </a:ln>
                  </pic:spPr>
                </pic:pic>
              </a:graphicData>
            </a:graphic>
          </wp:inline>
        </w:drawing>
      </w:r>
    </w:p>
    <w:p w14:paraId="14F83E8C" w14:textId="77777777" w:rsidR="00CF1338" w:rsidRPr="00A820CB" w:rsidRDefault="00CF1338"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Figure 2: Automobile sales by segment in 2025</w:t>
      </w:r>
    </w:p>
    <w:p w14:paraId="128444AC" w14:textId="77777777" w:rsidR="00CF1338" w:rsidRPr="00A820CB" w:rsidRDefault="00CF1338"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(source: Statista, 2025a)</w:t>
      </w:r>
    </w:p>
    <w:p w14:paraId="3E260BB1" w14:textId="701E8799" w:rsidR="00B152F1" w:rsidRPr="00A820CB" w:rsidRDefault="00CF1338" w:rsidP="00B152F1">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The Indian automobile industry has produced almost 24 million two-wheelers in 2025, which has occupied almost 72% of the total production (Statista, 2025a). India has a population of around 1.4 billion with a low per capita income, which led the country to the bottom line of the global affordability index and increased price sensitivity of the buyers (Kearney 100, 2025). </w:t>
      </w:r>
      <w:r w:rsidR="004E4E2E" w:rsidRPr="004E4E2E">
        <w:rPr>
          <w:rFonts w:ascii="Times New Roman" w:eastAsia="Times New Roman" w:hAnsi="Times New Roman" w:cs="Times New Roman"/>
          <w:sz w:val="24"/>
          <w:szCs w:val="24"/>
        </w:rPr>
        <w:t>Growing demand for personal mobility and affordable vehicles has made two-wheelers a practical solution.</w:t>
      </w:r>
    </w:p>
    <w:p w14:paraId="1C654E90" w14:textId="2B88E781" w:rsidR="00CF1338" w:rsidRPr="00A820CB" w:rsidRDefault="00B152F1" w:rsidP="004E4E2E">
      <w:pPr>
        <w:spacing w:line="360" w:lineRule="auto"/>
        <w:ind w:left="-142"/>
        <w:jc w:val="center"/>
        <w:rPr>
          <w:rFonts w:ascii="Times New Roman" w:eastAsia="Times New Roman" w:hAnsi="Times New Roman" w:cs="Times New Roman"/>
          <w:sz w:val="24"/>
          <w:szCs w:val="24"/>
        </w:rPr>
      </w:pPr>
      <w:r w:rsidRPr="00A820CB">
        <w:rPr>
          <w:rFonts w:ascii="Times New Roman" w:hAnsi="Times New Roman" w:cs="Times New Roman"/>
          <w:noProof/>
        </w:rPr>
        <w:lastRenderedPageBreak/>
        <w:drawing>
          <wp:inline distT="0" distB="0" distL="0" distR="0" wp14:anchorId="772E70C1" wp14:editId="08536E58">
            <wp:extent cx="6161291" cy="2609850"/>
            <wp:effectExtent l="19050" t="19050" r="11430" b="19050"/>
            <wp:docPr id="1258797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923" t="3270" r="1602" b="4071"/>
                    <a:stretch>
                      <a:fillRect/>
                    </a:stretch>
                  </pic:blipFill>
                  <pic:spPr bwMode="auto">
                    <a:xfrm>
                      <a:off x="0" y="0"/>
                      <a:ext cx="6214338" cy="263232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7583BD8E" w14:textId="77777777" w:rsidR="00CF1338" w:rsidRPr="00A820CB" w:rsidRDefault="00CF1338"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Figure 3: Indian passenger car market growth</w:t>
      </w:r>
    </w:p>
    <w:p w14:paraId="5A0BE938" w14:textId="77777777" w:rsidR="00CF1338" w:rsidRPr="00A820CB" w:rsidRDefault="00CF1338"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(source: IMARC, 2026)</w:t>
      </w:r>
    </w:p>
    <w:p w14:paraId="15FEF445" w14:textId="185DBA8F"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On the other hand, car ownership among young professionals and dual-income households is increasing rapidly, leading to an expansion of passenger car sales in India (IMARC, 2026). With India’s net zero target by 2070, EV production has been prioritised by the </w:t>
      </w:r>
      <w:r w:rsidR="00D16AF6" w:rsidRPr="00A820CB">
        <w:rPr>
          <w:rFonts w:ascii="Times New Roman" w:eastAsia="Times New Roman" w:hAnsi="Times New Roman" w:cs="Times New Roman"/>
          <w:sz w:val="24"/>
          <w:szCs w:val="24"/>
        </w:rPr>
        <w:t>government,</w:t>
      </w:r>
      <w:r w:rsidRPr="00A820CB">
        <w:rPr>
          <w:rFonts w:ascii="Times New Roman" w:eastAsia="Times New Roman" w:hAnsi="Times New Roman" w:cs="Times New Roman"/>
          <w:sz w:val="24"/>
          <w:szCs w:val="24"/>
        </w:rPr>
        <w:t xml:space="preserve"> and the rising demands are seen in the growth of sales from 50 thousand in 2016 to 2 million in 2024 (NITI Aayog, 2025). In the global context, car manufacturing and exports are majorly dominated by the EU, Japan, Korea, China and the United States, increasing competitive intensity (IEA, 2026). The emerging demands in the industry is consequently increasing demand in other sectors, and contributes 10% of the global economy (IEA, 2026). Moreover, demands for EVs are rapidly growing, evidenced through its sales over 17 million across the globe in 2024, indicating a growth at 25% (IEA, 2026a). The Indian automobile market needs to focus more on EV production and exports to compete with the dominating countries, which have created a challenging landscape for the Indian market.    </w:t>
      </w:r>
    </w:p>
    <w:p w14:paraId="5E5E0CF7" w14:textId="77777777" w:rsidR="005322C2" w:rsidRPr="00A820CB" w:rsidRDefault="005322C2" w:rsidP="00C53B27">
      <w:pPr>
        <w:spacing w:line="360" w:lineRule="auto"/>
        <w:rPr>
          <w:rFonts w:ascii="Times New Roman" w:eastAsia="Times New Roman" w:hAnsi="Times New Roman" w:cs="Times New Roman"/>
          <w:b/>
          <w:bCs/>
          <w:sz w:val="24"/>
          <w:szCs w:val="24"/>
        </w:rPr>
      </w:pPr>
      <w:r w:rsidRPr="00A820CB">
        <w:rPr>
          <w:rFonts w:ascii="Times New Roman" w:eastAsia="Times New Roman" w:hAnsi="Times New Roman" w:cs="Times New Roman"/>
          <w:b/>
          <w:bCs/>
          <w:sz w:val="24"/>
          <w:szCs w:val="24"/>
        </w:rPr>
        <w:br w:type="page"/>
      </w:r>
    </w:p>
    <w:p w14:paraId="70EDB642" w14:textId="27AE2213"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lastRenderedPageBreak/>
        <w:t>Related and supporting industries </w:t>
      </w:r>
    </w:p>
    <w:p w14:paraId="6A75EED8" w14:textId="287A1BFC"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The Indian </w:t>
      </w:r>
      <w:r w:rsidR="004E4E2E" w:rsidRPr="00A820CB">
        <w:rPr>
          <w:rFonts w:ascii="Times New Roman" w:eastAsia="Times New Roman" w:hAnsi="Times New Roman" w:cs="Times New Roman"/>
          <w:sz w:val="24"/>
          <w:szCs w:val="24"/>
        </w:rPr>
        <w:t>Automobile</w:t>
      </w:r>
      <w:r w:rsidR="004E4E2E">
        <w:rPr>
          <w:rFonts w:ascii="Times New Roman" w:eastAsia="Times New Roman" w:hAnsi="Times New Roman" w:cs="Times New Roman"/>
          <w:sz w:val="24"/>
          <w:szCs w:val="24"/>
        </w:rPr>
        <w:t>-I</w:t>
      </w:r>
      <w:r w:rsidRPr="00A820CB">
        <w:rPr>
          <w:rFonts w:ascii="Times New Roman" w:eastAsia="Times New Roman" w:hAnsi="Times New Roman" w:cs="Times New Roman"/>
          <w:sz w:val="24"/>
          <w:szCs w:val="24"/>
        </w:rPr>
        <w:t>ndustry is considered one of the largest contributors of the national economy by contributing to the growth of interconnected industries, such as steel, rubber, glass and electronics (NITI Aayog, 2025a). The growing trend of EVs, ADAS, autonomous cars and hydrogen fuel cells has transformed the industry in terms of technological innovation, employment and related industries’ growth. Although the recent energy market disruptions and industrial gas supply due to the West Asia conflict are considered a threat to automobile manufacturing and supply chain operations (ET Auto, 2026). On the other hand, the global automobile industry plays a pivotal role in the growth of oil, steel, plastic, and the tech industries (Library of Congress, 2026). The continuous evolution in the industry through tech-advancement and growing EV demands is inspiring operating automobile companies to optimise infrastructure, strategies and technology adoptions to enhance competitive advantage. Hence, the Indian automobile industry may face a little hindrance in terms of cost, freights and raw material sourcing amidst the tumultuous energy sector and gas supply disruptions.   </w:t>
      </w:r>
    </w:p>
    <w:p w14:paraId="4958D1D3"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Firm Strategy, Structure, and Rivalry</w:t>
      </w:r>
    </w:p>
    <w:p w14:paraId="6F766111" w14:textId="2DE6C86B"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The Indian automobile industry has been significantly transformed by the ‘Make in India’ initiative of the national government in 2014, which has inspired the companies to optimise strategies and prioritise manufacturing more domestic cars and EVs (pib.gov, 2025). As a consequence, the Indian automobile companies have unleashed growth potentials through the governmental policy reforms, fiscal incentives and optimised infrastructures. This automobile industry has prioritised substantial investment, technological innovations and intense localisation, which have transformed business structure and increased contribution to the country’s economic growth and sustainable goals. On the other hand, governmental policies and schemes for the growth of the industry have eased the path for the global leading manufacturers to enter and anchor in the Indian automobile market. This has resulted in a surprising growth of vehicle production from 2 million (1991-92) to 28 million and increased competition in the </w:t>
      </w:r>
      <w:r w:rsidR="004C7E16" w:rsidRPr="00A820CB">
        <w:rPr>
          <w:rFonts w:ascii="Times New Roman" w:eastAsia="Times New Roman" w:hAnsi="Times New Roman" w:cs="Times New Roman"/>
          <w:sz w:val="24"/>
          <w:szCs w:val="24"/>
        </w:rPr>
        <w:t>Indian market</w:t>
      </w:r>
      <w:r w:rsidRPr="00A820CB">
        <w:rPr>
          <w:rFonts w:ascii="Times New Roman" w:eastAsia="Times New Roman" w:hAnsi="Times New Roman" w:cs="Times New Roman"/>
          <w:sz w:val="24"/>
          <w:szCs w:val="24"/>
        </w:rPr>
        <w:t xml:space="preserve"> (2023-24) (pib.gov, 2025). Therefore, the Indian automobile market is evolving faster through operational and business structure developments, tech-adoptions and governmental interventions, which parallely gears up the entrance of international </w:t>
      </w:r>
      <w:r w:rsidR="004C7E16" w:rsidRPr="00A820CB">
        <w:rPr>
          <w:rFonts w:ascii="Times New Roman" w:eastAsia="Times New Roman" w:hAnsi="Times New Roman" w:cs="Times New Roman"/>
          <w:sz w:val="24"/>
          <w:szCs w:val="24"/>
        </w:rPr>
        <w:t>companies to</w:t>
      </w:r>
      <w:r w:rsidRPr="00A820CB">
        <w:rPr>
          <w:rFonts w:ascii="Times New Roman" w:eastAsia="Times New Roman" w:hAnsi="Times New Roman" w:cs="Times New Roman"/>
          <w:sz w:val="24"/>
          <w:szCs w:val="24"/>
        </w:rPr>
        <w:t xml:space="preserve"> intensify rivalry.</w:t>
      </w:r>
    </w:p>
    <w:p w14:paraId="470EC0F0" w14:textId="4F18CEAB" w:rsidR="0006629A" w:rsidRPr="00A820CB" w:rsidRDefault="00B152F1" w:rsidP="00C53B27">
      <w:pPr>
        <w:spacing w:line="360" w:lineRule="auto"/>
        <w:jc w:val="center"/>
        <w:rPr>
          <w:rFonts w:ascii="Times New Roman" w:eastAsia="Times New Roman" w:hAnsi="Times New Roman" w:cs="Times New Roman"/>
          <w:sz w:val="24"/>
          <w:szCs w:val="24"/>
          <w:lang w:val="en-IN"/>
        </w:rPr>
      </w:pPr>
      <w:r w:rsidRPr="00A820CB">
        <w:rPr>
          <w:rStyle w:val="SubtleEmphasis"/>
          <w:rFonts w:ascii="Times New Roman" w:hAnsi="Times New Roman" w:cs="Times New Roman"/>
          <w:noProof/>
        </w:rPr>
        <w:lastRenderedPageBreak/>
        <w:drawing>
          <wp:inline distT="0" distB="0" distL="0" distR="0" wp14:anchorId="1B36AE3F" wp14:editId="47D77363">
            <wp:extent cx="5705475" cy="4829175"/>
            <wp:effectExtent l="19050" t="19050" r="28575" b="28575"/>
            <wp:docPr id="18110936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1602" t="2390" r="2405" b="4423"/>
                    <a:stretch>
                      <a:fillRect/>
                    </a:stretch>
                  </pic:blipFill>
                  <pic:spPr bwMode="auto">
                    <a:xfrm>
                      <a:off x="0" y="0"/>
                      <a:ext cx="5705475" cy="482917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C0C979F" w14:textId="77777777" w:rsidR="0006629A" w:rsidRPr="00A820CB" w:rsidRDefault="0006629A" w:rsidP="00C53B27">
      <w:pPr>
        <w:spacing w:line="360" w:lineRule="auto"/>
        <w:jc w:val="center"/>
        <w:rPr>
          <w:rFonts w:ascii="Times New Roman" w:eastAsia="Times New Roman" w:hAnsi="Times New Roman" w:cs="Times New Roman"/>
          <w:sz w:val="24"/>
          <w:szCs w:val="24"/>
          <w:lang w:val="en-IN"/>
        </w:rPr>
      </w:pPr>
      <w:r w:rsidRPr="00A820CB">
        <w:rPr>
          <w:rFonts w:ascii="Times New Roman" w:eastAsia="Times New Roman" w:hAnsi="Times New Roman" w:cs="Times New Roman"/>
          <w:sz w:val="24"/>
          <w:szCs w:val="24"/>
          <w:lang w:val="en-IN"/>
        </w:rPr>
        <w:t>Figure 4: Vehicle production in 2024 by country</w:t>
      </w:r>
    </w:p>
    <w:p w14:paraId="2A217FD6" w14:textId="77777777" w:rsidR="0006629A" w:rsidRPr="00A820CB" w:rsidRDefault="0006629A" w:rsidP="00C53B27">
      <w:pPr>
        <w:spacing w:line="360" w:lineRule="auto"/>
        <w:jc w:val="center"/>
        <w:rPr>
          <w:rFonts w:ascii="Times New Roman" w:eastAsia="Times New Roman" w:hAnsi="Times New Roman" w:cs="Times New Roman"/>
          <w:sz w:val="24"/>
          <w:szCs w:val="24"/>
          <w:lang w:val="en-IN"/>
        </w:rPr>
      </w:pPr>
      <w:r w:rsidRPr="00A820CB">
        <w:rPr>
          <w:rFonts w:ascii="Times New Roman" w:eastAsia="Times New Roman" w:hAnsi="Times New Roman" w:cs="Times New Roman"/>
          <w:sz w:val="24"/>
          <w:szCs w:val="24"/>
          <w:lang w:val="en-IN"/>
        </w:rPr>
        <w:t>(source: Statista, 2025b)</w:t>
      </w:r>
    </w:p>
    <w:p w14:paraId="6231FCBF" w14:textId="2733D597" w:rsidR="0006629A" w:rsidRPr="00A820CB" w:rsidRDefault="002C6420" w:rsidP="00C53B27">
      <w:pPr>
        <w:spacing w:line="360" w:lineRule="auto"/>
        <w:jc w:val="both"/>
        <w:rPr>
          <w:rFonts w:ascii="Times New Roman" w:eastAsia="Times New Roman" w:hAnsi="Times New Roman" w:cs="Times New Roman"/>
          <w:sz w:val="24"/>
          <w:szCs w:val="24"/>
          <w:lang w:val="en-IN"/>
        </w:rPr>
      </w:pPr>
      <w:r w:rsidRPr="00A820CB">
        <w:rPr>
          <w:rFonts w:ascii="Times New Roman" w:eastAsia="Times New Roman" w:hAnsi="Times New Roman" w:cs="Times New Roman"/>
          <w:sz w:val="24"/>
          <w:szCs w:val="24"/>
          <w:lang w:val="en-IN"/>
        </w:rPr>
        <w:t xml:space="preserve">In </w:t>
      </w:r>
      <w:r w:rsidR="0006629A" w:rsidRPr="00A820CB">
        <w:rPr>
          <w:rFonts w:ascii="Times New Roman" w:eastAsia="Times New Roman" w:hAnsi="Times New Roman" w:cs="Times New Roman"/>
          <w:sz w:val="24"/>
          <w:szCs w:val="24"/>
          <w:lang w:val="en-IN"/>
        </w:rPr>
        <w:t xml:space="preserve">terms of vehicle production India ranked 4th, globally, unlocking growth potential (Statista, 2025b). India is in a tough competition with Japan, South Korea and Germany regarding the global export of premium-quality, high-tech and sustainable cars. India’s domestic consumption is a key driver of steady market growth, while affordability, fuel efficiency and electrification boosted exporting (The Economic Times, 2025). To compete with Industry leaders like Japan, South Korea, and Germany, India is on the journey to become a global leader in sustainable mobility manufacturing and a major innovation hub (Firodia, 2025). With impeccable growth, increasing exports and enormous global opportunities, the Indian automobile market has become a key source of attracting FDIs, amounting to $36 billion in the last four years (PIB, 2025a). Therefore, India is </w:t>
      </w:r>
      <w:r w:rsidR="0006629A" w:rsidRPr="00A820CB">
        <w:rPr>
          <w:rFonts w:ascii="Times New Roman" w:eastAsia="Times New Roman" w:hAnsi="Times New Roman" w:cs="Times New Roman"/>
          <w:sz w:val="24"/>
          <w:szCs w:val="24"/>
          <w:lang w:val="en-IN"/>
        </w:rPr>
        <w:lastRenderedPageBreak/>
        <w:t>going to disrupt the global automobile industry by becoming a tough competitor to Japan, South Korea and Germany in the following years.</w:t>
      </w:r>
    </w:p>
    <w:p w14:paraId="077FDB55" w14:textId="37B65DC9" w:rsidR="00CF1338" w:rsidRPr="00A820CB" w:rsidRDefault="00CF1338" w:rsidP="00C53B27">
      <w:pPr>
        <w:pStyle w:val="Heading2"/>
        <w:spacing w:line="360" w:lineRule="auto"/>
        <w:rPr>
          <w:rFonts w:ascii="Times New Roman" w:hAnsi="Times New Roman" w:cs="Times New Roman"/>
          <w:szCs w:val="24"/>
        </w:rPr>
      </w:pPr>
      <w:bookmarkStart w:id="7" w:name="_Toc225370686"/>
      <w:r w:rsidRPr="00A820CB">
        <w:rPr>
          <w:rFonts w:ascii="Times New Roman" w:hAnsi="Times New Roman" w:cs="Times New Roman"/>
          <w:szCs w:val="24"/>
        </w:rPr>
        <w:t>4. Evaluating influencing factors on the success</w:t>
      </w:r>
      <w:r w:rsidR="004C7E16" w:rsidRPr="00A820CB">
        <w:rPr>
          <w:rFonts w:ascii="Times New Roman" w:hAnsi="Times New Roman" w:cs="Times New Roman"/>
          <w:szCs w:val="24"/>
        </w:rPr>
        <w:t xml:space="preserve"> of Tata Motors’ operations</w:t>
      </w:r>
      <w:bookmarkEnd w:id="7"/>
    </w:p>
    <w:p w14:paraId="4F0E0AF8" w14:textId="77777777" w:rsidR="00CF1338" w:rsidRPr="00A820CB" w:rsidRDefault="00CF1338" w:rsidP="00C53B27">
      <w:pPr>
        <w:pStyle w:val="Heading3"/>
        <w:spacing w:line="360" w:lineRule="auto"/>
        <w:rPr>
          <w:rFonts w:ascii="Times New Roman" w:hAnsi="Times New Roman" w:cs="Times New Roman"/>
          <w:szCs w:val="24"/>
        </w:rPr>
      </w:pPr>
      <w:bookmarkStart w:id="8" w:name="_Toc225370687"/>
      <w:r w:rsidRPr="00A820CB">
        <w:rPr>
          <w:rFonts w:ascii="Times New Roman" w:hAnsi="Times New Roman" w:cs="Times New Roman"/>
          <w:szCs w:val="24"/>
        </w:rPr>
        <w:t>Identification of a major MNC/TNC in the country-industry pair</w:t>
      </w:r>
      <w:bookmarkEnd w:id="8"/>
    </w:p>
    <w:p w14:paraId="68C7A3AF" w14:textId="3952F155"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To support the Automobile specific discussion related to international business and market competitiveness, Tata Motors, ruling the automobile industry in its home country, India has been selected. The renowned Indian automotive manufacturer Tata Motors, with a legacy of 81 years, prioritises transformation as a key to growth in establishing dominance in the home and </w:t>
      </w:r>
      <w:r w:rsidR="005322C2" w:rsidRPr="00A820CB">
        <w:rPr>
          <w:rFonts w:ascii="Times New Roman" w:eastAsia="Times New Roman" w:hAnsi="Times New Roman" w:cs="Times New Roman"/>
          <w:sz w:val="24"/>
          <w:szCs w:val="24"/>
        </w:rPr>
        <w:t xml:space="preserve">global countries </w:t>
      </w:r>
      <w:r w:rsidR="00F87A91" w:rsidRPr="00A820CB">
        <w:rPr>
          <w:rFonts w:ascii="Times New Roman" w:hAnsi="Times New Roman" w:cs="Times New Roman"/>
          <w:sz w:val="24"/>
          <w:szCs w:val="24"/>
        </w:rPr>
        <w:t>(</w:t>
      </w:r>
      <w:r w:rsidRPr="00A820CB">
        <w:rPr>
          <w:rFonts w:ascii="Times New Roman" w:eastAsia="Times New Roman" w:hAnsi="Times New Roman" w:cs="Times New Roman"/>
          <w:sz w:val="24"/>
          <w:szCs w:val="24"/>
        </w:rPr>
        <w:t>Tata Motors, 2026). The company manufactures various commercial and passenger cars by following the R&amp;D model with a strong focus towards the aim of net zero (Tata Motors, 2026a). Being considered ‘India’s most valuable brand’, Tata Motors’ revenue reached over ₹4.4 trillion in 2025, which is evidencing a growth in its sales (Statista, 2025). Rising revenue is an indicator of growing customer demand and imposes an optimistic view on the company’s future growth.</w:t>
      </w:r>
    </w:p>
    <w:p w14:paraId="4DDF5760" w14:textId="6E8FE22E" w:rsidR="00CF1338" w:rsidRPr="00A820CB" w:rsidRDefault="009269E3" w:rsidP="00C53B27">
      <w:pPr>
        <w:spacing w:line="360" w:lineRule="auto"/>
        <w:jc w:val="center"/>
        <w:rPr>
          <w:rFonts w:ascii="Times New Roman" w:eastAsia="Times New Roman" w:hAnsi="Times New Roman" w:cs="Times New Roman"/>
          <w:sz w:val="24"/>
          <w:szCs w:val="24"/>
        </w:rPr>
      </w:pPr>
      <w:r w:rsidRPr="00A820CB">
        <w:rPr>
          <w:rFonts w:ascii="Times New Roman" w:hAnsi="Times New Roman" w:cs="Times New Roman"/>
          <w:noProof/>
        </w:rPr>
        <w:drawing>
          <wp:inline distT="0" distB="0" distL="0" distR="0" wp14:anchorId="2694982D" wp14:editId="0AEBD2C2">
            <wp:extent cx="5781675" cy="2419350"/>
            <wp:effectExtent l="19050" t="19050" r="28575" b="19050"/>
            <wp:docPr id="1126505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122" t="2949" r="1602" b="3439"/>
                    <a:stretch>
                      <a:fillRect/>
                    </a:stretch>
                  </pic:blipFill>
                  <pic:spPr bwMode="auto">
                    <a:xfrm>
                      <a:off x="0" y="0"/>
                      <a:ext cx="5781675" cy="24193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C27DFCF" w14:textId="7DE2C91B" w:rsidR="00CF1338" w:rsidRPr="00A820CB" w:rsidRDefault="0006629A"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Figure 5</w:t>
      </w:r>
      <w:r w:rsidR="00CF1338" w:rsidRPr="00A820CB">
        <w:rPr>
          <w:rFonts w:ascii="Times New Roman" w:eastAsia="Times New Roman" w:hAnsi="Times New Roman" w:cs="Times New Roman"/>
          <w:sz w:val="24"/>
          <w:szCs w:val="24"/>
        </w:rPr>
        <w:t>: Revenue of Tata Motors</w:t>
      </w:r>
    </w:p>
    <w:p w14:paraId="70C1CB2F" w14:textId="77777777" w:rsidR="00CF1338" w:rsidRPr="00A820CB" w:rsidRDefault="00CF1338"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(source: Statista, 2025)</w:t>
      </w:r>
    </w:p>
    <w:p w14:paraId="319D2C59" w14:textId="77777777" w:rsidR="00A820CB"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Compared to these two leaders, Tata Motors, with its unique strategies, sustainability </w:t>
      </w:r>
      <w:r w:rsidR="004C7E16" w:rsidRPr="00A820CB">
        <w:rPr>
          <w:rFonts w:ascii="Times New Roman" w:eastAsia="Times New Roman" w:hAnsi="Times New Roman" w:cs="Times New Roman"/>
          <w:sz w:val="24"/>
          <w:szCs w:val="24"/>
        </w:rPr>
        <w:t>aims</w:t>
      </w:r>
      <w:r w:rsidRPr="00A820CB">
        <w:rPr>
          <w:rFonts w:ascii="Times New Roman" w:eastAsia="Times New Roman" w:hAnsi="Times New Roman" w:cs="Times New Roman"/>
          <w:sz w:val="24"/>
          <w:szCs w:val="24"/>
        </w:rPr>
        <w:t xml:space="preserve"> and technologies, generated the highest revenue and secured a top position in the Indian Market.</w:t>
      </w:r>
    </w:p>
    <w:p w14:paraId="559CB2C0" w14:textId="046AF315"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w:t>
      </w:r>
    </w:p>
    <w:p w14:paraId="77824025" w14:textId="77777777" w:rsidR="00CF1338" w:rsidRPr="00A820CB" w:rsidRDefault="00CF1338" w:rsidP="00C53B27">
      <w:pPr>
        <w:pStyle w:val="Heading3"/>
        <w:spacing w:line="360" w:lineRule="auto"/>
        <w:rPr>
          <w:rFonts w:ascii="Times New Roman" w:hAnsi="Times New Roman" w:cs="Times New Roman"/>
          <w:szCs w:val="24"/>
        </w:rPr>
      </w:pPr>
      <w:bookmarkStart w:id="9" w:name="_Toc225370688"/>
      <w:r w:rsidRPr="00A820CB">
        <w:rPr>
          <w:rFonts w:ascii="Times New Roman" w:hAnsi="Times New Roman" w:cs="Times New Roman"/>
          <w:szCs w:val="24"/>
        </w:rPr>
        <w:lastRenderedPageBreak/>
        <w:t>Evaluating the factors influencing Tata Motors’ operations in India</w:t>
      </w:r>
      <w:bookmarkEnd w:id="9"/>
    </w:p>
    <w:p w14:paraId="5AE3C7D2"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Political factor</w:t>
      </w:r>
    </w:p>
    <w:p w14:paraId="6F75B135"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India’s political system refers to the governmental structure and power dynamics, which involve the institutional and organisational aspects, and interest groups which intervene in the political activities. The Government’s scheme, FAME or the Faster Adoption and Manufacturing of EVs in two phases, has been introduced to promote electric mobility across the country (E-Amrit, 2026). This may inspire Tata Motors to prioritise net-zero emissions through improved adaptation to fast-evolving Indian and global automobile markets to develop market competitiveness. </w:t>
      </w:r>
    </w:p>
    <w:p w14:paraId="111C2A01"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In the context of R&amp;D spending for the automobile industry, the Indian government’s funding remains the lowest among global countries, such as Germany, Japan, and the US. This has resulted in the increased dependence on foreign technologies, leading to higher costs and affecting the market’s overall attractiveness due to this rising operational costs (The Print, 2025). Although India is a comparatively challenging landscape for the automobile companies due to its higher level of import duties, it has planned to reduce tariff from 110% to 40% on imported cars from the EU (Shah and Blenkinsop, 2026). Therefore, Tata Motors may optimise its competencies in terms of technology, design and quality across the Indian automobile market to combat the increasing market competitions. </w:t>
      </w:r>
    </w:p>
    <w:p w14:paraId="008423A3"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Economic factor </w:t>
      </w:r>
    </w:p>
    <w:p w14:paraId="6857CB53" w14:textId="152E442D"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Indian inflation rate persisted at 6.5% (average) in the last 20 years, but it has not majorly impacted car prices, as the prices for two and four-wheelers remained relatively lower than the inflation (Chaudhary, 2024). Due to the growing population, rapid urbanisation and a low ‘per capita income’ system, affordability has faced a sharp downturn in India, which demonstrates the people’s price sensitivity and inclination towards cost-effective vehicles. Low affordability has </w:t>
      </w:r>
      <w:r w:rsidR="004C7E16" w:rsidRPr="00A820CB">
        <w:rPr>
          <w:rFonts w:ascii="Times New Roman" w:eastAsia="Times New Roman" w:hAnsi="Times New Roman" w:cs="Times New Roman"/>
          <w:sz w:val="24"/>
          <w:szCs w:val="24"/>
        </w:rPr>
        <w:t>driven a</w:t>
      </w:r>
      <w:r w:rsidRPr="00A820CB">
        <w:rPr>
          <w:rFonts w:ascii="Times New Roman" w:eastAsia="Times New Roman" w:hAnsi="Times New Roman" w:cs="Times New Roman"/>
          <w:sz w:val="24"/>
          <w:szCs w:val="24"/>
        </w:rPr>
        <w:t xml:space="preserve"> high surge in the two-wheeler’s demands across the Indian automobile market (Kearney 100, 2025). Growing preference for affordable personal vehicles may influence Tata Motors to introduce E-bikes to meet the growing demand for affordable two-wheelers and sustainable vehicles. India’s macroeconomic structure and domestic demands have contributed to the strong growth of the Indian economy, which has generated ₹187.97 lakh crore GDP in FY 2024-25, and it is estimated to reach ₹201.90 lakh crore in FY 2025–26 (IBEF, 2026a). By considering the </w:t>
      </w:r>
      <w:r w:rsidRPr="00A820CB">
        <w:rPr>
          <w:rFonts w:ascii="Times New Roman" w:eastAsia="Times New Roman" w:hAnsi="Times New Roman" w:cs="Times New Roman"/>
          <w:i/>
          <w:iCs/>
          <w:sz w:val="24"/>
          <w:szCs w:val="24"/>
        </w:rPr>
        <w:t>Trade Theory of Absolute Advantage,</w:t>
      </w:r>
      <w:r w:rsidRPr="00A820CB">
        <w:rPr>
          <w:rFonts w:ascii="Times New Roman" w:eastAsia="Times New Roman" w:hAnsi="Times New Roman" w:cs="Times New Roman"/>
          <w:sz w:val="24"/>
          <w:szCs w:val="24"/>
        </w:rPr>
        <w:t xml:space="preserve"> India’s GDP growth may become an influencing factor which inspires automobile companies to focus on low-cost productions to meet more profitability. Tata </w:t>
      </w:r>
      <w:r w:rsidRPr="00A820CB">
        <w:rPr>
          <w:rFonts w:ascii="Times New Roman" w:eastAsia="Times New Roman" w:hAnsi="Times New Roman" w:cs="Times New Roman"/>
          <w:sz w:val="24"/>
          <w:szCs w:val="24"/>
        </w:rPr>
        <w:lastRenderedPageBreak/>
        <w:t>Motors’ shifting towards new-age mobility in cargo and passenger transport is witnessing an innovation ecosystem (Tata Motors, 2026b). Hence, the GDP growth and higher demand for two-wheelers due to the affordability may influence Tata Motors’ strategic decision-making to harness the future market trends by increasing production volumes and tech-driven feature which meet market relevance.  </w:t>
      </w:r>
    </w:p>
    <w:p w14:paraId="0B202851"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Legal factor</w:t>
      </w:r>
    </w:p>
    <w:p w14:paraId="6BB75F59" w14:textId="4064E91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The Indian Government has enforced the ‘Bharat Stage (BS)’ Emissions norms by following the Euro norms to control vehicular pollution and imposed restrictions on the pollutants by emphasi</w:t>
      </w:r>
      <w:r w:rsidR="004C7E16" w:rsidRPr="00A820CB">
        <w:rPr>
          <w:rFonts w:ascii="Times New Roman" w:eastAsia="Times New Roman" w:hAnsi="Times New Roman" w:cs="Times New Roman"/>
          <w:sz w:val="24"/>
          <w:szCs w:val="24"/>
        </w:rPr>
        <w:t>sing the integration of cleaner</w:t>
      </w:r>
      <w:r w:rsidRPr="00A820CB">
        <w:rPr>
          <w:rFonts w:ascii="Times New Roman" w:eastAsia="Times New Roman" w:hAnsi="Times New Roman" w:cs="Times New Roman"/>
          <w:sz w:val="24"/>
          <w:szCs w:val="24"/>
        </w:rPr>
        <w:t xml:space="preserve"> technology and fuels (ARAI, 2026). To comply with the BS Emission Norms, Tata Motors has taken a ‘Go Green’ initiative to meet environmental sustainability by focusing on reforestation while focusing strongly controlling carbon emissions and increasing sustainable innovations (Tata Motors, 2020). Integrating the </w:t>
      </w:r>
      <w:r w:rsidRPr="00A820CB">
        <w:rPr>
          <w:rFonts w:ascii="Times New Roman" w:eastAsia="Times New Roman" w:hAnsi="Times New Roman" w:cs="Times New Roman"/>
          <w:i/>
          <w:iCs/>
          <w:sz w:val="24"/>
          <w:szCs w:val="24"/>
        </w:rPr>
        <w:t>Trade Theory of Comparative Advantage</w:t>
      </w:r>
      <w:r w:rsidRPr="00A820CB">
        <w:rPr>
          <w:rFonts w:ascii="Times New Roman" w:eastAsia="Times New Roman" w:hAnsi="Times New Roman" w:cs="Times New Roman"/>
          <w:sz w:val="24"/>
          <w:szCs w:val="24"/>
        </w:rPr>
        <w:t xml:space="preserve">, Tata Motors can manufacture vehicles at a comparably lower price than other countries. Growing demands for eco-friendly vehicles in the Indian and global automobile market, may become an opportunity for Tata Motors to redefine strategies and manufacture more sustainable </w:t>
      </w:r>
      <w:r w:rsidR="004C7E16" w:rsidRPr="00A820CB">
        <w:rPr>
          <w:rFonts w:ascii="Times New Roman" w:eastAsia="Times New Roman" w:hAnsi="Times New Roman" w:cs="Times New Roman"/>
          <w:sz w:val="24"/>
          <w:szCs w:val="24"/>
        </w:rPr>
        <w:t>vehicles to</w:t>
      </w:r>
      <w:r w:rsidRPr="00A820CB">
        <w:rPr>
          <w:rFonts w:ascii="Times New Roman" w:eastAsia="Times New Roman" w:hAnsi="Times New Roman" w:cs="Times New Roman"/>
          <w:sz w:val="24"/>
          <w:szCs w:val="24"/>
        </w:rPr>
        <w:t xml:space="preserve"> become an EV leader. </w:t>
      </w:r>
    </w:p>
    <w:p w14:paraId="74D1D4D0"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The government has limited EV exports up to 8000 every year by imposing policies to protect the domestic automobile companies, such as Tata Motors, Mahindra &amp; Mahindra, and Hindustan Motors. Along with that, the government has enacted the Motor Vehicle Act 1988 and the Central Motor Vehicle Rules (CMVR) 1989 for setting a safety standard and emission norms for motor vehicles while consolidating the laws related to the vehicle registration, licensing and traffic controls (SIAM, 2026). The CMVR-TSC is assisted by the Automobile Industry Standards Committee (AISC) to set and control technical standards for overall safety. This regulatory compliance may influence Tata motors to provide safer, greener and smarter mobility solutions, which enhances customer engagement in the long term (Tata Motors, 2023). Moreover, Tata Motors has faced allegations for violating the agreements with authorised dealers, which will impact its market reputation and may affect its competitiveness in future. </w:t>
      </w:r>
    </w:p>
    <w:p w14:paraId="30DE1697" w14:textId="77777777" w:rsidR="00CF1338" w:rsidRPr="00A820CB" w:rsidRDefault="00CF1338" w:rsidP="00C53B27">
      <w:pPr>
        <w:pStyle w:val="Heading3"/>
        <w:spacing w:line="360" w:lineRule="auto"/>
        <w:rPr>
          <w:rFonts w:ascii="Times New Roman" w:hAnsi="Times New Roman" w:cs="Times New Roman"/>
          <w:szCs w:val="24"/>
        </w:rPr>
      </w:pPr>
      <w:bookmarkStart w:id="10" w:name="_Toc225370689"/>
      <w:r w:rsidRPr="00A820CB">
        <w:rPr>
          <w:rFonts w:ascii="Times New Roman" w:hAnsi="Times New Roman" w:cs="Times New Roman"/>
          <w:szCs w:val="24"/>
        </w:rPr>
        <w:lastRenderedPageBreak/>
        <w:t>Cultural factor analysis through Hofstede’s Cultural Dimension Theory</w:t>
      </w:r>
      <w:bookmarkEnd w:id="10"/>
      <w:r w:rsidRPr="00A820CB">
        <w:rPr>
          <w:rFonts w:ascii="Times New Roman" w:hAnsi="Times New Roman" w:cs="Times New Roman"/>
          <w:szCs w:val="24"/>
        </w:rPr>
        <w:t> </w:t>
      </w:r>
    </w:p>
    <w:p w14:paraId="53156F67" w14:textId="1D21E1D1" w:rsidR="00CF1338" w:rsidRPr="00A820CB" w:rsidRDefault="005D727A" w:rsidP="005D727A">
      <w:pPr>
        <w:spacing w:line="360" w:lineRule="auto"/>
        <w:ind w:firstLine="284"/>
        <w:rPr>
          <w:rFonts w:ascii="Times New Roman" w:eastAsia="Times New Roman" w:hAnsi="Times New Roman" w:cs="Times New Roman"/>
          <w:sz w:val="24"/>
          <w:szCs w:val="24"/>
        </w:rPr>
      </w:pPr>
      <w:r w:rsidRPr="00A820CB">
        <w:rPr>
          <w:rFonts w:ascii="Times New Roman" w:hAnsi="Times New Roman" w:cs="Times New Roman"/>
          <w:noProof/>
        </w:rPr>
        <w:drawing>
          <wp:inline distT="0" distB="0" distL="0" distR="0" wp14:anchorId="7557C0A2" wp14:editId="55945AF2">
            <wp:extent cx="5553710" cy="2733028"/>
            <wp:effectExtent l="19050" t="19050" r="8890" b="10795"/>
            <wp:docPr id="167563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6550" b="6608"/>
                    <a:stretch>
                      <a:fillRect/>
                    </a:stretch>
                  </pic:blipFill>
                  <pic:spPr bwMode="auto">
                    <a:xfrm>
                      <a:off x="0" y="0"/>
                      <a:ext cx="5554277" cy="2733307"/>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85FA65F" w14:textId="322FFA79" w:rsidR="00CF1338" w:rsidRPr="00A820CB" w:rsidRDefault="0006629A"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Figure 6</w:t>
      </w:r>
      <w:r w:rsidR="00CF1338" w:rsidRPr="00A820CB">
        <w:rPr>
          <w:rFonts w:ascii="Times New Roman" w:eastAsia="Times New Roman" w:hAnsi="Times New Roman" w:cs="Times New Roman"/>
          <w:sz w:val="24"/>
          <w:szCs w:val="24"/>
        </w:rPr>
        <w:t>: Country Comparison Tool</w:t>
      </w:r>
    </w:p>
    <w:p w14:paraId="087E7031" w14:textId="77777777" w:rsidR="00CF1338" w:rsidRPr="00A820CB" w:rsidRDefault="00CF1338"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(source: The Culture Factor, 2026)</w:t>
      </w:r>
    </w:p>
    <w:p w14:paraId="75A2CE01"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Power distance:</w:t>
      </w:r>
      <w:r w:rsidRPr="00A820CB">
        <w:rPr>
          <w:rFonts w:ascii="Times New Roman" w:eastAsia="Times New Roman" w:hAnsi="Times New Roman" w:cs="Times New Roman"/>
          <w:sz w:val="24"/>
          <w:szCs w:val="24"/>
        </w:rPr>
        <w:t xml:space="preserve"> A score of 77 in power distance indicates a hierarchical culture across the Indian society and prominent layers of power distributions (The Culture Factor, 2026). This indicates a strong dominance of the superiors over the subordinates in society and even in an organisational context. Tata Motors, instead of originating from such a hierarchical culture, has followed a value-driven leadership style introduced by Mr. Ratan Tata, the former chairman of the company (Rastogi, 2024). His value-driven approach differs from the Indian culture, which often accepts equal power distribution among the different layers of society. Such value-driven leadership has a human-centric approach, which prioritises individual dignity and sets an organisational goal to achieve (Kelley, 2024). Mr. Ratan Tata’s leadership followed the principles of integrity, ethics and CSR to foster innovation and inclusivity across the company, and his legacy is being carried forward by Tata Motors’ leaders. </w:t>
      </w:r>
    </w:p>
    <w:p w14:paraId="01C60423"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Tata Motors’ leaders follow ethics, fair treatment and transparency in the organisational practices and collective decision-making, which contradicts with the Indian culture of hierarchical preference, which may impact talent retention (Tata Motors, 2026c). Contrarily, improper implementation of value-driven leadership may lead to disrupted employee management, retention and occurrence of potential conflicts. Including subordinates in organisational decision-making </w:t>
      </w:r>
      <w:r w:rsidRPr="00A820CB">
        <w:rPr>
          <w:rFonts w:ascii="Times New Roman" w:eastAsia="Times New Roman" w:hAnsi="Times New Roman" w:cs="Times New Roman"/>
          <w:sz w:val="24"/>
          <w:szCs w:val="24"/>
        </w:rPr>
        <w:lastRenderedPageBreak/>
        <w:t>opposes the rigid power segmentations across the Indian culture, which is optimistic for Tata Motors’ employee management and HR management strategies. </w:t>
      </w:r>
    </w:p>
    <w:p w14:paraId="24996B4A"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Individualism:</w:t>
      </w:r>
      <w:r w:rsidRPr="00A820CB">
        <w:rPr>
          <w:rFonts w:ascii="Times New Roman" w:eastAsia="Times New Roman" w:hAnsi="Times New Roman" w:cs="Times New Roman"/>
          <w:sz w:val="24"/>
          <w:szCs w:val="24"/>
        </w:rPr>
        <w:t xml:space="preserve"> India has scored 24 in the individualism-collectivism dimension, which indicates a coexistence of both collective and individualistic cultures across the Indian society, which can be witnessed in the organisational frameworks (The Culture Factor, 2026). With the collectivist implications, Indian Automobile companies have focused team working, and Tata Motors has also prioritised team performance. It has segmented its employees into three major teams, such as Production Work Team (PWT), Maintenance Work Teams (MWT) and Manufacturing Work Groups (MWG) to operate systematically and efficiently (Tata Motors, 2025). Its collaborative work culture system aligns with the Indian collectivist culture, which will accelerate Tata Motors’ future strategic decision-making through the inclusion of colleagues. </w:t>
      </w:r>
    </w:p>
    <w:p w14:paraId="2CB5AEAF"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On the other hand, Indian culture is partially individualistic in terms of religious views and philosophical perspectives (The Culture Factor, 2026). Inclusivity practices of the Tata Motors’ leaders work contrastingly with the individualistic structure of the Indian culture, and can face employee reluctance to adapt to changes. However, the company may focus on communicating and training existing employees to learn co-existence, mutual respect and cooperation in a divers religious landscape.</w:t>
      </w:r>
    </w:p>
    <w:p w14:paraId="50FB2DEA" w14:textId="1AB920DF"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Motivation towards achievement and success:</w:t>
      </w:r>
      <w:r w:rsidRPr="00A820CB">
        <w:rPr>
          <w:rFonts w:ascii="Times New Roman" w:eastAsia="Times New Roman" w:hAnsi="Times New Roman" w:cs="Times New Roman"/>
          <w:sz w:val="24"/>
          <w:szCs w:val="24"/>
        </w:rPr>
        <w:t xml:space="preserve"> A score of 56 indicates India’s moderate-high decisiveness in the context of visualising the utilisation of power and future success (The Culture Factor, 2026). Precisely, the score denotes masculine dominance in Indian society, which focuses strictly on the strategic adoption that is effective in ensuring success. The Indian Automobile industry’s insightful and effective decision-making for shifting manufacturing and exporting to meet the changing customer demands for eco-friendly vehicles. Therefore, in this context, governmental influence for controlling environmental impacts and </w:t>
      </w:r>
      <w:r w:rsidR="002349A6" w:rsidRPr="00A820CB">
        <w:rPr>
          <w:rFonts w:ascii="Times New Roman" w:eastAsia="Times New Roman" w:hAnsi="Times New Roman" w:cs="Times New Roman"/>
          <w:sz w:val="24"/>
          <w:szCs w:val="24"/>
        </w:rPr>
        <w:t>Tata Motors</w:t>
      </w:r>
      <w:r w:rsidRPr="00A820CB">
        <w:rPr>
          <w:rFonts w:ascii="Times New Roman" w:eastAsia="Times New Roman" w:hAnsi="Times New Roman" w:cs="Times New Roman"/>
          <w:sz w:val="24"/>
          <w:szCs w:val="24"/>
        </w:rPr>
        <w:t xml:space="preserve"> can flourish is EV production and developing infrastructure in the long-term.</w:t>
      </w:r>
    </w:p>
    <w:p w14:paraId="4F1D48A4"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Tata Motors has developed a corporate governance which envisioned future mobility as the most sustainable, efficient and safer may ensure success in long-term (Tata Motors, 2026d). This governance mechanism follows an agile organisational structure, customer-centricity and empathy which may help adapting to the evolution in the Automobile market. Moreover, Tata Motors’ vision and value include innovating designs, technology upgradations, logistics optimisation and improving customer services, which may increase its expenses and impact profitability. Its value </w:t>
      </w:r>
      <w:r w:rsidRPr="00A820CB">
        <w:rPr>
          <w:rFonts w:ascii="Times New Roman" w:eastAsia="Times New Roman" w:hAnsi="Times New Roman" w:cs="Times New Roman"/>
          <w:sz w:val="24"/>
          <w:szCs w:val="24"/>
        </w:rPr>
        <w:lastRenderedPageBreak/>
        <w:t>creation model has spread roots into diverse business verticals for meeting the needs of different customer segments (Tata Motors, 2026e). Tata Motors’ strong focus on EV production may lack other technological innovations, which will hinder attaining competitive strengths; however, market analysis and identification of emerging trends may help the company to ensure future achievement and success.  </w:t>
      </w:r>
    </w:p>
    <w:p w14:paraId="3178A53A"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 xml:space="preserve">Uncertainty avoidance: </w:t>
      </w:r>
      <w:r w:rsidRPr="00A820CB">
        <w:rPr>
          <w:rFonts w:ascii="Times New Roman" w:eastAsia="Times New Roman" w:hAnsi="Times New Roman" w:cs="Times New Roman"/>
          <w:sz w:val="24"/>
          <w:szCs w:val="24"/>
        </w:rPr>
        <w:t>India has scored 40 in the Uncertainty Avoidance, which demonstrates the culture of moderate intentions to combat challenges, changes and ambiguity (The Culture Factor, 2026). The Indian government has enforced several policies, laws and schemes to drive growth in the automobile industry through technological integration, sustainable changes, shifting towards renewable energy and achieving net-zero targets. A sole focus on EV production indicates moderate intentions to meet the shifting customer changes. These interventions may inspire automobile companies, like Tata Motors, to take actionable measures to address the shifting consumer demands, environmental impacts, and to reduce carbon emissions for creating a more resilient and sustainable organisational structure. India’s uncertainty avoidance score denotes its low risk-tolerance and strategic transformations to cope with the changes (Zimu, 2023). Although India fosters the culture of tolerance instead of taking actionable measures, it may not impact Tata Motors completely due to its resilience and readiness to adapt to changes and strategic changes. Despite this, the company needs to focus on a strong analysis to identify the potential changes in terms of consumer demand, regulatory changes or fluctuating economic conditions. Therefore, Tata Motors may revise strategies which will help to sustain in the future rollercoasters and navigate market uncertainties. </w:t>
      </w:r>
    </w:p>
    <w:p w14:paraId="7C678040" w14:textId="4B48D8B3"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Long-term orientation:</w:t>
      </w:r>
      <w:r w:rsidRPr="00A820CB">
        <w:rPr>
          <w:rFonts w:ascii="Times New Roman" w:eastAsia="Times New Roman" w:hAnsi="Times New Roman" w:cs="Times New Roman"/>
          <w:sz w:val="24"/>
          <w:szCs w:val="24"/>
        </w:rPr>
        <w:t xml:space="preserve"> India’s score in this dimension indicates moderate-high tendency to adapt to the changes with a strong focus on future success (The Culture Factor, 2026). As religious dominance is highly observed across Indian culture, it has been addressed by Tata Motors by fostering inclusivity practices which influence productivity and innovation. On the other hand, EV sales are increasing across the globe to meet the eco-conscious customers while minimising the environmental impacts. The Indian government has </w:t>
      </w:r>
      <w:r w:rsidR="002349A6" w:rsidRPr="00A820CB">
        <w:rPr>
          <w:rFonts w:ascii="Times New Roman" w:eastAsia="Times New Roman" w:hAnsi="Times New Roman" w:cs="Times New Roman"/>
          <w:sz w:val="24"/>
          <w:szCs w:val="24"/>
        </w:rPr>
        <w:t>introduced the</w:t>
      </w:r>
      <w:r w:rsidRPr="00A820CB">
        <w:rPr>
          <w:rFonts w:ascii="Times New Roman" w:eastAsia="Times New Roman" w:hAnsi="Times New Roman" w:cs="Times New Roman"/>
          <w:sz w:val="24"/>
          <w:szCs w:val="24"/>
        </w:rPr>
        <w:t xml:space="preserve"> ‘PM E-DRIVE’ scheme to push EV production by investing ₹10,900 </w:t>
      </w:r>
      <w:r w:rsidR="002349A6" w:rsidRPr="00A820CB">
        <w:rPr>
          <w:rFonts w:ascii="Times New Roman" w:eastAsia="Times New Roman" w:hAnsi="Times New Roman" w:cs="Times New Roman"/>
          <w:sz w:val="24"/>
          <w:szCs w:val="24"/>
        </w:rPr>
        <w:t>crores</w:t>
      </w:r>
      <w:r w:rsidRPr="00A820CB">
        <w:rPr>
          <w:rFonts w:ascii="Times New Roman" w:eastAsia="Times New Roman" w:hAnsi="Times New Roman" w:cs="Times New Roman"/>
          <w:sz w:val="24"/>
          <w:szCs w:val="24"/>
        </w:rPr>
        <w:t xml:space="preserve"> (IBEF, 2026). This may help Tata Motors to integrate sustainable technologies and prioritise EV productions to adapt to the current market demands shifts towards sustainable vehicles, to ensure its market position and acquire a higher competitive advantage to influence its global presence as well.  </w:t>
      </w:r>
    </w:p>
    <w:p w14:paraId="29B023D1"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lastRenderedPageBreak/>
        <w:t xml:space="preserve">Indulgence: </w:t>
      </w:r>
      <w:r w:rsidRPr="00A820CB">
        <w:rPr>
          <w:rFonts w:ascii="Times New Roman" w:eastAsia="Times New Roman" w:hAnsi="Times New Roman" w:cs="Times New Roman"/>
          <w:sz w:val="24"/>
          <w:szCs w:val="24"/>
        </w:rPr>
        <w:t>A score of 26 evidence India’s strong inclination towards being restrained, which eliminates individual’s desires, leisure and personal indulgence (The Culture Factor, 2026). Such a restrained culture may negatively impact the automobile companies, like Tata Motors’ employee performance, by limiting their impulses and affecting engagement. Instead of operating in</w:t>
      </w:r>
      <w:r w:rsidRPr="00A820CB">
        <w:rPr>
          <w:rFonts w:ascii="Times New Roman" w:eastAsia="Times New Roman" w:hAnsi="Times New Roman" w:cs="Times New Roman"/>
          <w:b/>
          <w:bCs/>
          <w:sz w:val="24"/>
          <w:szCs w:val="24"/>
        </w:rPr>
        <w:t xml:space="preserve"> </w:t>
      </w:r>
      <w:r w:rsidRPr="00A820CB">
        <w:rPr>
          <w:rFonts w:ascii="Times New Roman" w:eastAsia="Times New Roman" w:hAnsi="Times New Roman" w:cs="Times New Roman"/>
          <w:sz w:val="24"/>
          <w:szCs w:val="24"/>
        </w:rPr>
        <w:t>such a low indulgent country,</w:t>
      </w:r>
      <w:r w:rsidRPr="00A820CB">
        <w:rPr>
          <w:rFonts w:ascii="Times New Roman" w:eastAsia="Times New Roman" w:hAnsi="Times New Roman" w:cs="Times New Roman"/>
          <w:b/>
          <w:bCs/>
          <w:sz w:val="24"/>
          <w:szCs w:val="24"/>
        </w:rPr>
        <w:t xml:space="preserve"> </w:t>
      </w:r>
      <w:r w:rsidRPr="00A820CB">
        <w:rPr>
          <w:rFonts w:ascii="Times New Roman" w:eastAsia="Times New Roman" w:hAnsi="Times New Roman" w:cs="Times New Roman"/>
          <w:sz w:val="24"/>
          <w:szCs w:val="24"/>
        </w:rPr>
        <w:t>Tata Motors has created a contradictory workplace culture which offers flexible working hours, balanced work-life, and grants leave for supporting employee needs and fulfilling their desires (Tata Motors, 2023a). While adopting contrasting strategies in a restrained culture, the company may face employee reluctance and traditional setups. However, these practices are expected to empower Tata Motors in enhancing employee engagement in future and enhance productivity through a sense of being valued and a consideration for employees’ gratification of desires. </w:t>
      </w:r>
    </w:p>
    <w:p w14:paraId="655AD979" w14:textId="77777777" w:rsidR="00CF1338" w:rsidRPr="00A820CB" w:rsidRDefault="00CF1338" w:rsidP="00C53B27">
      <w:pPr>
        <w:pStyle w:val="Heading3"/>
        <w:spacing w:line="360" w:lineRule="auto"/>
        <w:rPr>
          <w:rFonts w:ascii="Times New Roman" w:hAnsi="Times New Roman" w:cs="Times New Roman"/>
          <w:szCs w:val="24"/>
        </w:rPr>
      </w:pPr>
      <w:bookmarkStart w:id="11" w:name="_Toc225370690"/>
      <w:r w:rsidRPr="00A820CB">
        <w:rPr>
          <w:rFonts w:ascii="Times New Roman" w:hAnsi="Times New Roman" w:cs="Times New Roman"/>
          <w:szCs w:val="24"/>
        </w:rPr>
        <w:t>Overall market attractiveness</w:t>
      </w:r>
      <w:bookmarkEnd w:id="11"/>
    </w:p>
    <w:p w14:paraId="6955DAE9"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The above external environmental analysis has shown that the Indian automobile market attractiveness can be boosted by the FAME Scheme, which increases opportunity for automobile manufacturers, like Tata Motors, in focusing EV productions (E-Amrit, 2026). Whereas, a declining tariff rate on EU imports can impose a challenging landscape across the automobile market in India as it increases rivalry among the existing and new entrant companies. Low per-capita income and personal vehicle ownership trends are driving massive changes in the automobile demand and imposing an optimistic view on the companies, like Tata Motors, optimising strategies for better market capturing and boosting sales. The application of the </w:t>
      </w:r>
      <w:r w:rsidRPr="00A820CB">
        <w:rPr>
          <w:rFonts w:ascii="Times New Roman" w:eastAsia="Times New Roman" w:hAnsi="Times New Roman" w:cs="Times New Roman"/>
          <w:i/>
          <w:iCs/>
          <w:sz w:val="24"/>
          <w:szCs w:val="24"/>
        </w:rPr>
        <w:t xml:space="preserve">Product Life Cycle Curve Model </w:t>
      </w:r>
      <w:r w:rsidRPr="00A820CB">
        <w:rPr>
          <w:rFonts w:ascii="Times New Roman" w:eastAsia="Times New Roman" w:hAnsi="Times New Roman" w:cs="Times New Roman"/>
          <w:sz w:val="24"/>
          <w:szCs w:val="24"/>
        </w:rPr>
        <w:t>has helped to portray Indian EVs’ upward curve journey from conceptualisation to global exporting (Lei et al. 2023). The Indian automobile market’s attractiveness is majorly influenced by the legal structure of the country, intervened by the government’s regulatory enactments. Cultural analysis of the country has helped to recognise potential opportunities and challenges which may influence Tata Motors’ competitive success by transforming competencies. </w:t>
      </w:r>
    </w:p>
    <w:p w14:paraId="1DBC0253" w14:textId="0650EB2A" w:rsidR="00CF1338" w:rsidRPr="00A820CB" w:rsidRDefault="002349A6" w:rsidP="00C53B27">
      <w:pPr>
        <w:pStyle w:val="Heading2"/>
        <w:spacing w:line="360" w:lineRule="auto"/>
        <w:rPr>
          <w:rFonts w:ascii="Times New Roman" w:hAnsi="Times New Roman" w:cs="Times New Roman"/>
          <w:szCs w:val="24"/>
        </w:rPr>
      </w:pPr>
      <w:bookmarkStart w:id="12" w:name="_Toc225370691"/>
      <w:r w:rsidRPr="00A820CB">
        <w:rPr>
          <w:rFonts w:ascii="Times New Roman" w:hAnsi="Times New Roman" w:cs="Times New Roman"/>
          <w:szCs w:val="24"/>
        </w:rPr>
        <w:t>5. Conclusion</w:t>
      </w:r>
      <w:bookmarkEnd w:id="12"/>
    </w:p>
    <w:p w14:paraId="50B1F049"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This report has demonstrated the market intensity of the Indian automobile industry by examining the impacts of India’s legal, political, economic and cultural influences. An in-depth analysis of </w:t>
      </w:r>
      <w:r w:rsidRPr="00A820CB">
        <w:rPr>
          <w:rFonts w:ascii="Times New Roman" w:eastAsia="Times New Roman" w:hAnsi="Times New Roman" w:cs="Times New Roman"/>
          <w:sz w:val="24"/>
          <w:szCs w:val="24"/>
        </w:rPr>
        <w:lastRenderedPageBreak/>
        <w:t>the country's condition and industry status has helped to identify the scopes for automobile companies in terms of prioritising EV productions for sustainable moves and boosting the Indian economy. A comparative analysis about the strategic moves of various domestic and international automobile companies operating in India has recognised how market relevant strategies and adaptability helped the companies to secure a competitive position. Tata Motors can analyse its actions to revise its strategies for capturing a better market position. </w:t>
      </w:r>
    </w:p>
    <w:p w14:paraId="555BFAF5"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Indian automobile industry’s internal conditions, such as current demands, resources, impact on supporting industries, and firm structure, strategy and competitions, have been evaluated through Porter’s Diamond Model to measure its competitive strength. Overall, the discussion has shown India’s strong focus on EV manufacturing and exporting to lead the global market. But it may also consider producing other sustainable vehicles, such as FCEVs, Biofuel Vehicles and HEVs to strengthen competitiveness and serve a larger base of customers. Hence, to conclude the discussion, India’s political, legal, economic and cultural analysis has examined potential impacts on Tata Motors’ future growth in this country and its readiness to secure a position in the international market. </w:t>
      </w:r>
    </w:p>
    <w:p w14:paraId="44B76C0F" w14:textId="77777777" w:rsidR="00CF1338" w:rsidRPr="00A820CB" w:rsidRDefault="00CF1338" w:rsidP="00C53B27">
      <w:pPr>
        <w:pStyle w:val="Heading1"/>
        <w:spacing w:line="360" w:lineRule="auto"/>
        <w:rPr>
          <w:rFonts w:ascii="Times New Roman" w:hAnsi="Times New Roman" w:cs="Times New Roman"/>
          <w:szCs w:val="24"/>
        </w:rPr>
      </w:pPr>
      <w:bookmarkStart w:id="13" w:name="_Toc225370692"/>
      <w:r w:rsidRPr="00A820CB">
        <w:rPr>
          <w:rFonts w:ascii="Times New Roman" w:hAnsi="Times New Roman" w:cs="Times New Roman"/>
          <w:szCs w:val="24"/>
        </w:rPr>
        <w:lastRenderedPageBreak/>
        <w:t>Section 2</w:t>
      </w:r>
      <w:bookmarkEnd w:id="13"/>
    </w:p>
    <w:p w14:paraId="20C78105" w14:textId="38C5F9FB" w:rsidR="00CF1338" w:rsidRPr="00A820CB" w:rsidRDefault="00CF1338" w:rsidP="00C53B27">
      <w:pPr>
        <w:pStyle w:val="Heading2"/>
        <w:spacing w:line="360" w:lineRule="auto"/>
        <w:rPr>
          <w:rFonts w:ascii="Times New Roman" w:hAnsi="Times New Roman" w:cs="Times New Roman"/>
          <w:szCs w:val="24"/>
        </w:rPr>
      </w:pPr>
      <w:bookmarkStart w:id="14" w:name="_Toc225370693"/>
      <w:r w:rsidRPr="00A820CB">
        <w:rPr>
          <w:rFonts w:ascii="Times New Roman" w:hAnsi="Times New Roman" w:cs="Times New Roman"/>
          <w:szCs w:val="24"/>
        </w:rPr>
        <w:t xml:space="preserve">Reflective account </w:t>
      </w:r>
      <w:r w:rsidR="00F808E7" w:rsidRPr="00A820CB">
        <w:rPr>
          <w:rFonts w:ascii="Times New Roman" w:hAnsi="Times New Roman" w:cs="Times New Roman"/>
          <w:szCs w:val="24"/>
        </w:rPr>
        <w:t>by using Gibbs’ Reflective Cycle</w:t>
      </w:r>
      <w:bookmarkEnd w:id="14"/>
    </w:p>
    <w:p w14:paraId="20AD72C3" w14:textId="4243F6D1" w:rsidR="00CF1338" w:rsidRPr="00A820CB" w:rsidRDefault="00124DA1" w:rsidP="00C53B27">
      <w:pPr>
        <w:spacing w:line="360" w:lineRule="auto"/>
        <w:jc w:val="center"/>
        <w:rPr>
          <w:rFonts w:ascii="Times New Roman" w:eastAsia="Times New Roman" w:hAnsi="Times New Roman" w:cs="Times New Roman"/>
          <w:sz w:val="24"/>
          <w:szCs w:val="24"/>
        </w:rPr>
      </w:pPr>
      <w:r w:rsidRPr="00A820CB">
        <w:rPr>
          <w:rFonts w:ascii="Times New Roman" w:hAnsi="Times New Roman" w:cs="Times New Roman"/>
          <w:noProof/>
        </w:rPr>
        <w:drawing>
          <wp:inline distT="0" distB="0" distL="0" distR="0" wp14:anchorId="1E5BE6D4" wp14:editId="085A3337">
            <wp:extent cx="4619625" cy="4076700"/>
            <wp:effectExtent l="19050" t="19050" r="28575" b="19050"/>
            <wp:docPr id="11809428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19625" cy="4076700"/>
                    </a:xfrm>
                    <a:prstGeom prst="rect">
                      <a:avLst/>
                    </a:prstGeom>
                    <a:noFill/>
                    <a:ln>
                      <a:solidFill>
                        <a:schemeClr val="tx1"/>
                      </a:solidFill>
                    </a:ln>
                  </pic:spPr>
                </pic:pic>
              </a:graphicData>
            </a:graphic>
          </wp:inline>
        </w:drawing>
      </w:r>
    </w:p>
    <w:p w14:paraId="3918636E" w14:textId="4B655D27" w:rsidR="00CF1338" w:rsidRPr="00A820CB" w:rsidRDefault="005A5CA3"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Figure 7</w:t>
      </w:r>
      <w:r w:rsidR="00CF1338" w:rsidRPr="00A820CB">
        <w:rPr>
          <w:rFonts w:ascii="Times New Roman" w:eastAsia="Times New Roman" w:hAnsi="Times New Roman" w:cs="Times New Roman"/>
          <w:sz w:val="24"/>
          <w:szCs w:val="24"/>
        </w:rPr>
        <w:t>: Gibbs’ Reflective Cycle </w:t>
      </w:r>
    </w:p>
    <w:p w14:paraId="77AB3C76" w14:textId="77777777" w:rsidR="00CF1338" w:rsidRPr="00A820CB" w:rsidRDefault="00CF1338" w:rsidP="00C53B27">
      <w:pPr>
        <w:spacing w:line="360" w:lineRule="auto"/>
        <w:jc w:val="center"/>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(source: Ocampo et al. 2025) </w:t>
      </w:r>
    </w:p>
    <w:p w14:paraId="7F3B8256"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Description:</w:t>
      </w:r>
      <w:r w:rsidRPr="00A820CB">
        <w:rPr>
          <w:rFonts w:ascii="Times New Roman" w:eastAsia="Times New Roman" w:hAnsi="Times New Roman" w:cs="Times New Roman"/>
          <w:sz w:val="24"/>
          <w:szCs w:val="24"/>
        </w:rPr>
        <w:t xml:space="preserve"> During the preparation of this report, I had to analyse how the Indian automobile industry is revolutionising and approaching being one of the leading EV exporters across the globe. The discussion started with the country perspective and then shifted to the respective industry, through which I could idealise the automobile's contribution to the growth of the Indian economy and the rapidly emerging demand for sustainable vehicles. While conducting this research, I could identify the potential scopes across the industry and also prepared a table to represent the strategic differences between domestic and international companies operating in this market. I have used Porter’s Diamond Model to evaluate the industry conditions, influenced by resource abundance, demand and changes in customer preference, interconnectedness between the related industries and existing firms’ strategies. After examining the impacts of political, economic and legal </w:t>
      </w:r>
      <w:r w:rsidRPr="00A820CB">
        <w:rPr>
          <w:rFonts w:ascii="Times New Roman" w:eastAsia="Times New Roman" w:hAnsi="Times New Roman" w:cs="Times New Roman"/>
          <w:sz w:val="24"/>
          <w:szCs w:val="24"/>
        </w:rPr>
        <w:lastRenderedPageBreak/>
        <w:t>conditions of the selected company, Tata Motors’ future expansions in this market, Hofstede’s Model helped me to identify the alignment of Tata Motors’ potential strategic moves with the Indian culture. </w:t>
      </w:r>
    </w:p>
    <w:p w14:paraId="290406AB" w14:textId="015860B5"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Feelings:</w:t>
      </w:r>
      <w:r w:rsidRPr="00A820CB">
        <w:rPr>
          <w:rFonts w:ascii="Times New Roman" w:eastAsia="Times New Roman" w:hAnsi="Times New Roman" w:cs="Times New Roman"/>
          <w:sz w:val="24"/>
          <w:szCs w:val="24"/>
        </w:rPr>
        <w:t xml:space="preserve"> While conducting this report, I have experienced several roller coasters, which influenced my impulses and feelings in every stage of the entire work. When I received the topic, I was feeling confused to select a suitable industry and country to collect information and analyse the international business concepts and global competitiveness. Then I took help from my tutor to select the automobile industry of India to perform the rest of the tasks, and it relieved me from the initial difficulties. Collecting information on the industry growth, the country’s GDP and inflation, governmental regulations and identification of the rapid demands in the market was quite challenging and time consuming. Initially, I could not properly integrate Hofstede's Cultural Model to </w:t>
      </w:r>
      <w:r w:rsidR="00AC6F82" w:rsidRPr="00A820CB">
        <w:rPr>
          <w:rFonts w:ascii="Times New Roman" w:eastAsia="Times New Roman" w:hAnsi="Times New Roman" w:cs="Times New Roman"/>
          <w:sz w:val="24"/>
          <w:szCs w:val="24"/>
        </w:rPr>
        <w:t>represent the</w:t>
      </w:r>
      <w:r w:rsidRPr="00A820CB">
        <w:rPr>
          <w:rFonts w:ascii="Times New Roman" w:eastAsia="Times New Roman" w:hAnsi="Times New Roman" w:cs="Times New Roman"/>
          <w:sz w:val="24"/>
          <w:szCs w:val="24"/>
        </w:rPr>
        <w:t xml:space="preserve"> impacts on Tata Motors’ strategies, due to a poor understanding  (The Culture Factor). I was quite tense about the completion of the report within the deadline, but my research skill and critical thinking helped to organise the tasks and execute them simultaneously. However, I could submit the research outcome on time by applying my time management and strong research skills. </w:t>
      </w:r>
    </w:p>
    <w:p w14:paraId="1A80977A"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Evaluation:</w:t>
      </w:r>
      <w:r w:rsidRPr="00A820CB">
        <w:rPr>
          <w:rFonts w:ascii="Times New Roman" w:eastAsia="Times New Roman" w:hAnsi="Times New Roman" w:cs="Times New Roman"/>
          <w:sz w:val="24"/>
          <w:szCs w:val="24"/>
        </w:rPr>
        <w:t xml:space="preserve"> By considering my experiences during this research, I have understood how Indian GDP growth, the growing trend of personal vehicle ownership and massive urbanisation are the key drivers of the Indian automobile industry’s expansion. My critical thinking helped to analyse the collected data from diverse perspectives and acquire insights about the industry growth and its key influencing factors (Babazade, 2023). Identification of operating major domestic and international automobile firms and preparing a table were the most effective methods for portraying their strategic diversity and contrasting outcomes in the Indian market. Although the data collection regarding India’s political status, trade barriers, recognising government schemes and economic conditions were quite time consuming and difficult to collect and analyse. </w:t>
      </w:r>
    </w:p>
    <w:p w14:paraId="523FF67D"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 xml:space="preserve">Time management is a key trait which accelerates the seamless execution of tasks and enhances performance quality (Sluijs and Matzat, 2022). I could perform this task better by increasing self-motivation, and better task organisations and time management. On the other hand, I could not properly relate Tata Motors’ potential strategic changes with India’s cultural traits, like hierarchical preference, co-existence of individualism and collectivism, moderate long-term orientation and low indulgence. I could consult with my tutor and classmates to get suggestions to </w:t>
      </w:r>
      <w:r w:rsidRPr="00A820CB">
        <w:rPr>
          <w:rFonts w:ascii="Times New Roman" w:eastAsia="Times New Roman" w:hAnsi="Times New Roman" w:cs="Times New Roman"/>
          <w:sz w:val="24"/>
          <w:szCs w:val="24"/>
        </w:rPr>
        <w:lastRenderedPageBreak/>
        <w:t>perfectly align the cultural impacts on Tata Motors’ future-ready strategies to enhance competitive strength and resolve the framework integration issues. However, my average interpersonal and communication skills were hindering my process of conducting the research.  </w:t>
      </w:r>
    </w:p>
    <w:p w14:paraId="7AE00B13"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Analysis:</w:t>
      </w:r>
      <w:r w:rsidRPr="00A820CB">
        <w:rPr>
          <w:rFonts w:ascii="Times New Roman" w:eastAsia="Times New Roman" w:hAnsi="Times New Roman" w:cs="Times New Roman"/>
          <w:sz w:val="24"/>
          <w:szCs w:val="24"/>
        </w:rPr>
        <w:t xml:space="preserve"> Conduction of this research has helped to identify my capabilities and skill limitations, which significantly impacted my performance throughout the process. While analysing the market data, I observed how the Indian government has focused on EV production, sales and exports to meet the growing needs of sustainable vehicles in India and beyond. This has helped to understand the necessity of critical thinking and analytical power to take most effective and informed decision-making (Babazade, 2023). I have observed how these identified skills have helped me to analyse the collected information and derive a specific conclusion after the completion of this research. </w:t>
      </w:r>
    </w:p>
    <w:p w14:paraId="0015C6CD"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Competing domestic and international automobile companies’ strategies in the Indian market, environmental analysis and identification of India’s cultural traits have helped me to understand how Tata Motors can redefine strategies to gain competitive strength. Moreover, time management and communication can be significant determinants of Tata Motors’ team management by increasing productivity and goal alignment, while boosting adaptation to the ever-evolving automobile market (Sluijs and Matzat, 2022). My poor time management and communication skills were highly obstructive in my path while performing tasks, especially identifying the cultural impacts on Tata Motors’ future strategies. Therefore, I could realise the importance of the above-identified skills in professional development and the requirements for improving the weaknesses for meeting higher career objectives. </w:t>
      </w:r>
    </w:p>
    <w:p w14:paraId="5E78535A"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Conclusion:</w:t>
      </w:r>
      <w:r w:rsidRPr="00A820CB">
        <w:rPr>
          <w:rFonts w:ascii="Times New Roman" w:eastAsia="Times New Roman" w:hAnsi="Times New Roman" w:cs="Times New Roman"/>
          <w:sz w:val="24"/>
          <w:szCs w:val="24"/>
        </w:rPr>
        <w:t xml:space="preserve"> Analysing my experience and learnings from this research, I have understood how research skills, critical thinking and analytical skills were favouring my performance while executing the tasks from data collection to derive conclusions. These can be considered as my strengths which will enhance my professional growth in future. Contrarily, time management and communications, the two integral traits, insufficiency of which limited my performance qualities and also created obstacles, such as expected time consumption, difficulty in understanding and proper work management. Hence, I have decided to develop an action plan to optimise my skills for enhancing professionalism. </w:t>
      </w:r>
    </w:p>
    <w:p w14:paraId="027453FD" w14:textId="77777777" w:rsidR="00A820CB" w:rsidRPr="00A820CB" w:rsidRDefault="00A820CB" w:rsidP="00C53B27">
      <w:pPr>
        <w:spacing w:line="360" w:lineRule="auto"/>
        <w:jc w:val="both"/>
        <w:rPr>
          <w:rFonts w:ascii="Times New Roman" w:eastAsia="Times New Roman" w:hAnsi="Times New Roman" w:cs="Times New Roman"/>
          <w:sz w:val="24"/>
          <w:szCs w:val="24"/>
        </w:rPr>
      </w:pPr>
    </w:p>
    <w:p w14:paraId="399170D9" w14:textId="77777777" w:rsidR="00A820CB" w:rsidRPr="00A820CB" w:rsidRDefault="00A820CB" w:rsidP="00C53B27">
      <w:pPr>
        <w:spacing w:line="360" w:lineRule="auto"/>
        <w:jc w:val="both"/>
        <w:rPr>
          <w:rFonts w:ascii="Times New Roman" w:eastAsia="Times New Roman" w:hAnsi="Times New Roman" w:cs="Times New Roman"/>
          <w:sz w:val="24"/>
          <w:szCs w:val="24"/>
        </w:rPr>
      </w:pPr>
    </w:p>
    <w:p w14:paraId="5AA48093" w14:textId="77777777" w:rsidR="00A820CB" w:rsidRPr="00A820CB" w:rsidRDefault="00A820CB" w:rsidP="00C53B27">
      <w:pPr>
        <w:spacing w:line="360" w:lineRule="auto"/>
        <w:jc w:val="both"/>
        <w:rPr>
          <w:rFonts w:ascii="Times New Roman" w:eastAsia="Times New Roman" w:hAnsi="Times New Roman" w:cs="Times New Roman"/>
          <w:sz w:val="24"/>
          <w:szCs w:val="24"/>
        </w:rPr>
      </w:pPr>
    </w:p>
    <w:p w14:paraId="49229C55" w14:textId="77777777" w:rsidR="00CF1338" w:rsidRPr="00A820CB" w:rsidRDefault="00CF1338" w:rsidP="00C53B27">
      <w:pPr>
        <w:spacing w:line="360" w:lineRule="auto"/>
        <w:jc w:val="both"/>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lastRenderedPageBreak/>
        <w:t>Action plan</w:t>
      </w:r>
    </w:p>
    <w:tbl>
      <w:tblPr>
        <w:tblW w:w="9356" w:type="dxa"/>
        <w:tblInd w:w="-10" w:type="dxa"/>
        <w:tblCellMar>
          <w:top w:w="15" w:type="dxa"/>
          <w:left w:w="15" w:type="dxa"/>
          <w:bottom w:w="15" w:type="dxa"/>
          <w:right w:w="15" w:type="dxa"/>
        </w:tblCellMar>
        <w:tblLook w:val="04A0" w:firstRow="1" w:lastRow="0" w:firstColumn="1" w:lastColumn="0" w:noHBand="0" w:noVBand="1"/>
      </w:tblPr>
      <w:tblGrid>
        <w:gridCol w:w="2127"/>
        <w:gridCol w:w="3543"/>
        <w:gridCol w:w="2127"/>
        <w:gridCol w:w="1559"/>
      </w:tblGrid>
      <w:tr w:rsidR="005652FF" w:rsidRPr="00A820CB" w14:paraId="751F508A" w14:textId="77777777" w:rsidTr="005D727A">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43AED" w14:textId="77777777" w:rsidR="00CF1338" w:rsidRPr="00A820CB" w:rsidRDefault="00CF1338" w:rsidP="00124DA1">
            <w:pPr>
              <w:spacing w:line="360" w:lineRule="auto"/>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Objective</w:t>
            </w:r>
          </w:p>
        </w:tc>
        <w:tc>
          <w:tcPr>
            <w:tcW w:w="35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56BF8" w14:textId="77777777" w:rsidR="00CF1338" w:rsidRPr="00A820CB" w:rsidRDefault="00CF1338" w:rsidP="00124DA1">
            <w:pPr>
              <w:spacing w:line="360" w:lineRule="auto"/>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Strategies</w:t>
            </w:r>
          </w:p>
        </w:tc>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6BC2B7" w14:textId="77777777" w:rsidR="00CF1338" w:rsidRPr="00A820CB" w:rsidRDefault="00CF1338" w:rsidP="00124DA1">
            <w:pPr>
              <w:spacing w:line="360" w:lineRule="auto"/>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Expected outcome</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19B41C" w14:textId="77777777" w:rsidR="00CF1338" w:rsidRPr="00A820CB" w:rsidRDefault="00CF1338" w:rsidP="00124DA1">
            <w:pPr>
              <w:spacing w:line="360" w:lineRule="auto"/>
              <w:rPr>
                <w:rFonts w:ascii="Times New Roman" w:eastAsia="Times New Roman" w:hAnsi="Times New Roman" w:cs="Times New Roman"/>
                <w:sz w:val="24"/>
                <w:szCs w:val="24"/>
              </w:rPr>
            </w:pPr>
            <w:r w:rsidRPr="00A820CB">
              <w:rPr>
                <w:rFonts w:ascii="Times New Roman" w:eastAsia="Times New Roman" w:hAnsi="Times New Roman" w:cs="Times New Roman"/>
                <w:b/>
                <w:bCs/>
                <w:sz w:val="24"/>
                <w:szCs w:val="24"/>
              </w:rPr>
              <w:t>Time </w:t>
            </w:r>
          </w:p>
        </w:tc>
      </w:tr>
      <w:tr w:rsidR="005652FF" w:rsidRPr="00A820CB" w14:paraId="1205F391" w14:textId="77777777" w:rsidTr="005D727A">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61AB14" w14:textId="77777777" w:rsidR="00CF1338" w:rsidRPr="00A820CB" w:rsidRDefault="00CF1338" w:rsidP="00124DA1">
            <w:pPr>
              <w:spacing w:line="360" w:lineRule="auto"/>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To improve time management skill</w:t>
            </w:r>
          </w:p>
        </w:tc>
        <w:tc>
          <w:tcPr>
            <w:tcW w:w="35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24FD8" w14:textId="77777777" w:rsidR="00124DA1" w:rsidRPr="00A820CB" w:rsidRDefault="00CF1338" w:rsidP="00124DA1">
            <w:pPr>
              <w:numPr>
                <w:ilvl w:val="0"/>
                <w:numId w:val="27"/>
              </w:numPr>
              <w:spacing w:line="360" w:lineRule="auto"/>
              <w:textAlignment w:val="baseline"/>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I will break down larger tasks into smaller</w:t>
            </w:r>
            <w:r w:rsidR="00124DA1" w:rsidRPr="00A820CB">
              <w:rPr>
                <w:rFonts w:ascii="Times New Roman" w:eastAsia="Times New Roman" w:hAnsi="Times New Roman" w:cs="Times New Roman"/>
                <w:sz w:val="24"/>
                <w:szCs w:val="24"/>
              </w:rPr>
              <w:t>.</w:t>
            </w:r>
          </w:p>
          <w:p w14:paraId="36ED09F0" w14:textId="6F6DDEB8" w:rsidR="00CF1338" w:rsidRPr="00A820CB" w:rsidRDefault="00CF1338" w:rsidP="00124DA1">
            <w:pPr>
              <w:numPr>
                <w:ilvl w:val="0"/>
                <w:numId w:val="27"/>
              </w:numPr>
              <w:spacing w:line="360" w:lineRule="auto"/>
              <w:textAlignment w:val="baseline"/>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segments and fix specific time for each task</w:t>
            </w:r>
            <w:r w:rsidR="00124DA1" w:rsidRPr="00A820CB">
              <w:rPr>
                <w:rFonts w:ascii="Times New Roman" w:eastAsia="Times New Roman" w:hAnsi="Times New Roman" w:cs="Times New Roman"/>
                <w:sz w:val="24"/>
                <w:szCs w:val="24"/>
              </w:rPr>
              <w:t>.</w:t>
            </w:r>
          </w:p>
          <w:p w14:paraId="3EA316B4" w14:textId="65061D19" w:rsidR="00CF1338" w:rsidRPr="00A820CB" w:rsidRDefault="00CF1338" w:rsidP="00124DA1">
            <w:pPr>
              <w:numPr>
                <w:ilvl w:val="0"/>
                <w:numId w:val="27"/>
              </w:numPr>
              <w:spacing w:line="360" w:lineRule="auto"/>
              <w:textAlignment w:val="baseline"/>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I will increase my speed and efficiency to reduce time consumption</w:t>
            </w:r>
            <w:r w:rsidR="00124DA1" w:rsidRPr="00A820CB">
              <w:rPr>
                <w:rFonts w:ascii="Times New Roman" w:eastAsia="Times New Roman" w:hAnsi="Times New Roman" w:cs="Times New Roman"/>
                <w:sz w:val="24"/>
                <w:szCs w:val="24"/>
              </w:rPr>
              <w:t>.</w:t>
            </w:r>
          </w:p>
        </w:tc>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AABB0E" w14:textId="36F726E3" w:rsidR="00CF1338" w:rsidRPr="00A820CB" w:rsidRDefault="00CF1338" w:rsidP="00124DA1">
            <w:pPr>
              <w:spacing w:line="360" w:lineRule="auto"/>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It will boost my productivity and improve work-life-balance</w:t>
            </w:r>
            <w:r w:rsidR="00124DA1" w:rsidRPr="00A820CB">
              <w:rPr>
                <w:rFonts w:ascii="Times New Roman" w:eastAsia="Times New Roman" w:hAnsi="Times New Roman" w:cs="Times New Roman"/>
                <w:sz w:val="24"/>
                <w:szCs w:val="24"/>
              </w:rPr>
              <w:t>.</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D6BC62" w14:textId="77777777" w:rsidR="00CF1338" w:rsidRPr="00A820CB" w:rsidRDefault="00CF1338" w:rsidP="00124DA1">
            <w:pPr>
              <w:spacing w:line="360" w:lineRule="auto"/>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5-6 months</w:t>
            </w:r>
          </w:p>
        </w:tc>
      </w:tr>
      <w:tr w:rsidR="005652FF" w:rsidRPr="00A820CB" w14:paraId="516619C3" w14:textId="77777777" w:rsidTr="005D727A">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DADBD" w14:textId="77777777" w:rsidR="00CF1338" w:rsidRPr="00A820CB" w:rsidRDefault="00CF1338" w:rsidP="00124DA1">
            <w:pPr>
              <w:spacing w:line="360" w:lineRule="auto"/>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To strengthen communication skill</w:t>
            </w:r>
          </w:p>
        </w:tc>
        <w:tc>
          <w:tcPr>
            <w:tcW w:w="35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DED7A4" w14:textId="5F36A9D1" w:rsidR="00CF1338" w:rsidRPr="00A820CB" w:rsidRDefault="00CF1338" w:rsidP="00124DA1">
            <w:pPr>
              <w:numPr>
                <w:ilvl w:val="0"/>
                <w:numId w:val="28"/>
              </w:numPr>
              <w:spacing w:line="360" w:lineRule="auto"/>
              <w:textAlignment w:val="baseline"/>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I will improve my active listening</w:t>
            </w:r>
            <w:r w:rsidR="00124DA1" w:rsidRPr="00A820CB">
              <w:rPr>
                <w:rFonts w:ascii="Times New Roman" w:eastAsia="Times New Roman" w:hAnsi="Times New Roman" w:cs="Times New Roman"/>
                <w:sz w:val="24"/>
                <w:szCs w:val="24"/>
              </w:rPr>
              <w:t>.</w:t>
            </w:r>
          </w:p>
          <w:p w14:paraId="2503A052" w14:textId="4F1DB0FC" w:rsidR="00CF1338" w:rsidRPr="00A820CB" w:rsidRDefault="00CF1338" w:rsidP="00124DA1">
            <w:pPr>
              <w:numPr>
                <w:ilvl w:val="0"/>
                <w:numId w:val="28"/>
              </w:numPr>
              <w:spacing w:line="360" w:lineRule="auto"/>
              <w:textAlignment w:val="baseline"/>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I will try to use clear and concise speeches</w:t>
            </w:r>
            <w:r w:rsidR="00124DA1" w:rsidRPr="00A820CB">
              <w:rPr>
                <w:rFonts w:ascii="Times New Roman" w:eastAsia="Times New Roman" w:hAnsi="Times New Roman" w:cs="Times New Roman"/>
                <w:sz w:val="24"/>
                <w:szCs w:val="24"/>
              </w:rPr>
              <w:t>.</w:t>
            </w:r>
          </w:p>
          <w:p w14:paraId="172A394A" w14:textId="586DC7C0" w:rsidR="00CF1338" w:rsidRPr="00A820CB" w:rsidRDefault="00CF1338" w:rsidP="00124DA1">
            <w:pPr>
              <w:numPr>
                <w:ilvl w:val="0"/>
                <w:numId w:val="28"/>
              </w:numPr>
              <w:spacing w:line="360" w:lineRule="auto"/>
              <w:textAlignment w:val="baseline"/>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I will focus on self-practicing and communicate with others</w:t>
            </w:r>
            <w:r w:rsidR="00124DA1" w:rsidRPr="00A820CB">
              <w:rPr>
                <w:rFonts w:ascii="Times New Roman" w:eastAsia="Times New Roman" w:hAnsi="Times New Roman" w:cs="Times New Roman"/>
                <w:sz w:val="24"/>
                <w:szCs w:val="24"/>
              </w:rPr>
              <w:t>.</w:t>
            </w:r>
          </w:p>
        </w:tc>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E49B02" w14:textId="429B96F3" w:rsidR="00CF1338" w:rsidRPr="00A820CB" w:rsidRDefault="00CF1338" w:rsidP="00124DA1">
            <w:pPr>
              <w:spacing w:line="360" w:lineRule="auto"/>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It will enhance team management and boost collaborative work</w:t>
            </w:r>
            <w:r w:rsidR="00124DA1" w:rsidRPr="00A820CB">
              <w:rPr>
                <w:rFonts w:ascii="Times New Roman" w:eastAsia="Times New Roman" w:hAnsi="Times New Roman" w:cs="Times New Roman"/>
                <w:sz w:val="24"/>
                <w:szCs w:val="24"/>
              </w:rPr>
              <w:t>.</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1B6E5F" w14:textId="77777777" w:rsidR="00CF1338" w:rsidRPr="00A820CB" w:rsidRDefault="00CF1338" w:rsidP="00124DA1">
            <w:pPr>
              <w:spacing w:line="360" w:lineRule="auto"/>
              <w:rPr>
                <w:rFonts w:ascii="Times New Roman" w:eastAsia="Times New Roman" w:hAnsi="Times New Roman" w:cs="Times New Roman"/>
                <w:sz w:val="24"/>
                <w:szCs w:val="24"/>
              </w:rPr>
            </w:pPr>
            <w:r w:rsidRPr="00A820CB">
              <w:rPr>
                <w:rFonts w:ascii="Times New Roman" w:eastAsia="Times New Roman" w:hAnsi="Times New Roman" w:cs="Times New Roman"/>
                <w:sz w:val="24"/>
                <w:szCs w:val="24"/>
              </w:rPr>
              <w:t>7-8 months</w:t>
            </w:r>
          </w:p>
        </w:tc>
      </w:tr>
    </w:tbl>
    <w:p w14:paraId="309CADAE" w14:textId="77777777" w:rsidR="00C63F06" w:rsidRPr="00A820CB" w:rsidRDefault="0077007A" w:rsidP="00C53B27">
      <w:pPr>
        <w:spacing w:line="360" w:lineRule="auto"/>
        <w:jc w:val="both"/>
        <w:rPr>
          <w:rFonts w:ascii="Times New Roman" w:eastAsia="Times New Roman" w:hAnsi="Times New Roman" w:cs="Times New Roman"/>
          <w:sz w:val="24"/>
          <w:szCs w:val="24"/>
        </w:rPr>
      </w:pPr>
      <w:r w:rsidRPr="00A820CB">
        <w:rPr>
          <w:rFonts w:ascii="Times New Roman" w:hAnsi="Times New Roman" w:cs="Times New Roman"/>
          <w:sz w:val="24"/>
          <w:szCs w:val="24"/>
        </w:rPr>
        <w:br w:type="page"/>
      </w:r>
    </w:p>
    <w:p w14:paraId="5DB3A0D5" w14:textId="77777777" w:rsidR="0054735D" w:rsidRPr="00A820CB" w:rsidRDefault="0077007A" w:rsidP="00C53B27">
      <w:pPr>
        <w:pStyle w:val="Heading1"/>
        <w:spacing w:line="360" w:lineRule="auto"/>
        <w:rPr>
          <w:rFonts w:ascii="Times New Roman" w:hAnsi="Times New Roman" w:cs="Times New Roman"/>
          <w:szCs w:val="24"/>
        </w:rPr>
      </w:pPr>
      <w:bookmarkStart w:id="15" w:name="_Toc225370694"/>
      <w:r w:rsidRPr="00A820CB">
        <w:rPr>
          <w:rFonts w:ascii="Times New Roman" w:hAnsi="Times New Roman" w:cs="Times New Roman"/>
          <w:szCs w:val="24"/>
        </w:rPr>
        <w:lastRenderedPageBreak/>
        <w:t>References</w:t>
      </w:r>
      <w:bookmarkEnd w:id="15"/>
    </w:p>
    <w:p w14:paraId="78866D49" w14:textId="77777777" w:rsidR="00C53B27" w:rsidRPr="00A820CB" w:rsidRDefault="00C53B27" w:rsidP="00C53B27">
      <w:pPr>
        <w:spacing w:line="360" w:lineRule="auto"/>
        <w:rPr>
          <w:rFonts w:ascii="Times New Roman" w:eastAsia="Times New Roman" w:hAnsi="Times New Roman" w:cs="Times New Roman"/>
          <w:color w:val="000000"/>
          <w:sz w:val="24"/>
          <w:szCs w:val="24"/>
        </w:rPr>
      </w:pPr>
      <w:r w:rsidRPr="00A820CB">
        <w:rPr>
          <w:rFonts w:ascii="Times New Roman" w:hAnsi="Times New Roman" w:cs="Times New Roman"/>
          <w:color w:val="000000"/>
          <w:sz w:val="24"/>
          <w:szCs w:val="24"/>
        </w:rPr>
        <w:t>ARAI (2026)</w:t>
      </w:r>
      <w:r w:rsidRPr="00A820CB">
        <w:rPr>
          <w:rFonts w:ascii="Times New Roman" w:hAnsi="Times New Roman" w:cs="Times New Roman"/>
          <w:i/>
          <w:iCs/>
          <w:color w:val="000000"/>
          <w:sz w:val="24"/>
          <w:szCs w:val="24"/>
        </w:rPr>
        <w:t xml:space="preserve"> Indian Emissions Regulations. </w:t>
      </w:r>
      <w:r w:rsidRPr="00A820CB">
        <w:rPr>
          <w:rFonts w:ascii="Times New Roman" w:hAnsi="Times New Roman" w:cs="Times New Roman"/>
          <w:color w:val="000000"/>
          <w:sz w:val="24"/>
          <w:szCs w:val="24"/>
        </w:rPr>
        <w:t xml:space="preserve">Available at: </w:t>
      </w:r>
      <w:hyperlink r:id="rId16" w:history="1">
        <w:r w:rsidRPr="00A820CB">
          <w:rPr>
            <w:rStyle w:val="Hyperlink"/>
            <w:rFonts w:ascii="Times New Roman" w:hAnsi="Times New Roman" w:cs="Times New Roman"/>
            <w:color w:val="1155CC"/>
            <w:sz w:val="24"/>
            <w:szCs w:val="24"/>
          </w:rPr>
          <w:t>https://www.araiindia.com/pdf/Indian_Emission_Regulation_Booklet.pdf</w:t>
        </w:r>
      </w:hyperlink>
      <w:r w:rsidRPr="00A820CB">
        <w:rPr>
          <w:rFonts w:ascii="Times New Roman" w:hAnsi="Times New Roman" w:cs="Times New Roman"/>
          <w:color w:val="000000"/>
          <w:sz w:val="24"/>
          <w:szCs w:val="24"/>
        </w:rPr>
        <w:t xml:space="preserve"> (Accessed: 16 March 2026).</w:t>
      </w:r>
    </w:p>
    <w:p w14:paraId="581B92F0" w14:textId="77777777" w:rsidR="00C53B27" w:rsidRPr="00A820CB" w:rsidRDefault="00C53B27" w:rsidP="00C53B27">
      <w:pPr>
        <w:pStyle w:val="NormalWeb"/>
        <w:spacing w:before="0" w:beforeAutospacing="0" w:after="0" w:afterAutospacing="0" w:line="360" w:lineRule="auto"/>
        <w:jc w:val="both"/>
      </w:pPr>
      <w:r w:rsidRPr="00A820CB">
        <w:rPr>
          <w:color w:val="222222"/>
          <w:shd w:val="clear" w:color="auto" w:fill="FFFFFF"/>
        </w:rPr>
        <w:t xml:space="preserve">Babazade, Y. (2023) ‘Critical thinking in ELT: Developing analytical skills in English Learners’, </w:t>
      </w:r>
      <w:r w:rsidRPr="00A820CB">
        <w:rPr>
          <w:i/>
          <w:iCs/>
          <w:color w:val="222222"/>
          <w:shd w:val="clear" w:color="auto" w:fill="FFFFFF"/>
        </w:rPr>
        <w:t>International journal of philosophical studies and social sciences</w:t>
      </w:r>
      <w:r w:rsidRPr="00A820CB">
        <w:rPr>
          <w:color w:val="222222"/>
          <w:shd w:val="clear" w:color="auto" w:fill="FFFFFF"/>
        </w:rPr>
        <w:t xml:space="preserve">, </w:t>
      </w:r>
      <w:r w:rsidRPr="00A820CB">
        <w:rPr>
          <w:i/>
          <w:iCs/>
          <w:color w:val="222222"/>
          <w:shd w:val="clear" w:color="auto" w:fill="FFFFFF"/>
        </w:rPr>
        <w:t>3</w:t>
      </w:r>
      <w:r w:rsidRPr="00A820CB">
        <w:rPr>
          <w:color w:val="222222"/>
          <w:shd w:val="clear" w:color="auto" w:fill="FFFFFF"/>
        </w:rPr>
        <w:t xml:space="preserve">(6), pp.1-13. </w:t>
      </w:r>
      <w:r w:rsidRPr="00A820CB">
        <w:rPr>
          <w:color w:val="000000"/>
        </w:rPr>
        <w:t xml:space="preserve">Available at: </w:t>
      </w:r>
      <w:hyperlink r:id="rId17" w:history="1">
        <w:r w:rsidRPr="00A820CB">
          <w:rPr>
            <w:rStyle w:val="Hyperlink"/>
            <w:color w:val="1155CC"/>
          </w:rPr>
          <w:t>https://www.researchgate.net/profile/Yasin-Babazade/publication/384966329_CRITICAL_THINKING_IN_ELT_DEVELOPING_ANALYTICAL_SKILLS_IN_ENGLISH_LEARNERS/links/670f996b24a01038d0f03c2a/CRITICAL-THINKING-IN-ELT-DEVELOPING-ANALYTICAL-SKILLS-IN-ENGLISH-LEARNERS.pdf</w:t>
        </w:r>
      </w:hyperlink>
      <w:r w:rsidRPr="00A820CB">
        <w:rPr>
          <w:color w:val="000000"/>
        </w:rPr>
        <w:t> </w:t>
      </w:r>
    </w:p>
    <w:p w14:paraId="34E0E01F"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Chaudhary, U. (2024) </w:t>
      </w:r>
      <w:r w:rsidRPr="00A820CB">
        <w:rPr>
          <w:i/>
          <w:iCs/>
          <w:color w:val="000000"/>
        </w:rPr>
        <w:t xml:space="preserve">Inflation in India: Are cars cheaper or costlier to buy now than before. </w:t>
      </w:r>
      <w:r w:rsidRPr="00A820CB">
        <w:rPr>
          <w:color w:val="000000"/>
        </w:rPr>
        <w:t xml:space="preserve">Available at: </w:t>
      </w:r>
      <w:hyperlink r:id="rId18" w:history="1">
        <w:r w:rsidRPr="00A820CB">
          <w:rPr>
            <w:rStyle w:val="Hyperlink"/>
            <w:color w:val="1155CC"/>
          </w:rPr>
          <w:t>https://www.team-bhp.com/news/inflation-india-are-cars-cheaper-or-costlier-buy-now</w:t>
        </w:r>
      </w:hyperlink>
      <w:r w:rsidRPr="00A820CB">
        <w:rPr>
          <w:color w:val="000000"/>
        </w:rPr>
        <w:t xml:space="preserve"> (Accessed: 16 March 2026). </w:t>
      </w:r>
    </w:p>
    <w:p w14:paraId="3202E46C"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E-Amrit (2026) </w:t>
      </w:r>
      <w:r w:rsidRPr="00A820CB">
        <w:rPr>
          <w:i/>
          <w:iCs/>
          <w:color w:val="000000"/>
        </w:rPr>
        <w:t xml:space="preserve">National level Policy. </w:t>
      </w:r>
      <w:r w:rsidRPr="00A820CB">
        <w:rPr>
          <w:color w:val="000000"/>
        </w:rPr>
        <w:t xml:space="preserve">Available at: </w:t>
      </w:r>
      <w:hyperlink r:id="rId19" w:history="1">
        <w:r w:rsidRPr="00A820CB">
          <w:rPr>
            <w:rStyle w:val="Hyperlink"/>
            <w:color w:val="1155CC"/>
          </w:rPr>
          <w:t>https://e-amrit.niti.gov.in/national-level-policy</w:t>
        </w:r>
      </w:hyperlink>
      <w:r w:rsidRPr="00A820CB">
        <w:rPr>
          <w:color w:val="000000"/>
        </w:rPr>
        <w:t xml:space="preserve"> (Accessed: 16 March 2026).</w:t>
      </w:r>
    </w:p>
    <w:p w14:paraId="3401D0F0"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ET Auto (2025) </w:t>
      </w:r>
      <w:r w:rsidRPr="00A820CB">
        <w:rPr>
          <w:i/>
          <w:iCs/>
          <w:color w:val="000000"/>
        </w:rPr>
        <w:t xml:space="preserve">Auto sector fuels India’s $5 tn economy ambition with global momentum. </w:t>
      </w:r>
      <w:r w:rsidRPr="00A820CB">
        <w:rPr>
          <w:color w:val="000000"/>
        </w:rPr>
        <w:t xml:space="preserve">Available at: </w:t>
      </w:r>
      <w:hyperlink r:id="rId20" w:history="1">
        <w:r w:rsidRPr="00A820CB">
          <w:rPr>
            <w:rStyle w:val="Hyperlink"/>
            <w:color w:val="1155CC"/>
          </w:rPr>
          <w:t>https://auto.economictimes.indiatimes.com/news/industry/indias-automotive-sector-drives-5-trillion-economy-ambition-with-record-exports/122150911</w:t>
        </w:r>
      </w:hyperlink>
      <w:r w:rsidRPr="00A820CB">
        <w:rPr>
          <w:color w:val="000000"/>
        </w:rPr>
        <w:t xml:space="preserve"> (Accessed: 15 March 2026). </w:t>
      </w:r>
    </w:p>
    <w:p w14:paraId="44B94886"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ET Auto (2026) </w:t>
      </w:r>
      <w:r w:rsidRPr="00A820CB">
        <w:rPr>
          <w:i/>
          <w:iCs/>
          <w:color w:val="000000"/>
        </w:rPr>
        <w:t xml:space="preserve">Auto sector facing near-term production disruptions amid gas supply constraints: Report. </w:t>
      </w:r>
      <w:r w:rsidRPr="00A820CB">
        <w:rPr>
          <w:color w:val="000000"/>
        </w:rPr>
        <w:t xml:space="preserve">Available at: </w:t>
      </w:r>
      <w:hyperlink r:id="rId21" w:history="1">
        <w:r w:rsidRPr="00A820CB">
          <w:rPr>
            <w:rStyle w:val="Hyperlink"/>
            <w:color w:val="1155CC"/>
          </w:rPr>
          <w:t>https://auto.economictimes.indiatimes.com/news/industry/auto-sector-facing-near-term-production-disruptions-amid-gas-supply-constraints-report/129652041</w:t>
        </w:r>
      </w:hyperlink>
      <w:r w:rsidRPr="00A820CB">
        <w:rPr>
          <w:color w:val="000000"/>
        </w:rPr>
        <w:t xml:space="preserve"> (Accessed: 16 March 2026). </w:t>
      </w:r>
    </w:p>
    <w:p w14:paraId="13202582"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Firodia, A. (2025) </w:t>
      </w:r>
      <w:r w:rsidRPr="00A820CB">
        <w:rPr>
          <w:i/>
          <w:iCs/>
          <w:color w:val="000000"/>
        </w:rPr>
        <w:t xml:space="preserve">EVs are just the beginning: How  is India’s auto industry becoming a global innovation hub?. </w:t>
      </w:r>
      <w:r w:rsidRPr="00A820CB">
        <w:rPr>
          <w:color w:val="000000"/>
        </w:rPr>
        <w:t xml:space="preserve">Available at: </w:t>
      </w:r>
      <w:hyperlink r:id="rId22" w:anchor=":~:text=Major%20global%20auto%20industry%20players,both%20hybrid%20and%20EV%20architectures" w:history="1">
        <w:r w:rsidRPr="00A820CB">
          <w:rPr>
            <w:rStyle w:val="Hyperlink"/>
            <w:color w:val="1155CC"/>
          </w:rPr>
          <w:t>https://www.manufacturingtodayindia.com/indias-auto-industry-innovation#:~:text=Major%20global%20auto%20industry%20players,both%20hybrid%20and%20EV%20architectures</w:t>
        </w:r>
      </w:hyperlink>
      <w:r w:rsidRPr="00A820CB">
        <w:rPr>
          <w:color w:val="000000"/>
        </w:rPr>
        <w:t>. (Accessed: 16 March 2026).</w:t>
      </w:r>
    </w:p>
    <w:p w14:paraId="534BA41F"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Hindustan Motors (2026) </w:t>
      </w:r>
      <w:r w:rsidRPr="00A820CB">
        <w:rPr>
          <w:i/>
          <w:iCs/>
          <w:color w:val="000000"/>
        </w:rPr>
        <w:t xml:space="preserve">Annual Report &amp; Accounts 2024 - 2025. </w:t>
      </w:r>
      <w:r w:rsidRPr="00A820CB">
        <w:rPr>
          <w:color w:val="000000"/>
        </w:rPr>
        <w:t xml:space="preserve">Available at: </w:t>
      </w:r>
      <w:hyperlink r:id="rId23" w:history="1">
        <w:r w:rsidRPr="00A820CB">
          <w:rPr>
            <w:rStyle w:val="Hyperlink"/>
            <w:color w:val="1155CC"/>
          </w:rPr>
          <w:t>http://www.hindmotor.com/Files/HM-AR-2024-25.pdf</w:t>
        </w:r>
      </w:hyperlink>
      <w:r w:rsidRPr="00A820CB">
        <w:rPr>
          <w:color w:val="000000"/>
        </w:rPr>
        <w:t xml:space="preserve"> (Accessed: 15 March 2026). </w:t>
      </w:r>
    </w:p>
    <w:p w14:paraId="17E4266F"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Hindustan Motors (2026a) </w:t>
      </w:r>
      <w:r w:rsidRPr="00A820CB">
        <w:rPr>
          <w:i/>
          <w:iCs/>
          <w:color w:val="000000"/>
        </w:rPr>
        <w:t xml:space="preserve">About Us. </w:t>
      </w:r>
      <w:r w:rsidRPr="00A820CB">
        <w:rPr>
          <w:color w:val="000000"/>
        </w:rPr>
        <w:t xml:space="preserve">Available at: </w:t>
      </w:r>
      <w:hyperlink r:id="rId24" w:history="1">
        <w:r w:rsidRPr="00A820CB">
          <w:rPr>
            <w:rStyle w:val="Hyperlink"/>
            <w:color w:val="1155CC"/>
          </w:rPr>
          <w:t>http://www.hindmotor.com/aboutus.asp</w:t>
        </w:r>
      </w:hyperlink>
      <w:r w:rsidRPr="00A820CB">
        <w:rPr>
          <w:color w:val="000000"/>
        </w:rPr>
        <w:t xml:space="preserve"> (Accessed: 15 March 2026). </w:t>
      </w:r>
    </w:p>
    <w:p w14:paraId="26A33CC1" w14:textId="77777777" w:rsidR="00C53B27" w:rsidRPr="00A820CB" w:rsidRDefault="00C53B27" w:rsidP="00C53B27">
      <w:pPr>
        <w:pStyle w:val="NormalWeb"/>
        <w:spacing w:before="0" w:beforeAutospacing="0" w:after="0" w:afterAutospacing="0" w:line="360" w:lineRule="auto"/>
        <w:jc w:val="both"/>
      </w:pPr>
      <w:r w:rsidRPr="00A820CB">
        <w:rPr>
          <w:color w:val="000000"/>
        </w:rPr>
        <w:lastRenderedPageBreak/>
        <w:t xml:space="preserve">Hyundai (2026) </w:t>
      </w:r>
      <w:r w:rsidRPr="00A820CB">
        <w:rPr>
          <w:i/>
          <w:iCs/>
          <w:color w:val="000000"/>
        </w:rPr>
        <w:t xml:space="preserve">Hyundai Motor Announces 2025 Annual and Q4 Business Results. </w:t>
      </w:r>
      <w:r w:rsidRPr="00A820CB">
        <w:rPr>
          <w:color w:val="000000"/>
        </w:rPr>
        <w:t xml:space="preserve">Available at: </w:t>
      </w:r>
      <w:hyperlink r:id="rId25" w:history="1">
        <w:r w:rsidRPr="00A820CB">
          <w:rPr>
            <w:rStyle w:val="Hyperlink"/>
            <w:color w:val="1155CC"/>
          </w:rPr>
          <w:t>https://www.hyundai.com/worldwide/en/newsroom/detail/hyundai-motor-announces-2025-annual-and-q4-business-results-0000001116</w:t>
        </w:r>
      </w:hyperlink>
      <w:r w:rsidRPr="00A820CB">
        <w:rPr>
          <w:color w:val="000000"/>
        </w:rPr>
        <w:t xml:space="preserve"> (Accessed: 15 March 2026). </w:t>
      </w:r>
    </w:p>
    <w:p w14:paraId="5F5E7614"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Hyundai (2026a) </w:t>
      </w:r>
      <w:r w:rsidRPr="00A820CB">
        <w:rPr>
          <w:i/>
          <w:iCs/>
          <w:color w:val="000000"/>
        </w:rPr>
        <w:t xml:space="preserve">Future mobility. </w:t>
      </w:r>
      <w:r w:rsidRPr="00A820CB">
        <w:rPr>
          <w:color w:val="000000"/>
        </w:rPr>
        <w:t xml:space="preserve">Available at: </w:t>
      </w:r>
      <w:hyperlink r:id="rId26" w:history="1">
        <w:r w:rsidRPr="00A820CB">
          <w:rPr>
            <w:rStyle w:val="Hyperlink"/>
            <w:color w:val="1155CC"/>
          </w:rPr>
          <w:t>https://www.hyundai.com/worldwide/en/company/innovation/future-mobility</w:t>
        </w:r>
      </w:hyperlink>
      <w:r w:rsidRPr="00A820CB">
        <w:rPr>
          <w:color w:val="000000"/>
        </w:rPr>
        <w:t xml:space="preserve"> (Accessed: 15 March 2026). </w:t>
      </w:r>
    </w:p>
    <w:p w14:paraId="45E4BF6C"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IEA (2026) </w:t>
      </w:r>
      <w:r w:rsidRPr="00A820CB">
        <w:rPr>
          <w:i/>
          <w:iCs/>
          <w:color w:val="000000"/>
        </w:rPr>
        <w:t xml:space="preserve">The global car industry in context. </w:t>
      </w:r>
      <w:r w:rsidRPr="00A820CB">
        <w:rPr>
          <w:color w:val="000000"/>
        </w:rPr>
        <w:t xml:space="preserve">Available at: </w:t>
      </w:r>
      <w:hyperlink r:id="rId27" w:history="1">
        <w:r w:rsidRPr="00A820CB">
          <w:rPr>
            <w:rStyle w:val="Hyperlink"/>
            <w:color w:val="1155CC"/>
          </w:rPr>
          <w:t>https://www.iea.org/reports/what-next-for-the-global-car-industry/the-global-car-industry-in-context</w:t>
        </w:r>
      </w:hyperlink>
      <w:r w:rsidRPr="00A820CB">
        <w:rPr>
          <w:color w:val="000000"/>
        </w:rPr>
        <w:t xml:space="preserve"> (Accessed: 15 March 2026). </w:t>
      </w:r>
    </w:p>
    <w:p w14:paraId="73906A1F"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IEA (2026a) </w:t>
      </w:r>
      <w:r w:rsidRPr="00A820CB">
        <w:rPr>
          <w:i/>
          <w:iCs/>
          <w:color w:val="000000"/>
        </w:rPr>
        <w:t xml:space="preserve">Trends in electric car markets. </w:t>
      </w:r>
      <w:r w:rsidRPr="00A820CB">
        <w:rPr>
          <w:color w:val="000000"/>
        </w:rPr>
        <w:t xml:space="preserve">Available at: </w:t>
      </w:r>
      <w:hyperlink r:id="rId28" w:history="1">
        <w:r w:rsidRPr="00A820CB">
          <w:rPr>
            <w:rStyle w:val="Hyperlink"/>
            <w:color w:val="1155CC"/>
          </w:rPr>
          <w:t>https://www.iea.org/reports/global-ev-outlook-2025/trends-in-electric-car-markets-2</w:t>
        </w:r>
      </w:hyperlink>
      <w:r w:rsidRPr="00A820CB">
        <w:rPr>
          <w:color w:val="000000"/>
        </w:rPr>
        <w:t xml:space="preserve"> (Accessed: 15 March 2026). </w:t>
      </w:r>
    </w:p>
    <w:p w14:paraId="064429F1"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IMARC (2026) </w:t>
      </w:r>
      <w:r w:rsidRPr="00A820CB">
        <w:rPr>
          <w:i/>
          <w:iCs/>
          <w:color w:val="000000"/>
        </w:rPr>
        <w:t xml:space="preserve">Top Factors Driving Growth in the India Passenger Car Industry. </w:t>
      </w:r>
      <w:r w:rsidRPr="00A820CB">
        <w:rPr>
          <w:color w:val="000000"/>
        </w:rPr>
        <w:t xml:space="preserve">Available at: </w:t>
      </w:r>
      <w:hyperlink r:id="rId29" w:history="1">
        <w:r w:rsidRPr="00A820CB">
          <w:rPr>
            <w:rStyle w:val="Hyperlink"/>
            <w:color w:val="1155CC"/>
          </w:rPr>
          <w:t>https://www.imarcgroup.com/insight/top-factors-driving-growth-india-passenger-car-industry</w:t>
        </w:r>
      </w:hyperlink>
      <w:r w:rsidRPr="00A820CB">
        <w:rPr>
          <w:color w:val="000000"/>
        </w:rPr>
        <w:t xml:space="preserve"> (Accessed: 15 March 2026). </w:t>
      </w:r>
    </w:p>
    <w:p w14:paraId="0009ADA4"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Invest India (2026) </w:t>
      </w:r>
      <w:r w:rsidRPr="00A820CB">
        <w:rPr>
          <w:i/>
          <w:iCs/>
          <w:color w:val="000000"/>
        </w:rPr>
        <w:t xml:space="preserve">Automobile. </w:t>
      </w:r>
      <w:r w:rsidRPr="00A820CB">
        <w:rPr>
          <w:color w:val="000000"/>
        </w:rPr>
        <w:t xml:space="preserve">Available at: </w:t>
      </w:r>
      <w:hyperlink r:id="rId30" w:history="1">
        <w:r w:rsidRPr="00A820CB">
          <w:rPr>
            <w:rStyle w:val="Hyperlink"/>
            <w:color w:val="1155CC"/>
          </w:rPr>
          <w:t>https://www.investindia.gov.in/sector/automobile</w:t>
        </w:r>
      </w:hyperlink>
      <w:r w:rsidRPr="00A820CB">
        <w:rPr>
          <w:color w:val="000000"/>
        </w:rPr>
        <w:t xml:space="preserve"> (Accessed: 15 March 2026). </w:t>
      </w:r>
    </w:p>
    <w:p w14:paraId="0E570AB4"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Kearney 100 (2025) </w:t>
      </w:r>
      <w:r w:rsidRPr="00A820CB">
        <w:rPr>
          <w:i/>
          <w:iCs/>
          <w:color w:val="000000"/>
        </w:rPr>
        <w:t xml:space="preserve">Indian two-wheeler industry: themes to win in the next era of transformation. </w:t>
      </w:r>
      <w:r w:rsidRPr="00A820CB">
        <w:rPr>
          <w:color w:val="000000"/>
        </w:rPr>
        <w:t xml:space="preserve">Available at: </w:t>
      </w:r>
      <w:hyperlink r:id="rId31" w:history="1">
        <w:r w:rsidRPr="00A820CB">
          <w:rPr>
            <w:rStyle w:val="Hyperlink"/>
            <w:color w:val="1155CC"/>
          </w:rPr>
          <w:t>https://www.kearney.com/industry/automotive/article/indian-two-wheeler-industry-themes-to-win-in-the-next-era-of-transformation</w:t>
        </w:r>
      </w:hyperlink>
      <w:r w:rsidRPr="00A820CB">
        <w:rPr>
          <w:color w:val="000000"/>
        </w:rPr>
        <w:t xml:space="preserve"> (Accessed: 15 March 2026). </w:t>
      </w:r>
    </w:p>
    <w:p w14:paraId="3C424F9E" w14:textId="77777777" w:rsidR="00C53B27" w:rsidRPr="00A820CB" w:rsidRDefault="00C53B27" w:rsidP="00C53B27">
      <w:pPr>
        <w:pStyle w:val="NormalWeb"/>
        <w:spacing w:before="0" w:beforeAutospacing="0" w:after="0" w:afterAutospacing="0" w:line="360" w:lineRule="auto"/>
        <w:jc w:val="both"/>
      </w:pPr>
      <w:r w:rsidRPr="00A820CB">
        <w:rPr>
          <w:color w:val="222222"/>
          <w:shd w:val="clear" w:color="auto" w:fill="FFFFFF"/>
        </w:rPr>
        <w:t xml:space="preserve">Kelley, C.P., Orlowsky, M.M., Soboroff, S.D., DePorres, D., Horner, M.I. and Levy, D.A. (2024) ‘Leadership as a values-driven system’, </w:t>
      </w:r>
      <w:r w:rsidRPr="00A820CB">
        <w:rPr>
          <w:i/>
          <w:iCs/>
          <w:color w:val="222222"/>
          <w:shd w:val="clear" w:color="auto" w:fill="FFFFFF"/>
        </w:rPr>
        <w:t>Journal of Character and Leadership Development</w:t>
      </w:r>
      <w:r w:rsidRPr="00A820CB">
        <w:rPr>
          <w:color w:val="222222"/>
          <w:shd w:val="clear" w:color="auto" w:fill="FFFFFF"/>
        </w:rPr>
        <w:t xml:space="preserve">, </w:t>
      </w:r>
      <w:r w:rsidRPr="00A820CB">
        <w:rPr>
          <w:i/>
          <w:iCs/>
          <w:color w:val="222222"/>
          <w:shd w:val="clear" w:color="auto" w:fill="FFFFFF"/>
        </w:rPr>
        <w:t>11</w:t>
      </w:r>
      <w:r w:rsidRPr="00A820CB">
        <w:rPr>
          <w:color w:val="222222"/>
          <w:shd w:val="clear" w:color="auto" w:fill="FFFFFF"/>
        </w:rPr>
        <w:t xml:space="preserve">(2), pp.68-74. </w:t>
      </w:r>
      <w:r w:rsidRPr="00A820CB">
        <w:rPr>
          <w:color w:val="000000"/>
        </w:rPr>
        <w:t xml:space="preserve">Available at: </w:t>
      </w:r>
      <w:hyperlink r:id="rId32" w:history="1">
        <w:r w:rsidRPr="00A820CB">
          <w:rPr>
            <w:rStyle w:val="Hyperlink"/>
            <w:color w:val="1155CC"/>
          </w:rPr>
          <w:t>http://dx.doi.org/10.58315/jcld.v11.301</w:t>
        </w:r>
      </w:hyperlink>
      <w:r w:rsidRPr="00A820CB">
        <w:rPr>
          <w:color w:val="000000"/>
        </w:rPr>
        <w:t> </w:t>
      </w:r>
    </w:p>
    <w:p w14:paraId="56F538AE" w14:textId="77777777" w:rsidR="00C53B27" w:rsidRPr="00A820CB" w:rsidRDefault="00C53B27" w:rsidP="00C53B27">
      <w:pPr>
        <w:pStyle w:val="NormalWeb"/>
        <w:spacing w:before="0" w:beforeAutospacing="0" w:after="0" w:afterAutospacing="0" w:line="360" w:lineRule="auto"/>
        <w:jc w:val="both"/>
      </w:pPr>
      <w:r w:rsidRPr="00A820CB">
        <w:rPr>
          <w:color w:val="222222"/>
          <w:shd w:val="clear" w:color="auto" w:fill="FFFFFF"/>
        </w:rPr>
        <w:t xml:space="preserve">Lei, D., Hu, H., Geng, D., Zhang, J., Qi, Y., Liu, S. and Shen, Z.J.M. (2023) ‘New product life cycle curve modeling and forecasting with product attributes and promotion: A Bayesian functional approach’, </w:t>
      </w:r>
      <w:r w:rsidRPr="00A820CB">
        <w:rPr>
          <w:i/>
          <w:iCs/>
          <w:color w:val="222222"/>
          <w:shd w:val="clear" w:color="auto" w:fill="FFFFFF"/>
        </w:rPr>
        <w:t>Production and Operations Management</w:t>
      </w:r>
      <w:r w:rsidRPr="00A820CB">
        <w:rPr>
          <w:color w:val="222222"/>
          <w:shd w:val="clear" w:color="auto" w:fill="FFFFFF"/>
        </w:rPr>
        <w:t xml:space="preserve">, </w:t>
      </w:r>
      <w:r w:rsidRPr="00A820CB">
        <w:rPr>
          <w:i/>
          <w:iCs/>
          <w:color w:val="222222"/>
          <w:shd w:val="clear" w:color="auto" w:fill="FFFFFF"/>
        </w:rPr>
        <w:t>32</w:t>
      </w:r>
      <w:r w:rsidRPr="00A820CB">
        <w:rPr>
          <w:color w:val="222222"/>
          <w:shd w:val="clear" w:color="auto" w:fill="FFFFFF"/>
        </w:rPr>
        <w:t xml:space="preserve">(2), pp.655-673. </w:t>
      </w:r>
      <w:r w:rsidRPr="00A820CB">
        <w:rPr>
          <w:color w:val="000000"/>
        </w:rPr>
        <w:t xml:space="preserve">Available at: </w:t>
      </w:r>
      <w:hyperlink r:id="rId33" w:history="1">
        <w:r w:rsidRPr="00A820CB">
          <w:rPr>
            <w:rStyle w:val="Hyperlink"/>
            <w:color w:val="1155CC"/>
          </w:rPr>
          <w:t>https://papers.ssrn.com/sol3/Delivery.cfm?abstractid=4014586</w:t>
        </w:r>
      </w:hyperlink>
      <w:r w:rsidRPr="00A820CB">
        <w:rPr>
          <w:color w:val="000000"/>
        </w:rPr>
        <w:t> </w:t>
      </w:r>
    </w:p>
    <w:p w14:paraId="188C6280"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Library of Congress (2026) </w:t>
      </w:r>
      <w:r w:rsidRPr="00A820CB">
        <w:rPr>
          <w:i/>
          <w:iCs/>
          <w:color w:val="000000"/>
        </w:rPr>
        <w:t xml:space="preserve">Automotive Industry: A Research Guide. </w:t>
      </w:r>
      <w:r w:rsidRPr="00A820CB">
        <w:rPr>
          <w:color w:val="000000"/>
        </w:rPr>
        <w:t xml:space="preserve">Available at: </w:t>
      </w:r>
      <w:hyperlink r:id="rId34" w:history="1">
        <w:r w:rsidRPr="00A820CB">
          <w:rPr>
            <w:rStyle w:val="Hyperlink"/>
            <w:color w:val="1155CC"/>
          </w:rPr>
          <w:t>https://guides.loc.gov/automotive-industry/global</w:t>
        </w:r>
      </w:hyperlink>
      <w:r w:rsidRPr="00A820CB">
        <w:rPr>
          <w:color w:val="000000"/>
        </w:rPr>
        <w:t xml:space="preserve"> (Accessed: 15 March 2026). </w:t>
      </w:r>
    </w:p>
    <w:p w14:paraId="5CAB8291"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Mahindra (2026) </w:t>
      </w:r>
      <w:r w:rsidRPr="00A820CB">
        <w:rPr>
          <w:i/>
          <w:iCs/>
          <w:color w:val="000000"/>
        </w:rPr>
        <w:t xml:space="preserve">Annual Reports 2024-25. </w:t>
      </w:r>
      <w:r w:rsidRPr="00A820CB">
        <w:rPr>
          <w:color w:val="000000"/>
        </w:rPr>
        <w:t xml:space="preserve">Available at: </w:t>
      </w:r>
      <w:hyperlink r:id="rId35" w:history="1">
        <w:r w:rsidRPr="00A820CB">
          <w:rPr>
            <w:rStyle w:val="Hyperlink"/>
            <w:color w:val="1155CC"/>
          </w:rPr>
          <w:t>https://www.mahindra.com/annual-report-FY2025/index.html</w:t>
        </w:r>
      </w:hyperlink>
      <w:r w:rsidRPr="00A820CB">
        <w:rPr>
          <w:color w:val="000000"/>
        </w:rPr>
        <w:t xml:space="preserve"> (Accessed: 15 March 2026). </w:t>
      </w:r>
    </w:p>
    <w:p w14:paraId="3ABCEC1D"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Mahindra (2026a) </w:t>
      </w:r>
      <w:r w:rsidRPr="00A820CB">
        <w:rPr>
          <w:i/>
          <w:iCs/>
          <w:color w:val="000000"/>
        </w:rPr>
        <w:t xml:space="preserve">Mahindra Automotive is India’s leading SUV player. </w:t>
      </w:r>
      <w:r w:rsidRPr="00A820CB">
        <w:rPr>
          <w:color w:val="000000"/>
        </w:rPr>
        <w:t xml:space="preserve">Available at: </w:t>
      </w:r>
      <w:hyperlink r:id="rId36" w:history="1">
        <w:r w:rsidRPr="00A820CB">
          <w:rPr>
            <w:rStyle w:val="Hyperlink"/>
            <w:color w:val="1155CC"/>
          </w:rPr>
          <w:t>https://www.mahindra.com/our-business/automotive</w:t>
        </w:r>
      </w:hyperlink>
      <w:r w:rsidRPr="00A820CB">
        <w:rPr>
          <w:color w:val="000000"/>
        </w:rPr>
        <w:t xml:space="preserve"> (Accessed: 15 March 2026). </w:t>
      </w:r>
    </w:p>
    <w:p w14:paraId="7CBADC8A" w14:textId="77777777" w:rsidR="00C53B27" w:rsidRPr="00A820CB" w:rsidRDefault="00C53B27" w:rsidP="00C53B27">
      <w:pPr>
        <w:pStyle w:val="NormalWeb"/>
        <w:spacing w:before="0" w:beforeAutospacing="0" w:after="0" w:afterAutospacing="0" w:line="360" w:lineRule="auto"/>
        <w:jc w:val="both"/>
      </w:pPr>
      <w:r w:rsidRPr="00A820CB">
        <w:rPr>
          <w:color w:val="000000"/>
        </w:rPr>
        <w:lastRenderedPageBreak/>
        <w:t xml:space="preserve">MoSPI.gov.in (2026) </w:t>
      </w:r>
      <w:r w:rsidRPr="00A820CB">
        <w:rPr>
          <w:i/>
          <w:iCs/>
          <w:color w:val="000000"/>
        </w:rPr>
        <w:t xml:space="preserve">FIRST ADVANCE ESTIMATES OF GROSS DOMESTIC PRODUCT, 2025-26. </w:t>
      </w:r>
      <w:r w:rsidRPr="00A820CB">
        <w:rPr>
          <w:color w:val="000000"/>
        </w:rPr>
        <w:t xml:space="preserve">Available at: </w:t>
      </w:r>
      <w:hyperlink r:id="rId37" w:history="1">
        <w:r w:rsidRPr="00A820CB">
          <w:rPr>
            <w:rStyle w:val="Hyperlink"/>
            <w:color w:val="1155CC"/>
          </w:rPr>
          <w:t>https://www.mospi.gov.in/uploads/latestReleases/latest_release_1767781372753_1380ce82-f5a5-440d-99e6-e6b35af0deb5_GDP_Press_Note_on_FAE_2025-26.pdf</w:t>
        </w:r>
      </w:hyperlink>
      <w:r w:rsidRPr="00A820CB">
        <w:rPr>
          <w:color w:val="000000"/>
        </w:rPr>
        <w:t xml:space="preserve"> (Accessed: 16 March 2026).</w:t>
      </w:r>
    </w:p>
    <w:p w14:paraId="27AB8954"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Mukherjee, V. (2026) </w:t>
      </w:r>
      <w:r w:rsidRPr="00A820CB">
        <w:rPr>
          <w:i/>
          <w:iCs/>
          <w:color w:val="000000"/>
        </w:rPr>
        <w:t xml:space="preserve">EV industry has crossed early adoption level, but infra remain problematic. </w:t>
      </w:r>
      <w:r w:rsidRPr="00A820CB">
        <w:rPr>
          <w:color w:val="000000"/>
        </w:rPr>
        <w:t xml:space="preserve">Available at: </w:t>
      </w:r>
      <w:hyperlink r:id="rId38" w:history="1">
        <w:r w:rsidRPr="00A820CB">
          <w:rPr>
            <w:rStyle w:val="Hyperlink"/>
            <w:color w:val="1155CC"/>
          </w:rPr>
          <w:t>https://www.forbesindia.com/article/news/indias-ev-industry-has-crossed-early-adoption-level-but-infra-remain-problematic/2991248/1</w:t>
        </w:r>
      </w:hyperlink>
      <w:r w:rsidRPr="00A820CB">
        <w:rPr>
          <w:color w:val="000000"/>
        </w:rPr>
        <w:t xml:space="preserve"> (Accessed: 16 March 2026).</w:t>
      </w:r>
    </w:p>
    <w:p w14:paraId="7AC02445"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NITI Aayog (2025) </w:t>
      </w:r>
      <w:r w:rsidRPr="00A820CB">
        <w:rPr>
          <w:i/>
          <w:iCs/>
          <w:color w:val="000000"/>
        </w:rPr>
        <w:t xml:space="preserve">Electric Vehicles in India. </w:t>
      </w:r>
      <w:r w:rsidRPr="00A820CB">
        <w:rPr>
          <w:color w:val="000000"/>
        </w:rPr>
        <w:t xml:space="preserve">Available at: </w:t>
      </w:r>
      <w:hyperlink r:id="rId39" w:history="1">
        <w:r w:rsidRPr="00A820CB">
          <w:rPr>
            <w:rStyle w:val="Hyperlink"/>
            <w:color w:val="1155CC"/>
          </w:rPr>
          <w:t>https://www.niti.gov.in/sites/default/files/2025-08/Electric-Vehicles-WEB-LOW-Report.pdf</w:t>
        </w:r>
      </w:hyperlink>
      <w:r w:rsidRPr="00A820CB">
        <w:rPr>
          <w:color w:val="000000"/>
        </w:rPr>
        <w:t xml:space="preserve"> (Accessed: 15 March 2026). </w:t>
      </w:r>
    </w:p>
    <w:p w14:paraId="383C5338"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NITI Aayog (2025a) </w:t>
      </w:r>
      <w:r w:rsidRPr="00A820CB">
        <w:rPr>
          <w:i/>
          <w:iCs/>
          <w:color w:val="000000"/>
        </w:rPr>
        <w:t xml:space="preserve">Powering India’s participation in Global Value Chains. </w:t>
      </w:r>
      <w:r w:rsidRPr="00A820CB">
        <w:rPr>
          <w:color w:val="000000"/>
        </w:rPr>
        <w:t xml:space="preserve">Available at: </w:t>
      </w:r>
      <w:hyperlink r:id="rId40" w:history="1">
        <w:r w:rsidRPr="00A820CB">
          <w:rPr>
            <w:rStyle w:val="Hyperlink"/>
            <w:color w:val="1155CC"/>
          </w:rPr>
          <w:t>https://www.niti.gov.in/sites/default/files/2025-06/Automotive%20Industry%20Powering%20India%E2%80%99s%20participation%20in%20GVC_Non%20Confidential.pdf</w:t>
        </w:r>
      </w:hyperlink>
      <w:r w:rsidRPr="00A820CB">
        <w:rPr>
          <w:color w:val="000000"/>
        </w:rPr>
        <w:t xml:space="preserve"> (Accessed: 15 March 2026). </w:t>
      </w:r>
    </w:p>
    <w:p w14:paraId="7D515166"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NSDC (2022) </w:t>
      </w:r>
      <w:r w:rsidRPr="00A820CB">
        <w:rPr>
          <w:i/>
          <w:iCs/>
          <w:color w:val="000000"/>
        </w:rPr>
        <w:t xml:space="preserve">Automotive Skills Development Council. </w:t>
      </w:r>
      <w:r w:rsidRPr="00A820CB">
        <w:rPr>
          <w:color w:val="000000"/>
        </w:rPr>
        <w:t xml:space="preserve">Available at: </w:t>
      </w:r>
      <w:hyperlink r:id="rId41" w:history="1">
        <w:r w:rsidRPr="00A820CB">
          <w:rPr>
            <w:rStyle w:val="Hyperlink"/>
            <w:color w:val="1155CC"/>
          </w:rPr>
          <w:t>https://nsdcindia.org/nos-listing/4</w:t>
        </w:r>
      </w:hyperlink>
      <w:r w:rsidRPr="00A820CB">
        <w:rPr>
          <w:color w:val="000000"/>
        </w:rPr>
        <w:t xml:space="preserve"> (Accessed: 15 March 2026). </w:t>
      </w:r>
    </w:p>
    <w:p w14:paraId="33ACAFE4" w14:textId="77777777" w:rsidR="00C53B27" w:rsidRPr="00A820CB" w:rsidRDefault="00C53B27" w:rsidP="00C53B27">
      <w:pPr>
        <w:pStyle w:val="NormalWeb"/>
        <w:spacing w:before="0" w:beforeAutospacing="0" w:after="0" w:afterAutospacing="0" w:line="360" w:lineRule="auto"/>
        <w:jc w:val="both"/>
      </w:pPr>
      <w:r w:rsidRPr="00A820CB">
        <w:rPr>
          <w:color w:val="222222"/>
          <w:shd w:val="clear" w:color="auto" w:fill="FFFFFF"/>
        </w:rPr>
        <w:t xml:space="preserve">Ocampo, F.A., McIntyre, B.G., Massey, D. and Saunders, R. (2025) ‘Nursing student reflections on a research internship: A reflective discussion following the Gibbs' reflective cycle’, </w:t>
      </w:r>
      <w:r w:rsidRPr="00A820CB">
        <w:rPr>
          <w:i/>
          <w:iCs/>
          <w:color w:val="222222"/>
          <w:shd w:val="clear" w:color="auto" w:fill="FFFFFF"/>
        </w:rPr>
        <w:t>Nurse education today</w:t>
      </w:r>
      <w:r w:rsidRPr="00A820CB">
        <w:rPr>
          <w:color w:val="222222"/>
          <w:shd w:val="clear" w:color="auto" w:fill="FFFFFF"/>
        </w:rPr>
        <w:t xml:space="preserve">, </w:t>
      </w:r>
      <w:r w:rsidRPr="00A820CB">
        <w:rPr>
          <w:i/>
          <w:iCs/>
          <w:color w:val="222222"/>
          <w:shd w:val="clear" w:color="auto" w:fill="FFFFFF"/>
        </w:rPr>
        <w:t>145</w:t>
      </w:r>
      <w:r w:rsidRPr="00A820CB">
        <w:rPr>
          <w:color w:val="222222"/>
          <w:shd w:val="clear" w:color="auto" w:fill="FFFFFF"/>
        </w:rPr>
        <w:t xml:space="preserve">, p.106481. </w:t>
      </w:r>
      <w:r w:rsidRPr="00A820CB">
        <w:rPr>
          <w:color w:val="000000"/>
        </w:rPr>
        <w:t xml:space="preserve">Available at: </w:t>
      </w:r>
      <w:hyperlink r:id="rId42" w:history="1">
        <w:r w:rsidRPr="00A820CB">
          <w:rPr>
            <w:rStyle w:val="Hyperlink"/>
            <w:color w:val="1155CC"/>
          </w:rPr>
          <w:t>https://doi.org/10.1016/j.nedt.2024.106481</w:t>
        </w:r>
      </w:hyperlink>
      <w:r w:rsidRPr="00A820CB">
        <w:rPr>
          <w:color w:val="000000"/>
        </w:rPr>
        <w:t> </w:t>
      </w:r>
    </w:p>
    <w:p w14:paraId="02E47ECC"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PIB (2025) </w:t>
      </w:r>
      <w:r w:rsidRPr="00A820CB">
        <w:rPr>
          <w:i/>
          <w:iCs/>
          <w:color w:val="000000"/>
        </w:rPr>
        <w:t xml:space="preserve">Building the Workforce: India Adds~17 Crore Jobs in 6 years. </w:t>
      </w:r>
      <w:r w:rsidRPr="00A820CB">
        <w:rPr>
          <w:color w:val="000000"/>
        </w:rPr>
        <w:t xml:space="preserve">Available at: </w:t>
      </w:r>
      <w:hyperlink r:id="rId43" w:history="1">
        <w:r w:rsidRPr="00A820CB">
          <w:rPr>
            <w:rStyle w:val="Hyperlink"/>
            <w:color w:val="1155CC"/>
          </w:rPr>
          <w:t>https://www.pib.gov.in/PressReleasePage.aspx?PRID=2174773&amp;reg=3&amp;lang=2</w:t>
        </w:r>
      </w:hyperlink>
      <w:r w:rsidRPr="00A820CB">
        <w:rPr>
          <w:color w:val="000000"/>
        </w:rPr>
        <w:t xml:space="preserve"> (Accessed: 15 March 2026). </w:t>
      </w:r>
    </w:p>
    <w:p w14:paraId="12E0F7BB"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PIB (2025a) </w:t>
      </w:r>
      <w:r w:rsidRPr="00A820CB">
        <w:rPr>
          <w:i/>
          <w:iCs/>
          <w:color w:val="000000"/>
        </w:rPr>
        <w:t xml:space="preserve">Revolutionizing Mobility The Make in India Auto Story. </w:t>
      </w:r>
      <w:r w:rsidRPr="00A820CB">
        <w:rPr>
          <w:color w:val="000000"/>
        </w:rPr>
        <w:t xml:space="preserve">Available at: </w:t>
      </w:r>
      <w:hyperlink r:id="rId44" w:history="1">
        <w:r w:rsidRPr="00A820CB">
          <w:rPr>
            <w:rStyle w:val="Hyperlink"/>
            <w:color w:val="1155CC"/>
          </w:rPr>
          <w:t>https://www.pib.gov.in/PressNoteDetails.aspx?NoteId=154025&amp;ModuleId=3&amp;reg=3&amp;lang=2</w:t>
        </w:r>
      </w:hyperlink>
      <w:r w:rsidRPr="00A820CB">
        <w:rPr>
          <w:color w:val="000000"/>
        </w:rPr>
        <w:t xml:space="preserve"> (Accessed: 16 March 2026).</w:t>
      </w:r>
    </w:p>
    <w:p w14:paraId="5B8C8D70"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pib.gov (2025) </w:t>
      </w:r>
      <w:r w:rsidRPr="00A820CB">
        <w:rPr>
          <w:i/>
          <w:iCs/>
          <w:color w:val="000000"/>
        </w:rPr>
        <w:t xml:space="preserve">Revolutionizing Mobility. </w:t>
      </w:r>
      <w:r w:rsidRPr="00A820CB">
        <w:rPr>
          <w:color w:val="000000"/>
        </w:rPr>
        <w:t xml:space="preserve">Available at: </w:t>
      </w:r>
      <w:hyperlink r:id="rId45" w:history="1">
        <w:r w:rsidRPr="00A820CB">
          <w:rPr>
            <w:rStyle w:val="Hyperlink"/>
            <w:color w:val="1155CC"/>
          </w:rPr>
          <w:t>https://www.pib.gov.in/PressReleasePage.aspx?PRID=2114919&amp;reg=3&amp;lang=2v</w:t>
        </w:r>
      </w:hyperlink>
      <w:r w:rsidRPr="00A820CB">
        <w:rPr>
          <w:color w:val="000000"/>
        </w:rPr>
        <w:t xml:space="preserve"> (Accessed: 15 March 2026). </w:t>
      </w:r>
    </w:p>
    <w:p w14:paraId="3A1ADDA0"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Rastogi, V. (2024) </w:t>
      </w:r>
      <w:r w:rsidRPr="00A820CB">
        <w:rPr>
          <w:i/>
          <w:iCs/>
          <w:color w:val="000000"/>
        </w:rPr>
        <w:t xml:space="preserve">Remembering Ratan Tata’s leadership style: How can today’s HR leaders seek inspiration from it?. </w:t>
      </w:r>
      <w:r w:rsidRPr="00A820CB">
        <w:rPr>
          <w:color w:val="000000"/>
        </w:rPr>
        <w:t xml:space="preserve">Available at: </w:t>
      </w:r>
      <w:hyperlink r:id="rId46" w:history="1">
        <w:r w:rsidRPr="00A820CB">
          <w:rPr>
            <w:rStyle w:val="Hyperlink"/>
            <w:color w:val="1155CC"/>
          </w:rPr>
          <w:t>https://hrsea.economictimes.indiatimes.com/news/talent-</w:t>
        </w:r>
        <w:r w:rsidRPr="00A820CB">
          <w:rPr>
            <w:rStyle w:val="Hyperlink"/>
            <w:color w:val="1155CC"/>
          </w:rPr>
          <w:lastRenderedPageBreak/>
          <w:t>management/remembering-ratan-tatas-leadership-style-how-can-todays-hr-leaders-seek-inspiration-from-it/114122898</w:t>
        </w:r>
      </w:hyperlink>
      <w:r w:rsidRPr="00A820CB">
        <w:rPr>
          <w:color w:val="000000"/>
        </w:rPr>
        <w:t xml:space="preserve"> (Accessed: 16 March 2026).</w:t>
      </w:r>
    </w:p>
    <w:p w14:paraId="33B51818"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Shah, A. and Blenkinsop, P. (2026) </w:t>
      </w:r>
      <w:r w:rsidRPr="00A820CB">
        <w:rPr>
          <w:i/>
          <w:iCs/>
          <w:color w:val="000000"/>
        </w:rPr>
        <w:t xml:space="preserve">Exclusive: India to slash tariffs on cars to 40% in trade deal with EU, sources say. </w:t>
      </w:r>
      <w:r w:rsidRPr="00A820CB">
        <w:rPr>
          <w:color w:val="000000"/>
        </w:rPr>
        <w:t xml:space="preserve">Available at: </w:t>
      </w:r>
      <w:hyperlink r:id="rId47" w:history="1">
        <w:r w:rsidRPr="00A820CB">
          <w:rPr>
            <w:rStyle w:val="Hyperlink"/>
            <w:color w:val="1155CC"/>
          </w:rPr>
          <w:t>https://www.reuters.com/world/india/india-slash-tariffs-cars-40-trade-deal-with-eu-sources-say-2026-01-25/</w:t>
        </w:r>
      </w:hyperlink>
      <w:r w:rsidRPr="00A820CB">
        <w:rPr>
          <w:color w:val="000000"/>
        </w:rPr>
        <w:t xml:space="preserve"> (Accessed: 16 March 2026).</w:t>
      </w:r>
    </w:p>
    <w:p w14:paraId="456A29CF"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Statista (2025) </w:t>
      </w:r>
      <w:r w:rsidRPr="00A820CB">
        <w:rPr>
          <w:i/>
          <w:iCs/>
          <w:color w:val="000000"/>
        </w:rPr>
        <w:t xml:space="preserve">Total revenue of Tata Motors from financial year 2010 to 2025. </w:t>
      </w:r>
      <w:r w:rsidRPr="00A820CB">
        <w:rPr>
          <w:color w:val="000000"/>
        </w:rPr>
        <w:t xml:space="preserve">Available at: </w:t>
      </w:r>
      <w:hyperlink r:id="rId48" w:history="1">
        <w:r w:rsidRPr="00A820CB">
          <w:rPr>
            <w:rStyle w:val="Hyperlink"/>
            <w:color w:val="1155CC"/>
          </w:rPr>
          <w:t>https://www.statista.com/statistics/316925/revenue-of-tata-motors/?srsltid=AfmBOootM-tR65A2Ks-FcstIXJzqIubqQ4pziC5nbpi64zLTCbe1T4HH</w:t>
        </w:r>
      </w:hyperlink>
      <w:r w:rsidRPr="00A820CB">
        <w:rPr>
          <w:color w:val="000000"/>
        </w:rPr>
        <w:t xml:space="preserve"> (Accessed: 16 March 2026). </w:t>
      </w:r>
    </w:p>
    <w:p w14:paraId="14D2C2EB"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Statista (2025a) </w:t>
      </w:r>
      <w:r w:rsidRPr="00A820CB">
        <w:rPr>
          <w:i/>
          <w:iCs/>
          <w:color w:val="000000"/>
        </w:rPr>
        <w:t xml:space="preserve">Distribution of automobile sales across India in financial year 2025, by segment. </w:t>
      </w:r>
      <w:r w:rsidRPr="00A820CB">
        <w:rPr>
          <w:color w:val="000000"/>
        </w:rPr>
        <w:t xml:space="preserve">Available at: </w:t>
      </w:r>
      <w:hyperlink r:id="rId49" w:history="1">
        <w:r w:rsidRPr="00A820CB">
          <w:rPr>
            <w:rStyle w:val="Hyperlink"/>
            <w:color w:val="1155CC"/>
          </w:rPr>
          <w:t>https://www.statista.com/statistics/1066695/india-automotive-industry-market-share-by-segment/</w:t>
        </w:r>
      </w:hyperlink>
      <w:r w:rsidRPr="00A820CB">
        <w:rPr>
          <w:color w:val="000000"/>
        </w:rPr>
        <w:t xml:space="preserve"> SIAM (2026) </w:t>
      </w:r>
      <w:r w:rsidRPr="00A820CB">
        <w:rPr>
          <w:i/>
          <w:iCs/>
          <w:color w:val="000000"/>
        </w:rPr>
        <w:t xml:space="preserve">Regulatory Framework. </w:t>
      </w:r>
      <w:r w:rsidRPr="00A820CB">
        <w:rPr>
          <w:color w:val="000000"/>
        </w:rPr>
        <w:t xml:space="preserve">Available at: </w:t>
      </w:r>
      <w:hyperlink r:id="rId50" w:history="1">
        <w:r w:rsidRPr="00A820CB">
          <w:rPr>
            <w:rStyle w:val="Hyperlink"/>
            <w:color w:val="1155CC"/>
          </w:rPr>
          <w:t>https://www.siam.in/knowledge/technical-regulations/regulatory-framework</w:t>
        </w:r>
      </w:hyperlink>
      <w:r w:rsidRPr="00A820CB">
        <w:rPr>
          <w:color w:val="000000"/>
        </w:rPr>
        <w:t xml:space="preserve"> (Accessed: 16 March 2026).</w:t>
      </w:r>
    </w:p>
    <w:p w14:paraId="748C673E" w14:textId="77777777" w:rsidR="00C53B27" w:rsidRPr="00A820CB" w:rsidRDefault="00C53B27" w:rsidP="00C53B27">
      <w:pPr>
        <w:pStyle w:val="NormalWeb"/>
        <w:spacing w:before="0" w:beforeAutospacing="0" w:after="0" w:afterAutospacing="0" w:line="360" w:lineRule="auto"/>
        <w:jc w:val="both"/>
        <w:rPr>
          <w:lang w:val="en-IN"/>
        </w:rPr>
      </w:pPr>
      <w:r w:rsidRPr="00A820CB">
        <w:rPr>
          <w:color w:val="000000"/>
        </w:rPr>
        <w:t xml:space="preserve">Statista (2025b) </w:t>
      </w:r>
      <w:r w:rsidRPr="00A820CB">
        <w:rPr>
          <w:i/>
          <w:iCs/>
          <w:color w:val="000000"/>
        </w:rPr>
        <w:t xml:space="preserve">Motor vehicle production volume worldwide in 2024, by country.  </w:t>
      </w:r>
      <w:r w:rsidRPr="00A820CB">
        <w:rPr>
          <w:color w:val="000000"/>
        </w:rPr>
        <w:t xml:space="preserve">Available at: </w:t>
      </w:r>
      <w:hyperlink r:id="rId51" w:history="1">
        <w:r w:rsidRPr="00A820CB">
          <w:rPr>
            <w:rStyle w:val="Hyperlink"/>
            <w:color w:val="1155CC"/>
          </w:rPr>
          <w:t>https://www.statista.com/statistics/584968/leading-car-manufacturing-countries-worldwide/?srsltid=AfmBOopLrYhQGyEPwQOSqwBmboKtSX_jcdQMkdI30fMlEX4Y7w6y5X-W</w:t>
        </w:r>
      </w:hyperlink>
      <w:r w:rsidRPr="00A820CB">
        <w:rPr>
          <w:color w:val="000000"/>
        </w:rPr>
        <w:t xml:space="preserve"> (Accessed: 16 March 2026).</w:t>
      </w:r>
    </w:p>
    <w:p w14:paraId="4961A65D"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Suresh, A. (2026) </w:t>
      </w:r>
      <w:r w:rsidRPr="00A820CB">
        <w:rPr>
          <w:i/>
          <w:iCs/>
          <w:color w:val="000000"/>
        </w:rPr>
        <w:t xml:space="preserve">Middle East Conflict Casts a Long Shadow Over Indian Automobile Sector. </w:t>
      </w:r>
      <w:r w:rsidRPr="00A820CB">
        <w:rPr>
          <w:color w:val="000000"/>
        </w:rPr>
        <w:t xml:space="preserve">Available at: </w:t>
      </w:r>
      <w:hyperlink r:id="rId52" w:history="1">
        <w:r w:rsidRPr="00A820CB">
          <w:rPr>
            <w:rStyle w:val="Hyperlink"/>
            <w:color w:val="1155CC"/>
          </w:rPr>
          <w:t>https://www.autocarpro.in/news/middle-east-conflict-casts-a-long-shadow-over-indian-automobile-sector-131442</w:t>
        </w:r>
      </w:hyperlink>
      <w:r w:rsidRPr="00A820CB">
        <w:rPr>
          <w:color w:val="000000"/>
        </w:rPr>
        <w:t xml:space="preserve"> (Accessed: 16 March 2026).</w:t>
      </w:r>
    </w:p>
    <w:p w14:paraId="42382CE7"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Tata Motors (2020) </w:t>
      </w:r>
      <w:r w:rsidRPr="00A820CB">
        <w:rPr>
          <w:i/>
          <w:iCs/>
          <w:color w:val="000000"/>
        </w:rPr>
        <w:t xml:space="preserve">Tata Motors leads the way for a greener India; launches ‘Go Green’ initiative. </w:t>
      </w:r>
      <w:r w:rsidRPr="00A820CB">
        <w:rPr>
          <w:color w:val="000000"/>
        </w:rPr>
        <w:t xml:space="preserve">Available at: </w:t>
      </w:r>
      <w:hyperlink r:id="rId53" w:history="1">
        <w:r w:rsidRPr="00A820CB">
          <w:rPr>
            <w:rStyle w:val="Hyperlink"/>
            <w:color w:val="1155CC"/>
          </w:rPr>
          <w:t>https://www.tatamotors.com/press-releases/tata-motors-leads-the-way-for-a-greener-india-launches-go-green-initiative/</w:t>
        </w:r>
      </w:hyperlink>
      <w:r w:rsidRPr="00A820CB">
        <w:rPr>
          <w:color w:val="000000"/>
        </w:rPr>
        <w:t xml:space="preserve"> (Accessed: 16 March 2026).</w:t>
      </w:r>
    </w:p>
    <w:p w14:paraId="001F8213" w14:textId="77777777" w:rsidR="00C53B27" w:rsidRPr="00A820CB" w:rsidRDefault="00C53B27" w:rsidP="00C53B27">
      <w:pPr>
        <w:pStyle w:val="NormalWeb"/>
        <w:spacing w:before="0" w:beforeAutospacing="0" w:after="0" w:afterAutospacing="0" w:line="360" w:lineRule="auto"/>
        <w:jc w:val="both"/>
        <w:rPr>
          <w:color w:val="000000"/>
        </w:rPr>
      </w:pPr>
      <w:r w:rsidRPr="00A820CB">
        <w:rPr>
          <w:color w:val="000000"/>
        </w:rPr>
        <w:t xml:space="preserve">Tata Motors (2023) </w:t>
      </w:r>
      <w:r w:rsidRPr="00A820CB">
        <w:rPr>
          <w:i/>
          <w:iCs/>
          <w:color w:val="000000"/>
        </w:rPr>
        <w:t xml:space="preserve">Tata Motors showcases a wide range of safer, smarter and greener mobility solutions at EXCON 2023. </w:t>
      </w:r>
      <w:r w:rsidRPr="00A820CB">
        <w:rPr>
          <w:color w:val="000000"/>
        </w:rPr>
        <w:t xml:space="preserve">Available at: </w:t>
      </w:r>
      <w:hyperlink r:id="rId54" w:history="1">
        <w:r w:rsidRPr="00A820CB">
          <w:rPr>
            <w:rStyle w:val="Hyperlink"/>
            <w:color w:val="1155CC"/>
          </w:rPr>
          <w:t>https://www.tatamotors.com/press-releases/tata-motors-showcases-a-wide-range-of-safer-smarter-and-greener-mobility-solutions-at-excon-2023/</w:t>
        </w:r>
      </w:hyperlink>
      <w:r w:rsidRPr="00A820CB">
        <w:rPr>
          <w:color w:val="000000"/>
        </w:rPr>
        <w:t xml:space="preserve"> (Accessed: 16 March 2026).</w:t>
      </w:r>
    </w:p>
    <w:p w14:paraId="53CDB272"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Tata Motors (2023a) </w:t>
      </w:r>
      <w:r w:rsidRPr="00A820CB">
        <w:rPr>
          <w:i/>
          <w:iCs/>
          <w:color w:val="000000"/>
        </w:rPr>
        <w:t xml:space="preserve">SOCIAL: PEOPLE. </w:t>
      </w:r>
      <w:r w:rsidRPr="00A820CB">
        <w:rPr>
          <w:color w:val="000000"/>
        </w:rPr>
        <w:t xml:space="preserve">Available at: </w:t>
      </w:r>
      <w:hyperlink r:id="rId55" w:history="1">
        <w:r w:rsidRPr="00A820CB">
          <w:rPr>
            <w:rStyle w:val="Hyperlink"/>
            <w:color w:val="1155CC"/>
          </w:rPr>
          <w:t>https://www.tatamotors.com/financials/78-ar-html/pdf/Tata-Motors-IR-2022-23-SOCIAL-PEOPLE.pdf</w:t>
        </w:r>
      </w:hyperlink>
      <w:r w:rsidRPr="00A820CB">
        <w:rPr>
          <w:color w:val="000000"/>
        </w:rPr>
        <w:t xml:space="preserve"> (Accessed: 16 March 2026).</w:t>
      </w:r>
    </w:p>
    <w:p w14:paraId="1543AB51" w14:textId="77777777" w:rsidR="00C53B27" w:rsidRPr="00A820CB" w:rsidRDefault="00C53B27" w:rsidP="00C53B27">
      <w:pPr>
        <w:pStyle w:val="NormalWeb"/>
        <w:spacing w:before="0" w:beforeAutospacing="0" w:after="0" w:afterAutospacing="0" w:line="360" w:lineRule="auto"/>
        <w:jc w:val="both"/>
      </w:pPr>
      <w:r w:rsidRPr="00A820CB">
        <w:rPr>
          <w:color w:val="000000"/>
        </w:rPr>
        <w:lastRenderedPageBreak/>
        <w:t xml:space="preserve">Tata Motors (2025) </w:t>
      </w:r>
      <w:r w:rsidRPr="00A820CB">
        <w:rPr>
          <w:i/>
          <w:iCs/>
          <w:color w:val="000000"/>
        </w:rPr>
        <w:t xml:space="preserve">Beyond Borders: A Blueprint for Indian Brands to Go Global. </w:t>
      </w:r>
      <w:r w:rsidRPr="00A820CB">
        <w:rPr>
          <w:color w:val="000000"/>
        </w:rPr>
        <w:t xml:space="preserve">Available at: </w:t>
      </w:r>
      <w:hyperlink r:id="rId56" w:history="1">
        <w:r w:rsidRPr="00A820CB">
          <w:rPr>
            <w:rStyle w:val="Hyperlink"/>
            <w:color w:val="1155CC"/>
          </w:rPr>
          <w:t>https://www.tatamotors.com/blog/beyond-borders-a-blueprint-for-indian-brands-to-go-global/</w:t>
        </w:r>
      </w:hyperlink>
      <w:r w:rsidRPr="00A820CB">
        <w:rPr>
          <w:color w:val="000000"/>
        </w:rPr>
        <w:t xml:space="preserve"> (Accessed: 15 March 2026). </w:t>
      </w:r>
    </w:p>
    <w:p w14:paraId="600FF381"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Tata Motors (2025) </w:t>
      </w:r>
      <w:r w:rsidRPr="00A820CB">
        <w:rPr>
          <w:i/>
          <w:iCs/>
          <w:color w:val="000000"/>
        </w:rPr>
        <w:t xml:space="preserve">People and culture. </w:t>
      </w:r>
      <w:r w:rsidRPr="00A820CB">
        <w:rPr>
          <w:color w:val="000000"/>
        </w:rPr>
        <w:t xml:space="preserve">Available at: </w:t>
      </w:r>
      <w:hyperlink r:id="rId57" w:history="1">
        <w:r w:rsidRPr="00A820CB">
          <w:rPr>
            <w:rStyle w:val="Hyperlink"/>
            <w:color w:val="1155CC"/>
          </w:rPr>
          <w:t>https://www.tatamotors.com/financials/79-ar-html/pdf/tata-motor-IAR-2023-24-People-and-culture.pdf</w:t>
        </w:r>
      </w:hyperlink>
      <w:r w:rsidRPr="00A820CB">
        <w:rPr>
          <w:color w:val="000000"/>
        </w:rPr>
        <w:t xml:space="preserve"> (Accessed: 16 March 2026).</w:t>
      </w:r>
    </w:p>
    <w:p w14:paraId="5EFD74BA"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Tata Motors (2026) </w:t>
      </w:r>
      <w:r w:rsidRPr="00A820CB">
        <w:rPr>
          <w:i/>
          <w:iCs/>
          <w:color w:val="000000"/>
        </w:rPr>
        <w:t xml:space="preserve">Our history. </w:t>
      </w:r>
      <w:r w:rsidRPr="00A820CB">
        <w:rPr>
          <w:color w:val="000000"/>
        </w:rPr>
        <w:t xml:space="preserve">Available at: </w:t>
      </w:r>
      <w:hyperlink r:id="rId58" w:history="1">
        <w:r w:rsidRPr="00A820CB">
          <w:rPr>
            <w:rStyle w:val="Hyperlink"/>
            <w:color w:val="1155CC"/>
          </w:rPr>
          <w:t>https://www.tatamotors.com/organisation/our-history/</w:t>
        </w:r>
      </w:hyperlink>
      <w:r w:rsidRPr="00A820CB">
        <w:rPr>
          <w:color w:val="000000"/>
        </w:rPr>
        <w:t xml:space="preserve"> (Accessed: 15 March 2026). </w:t>
      </w:r>
    </w:p>
    <w:p w14:paraId="3C73EDBF"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Tata Motors (2026a) </w:t>
      </w:r>
      <w:r w:rsidRPr="00A820CB">
        <w:rPr>
          <w:i/>
          <w:iCs/>
          <w:color w:val="000000"/>
        </w:rPr>
        <w:t xml:space="preserve">From Vision to Velocity. </w:t>
      </w:r>
      <w:r w:rsidRPr="00A820CB">
        <w:rPr>
          <w:color w:val="000000"/>
        </w:rPr>
        <w:t xml:space="preserve">Available at: </w:t>
      </w:r>
      <w:hyperlink r:id="rId59" w:history="1">
        <w:r w:rsidRPr="00A820CB">
          <w:rPr>
            <w:rStyle w:val="Hyperlink"/>
            <w:color w:val="1155CC"/>
          </w:rPr>
          <w:t>https://www.tatamotors.com/</w:t>
        </w:r>
      </w:hyperlink>
      <w:r w:rsidRPr="00A820CB">
        <w:rPr>
          <w:color w:val="000000"/>
        </w:rPr>
        <w:t xml:space="preserve"> (Accessed: 15 March 2026). </w:t>
      </w:r>
    </w:p>
    <w:p w14:paraId="46747AA0"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Tata Motors (2026b) </w:t>
      </w:r>
      <w:r w:rsidRPr="00A820CB">
        <w:rPr>
          <w:i/>
          <w:iCs/>
          <w:color w:val="000000"/>
        </w:rPr>
        <w:t xml:space="preserve">Our global presence. </w:t>
      </w:r>
      <w:r w:rsidRPr="00A820CB">
        <w:rPr>
          <w:color w:val="000000"/>
        </w:rPr>
        <w:t xml:space="preserve">Available at: </w:t>
      </w:r>
      <w:hyperlink r:id="rId60" w:history="1">
        <w:r w:rsidRPr="00A820CB">
          <w:rPr>
            <w:rStyle w:val="Hyperlink"/>
            <w:color w:val="1155CC"/>
          </w:rPr>
          <w:t>https://www.tatamotors.com/organisation/our-global-presence/</w:t>
        </w:r>
      </w:hyperlink>
      <w:r w:rsidRPr="00A820CB">
        <w:rPr>
          <w:color w:val="000000"/>
        </w:rPr>
        <w:t xml:space="preserve"> (Accessed: 16 March 2026). </w:t>
      </w:r>
    </w:p>
    <w:p w14:paraId="7D91157A"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Tata Motors (2026b) </w:t>
      </w:r>
      <w:r w:rsidRPr="00A820CB">
        <w:rPr>
          <w:i/>
          <w:iCs/>
          <w:color w:val="000000"/>
        </w:rPr>
        <w:t xml:space="preserve">Welcome to the future. </w:t>
      </w:r>
      <w:r w:rsidRPr="00A820CB">
        <w:rPr>
          <w:color w:val="000000"/>
        </w:rPr>
        <w:t xml:space="preserve">Available at: </w:t>
      </w:r>
      <w:hyperlink r:id="rId61" w:history="1">
        <w:r w:rsidRPr="00A820CB">
          <w:rPr>
            <w:rStyle w:val="Hyperlink"/>
            <w:color w:val="1155CC"/>
          </w:rPr>
          <w:t>https://www.tatamotors.com/future-of-mobility/</w:t>
        </w:r>
      </w:hyperlink>
      <w:r w:rsidRPr="00A820CB">
        <w:rPr>
          <w:color w:val="000000"/>
        </w:rPr>
        <w:t xml:space="preserve"> (Accessed: 15 March 2026). </w:t>
      </w:r>
    </w:p>
    <w:p w14:paraId="41F1E2DB"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Tata Motors (2026c) </w:t>
      </w:r>
      <w:r w:rsidRPr="00A820CB">
        <w:rPr>
          <w:i/>
          <w:iCs/>
          <w:color w:val="000000"/>
        </w:rPr>
        <w:t xml:space="preserve">Driving transparency and accountability. </w:t>
      </w:r>
      <w:r w:rsidRPr="00A820CB">
        <w:rPr>
          <w:color w:val="000000"/>
        </w:rPr>
        <w:t xml:space="preserve">Available at: </w:t>
      </w:r>
      <w:hyperlink r:id="rId62" w:history="1">
        <w:r w:rsidRPr="00A820CB">
          <w:rPr>
            <w:rStyle w:val="Hyperlink"/>
            <w:color w:val="1155CC"/>
          </w:rPr>
          <w:t>https://www.tatamotors.com/corporate-responsibility/governance/</w:t>
        </w:r>
      </w:hyperlink>
      <w:r w:rsidRPr="00A820CB">
        <w:rPr>
          <w:color w:val="000000"/>
        </w:rPr>
        <w:t xml:space="preserve"> (Accessed: 16 March 2026).</w:t>
      </w:r>
    </w:p>
    <w:p w14:paraId="7798B702"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Tata Motors (2026d) </w:t>
      </w:r>
      <w:r w:rsidRPr="00A820CB">
        <w:rPr>
          <w:i/>
          <w:iCs/>
          <w:color w:val="000000"/>
        </w:rPr>
        <w:t xml:space="preserve">Our leadership. </w:t>
      </w:r>
      <w:r w:rsidRPr="00A820CB">
        <w:rPr>
          <w:color w:val="000000"/>
        </w:rPr>
        <w:t xml:space="preserve">Available at: </w:t>
      </w:r>
      <w:hyperlink r:id="rId63" w:history="1">
        <w:r w:rsidRPr="00A820CB">
          <w:rPr>
            <w:rStyle w:val="Hyperlink"/>
            <w:color w:val="1155CC"/>
          </w:rPr>
          <w:t>https://www.tatamotors.com/organisation/our-leadership/</w:t>
        </w:r>
      </w:hyperlink>
      <w:r w:rsidRPr="00A820CB">
        <w:rPr>
          <w:color w:val="000000"/>
        </w:rPr>
        <w:t xml:space="preserve"> (Accessed: 16 March 2026).</w:t>
      </w:r>
    </w:p>
    <w:p w14:paraId="38B1C48F"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Tata Motors (2026e) </w:t>
      </w:r>
      <w:r w:rsidRPr="00A820CB">
        <w:rPr>
          <w:i/>
          <w:iCs/>
          <w:color w:val="000000"/>
        </w:rPr>
        <w:t xml:space="preserve">Sustainability strategy. </w:t>
      </w:r>
      <w:r w:rsidRPr="00A820CB">
        <w:rPr>
          <w:color w:val="000000"/>
        </w:rPr>
        <w:t xml:space="preserve">Available at: </w:t>
      </w:r>
      <w:hyperlink r:id="rId64" w:history="1">
        <w:r w:rsidRPr="00A820CB">
          <w:rPr>
            <w:rStyle w:val="Hyperlink"/>
            <w:color w:val="1155CC"/>
          </w:rPr>
          <w:t>https://www.tatamotors.com/corporate-responsibility/sustainability-strategy/</w:t>
        </w:r>
      </w:hyperlink>
      <w:r w:rsidRPr="00A820CB">
        <w:rPr>
          <w:color w:val="000000"/>
        </w:rPr>
        <w:t xml:space="preserve"> (Accessed: 16 March 2026).</w:t>
      </w:r>
    </w:p>
    <w:p w14:paraId="16CE6D1B"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The Culture Factor (2026) </w:t>
      </w:r>
      <w:r w:rsidRPr="00A820CB">
        <w:rPr>
          <w:i/>
          <w:iCs/>
          <w:color w:val="000000"/>
        </w:rPr>
        <w:t xml:space="preserve">Country Comparison Tool. </w:t>
      </w:r>
      <w:r w:rsidRPr="00A820CB">
        <w:rPr>
          <w:color w:val="000000"/>
        </w:rPr>
        <w:t xml:space="preserve">Available at: </w:t>
      </w:r>
      <w:hyperlink r:id="rId65" w:history="1">
        <w:r w:rsidRPr="00A820CB">
          <w:rPr>
            <w:rStyle w:val="Hyperlink"/>
            <w:color w:val="1155CC"/>
          </w:rPr>
          <w:t>https://www.theculturefactor.com/country-comparison-tool?countries=india</w:t>
        </w:r>
      </w:hyperlink>
      <w:r w:rsidRPr="00A820CB">
        <w:rPr>
          <w:color w:val="000000"/>
        </w:rPr>
        <w:t xml:space="preserve"> (Accessed: 16 March 2026).</w:t>
      </w:r>
    </w:p>
    <w:p w14:paraId="083C5F68"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The Economic Times (2025) </w:t>
      </w:r>
      <w:r w:rsidRPr="00A820CB">
        <w:rPr>
          <w:i/>
          <w:iCs/>
          <w:color w:val="000000"/>
        </w:rPr>
        <w:t xml:space="preserve">​Top 7 countries manufacturing the highest number of cars in the world​. </w:t>
      </w:r>
      <w:r w:rsidRPr="00A820CB">
        <w:rPr>
          <w:color w:val="000000"/>
        </w:rPr>
        <w:t xml:space="preserve">Available at: </w:t>
      </w:r>
      <w:hyperlink r:id="rId66" w:history="1">
        <w:r w:rsidRPr="00A820CB">
          <w:rPr>
            <w:rStyle w:val="Hyperlink"/>
            <w:color w:val="1155CC"/>
          </w:rPr>
          <w:t>https://economictimes.indiatimes.com/news/india/top-7-countries-manufacturing-the-highest-number-of-cars-in-the-world-/car-manufacturing-leaderboard/slideshow/125436236.cms</w:t>
        </w:r>
      </w:hyperlink>
      <w:r w:rsidRPr="00A820CB">
        <w:rPr>
          <w:color w:val="000000"/>
        </w:rPr>
        <w:t xml:space="preserve"> </w:t>
      </w:r>
      <w:r w:rsidRPr="00A820CB">
        <w:rPr>
          <w:i/>
          <w:iCs/>
          <w:color w:val="000000"/>
        </w:rPr>
        <w:t> </w:t>
      </w:r>
      <w:r w:rsidRPr="00A820CB">
        <w:rPr>
          <w:color w:val="000000"/>
        </w:rPr>
        <w:t>(Accessed: 16 March 2026).</w:t>
      </w:r>
    </w:p>
    <w:p w14:paraId="0F24CDE9"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The Print (2025) </w:t>
      </w:r>
      <w:r w:rsidRPr="00A820CB">
        <w:rPr>
          <w:i/>
          <w:iCs/>
          <w:color w:val="000000"/>
        </w:rPr>
        <w:t xml:space="preserve">India lacks innovations in automobile sector, need to hike substantial investments in R&amp;D: NITI Aayog. </w:t>
      </w:r>
      <w:r w:rsidRPr="00A820CB">
        <w:rPr>
          <w:color w:val="000000"/>
        </w:rPr>
        <w:t xml:space="preserve">Available at: </w:t>
      </w:r>
      <w:hyperlink r:id="rId67" w:history="1">
        <w:r w:rsidRPr="00A820CB">
          <w:rPr>
            <w:rStyle w:val="Hyperlink"/>
            <w:color w:val="1155CC"/>
          </w:rPr>
          <w:t>https://theprint.in/economy/india-lacks-innovations-in-automobile-sector-need-to-hike-substantial-investments-in-rd-niti-aayog/2594375/</w:t>
        </w:r>
      </w:hyperlink>
      <w:r w:rsidRPr="00A820CB">
        <w:rPr>
          <w:color w:val="000000"/>
        </w:rPr>
        <w:t xml:space="preserve"> (Accessed: 16 March 2026). </w:t>
      </w:r>
    </w:p>
    <w:p w14:paraId="11FC0ECE" w14:textId="77777777" w:rsidR="00C53B27" w:rsidRPr="00A820CB" w:rsidRDefault="00C53B27" w:rsidP="00C53B27">
      <w:pPr>
        <w:pStyle w:val="NormalWeb"/>
        <w:spacing w:before="0" w:beforeAutospacing="0" w:after="0" w:afterAutospacing="0" w:line="360" w:lineRule="auto"/>
        <w:jc w:val="both"/>
      </w:pPr>
      <w:r w:rsidRPr="00A820CB">
        <w:rPr>
          <w:color w:val="000000"/>
        </w:rPr>
        <w:lastRenderedPageBreak/>
        <w:t xml:space="preserve">Toyota (2023) People at the heart of Toyota’s approach to accelerate the future of car manufacturing. Available at: </w:t>
      </w:r>
      <w:hyperlink r:id="rId68" w:history="1">
        <w:r w:rsidRPr="00A820CB">
          <w:rPr>
            <w:rStyle w:val="Hyperlink"/>
            <w:color w:val="1155CC"/>
          </w:rPr>
          <w:t>https://newsroom.toyota.eu/people-at-the-heart-of-toyotas-approach-to-accelerate-the-future-of-car-manufacturing/</w:t>
        </w:r>
      </w:hyperlink>
      <w:r w:rsidRPr="00A820CB">
        <w:rPr>
          <w:color w:val="000000"/>
        </w:rPr>
        <w:t xml:space="preserve"> (Accessed: 15 March 2026). </w:t>
      </w:r>
    </w:p>
    <w:p w14:paraId="0DD0C04B"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Toyota (2026) </w:t>
      </w:r>
      <w:r w:rsidRPr="00A820CB">
        <w:rPr>
          <w:i/>
          <w:iCs/>
          <w:color w:val="000000"/>
        </w:rPr>
        <w:t xml:space="preserve">FINANCIAL SUMMARY FY2025. </w:t>
      </w:r>
      <w:r w:rsidRPr="00A820CB">
        <w:rPr>
          <w:color w:val="000000"/>
        </w:rPr>
        <w:t xml:space="preserve">Available at: </w:t>
      </w:r>
      <w:hyperlink r:id="rId69" w:history="1">
        <w:r w:rsidRPr="00A820CB">
          <w:rPr>
            <w:rStyle w:val="Hyperlink"/>
            <w:color w:val="1155CC"/>
          </w:rPr>
          <w:t>https://global.toyota/pages/global_toyota/ir/financial-results/2025_4q_summary_en.pdf</w:t>
        </w:r>
      </w:hyperlink>
      <w:r w:rsidRPr="00A820CB">
        <w:rPr>
          <w:color w:val="000000"/>
        </w:rPr>
        <w:t xml:space="preserve"> (Accessed: 15 March 2026). </w:t>
      </w:r>
    </w:p>
    <w:p w14:paraId="1C6DAD5A"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Trading Economics (2026) </w:t>
      </w:r>
      <w:r w:rsidRPr="00A820CB">
        <w:rPr>
          <w:i/>
          <w:iCs/>
          <w:color w:val="000000"/>
        </w:rPr>
        <w:t xml:space="preserve">India Inflation Rate. </w:t>
      </w:r>
      <w:r w:rsidRPr="00A820CB">
        <w:rPr>
          <w:color w:val="000000"/>
        </w:rPr>
        <w:t xml:space="preserve">Available at: </w:t>
      </w:r>
      <w:hyperlink r:id="rId70" w:history="1">
        <w:r w:rsidRPr="00A820CB">
          <w:rPr>
            <w:rStyle w:val="Hyperlink"/>
            <w:color w:val="1155CC"/>
          </w:rPr>
          <w:t>https://tradingeconomics.com/india/inflation-cpi</w:t>
        </w:r>
      </w:hyperlink>
      <w:r w:rsidRPr="00A820CB">
        <w:rPr>
          <w:color w:val="000000"/>
        </w:rPr>
        <w:t xml:space="preserve"> (Accessed: 16 March 2026).</w:t>
      </w:r>
    </w:p>
    <w:p w14:paraId="36A020B3" w14:textId="77777777" w:rsidR="00C53B27" w:rsidRPr="00A820CB" w:rsidRDefault="00C53B27" w:rsidP="00C53B27">
      <w:pPr>
        <w:pStyle w:val="NormalWeb"/>
        <w:spacing w:before="0" w:beforeAutospacing="0" w:after="0" w:afterAutospacing="0" w:line="360" w:lineRule="auto"/>
        <w:jc w:val="both"/>
      </w:pPr>
      <w:r w:rsidRPr="00A820CB">
        <w:rPr>
          <w:color w:val="222222"/>
          <w:shd w:val="clear" w:color="auto" w:fill="FFFFFF"/>
        </w:rPr>
        <w:t xml:space="preserve">van Sluijs, M. and Matzat, U. (2024) ‘Predicting time‐management skills from learning analytics’, </w:t>
      </w:r>
      <w:r w:rsidRPr="00A820CB">
        <w:rPr>
          <w:i/>
          <w:iCs/>
          <w:color w:val="222222"/>
          <w:shd w:val="clear" w:color="auto" w:fill="FFFFFF"/>
        </w:rPr>
        <w:t>Journal of Computer Assisted Learning</w:t>
      </w:r>
      <w:r w:rsidRPr="00A820CB">
        <w:rPr>
          <w:color w:val="222222"/>
          <w:shd w:val="clear" w:color="auto" w:fill="FFFFFF"/>
        </w:rPr>
        <w:t xml:space="preserve">, </w:t>
      </w:r>
      <w:r w:rsidRPr="00A820CB">
        <w:rPr>
          <w:i/>
          <w:iCs/>
          <w:color w:val="222222"/>
          <w:shd w:val="clear" w:color="auto" w:fill="FFFFFF"/>
        </w:rPr>
        <w:t>40</w:t>
      </w:r>
      <w:r w:rsidRPr="00A820CB">
        <w:rPr>
          <w:color w:val="222222"/>
          <w:shd w:val="clear" w:color="auto" w:fill="FFFFFF"/>
        </w:rPr>
        <w:t xml:space="preserve">(2), pp.525-537. </w:t>
      </w:r>
      <w:r w:rsidRPr="00A820CB">
        <w:rPr>
          <w:color w:val="000000"/>
        </w:rPr>
        <w:t xml:space="preserve">Available at: </w:t>
      </w:r>
      <w:hyperlink r:id="rId71" w:history="1">
        <w:r w:rsidRPr="00A820CB">
          <w:rPr>
            <w:rStyle w:val="Hyperlink"/>
            <w:color w:val="1155CC"/>
          </w:rPr>
          <w:t>https://onlinelibrary.wiley.com/doi/pdf/10.1111/jcal.12893</w:t>
        </w:r>
      </w:hyperlink>
      <w:r w:rsidRPr="00A820CB">
        <w:rPr>
          <w:color w:val="000000"/>
        </w:rPr>
        <w:t> </w:t>
      </w:r>
    </w:p>
    <w:p w14:paraId="3813460C"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Vidovic, L. (2021) </w:t>
      </w:r>
      <w:r w:rsidRPr="00A820CB">
        <w:rPr>
          <w:i/>
          <w:iCs/>
          <w:color w:val="000000"/>
        </w:rPr>
        <w:t xml:space="preserve">Climate Change Reshapes the Automobile Sector. </w:t>
      </w:r>
      <w:r w:rsidRPr="00A820CB">
        <w:rPr>
          <w:color w:val="000000"/>
        </w:rPr>
        <w:t xml:space="preserve">Available at: </w:t>
      </w:r>
      <w:hyperlink r:id="rId72" w:history="1">
        <w:r w:rsidRPr="00A820CB">
          <w:rPr>
            <w:rStyle w:val="Hyperlink"/>
            <w:color w:val="1155CC"/>
          </w:rPr>
          <w:t>https://www.spglobal.com/market-intelligence/en/news-insights/research/climate-change-reshapes-the-automobile-sector</w:t>
        </w:r>
      </w:hyperlink>
      <w:r w:rsidRPr="00A820CB">
        <w:rPr>
          <w:color w:val="000000"/>
        </w:rPr>
        <w:t xml:space="preserve"> (Accessed: 15 March 2026). </w:t>
      </w:r>
    </w:p>
    <w:p w14:paraId="56731E16"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World Bank Group (2024) </w:t>
      </w:r>
      <w:r w:rsidRPr="00A820CB">
        <w:rPr>
          <w:i/>
          <w:iCs/>
          <w:color w:val="000000"/>
        </w:rPr>
        <w:t xml:space="preserve">Gearing up for India’s Rapid Urban Transformation. </w:t>
      </w:r>
      <w:r w:rsidRPr="00A820CB">
        <w:rPr>
          <w:color w:val="000000"/>
        </w:rPr>
        <w:t xml:space="preserve">Available at: </w:t>
      </w:r>
      <w:hyperlink r:id="rId73" w:history="1">
        <w:r w:rsidRPr="00A820CB">
          <w:rPr>
            <w:rStyle w:val="Hyperlink"/>
            <w:color w:val="1155CC"/>
          </w:rPr>
          <w:t>https://www.worldbank.org/en/news/opinion/2024/01/30/gearing-up-for-india-s-rapid-urban-transformation</w:t>
        </w:r>
      </w:hyperlink>
      <w:r w:rsidRPr="00A820CB">
        <w:rPr>
          <w:color w:val="000000"/>
        </w:rPr>
        <w:t xml:space="preserve"> (Accessed: 16 March 2026). </w:t>
      </w:r>
    </w:p>
    <w:p w14:paraId="19562921" w14:textId="77777777" w:rsidR="00C53B27" w:rsidRPr="00A820CB" w:rsidRDefault="00C53B27" w:rsidP="00C53B27">
      <w:pPr>
        <w:pStyle w:val="NormalWeb"/>
        <w:spacing w:before="0" w:beforeAutospacing="0" w:after="0" w:afterAutospacing="0" w:line="360" w:lineRule="auto"/>
        <w:jc w:val="both"/>
      </w:pPr>
      <w:r w:rsidRPr="00A820CB">
        <w:rPr>
          <w:color w:val="000000"/>
        </w:rPr>
        <w:t xml:space="preserve">World Economic Forum (2025) </w:t>
      </w:r>
      <w:r w:rsidRPr="00A820CB">
        <w:rPr>
          <w:i/>
          <w:iCs/>
          <w:color w:val="000000"/>
        </w:rPr>
        <w:t xml:space="preserve">The Future of Jobs Report 2025. </w:t>
      </w:r>
      <w:r w:rsidRPr="00A820CB">
        <w:rPr>
          <w:color w:val="000000"/>
        </w:rPr>
        <w:t xml:space="preserve">Available at: </w:t>
      </w:r>
      <w:hyperlink r:id="rId74" w:history="1">
        <w:r w:rsidRPr="00A820CB">
          <w:rPr>
            <w:rStyle w:val="Hyperlink"/>
            <w:color w:val="1155CC"/>
          </w:rPr>
          <w:t>https://www.weforum.org/publications/the-future-of-jobs-report-2025/in-full/introduction-the-global-labour-market-landscape-in-2025/</w:t>
        </w:r>
      </w:hyperlink>
      <w:r w:rsidRPr="00A820CB">
        <w:rPr>
          <w:color w:val="000000"/>
        </w:rPr>
        <w:t xml:space="preserve"> (Accessed: 15 March 2026). </w:t>
      </w:r>
    </w:p>
    <w:p w14:paraId="1974A97D" w14:textId="77777777" w:rsidR="00C53B27" w:rsidRPr="00A820CB" w:rsidRDefault="00C53B27" w:rsidP="00C53B27">
      <w:pPr>
        <w:pStyle w:val="NormalWeb"/>
        <w:spacing w:before="0" w:beforeAutospacing="0" w:after="0" w:afterAutospacing="0" w:line="360" w:lineRule="auto"/>
        <w:jc w:val="both"/>
        <w:rPr>
          <w:color w:val="000000"/>
        </w:rPr>
      </w:pPr>
      <w:r w:rsidRPr="00A820CB">
        <w:rPr>
          <w:color w:val="000000"/>
        </w:rPr>
        <w:t xml:space="preserve">World Resources Institute (2025) </w:t>
      </w:r>
      <w:r w:rsidRPr="00A820CB">
        <w:rPr>
          <w:i/>
          <w:iCs/>
          <w:color w:val="000000"/>
        </w:rPr>
        <w:t xml:space="preserve">India Significantly Scales Up Electric Vehicle Adoption. </w:t>
      </w:r>
      <w:r w:rsidRPr="00A820CB">
        <w:rPr>
          <w:color w:val="000000"/>
        </w:rPr>
        <w:t xml:space="preserve">Available at: </w:t>
      </w:r>
      <w:hyperlink r:id="rId75" w:history="1">
        <w:r w:rsidRPr="00A820CB">
          <w:rPr>
            <w:rStyle w:val="Hyperlink"/>
            <w:color w:val="1155CC"/>
          </w:rPr>
          <w:t>https://www.wri.org/outcomes/india-significantly-scales-electric-vehicle-adoption</w:t>
        </w:r>
      </w:hyperlink>
      <w:r w:rsidRPr="00A820CB">
        <w:rPr>
          <w:color w:val="000000"/>
        </w:rPr>
        <w:t xml:space="preserve"> (Accessed: 16 March 2026).</w:t>
      </w:r>
    </w:p>
    <w:p w14:paraId="2B96D35D" w14:textId="77777777" w:rsidR="00C53B27" w:rsidRPr="00A820CB" w:rsidRDefault="00C53B27" w:rsidP="00C53B27">
      <w:pPr>
        <w:pStyle w:val="NormalWeb"/>
        <w:spacing w:before="0" w:beforeAutospacing="0" w:after="0" w:afterAutospacing="0" w:line="360" w:lineRule="auto"/>
        <w:jc w:val="both"/>
        <w:rPr>
          <w:color w:val="000000"/>
        </w:rPr>
      </w:pPr>
      <w:r w:rsidRPr="00A820CB">
        <w:rPr>
          <w:color w:val="222222"/>
          <w:shd w:val="clear" w:color="auto" w:fill="FFFFFF"/>
        </w:rPr>
        <w:t xml:space="preserve">Zimu, F. (2023) ‘Exploring the impact of cultural factors on consumer behavior in E-commerce: A cross-cultural analysis’, </w:t>
      </w:r>
      <w:r w:rsidRPr="00A820CB">
        <w:rPr>
          <w:i/>
          <w:iCs/>
          <w:color w:val="222222"/>
          <w:shd w:val="clear" w:color="auto" w:fill="FFFFFF"/>
        </w:rPr>
        <w:t>Journal of Digitainability, Realism &amp; Mastery (DREAM)</w:t>
      </w:r>
      <w:r w:rsidRPr="00A820CB">
        <w:rPr>
          <w:color w:val="222222"/>
          <w:shd w:val="clear" w:color="auto" w:fill="FFFFFF"/>
        </w:rPr>
        <w:t xml:space="preserve">, </w:t>
      </w:r>
      <w:r w:rsidRPr="00A820CB">
        <w:rPr>
          <w:i/>
          <w:iCs/>
          <w:color w:val="222222"/>
          <w:shd w:val="clear" w:color="auto" w:fill="FFFFFF"/>
        </w:rPr>
        <w:t>2</w:t>
      </w:r>
      <w:r w:rsidRPr="00A820CB">
        <w:rPr>
          <w:color w:val="222222"/>
          <w:shd w:val="clear" w:color="auto" w:fill="FFFFFF"/>
        </w:rPr>
        <w:t xml:space="preserve">(03), pp.31-36. </w:t>
      </w:r>
      <w:r w:rsidRPr="00A820CB">
        <w:rPr>
          <w:color w:val="000000"/>
        </w:rPr>
        <w:t xml:space="preserve">Available at: </w:t>
      </w:r>
      <w:hyperlink r:id="rId76" w:history="1">
        <w:r w:rsidRPr="00A820CB">
          <w:rPr>
            <w:rStyle w:val="Hyperlink"/>
            <w:color w:val="1155CC"/>
          </w:rPr>
          <w:t>https://doi.org/10.56982/dream.v2i03.90</w:t>
        </w:r>
      </w:hyperlink>
      <w:r w:rsidRPr="00A820CB">
        <w:rPr>
          <w:color w:val="000000"/>
        </w:rPr>
        <w:t> </w:t>
      </w:r>
    </w:p>
    <w:p w14:paraId="20D4E2E9" w14:textId="0DEAC871" w:rsidR="0054735D" w:rsidRPr="00A820CB" w:rsidRDefault="002E0580" w:rsidP="00A820CB">
      <w:pPr>
        <w:spacing w:line="360" w:lineRule="auto"/>
        <w:ind w:hanging="567"/>
        <w:rPr>
          <w:rFonts w:ascii="Times New Roman" w:eastAsia="Times New Roman" w:hAnsi="Times New Roman" w:cs="Times New Roman"/>
          <w:color w:val="000000"/>
          <w:sz w:val="24"/>
          <w:szCs w:val="24"/>
        </w:rPr>
      </w:pPr>
      <w:r w:rsidRPr="00A820CB">
        <w:rPr>
          <w:rFonts w:ascii="Times New Roman" w:hAnsi="Times New Roman" w:cs="Times New Roman"/>
          <w:color w:val="000000"/>
          <w:sz w:val="24"/>
          <w:szCs w:val="24"/>
        </w:rPr>
        <w:br w:type="page"/>
      </w:r>
      <w:bookmarkStart w:id="16" w:name="_Toc225370695"/>
      <w:r w:rsidR="0054735D" w:rsidRPr="00A820CB">
        <w:rPr>
          <w:rFonts w:ascii="Times New Roman" w:hAnsi="Times New Roman" w:cs="Times New Roman"/>
          <w:szCs w:val="24"/>
        </w:rPr>
        <w:lastRenderedPageBreak/>
        <w:t>Appendix</w:t>
      </w:r>
      <w:r w:rsidR="000216E8" w:rsidRPr="00A820CB">
        <w:rPr>
          <w:rFonts w:ascii="Times New Roman" w:hAnsi="Times New Roman" w:cs="Times New Roman"/>
          <w:szCs w:val="24"/>
        </w:rPr>
        <w:t xml:space="preserve"> 1: Identification of leading firms and evaluation of their positions</w:t>
      </w:r>
      <w:bookmarkEnd w:id="16"/>
    </w:p>
    <w:tbl>
      <w:tblPr>
        <w:tblStyle w:val="TableGridLight"/>
        <w:tblW w:w="10490" w:type="dxa"/>
        <w:tblInd w:w="-572" w:type="dxa"/>
        <w:tblLayout w:type="fixed"/>
        <w:tblLook w:val="04A0" w:firstRow="1" w:lastRow="0" w:firstColumn="1" w:lastColumn="0" w:noHBand="0" w:noVBand="1"/>
      </w:tblPr>
      <w:tblGrid>
        <w:gridCol w:w="1560"/>
        <w:gridCol w:w="1984"/>
        <w:gridCol w:w="2126"/>
        <w:gridCol w:w="1985"/>
        <w:gridCol w:w="1701"/>
        <w:gridCol w:w="1134"/>
      </w:tblGrid>
      <w:tr w:rsidR="009E1E05" w:rsidRPr="00A820CB" w14:paraId="73D865EF" w14:textId="77777777" w:rsidTr="00A820CB">
        <w:tc>
          <w:tcPr>
            <w:tcW w:w="1560" w:type="dxa"/>
            <w:hideMark/>
          </w:tcPr>
          <w:p w14:paraId="2211D0B3"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Firm</w:t>
            </w:r>
          </w:p>
        </w:tc>
        <w:tc>
          <w:tcPr>
            <w:tcW w:w="1984" w:type="dxa"/>
            <w:hideMark/>
          </w:tcPr>
          <w:p w14:paraId="20802484"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Strategy</w:t>
            </w:r>
          </w:p>
        </w:tc>
        <w:tc>
          <w:tcPr>
            <w:tcW w:w="2126" w:type="dxa"/>
            <w:hideMark/>
          </w:tcPr>
          <w:p w14:paraId="6F05AC59"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Segment</w:t>
            </w:r>
          </w:p>
        </w:tc>
        <w:tc>
          <w:tcPr>
            <w:tcW w:w="1985" w:type="dxa"/>
            <w:hideMark/>
          </w:tcPr>
          <w:p w14:paraId="47B1CEB6"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Strength</w:t>
            </w:r>
          </w:p>
        </w:tc>
        <w:tc>
          <w:tcPr>
            <w:tcW w:w="1701" w:type="dxa"/>
            <w:hideMark/>
          </w:tcPr>
          <w:p w14:paraId="0B540A0A"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Performance</w:t>
            </w:r>
          </w:p>
        </w:tc>
        <w:tc>
          <w:tcPr>
            <w:tcW w:w="1134" w:type="dxa"/>
            <w:hideMark/>
          </w:tcPr>
          <w:p w14:paraId="3211E705"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Position</w:t>
            </w:r>
          </w:p>
        </w:tc>
      </w:tr>
      <w:tr w:rsidR="008C475B" w:rsidRPr="00A820CB" w14:paraId="062C8BC5" w14:textId="77777777" w:rsidTr="00A820CB">
        <w:tc>
          <w:tcPr>
            <w:tcW w:w="1560" w:type="dxa"/>
            <w:hideMark/>
          </w:tcPr>
          <w:p w14:paraId="4FCB67BA"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Tata Motors (Domestic)</w:t>
            </w:r>
          </w:p>
        </w:tc>
        <w:tc>
          <w:tcPr>
            <w:tcW w:w="1984" w:type="dxa"/>
            <w:hideMark/>
          </w:tcPr>
          <w:p w14:paraId="4957259C"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Focusing on technological development</w:t>
            </w:r>
          </w:p>
          <w:p w14:paraId="2F4A9FC0"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Quality maintenance</w:t>
            </w:r>
          </w:p>
        </w:tc>
        <w:tc>
          <w:tcPr>
            <w:tcW w:w="2126" w:type="dxa"/>
            <w:hideMark/>
          </w:tcPr>
          <w:p w14:paraId="5CDF4690"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Passenger cars</w:t>
            </w:r>
          </w:p>
          <w:p w14:paraId="7CA2FCE4"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Commercial vehicles</w:t>
            </w:r>
          </w:p>
          <w:p w14:paraId="13CCBD54"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SUVs</w:t>
            </w:r>
          </w:p>
          <w:p w14:paraId="3087F4CA"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EVs</w:t>
            </w:r>
          </w:p>
        </w:tc>
        <w:tc>
          <w:tcPr>
            <w:tcW w:w="1985" w:type="dxa"/>
            <w:hideMark/>
          </w:tcPr>
          <w:p w14:paraId="6AC6C8D7"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Future-ready technologies </w:t>
            </w:r>
          </w:p>
          <w:p w14:paraId="6713C9AD"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Leaner designs and cleaner materials </w:t>
            </w:r>
          </w:p>
          <w:p w14:paraId="7D2CEF80"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Sustainable and safer mobility</w:t>
            </w:r>
          </w:p>
          <w:p w14:paraId="3FECF2CB"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Innovation</w:t>
            </w:r>
          </w:p>
        </w:tc>
        <w:tc>
          <w:tcPr>
            <w:tcW w:w="1701" w:type="dxa"/>
            <w:hideMark/>
          </w:tcPr>
          <w:p w14:paraId="002B21CD"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₹4.4 trillion in 2025 (Statista, 2025).</w:t>
            </w:r>
          </w:p>
        </w:tc>
        <w:tc>
          <w:tcPr>
            <w:tcW w:w="1134" w:type="dxa"/>
            <w:hideMark/>
          </w:tcPr>
          <w:p w14:paraId="11BC76F7"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2nd largest automobile firm in India</w:t>
            </w:r>
          </w:p>
        </w:tc>
      </w:tr>
      <w:tr w:rsidR="008C475B" w:rsidRPr="00A820CB" w14:paraId="2BCDC823" w14:textId="77777777" w:rsidTr="00A820CB">
        <w:tc>
          <w:tcPr>
            <w:tcW w:w="1560" w:type="dxa"/>
            <w:hideMark/>
          </w:tcPr>
          <w:p w14:paraId="75FAC296" w14:textId="7B947A60"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Mahindra</w:t>
            </w:r>
            <w:r w:rsidR="008C475B" w:rsidRPr="00A820CB">
              <w:rPr>
                <w:color w:val="000000"/>
                <w:sz w:val="16"/>
                <w:szCs w:val="16"/>
              </w:rPr>
              <w:t xml:space="preserve"> </w:t>
            </w:r>
            <w:r w:rsidRPr="00A820CB">
              <w:rPr>
                <w:color w:val="000000"/>
                <w:sz w:val="16"/>
                <w:szCs w:val="16"/>
              </w:rPr>
              <w:t>&amp;</w:t>
            </w:r>
            <w:r w:rsidR="00FF6962" w:rsidRPr="00A820CB">
              <w:rPr>
                <w:color w:val="000000"/>
                <w:sz w:val="16"/>
                <w:szCs w:val="16"/>
              </w:rPr>
              <w:t xml:space="preserve"> </w:t>
            </w:r>
            <w:r w:rsidRPr="00A820CB">
              <w:rPr>
                <w:color w:val="000000"/>
                <w:sz w:val="16"/>
                <w:szCs w:val="16"/>
              </w:rPr>
              <w:t>Mahindra (Domestic)</w:t>
            </w:r>
          </w:p>
          <w:p w14:paraId="3007E577" w14:textId="77777777" w:rsidR="0054735D" w:rsidRPr="00A820CB" w:rsidRDefault="0054735D" w:rsidP="008C475B">
            <w:pPr>
              <w:spacing w:line="360" w:lineRule="auto"/>
              <w:rPr>
                <w:rFonts w:ascii="Times New Roman" w:hAnsi="Times New Roman" w:cs="Times New Roman"/>
                <w:sz w:val="16"/>
                <w:szCs w:val="16"/>
              </w:rPr>
            </w:pPr>
          </w:p>
        </w:tc>
        <w:tc>
          <w:tcPr>
            <w:tcW w:w="1984" w:type="dxa"/>
            <w:hideMark/>
          </w:tcPr>
          <w:p w14:paraId="39FAE4B7"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Improving quality and focusing innovation</w:t>
            </w:r>
          </w:p>
          <w:p w14:paraId="69251C31"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Aiming to achieve carbon neutrality</w:t>
            </w:r>
          </w:p>
        </w:tc>
        <w:tc>
          <w:tcPr>
            <w:tcW w:w="2126" w:type="dxa"/>
            <w:hideMark/>
          </w:tcPr>
          <w:p w14:paraId="4FB76A3A"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EV</w:t>
            </w:r>
          </w:p>
          <w:p w14:paraId="4A731886"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Electric SUV</w:t>
            </w:r>
          </w:p>
          <w:p w14:paraId="3C80A445" w14:textId="01709779"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Large and small commercial vehicles </w:t>
            </w:r>
          </w:p>
          <w:p w14:paraId="2E2AD1DF"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Two wheelers</w:t>
            </w:r>
          </w:p>
        </w:tc>
        <w:tc>
          <w:tcPr>
            <w:tcW w:w="1985" w:type="dxa"/>
            <w:hideMark/>
          </w:tcPr>
          <w:p w14:paraId="3BC21395"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Shifts towards renewable energy</w:t>
            </w:r>
          </w:p>
          <w:p w14:paraId="1F75FE1E"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Zero landfill wastes </w:t>
            </w:r>
          </w:p>
          <w:p w14:paraId="0CA28737" w14:textId="70AB5CB2"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EV production and improvement </w:t>
            </w:r>
          </w:p>
          <w:p w14:paraId="5229F2F1" w14:textId="77777777" w:rsidR="0054735D" w:rsidRPr="00A820CB" w:rsidRDefault="0054735D" w:rsidP="008C475B">
            <w:pPr>
              <w:numPr>
                <w:ilvl w:val="0"/>
                <w:numId w:val="31"/>
              </w:numPr>
              <w:spacing w:before="100" w:beforeAutospacing="1" w:after="100" w:afterAutospacing="1" w:line="360" w:lineRule="auto"/>
              <w:ind w:left="316" w:hanging="284"/>
              <w:textAlignment w:val="baseline"/>
              <w:rPr>
                <w:rFonts w:ascii="Times New Roman" w:eastAsia="Times New Roman" w:hAnsi="Times New Roman" w:cs="Times New Roman"/>
                <w:color w:val="000000"/>
                <w:sz w:val="16"/>
                <w:szCs w:val="16"/>
              </w:rPr>
            </w:pPr>
          </w:p>
        </w:tc>
        <w:tc>
          <w:tcPr>
            <w:tcW w:w="1701" w:type="dxa"/>
            <w:hideMark/>
          </w:tcPr>
          <w:p w14:paraId="2E59D69A"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Highest ever market share in FY2025 at 43.3% (Mahindra, 2026). </w:t>
            </w:r>
          </w:p>
        </w:tc>
        <w:tc>
          <w:tcPr>
            <w:tcW w:w="1134" w:type="dxa"/>
            <w:hideMark/>
          </w:tcPr>
          <w:p w14:paraId="478A9D9F"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3rd largest</w:t>
            </w:r>
          </w:p>
        </w:tc>
      </w:tr>
      <w:tr w:rsidR="008C475B" w:rsidRPr="00A820CB" w14:paraId="1302D51F" w14:textId="77777777" w:rsidTr="00A820CB">
        <w:tc>
          <w:tcPr>
            <w:tcW w:w="1560" w:type="dxa"/>
            <w:hideMark/>
          </w:tcPr>
          <w:p w14:paraId="1083A55C"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Hindustan Motors (Domestic)</w:t>
            </w:r>
          </w:p>
        </w:tc>
        <w:tc>
          <w:tcPr>
            <w:tcW w:w="1984" w:type="dxa"/>
            <w:hideMark/>
          </w:tcPr>
          <w:p w14:paraId="256B6834"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A strong focus on quality, and safety</w:t>
            </w:r>
          </w:p>
          <w:p w14:paraId="24896C0F"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Prime focus on environmental impacts</w:t>
            </w:r>
          </w:p>
        </w:tc>
        <w:tc>
          <w:tcPr>
            <w:tcW w:w="2126" w:type="dxa"/>
            <w:hideMark/>
          </w:tcPr>
          <w:p w14:paraId="470334C5"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Ambassador</w:t>
            </w:r>
          </w:p>
          <w:p w14:paraId="610C41AE"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Commercial vehicles </w:t>
            </w:r>
          </w:p>
        </w:tc>
        <w:tc>
          <w:tcPr>
            <w:tcW w:w="1985" w:type="dxa"/>
            <w:hideMark/>
          </w:tcPr>
          <w:p w14:paraId="2E40A16E" w14:textId="31E7402B"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 xml:space="preserve">Its </w:t>
            </w:r>
            <w:r w:rsidR="008C475B" w:rsidRPr="00A820CB">
              <w:rPr>
                <w:color w:val="000000"/>
                <w:sz w:val="16"/>
                <w:szCs w:val="16"/>
              </w:rPr>
              <w:t>ambassador</w:t>
            </w:r>
            <w:r w:rsidRPr="00A820CB">
              <w:rPr>
                <w:color w:val="000000"/>
                <w:sz w:val="16"/>
                <w:szCs w:val="16"/>
              </w:rPr>
              <w:t xml:space="preserve"> is the key for its features, design, elegance and comfort </w:t>
            </w:r>
          </w:p>
        </w:tc>
        <w:tc>
          <w:tcPr>
            <w:tcW w:w="1701" w:type="dxa"/>
            <w:hideMark/>
          </w:tcPr>
          <w:p w14:paraId="007DBE0D"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Revenue increased from ₹30.16 Crores in 2023-2024 to ₹24.38 Crores in 2024-2025 (Hindustan Motors, 2026). </w:t>
            </w:r>
          </w:p>
        </w:tc>
        <w:tc>
          <w:tcPr>
            <w:tcW w:w="1134" w:type="dxa"/>
            <w:hideMark/>
          </w:tcPr>
          <w:p w14:paraId="72F097F7" w14:textId="3781EC06"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 xml:space="preserve">Among the lowest ranking firms </w:t>
            </w:r>
            <w:r w:rsidR="008C475B" w:rsidRPr="00A820CB">
              <w:rPr>
                <w:color w:val="000000"/>
                <w:sz w:val="16"/>
                <w:szCs w:val="16"/>
              </w:rPr>
              <w:t>SC</w:t>
            </w:r>
          </w:p>
        </w:tc>
      </w:tr>
      <w:tr w:rsidR="008C475B" w:rsidRPr="00A820CB" w14:paraId="7314BA12" w14:textId="77777777" w:rsidTr="00A820CB">
        <w:tc>
          <w:tcPr>
            <w:tcW w:w="1560" w:type="dxa"/>
            <w:hideMark/>
          </w:tcPr>
          <w:p w14:paraId="6EB6C4F9"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Hyundai Motor Company (International)</w:t>
            </w:r>
          </w:p>
          <w:p w14:paraId="74AF85EE" w14:textId="77777777" w:rsidR="0054735D" w:rsidRPr="00A820CB" w:rsidRDefault="0054735D" w:rsidP="008C475B">
            <w:pPr>
              <w:spacing w:line="360" w:lineRule="auto"/>
              <w:rPr>
                <w:rFonts w:ascii="Times New Roman" w:hAnsi="Times New Roman" w:cs="Times New Roman"/>
                <w:sz w:val="16"/>
                <w:szCs w:val="16"/>
              </w:rPr>
            </w:pPr>
          </w:p>
        </w:tc>
        <w:tc>
          <w:tcPr>
            <w:tcW w:w="1984" w:type="dxa"/>
            <w:hideMark/>
          </w:tcPr>
          <w:p w14:paraId="0CB1F6DF"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Focusing on technological innovation</w:t>
            </w:r>
          </w:p>
          <w:p w14:paraId="225882C9"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Aiming a progress for humanity</w:t>
            </w:r>
          </w:p>
          <w:p w14:paraId="389E0E38"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Strengthening competitiveness </w:t>
            </w:r>
          </w:p>
          <w:p w14:paraId="229452D6"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Prioritising safety, sustainability and comforts</w:t>
            </w:r>
          </w:p>
        </w:tc>
        <w:tc>
          <w:tcPr>
            <w:tcW w:w="2126" w:type="dxa"/>
            <w:hideMark/>
          </w:tcPr>
          <w:p w14:paraId="2F3AA313"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Autonomous cars</w:t>
            </w:r>
          </w:p>
          <w:p w14:paraId="778EE6BE"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SUV</w:t>
            </w:r>
          </w:p>
          <w:p w14:paraId="4036F4DE"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Sedan</w:t>
            </w:r>
          </w:p>
          <w:p w14:paraId="175CCD94"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Hatchback</w:t>
            </w:r>
          </w:p>
          <w:p w14:paraId="5E4773F1"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EVs</w:t>
            </w:r>
          </w:p>
          <w:p w14:paraId="7637C1D5"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Taxi</w:t>
            </w:r>
          </w:p>
        </w:tc>
        <w:tc>
          <w:tcPr>
            <w:tcW w:w="1985" w:type="dxa"/>
            <w:hideMark/>
          </w:tcPr>
          <w:p w14:paraId="54140E0D"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Integration of robotics </w:t>
            </w:r>
          </w:p>
          <w:p w14:paraId="206BE45D"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Innovation</w:t>
            </w:r>
          </w:p>
          <w:p w14:paraId="66247CE1"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Sustainability</w:t>
            </w:r>
          </w:p>
          <w:p w14:paraId="20D7AD51"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Wide range of vehicle</w:t>
            </w:r>
          </w:p>
        </w:tc>
        <w:tc>
          <w:tcPr>
            <w:tcW w:w="1701" w:type="dxa"/>
            <w:hideMark/>
          </w:tcPr>
          <w:p w14:paraId="0D20AD48" w14:textId="75781245"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 xml:space="preserve">₩186.3 trillion in 2025 </w:t>
            </w:r>
            <w:r w:rsidR="008C475B" w:rsidRPr="00A820CB">
              <w:rPr>
                <w:color w:val="000000"/>
                <w:sz w:val="16"/>
                <w:szCs w:val="16"/>
              </w:rPr>
              <w:t>at a</w:t>
            </w:r>
            <w:r w:rsidRPr="00A820CB">
              <w:rPr>
                <w:color w:val="000000"/>
                <w:sz w:val="16"/>
                <w:szCs w:val="16"/>
              </w:rPr>
              <w:t xml:space="preserve"> growth rate of 6.3% (Hyundai, 2026)</w:t>
            </w:r>
          </w:p>
        </w:tc>
        <w:tc>
          <w:tcPr>
            <w:tcW w:w="1134" w:type="dxa"/>
            <w:hideMark/>
          </w:tcPr>
          <w:p w14:paraId="39A4671E"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3rd largest</w:t>
            </w:r>
          </w:p>
        </w:tc>
      </w:tr>
      <w:tr w:rsidR="008C475B" w:rsidRPr="00A820CB" w14:paraId="4FD9EE58" w14:textId="77777777" w:rsidTr="00A820CB">
        <w:tc>
          <w:tcPr>
            <w:tcW w:w="1560" w:type="dxa"/>
            <w:hideMark/>
          </w:tcPr>
          <w:p w14:paraId="7D332C03"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Toyota Motor Corporation (International)</w:t>
            </w:r>
          </w:p>
        </w:tc>
        <w:tc>
          <w:tcPr>
            <w:tcW w:w="1984" w:type="dxa"/>
            <w:hideMark/>
          </w:tcPr>
          <w:p w14:paraId="2F2C6973"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Prioritising multi-pathway to carbon-neutrality</w:t>
            </w:r>
          </w:p>
          <w:p w14:paraId="55D62C14"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Investing emerging technologies </w:t>
            </w:r>
          </w:p>
          <w:p w14:paraId="1465EA2A"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Committing to quality assurance</w:t>
            </w:r>
          </w:p>
          <w:p w14:paraId="24D4FA24"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Talent retention</w:t>
            </w:r>
          </w:p>
        </w:tc>
        <w:tc>
          <w:tcPr>
            <w:tcW w:w="2126" w:type="dxa"/>
            <w:hideMark/>
          </w:tcPr>
          <w:p w14:paraId="198D095A"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Passenger cars</w:t>
            </w:r>
          </w:p>
          <w:p w14:paraId="52AC861B"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Trucks</w:t>
            </w:r>
          </w:p>
          <w:p w14:paraId="3FA18D6E"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SUVs</w:t>
            </w:r>
          </w:p>
          <w:p w14:paraId="33BB83B6"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Hybrid cars</w:t>
            </w:r>
          </w:p>
        </w:tc>
        <w:tc>
          <w:tcPr>
            <w:tcW w:w="1985" w:type="dxa"/>
            <w:hideMark/>
          </w:tcPr>
          <w:p w14:paraId="3BB8B349"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Quality and safety</w:t>
            </w:r>
          </w:p>
          <w:p w14:paraId="37C2CD03"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Sophisticated styling</w:t>
            </w:r>
          </w:p>
          <w:p w14:paraId="473FCF98"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Cleaner technology </w:t>
            </w:r>
          </w:p>
          <w:p w14:paraId="760BDC72" w14:textId="77777777" w:rsidR="0054735D" w:rsidRPr="00A820CB" w:rsidRDefault="0054735D" w:rsidP="008C475B">
            <w:pPr>
              <w:pStyle w:val="NormalWeb"/>
              <w:numPr>
                <w:ilvl w:val="0"/>
                <w:numId w:val="31"/>
              </w:numPr>
              <w:spacing w:before="0" w:beforeAutospacing="0" w:after="0" w:afterAutospacing="0" w:line="360" w:lineRule="auto"/>
              <w:ind w:left="316" w:hanging="284"/>
              <w:textAlignment w:val="baseline"/>
              <w:rPr>
                <w:color w:val="000000"/>
                <w:sz w:val="16"/>
                <w:szCs w:val="16"/>
              </w:rPr>
            </w:pPr>
            <w:r w:rsidRPr="00A820CB">
              <w:rPr>
                <w:color w:val="000000"/>
                <w:sz w:val="16"/>
                <w:szCs w:val="16"/>
              </w:rPr>
              <w:t>Intricate designs </w:t>
            </w:r>
          </w:p>
        </w:tc>
        <w:tc>
          <w:tcPr>
            <w:tcW w:w="1701" w:type="dxa"/>
            <w:hideMark/>
          </w:tcPr>
          <w:p w14:paraId="401506A3"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¥48,036,704 million in FY2025 (Toyota, 2026)</w:t>
            </w:r>
          </w:p>
        </w:tc>
        <w:tc>
          <w:tcPr>
            <w:tcW w:w="1134" w:type="dxa"/>
            <w:hideMark/>
          </w:tcPr>
          <w:p w14:paraId="01AC738F" w14:textId="77777777" w:rsidR="0054735D" w:rsidRPr="00A820CB" w:rsidRDefault="0054735D" w:rsidP="008C475B">
            <w:pPr>
              <w:pStyle w:val="NormalWeb"/>
              <w:spacing w:before="0" w:beforeAutospacing="0" w:after="0" w:afterAutospacing="0" w:line="360" w:lineRule="auto"/>
              <w:rPr>
                <w:sz w:val="16"/>
                <w:szCs w:val="16"/>
              </w:rPr>
            </w:pPr>
            <w:r w:rsidRPr="00A820CB">
              <w:rPr>
                <w:color w:val="000000"/>
                <w:sz w:val="16"/>
                <w:szCs w:val="16"/>
              </w:rPr>
              <w:t>Largest</w:t>
            </w:r>
          </w:p>
        </w:tc>
      </w:tr>
    </w:tbl>
    <w:p w14:paraId="7699850D" w14:textId="505FC6CF" w:rsidR="0054735D" w:rsidRPr="00A820CB" w:rsidRDefault="0054735D" w:rsidP="00C53B27">
      <w:pPr>
        <w:pStyle w:val="NormalWeb"/>
        <w:spacing w:before="0" w:beforeAutospacing="0" w:after="0" w:afterAutospacing="0" w:line="360" w:lineRule="auto"/>
        <w:jc w:val="center"/>
      </w:pPr>
      <w:r w:rsidRPr="00A820CB">
        <w:rPr>
          <w:color w:val="000000"/>
        </w:rPr>
        <w:t>Table</w:t>
      </w:r>
      <w:r w:rsidR="00587AA4" w:rsidRPr="00A820CB">
        <w:rPr>
          <w:color w:val="000000"/>
        </w:rPr>
        <w:t xml:space="preserve"> 1</w:t>
      </w:r>
      <w:r w:rsidRPr="00A820CB">
        <w:rPr>
          <w:color w:val="000000"/>
        </w:rPr>
        <w:t>: Major domestic and international automobile companies in India</w:t>
      </w:r>
    </w:p>
    <w:p w14:paraId="66250B65" w14:textId="1734FEEF" w:rsidR="00C63F06" w:rsidRPr="00A820CB" w:rsidRDefault="00587AA4" w:rsidP="008C475B">
      <w:pPr>
        <w:pStyle w:val="NormalWeb"/>
        <w:spacing w:before="0" w:beforeAutospacing="0" w:after="0" w:afterAutospacing="0" w:line="360" w:lineRule="auto"/>
        <w:jc w:val="center"/>
      </w:pPr>
      <w:r w:rsidRPr="00A820CB">
        <w:rPr>
          <w:color w:val="000000"/>
        </w:rPr>
        <w:t>(S</w:t>
      </w:r>
      <w:r w:rsidR="0054735D" w:rsidRPr="00A820CB">
        <w:rPr>
          <w:color w:val="000000"/>
        </w:rPr>
        <w:t>ource: self-created)</w:t>
      </w:r>
    </w:p>
    <w:sectPr w:rsidR="00C63F06" w:rsidRPr="00A820CB" w:rsidSect="002D23B9">
      <w:footerReference w:type="default" r:id="rId7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5FE81C" w14:textId="77777777" w:rsidR="00362AA6" w:rsidRDefault="00362AA6" w:rsidP="004E4E2E">
      <w:pPr>
        <w:spacing w:line="240" w:lineRule="auto"/>
      </w:pPr>
      <w:r>
        <w:separator/>
      </w:r>
    </w:p>
  </w:endnote>
  <w:endnote w:type="continuationSeparator" w:id="0">
    <w:p w14:paraId="468192E8" w14:textId="77777777" w:rsidR="00362AA6" w:rsidRDefault="00362AA6" w:rsidP="004E4E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81CE58EC-0326-40F5-9509-066C474B5450}"/>
  </w:font>
  <w:font w:name="Calibri">
    <w:panose1 w:val="020F0502020204030204"/>
    <w:charset w:val="00"/>
    <w:family w:val="swiss"/>
    <w:pitch w:val="variable"/>
    <w:sig w:usb0="E4002EFF" w:usb1="C200247B" w:usb2="00000009" w:usb3="00000000" w:csb0="000001FF" w:csb1="00000000"/>
    <w:embedRegular r:id="rId2" w:fontKey="{B6D1D322-3DAD-43CF-82BF-1C679D6E926C}"/>
    <w:embedItalic r:id="rId3" w:fontKey="{C67BB3B6-0F4D-4B3E-895B-B7F01561405E}"/>
  </w:font>
  <w:font w:name="Shruti">
    <w:panose1 w:val="02000500000000000000"/>
    <w:charset w:val="00"/>
    <w:family w:val="swiss"/>
    <w:pitch w:val="variable"/>
    <w:sig w:usb0="00040003" w:usb1="00000000" w:usb2="00000000" w:usb3="00000000" w:csb0="00000001" w:csb1="00000000"/>
    <w:embedRegular r:id="rId4" w:fontKey="{54719466-3309-4A46-AE3F-9A3F7C278310}"/>
    <w:embedItalic r:id="rId5" w:fontKey="{053B1A10-6BA7-404B-B3DA-583730399CE7}"/>
  </w:font>
  <w:font w:name="Cambria">
    <w:panose1 w:val="02040503050406030204"/>
    <w:charset w:val="00"/>
    <w:family w:val="roman"/>
    <w:pitch w:val="variable"/>
    <w:sig w:usb0="E00006FF" w:usb1="420024FF" w:usb2="02000000" w:usb3="00000000" w:csb0="0000019F" w:csb1="00000000"/>
    <w:embedRegular r:id="rId6" w:fontKey="{529E0CB4-1359-4730-BD54-6C688B67318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3346639"/>
      <w:docPartObj>
        <w:docPartGallery w:val="Page Numbers (Bottom of Page)"/>
        <w:docPartUnique/>
      </w:docPartObj>
    </w:sdtPr>
    <w:sdtEndPr>
      <w:rPr>
        <w:noProof/>
      </w:rPr>
    </w:sdtEndPr>
    <w:sdtContent>
      <w:p w14:paraId="40C648AC" w14:textId="3C8E533C" w:rsidR="004E4E2E" w:rsidRDefault="004E4E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1BC33B" w14:textId="77777777" w:rsidR="004E4E2E" w:rsidRDefault="004E4E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7E8A6" w14:textId="77777777" w:rsidR="00362AA6" w:rsidRDefault="00362AA6" w:rsidP="004E4E2E">
      <w:pPr>
        <w:spacing w:line="240" w:lineRule="auto"/>
      </w:pPr>
      <w:r>
        <w:separator/>
      </w:r>
    </w:p>
  </w:footnote>
  <w:footnote w:type="continuationSeparator" w:id="0">
    <w:p w14:paraId="2338BAFB" w14:textId="77777777" w:rsidR="00362AA6" w:rsidRDefault="00362AA6" w:rsidP="004E4E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06122"/>
    <w:multiLevelType w:val="multilevel"/>
    <w:tmpl w:val="59CE9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3C09B8"/>
    <w:multiLevelType w:val="multilevel"/>
    <w:tmpl w:val="37A64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6A4432"/>
    <w:multiLevelType w:val="hybridMultilevel"/>
    <w:tmpl w:val="E6A8603E"/>
    <w:lvl w:ilvl="0" w:tplc="3E92C9EC">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DFE7F5E"/>
    <w:multiLevelType w:val="multilevel"/>
    <w:tmpl w:val="FAD69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61351C"/>
    <w:multiLevelType w:val="multilevel"/>
    <w:tmpl w:val="732E3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DF2451"/>
    <w:multiLevelType w:val="multilevel"/>
    <w:tmpl w:val="CB865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A271C1"/>
    <w:multiLevelType w:val="multilevel"/>
    <w:tmpl w:val="A6160F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1706E7D"/>
    <w:multiLevelType w:val="multilevel"/>
    <w:tmpl w:val="196215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4783DA0"/>
    <w:multiLevelType w:val="multilevel"/>
    <w:tmpl w:val="EB2ED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5D0FA3"/>
    <w:multiLevelType w:val="multilevel"/>
    <w:tmpl w:val="02049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873AD7"/>
    <w:multiLevelType w:val="multilevel"/>
    <w:tmpl w:val="2F121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B2349F"/>
    <w:multiLevelType w:val="multilevel"/>
    <w:tmpl w:val="E74CD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355D88"/>
    <w:multiLevelType w:val="multilevel"/>
    <w:tmpl w:val="0EAE8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6D5EA4"/>
    <w:multiLevelType w:val="hybridMultilevel"/>
    <w:tmpl w:val="EFC627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B67205"/>
    <w:multiLevelType w:val="multilevel"/>
    <w:tmpl w:val="D03063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B9A4574"/>
    <w:multiLevelType w:val="multilevel"/>
    <w:tmpl w:val="5E58D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4B4E01"/>
    <w:multiLevelType w:val="multilevel"/>
    <w:tmpl w:val="84B494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09C5570"/>
    <w:multiLevelType w:val="multilevel"/>
    <w:tmpl w:val="F426FD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49F3BE8"/>
    <w:multiLevelType w:val="multilevel"/>
    <w:tmpl w:val="FE466C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4C32F3B"/>
    <w:multiLevelType w:val="hybridMultilevel"/>
    <w:tmpl w:val="E9F4F76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7F36ED6"/>
    <w:multiLevelType w:val="multilevel"/>
    <w:tmpl w:val="A35C6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DF7443"/>
    <w:multiLevelType w:val="multilevel"/>
    <w:tmpl w:val="24B8F9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CED6B6A"/>
    <w:multiLevelType w:val="multilevel"/>
    <w:tmpl w:val="3DEAC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DB1886"/>
    <w:multiLevelType w:val="multilevel"/>
    <w:tmpl w:val="079E8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6C3418"/>
    <w:multiLevelType w:val="hybridMultilevel"/>
    <w:tmpl w:val="795AD1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6ED1850"/>
    <w:multiLevelType w:val="multilevel"/>
    <w:tmpl w:val="DEB09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A537DA"/>
    <w:multiLevelType w:val="multilevel"/>
    <w:tmpl w:val="E932C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D26BD8"/>
    <w:multiLevelType w:val="multilevel"/>
    <w:tmpl w:val="F288E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593A83"/>
    <w:multiLevelType w:val="hybridMultilevel"/>
    <w:tmpl w:val="5A88894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5C00F60"/>
    <w:multiLevelType w:val="multilevel"/>
    <w:tmpl w:val="EC564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6368A3"/>
    <w:multiLevelType w:val="multilevel"/>
    <w:tmpl w:val="24482B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9161474">
    <w:abstractNumId w:val="16"/>
  </w:num>
  <w:num w:numId="2" w16cid:durableId="1271544797">
    <w:abstractNumId w:val="14"/>
  </w:num>
  <w:num w:numId="3" w16cid:durableId="52972535">
    <w:abstractNumId w:val="21"/>
  </w:num>
  <w:num w:numId="4" w16cid:durableId="232207759">
    <w:abstractNumId w:val="17"/>
  </w:num>
  <w:num w:numId="5" w16cid:durableId="1342077121">
    <w:abstractNumId w:val="0"/>
  </w:num>
  <w:num w:numId="6" w16cid:durableId="1234510745">
    <w:abstractNumId w:val="30"/>
  </w:num>
  <w:num w:numId="7" w16cid:durableId="1387535754">
    <w:abstractNumId w:val="18"/>
  </w:num>
  <w:num w:numId="8" w16cid:durableId="1081682440">
    <w:abstractNumId w:val="7"/>
  </w:num>
  <w:num w:numId="9" w16cid:durableId="1879471923">
    <w:abstractNumId w:val="6"/>
  </w:num>
  <w:num w:numId="10" w16cid:durableId="1002658221">
    <w:abstractNumId w:val="28"/>
  </w:num>
  <w:num w:numId="11" w16cid:durableId="1250384495">
    <w:abstractNumId w:val="19"/>
  </w:num>
  <w:num w:numId="12" w16cid:durableId="1791631124">
    <w:abstractNumId w:val="12"/>
  </w:num>
  <w:num w:numId="13" w16cid:durableId="1171407024">
    <w:abstractNumId w:val="25"/>
  </w:num>
  <w:num w:numId="14" w16cid:durableId="1521311784">
    <w:abstractNumId w:val="22"/>
  </w:num>
  <w:num w:numId="15" w16cid:durableId="1873372646">
    <w:abstractNumId w:val="20"/>
  </w:num>
  <w:num w:numId="16" w16cid:durableId="261231692">
    <w:abstractNumId w:val="8"/>
  </w:num>
  <w:num w:numId="17" w16cid:durableId="1138298581">
    <w:abstractNumId w:val="5"/>
  </w:num>
  <w:num w:numId="18" w16cid:durableId="1634796589">
    <w:abstractNumId w:val="11"/>
  </w:num>
  <w:num w:numId="19" w16cid:durableId="2011059243">
    <w:abstractNumId w:val="27"/>
  </w:num>
  <w:num w:numId="20" w16cid:durableId="532884005">
    <w:abstractNumId w:val="26"/>
  </w:num>
  <w:num w:numId="21" w16cid:durableId="2054577273">
    <w:abstractNumId w:val="4"/>
  </w:num>
  <w:num w:numId="22" w16cid:durableId="1304888593">
    <w:abstractNumId w:val="15"/>
  </w:num>
  <w:num w:numId="23" w16cid:durableId="193083609">
    <w:abstractNumId w:val="10"/>
  </w:num>
  <w:num w:numId="24" w16cid:durableId="924457700">
    <w:abstractNumId w:val="9"/>
  </w:num>
  <w:num w:numId="25" w16cid:durableId="766578455">
    <w:abstractNumId w:val="29"/>
  </w:num>
  <w:num w:numId="26" w16cid:durableId="1992561071">
    <w:abstractNumId w:val="23"/>
  </w:num>
  <w:num w:numId="27" w16cid:durableId="749544465">
    <w:abstractNumId w:val="1"/>
  </w:num>
  <w:num w:numId="28" w16cid:durableId="1595631500">
    <w:abstractNumId w:val="3"/>
  </w:num>
  <w:num w:numId="29" w16cid:durableId="586773858">
    <w:abstractNumId w:val="2"/>
  </w:num>
  <w:num w:numId="30" w16cid:durableId="822353263">
    <w:abstractNumId w:val="24"/>
  </w:num>
  <w:num w:numId="31" w16cid:durableId="5922046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F06"/>
    <w:rsid w:val="000216E8"/>
    <w:rsid w:val="0006629A"/>
    <w:rsid w:val="00094F38"/>
    <w:rsid w:val="000F738B"/>
    <w:rsid w:val="00124DA1"/>
    <w:rsid w:val="00177256"/>
    <w:rsid w:val="002349A6"/>
    <w:rsid w:val="00282092"/>
    <w:rsid w:val="002A1B11"/>
    <w:rsid w:val="002C6420"/>
    <w:rsid w:val="002D23B9"/>
    <w:rsid w:val="002E0580"/>
    <w:rsid w:val="00343CA6"/>
    <w:rsid w:val="00362AA6"/>
    <w:rsid w:val="003E675F"/>
    <w:rsid w:val="00434C0A"/>
    <w:rsid w:val="004B703C"/>
    <w:rsid w:val="004C7E16"/>
    <w:rsid w:val="004D56B3"/>
    <w:rsid w:val="004D794C"/>
    <w:rsid w:val="004E4E2E"/>
    <w:rsid w:val="004E54B8"/>
    <w:rsid w:val="005322C2"/>
    <w:rsid w:val="0054735D"/>
    <w:rsid w:val="005652FF"/>
    <w:rsid w:val="00587AA4"/>
    <w:rsid w:val="005A45F0"/>
    <w:rsid w:val="005A5CA3"/>
    <w:rsid w:val="005C51D7"/>
    <w:rsid w:val="005D727A"/>
    <w:rsid w:val="00617561"/>
    <w:rsid w:val="006316C9"/>
    <w:rsid w:val="0065076A"/>
    <w:rsid w:val="00653888"/>
    <w:rsid w:val="006E5165"/>
    <w:rsid w:val="0077007A"/>
    <w:rsid w:val="0078069C"/>
    <w:rsid w:val="00781E1A"/>
    <w:rsid w:val="00795CB4"/>
    <w:rsid w:val="00860673"/>
    <w:rsid w:val="0087278A"/>
    <w:rsid w:val="008A4357"/>
    <w:rsid w:val="008A5524"/>
    <w:rsid w:val="008B28A5"/>
    <w:rsid w:val="008C475B"/>
    <w:rsid w:val="009269E3"/>
    <w:rsid w:val="009E1E05"/>
    <w:rsid w:val="00A820CB"/>
    <w:rsid w:val="00AA0F2D"/>
    <w:rsid w:val="00AC6F82"/>
    <w:rsid w:val="00B01C88"/>
    <w:rsid w:val="00B152F1"/>
    <w:rsid w:val="00B20D2E"/>
    <w:rsid w:val="00C41BC2"/>
    <w:rsid w:val="00C53B27"/>
    <w:rsid w:val="00C63F06"/>
    <w:rsid w:val="00C748E2"/>
    <w:rsid w:val="00CF1338"/>
    <w:rsid w:val="00D16AF6"/>
    <w:rsid w:val="00D270C9"/>
    <w:rsid w:val="00E05BB2"/>
    <w:rsid w:val="00EC2B71"/>
    <w:rsid w:val="00EC6008"/>
    <w:rsid w:val="00F6775C"/>
    <w:rsid w:val="00F808E7"/>
    <w:rsid w:val="00F84037"/>
    <w:rsid w:val="00F84EE6"/>
    <w:rsid w:val="00F87A91"/>
    <w:rsid w:val="00FF696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82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82092"/>
    <w:rPr>
      <w:lang w:val="en-GB"/>
    </w:rPr>
  </w:style>
  <w:style w:type="paragraph" w:styleId="Heading1">
    <w:name w:val="heading 1"/>
    <w:basedOn w:val="Normal"/>
    <w:next w:val="Normal"/>
    <w:rsid w:val="006E5165"/>
    <w:pPr>
      <w:keepNext/>
      <w:keepLines/>
      <w:spacing w:before="400" w:after="120"/>
      <w:jc w:val="both"/>
      <w:outlineLvl w:val="0"/>
    </w:pPr>
    <w:rPr>
      <w:b/>
      <w:sz w:val="24"/>
      <w:szCs w:val="40"/>
    </w:rPr>
  </w:style>
  <w:style w:type="paragraph" w:styleId="Heading2">
    <w:name w:val="heading 2"/>
    <w:basedOn w:val="Normal"/>
    <w:next w:val="Normal"/>
    <w:rsid w:val="006E5165"/>
    <w:pPr>
      <w:keepNext/>
      <w:keepLines/>
      <w:spacing w:before="360" w:after="120"/>
      <w:jc w:val="both"/>
      <w:outlineLvl w:val="1"/>
    </w:pPr>
    <w:rPr>
      <w:b/>
      <w:i/>
      <w:sz w:val="24"/>
      <w:szCs w:val="32"/>
    </w:rPr>
  </w:style>
  <w:style w:type="paragraph" w:styleId="Heading3">
    <w:name w:val="heading 3"/>
    <w:basedOn w:val="Normal"/>
    <w:next w:val="Normal"/>
    <w:rsid w:val="008B28A5"/>
    <w:pPr>
      <w:keepNext/>
      <w:keepLines/>
      <w:spacing w:before="320" w:after="80"/>
      <w:jc w:val="both"/>
      <w:outlineLvl w:val="2"/>
    </w:pPr>
    <w:rPr>
      <w:b/>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81E1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1E1A"/>
    <w:rPr>
      <w:rFonts w:ascii="Segoe UI" w:hAnsi="Segoe UI" w:cs="Segoe UI"/>
      <w:sz w:val="18"/>
      <w:szCs w:val="18"/>
    </w:rPr>
  </w:style>
  <w:style w:type="paragraph" w:styleId="ListParagraph">
    <w:name w:val="List Paragraph"/>
    <w:basedOn w:val="Normal"/>
    <w:uiPriority w:val="34"/>
    <w:qFormat/>
    <w:rsid w:val="00781E1A"/>
    <w:pPr>
      <w:ind w:left="720"/>
      <w:contextualSpacing/>
    </w:pPr>
  </w:style>
  <w:style w:type="paragraph" w:styleId="TOCHeading">
    <w:name w:val="TOC Heading"/>
    <w:basedOn w:val="Heading1"/>
    <w:next w:val="Normal"/>
    <w:uiPriority w:val="39"/>
    <w:unhideWhenUsed/>
    <w:qFormat/>
    <w:rsid w:val="006E516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E5165"/>
    <w:pPr>
      <w:spacing w:after="100"/>
    </w:pPr>
  </w:style>
  <w:style w:type="paragraph" w:styleId="TOC2">
    <w:name w:val="toc 2"/>
    <w:basedOn w:val="Normal"/>
    <w:next w:val="Normal"/>
    <w:autoRedefine/>
    <w:uiPriority w:val="39"/>
    <w:unhideWhenUsed/>
    <w:rsid w:val="006E5165"/>
    <w:pPr>
      <w:spacing w:after="100"/>
      <w:ind w:left="220"/>
    </w:pPr>
  </w:style>
  <w:style w:type="character" w:styleId="Hyperlink">
    <w:name w:val="Hyperlink"/>
    <w:basedOn w:val="DefaultParagraphFont"/>
    <w:uiPriority w:val="99"/>
    <w:unhideWhenUsed/>
    <w:rsid w:val="006E5165"/>
    <w:rPr>
      <w:color w:val="0000FF" w:themeColor="hyperlink"/>
      <w:u w:val="single"/>
    </w:rPr>
  </w:style>
  <w:style w:type="paragraph" w:styleId="NormalWeb">
    <w:name w:val="Normal (Web)"/>
    <w:basedOn w:val="Normal"/>
    <w:uiPriority w:val="99"/>
    <w:unhideWhenUsed/>
    <w:rsid w:val="0054735D"/>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8A5524"/>
    <w:pPr>
      <w:spacing w:after="100"/>
      <w:ind w:left="440"/>
    </w:pPr>
  </w:style>
  <w:style w:type="table" w:styleId="TableGrid">
    <w:name w:val="Table Grid"/>
    <w:basedOn w:val="TableNormal"/>
    <w:uiPriority w:val="39"/>
    <w:rsid w:val="00D16AF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B152F1"/>
    <w:rPr>
      <w:i/>
      <w:iCs/>
      <w:color w:val="404040" w:themeColor="text1" w:themeTint="BF"/>
    </w:rPr>
  </w:style>
  <w:style w:type="table" w:styleId="GridTable3-Accent6">
    <w:name w:val="Grid Table 3 Accent 6"/>
    <w:basedOn w:val="TableNormal"/>
    <w:uiPriority w:val="48"/>
    <w:rsid w:val="00FF6962"/>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GridTable5Dark-Accent1">
    <w:name w:val="Grid Table 5 Dark Accent 1"/>
    <w:basedOn w:val="TableNormal"/>
    <w:uiPriority w:val="50"/>
    <w:rsid w:val="00FF696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1">
    <w:name w:val="Grid Table 4 Accent 1"/>
    <w:basedOn w:val="TableNormal"/>
    <w:uiPriority w:val="49"/>
    <w:rsid w:val="00FF6962"/>
    <w:pPr>
      <w:spacing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5Dark-Accent6">
    <w:name w:val="Grid Table 5 Dark Accent 6"/>
    <w:basedOn w:val="TableNormal"/>
    <w:uiPriority w:val="50"/>
    <w:rsid w:val="00FF696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4-Accent5">
    <w:name w:val="Grid Table 4 Accent 5"/>
    <w:basedOn w:val="TableNormal"/>
    <w:uiPriority w:val="49"/>
    <w:rsid w:val="00FF6962"/>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ListTable7Colorful-Accent6">
    <w:name w:val="List Table 7 Colorful Accent 6"/>
    <w:basedOn w:val="TableNormal"/>
    <w:uiPriority w:val="52"/>
    <w:rsid w:val="00FF6962"/>
    <w:pPr>
      <w:spacing w:line="240" w:lineRule="auto"/>
    </w:pPr>
    <w:rPr>
      <w:color w:val="E36C0A"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79646"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79646"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79646"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79646" w:themeColor="accent6"/>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3-Accent1">
    <w:name w:val="List Table 3 Accent 1"/>
    <w:basedOn w:val="TableNormal"/>
    <w:uiPriority w:val="48"/>
    <w:rsid w:val="00FF6962"/>
    <w:pPr>
      <w:spacing w:line="240" w:lineRule="auto"/>
    </w:pPr>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b/>
        <w:bCs/>
        <w:color w:val="FFFFFF" w:themeColor="background1"/>
      </w:rPr>
      <w:tblPr/>
      <w:tcPr>
        <w:shd w:val="clear" w:color="auto" w:fill="4F81BD" w:themeFill="accent1"/>
      </w:tcPr>
    </w:tblStylePr>
    <w:tblStylePr w:type="lastRow">
      <w:rPr>
        <w:b/>
        <w:bCs/>
      </w:rPr>
      <w:tblPr/>
      <w:tcPr>
        <w:tcBorders>
          <w:top w:val="double" w:sz="4" w:space="0" w:color="4F81B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F81BD" w:themeColor="accent1"/>
          <w:right w:val="single" w:sz="4" w:space="0" w:color="4F81BD" w:themeColor="accent1"/>
        </w:tcBorders>
      </w:tcPr>
    </w:tblStylePr>
    <w:tblStylePr w:type="band1Horz">
      <w:tblPr/>
      <w:tcPr>
        <w:tcBorders>
          <w:top w:val="single" w:sz="4" w:space="0" w:color="4F81BD" w:themeColor="accent1"/>
          <w:bottom w:val="single" w:sz="4" w:space="0" w:color="4F81B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F81BD" w:themeColor="accent1"/>
          <w:left w:val="nil"/>
        </w:tcBorders>
      </w:tcPr>
    </w:tblStylePr>
    <w:tblStylePr w:type="swCell">
      <w:tblPr/>
      <w:tcPr>
        <w:tcBorders>
          <w:top w:val="double" w:sz="4" w:space="0" w:color="4F81BD" w:themeColor="accent1"/>
          <w:right w:val="nil"/>
        </w:tcBorders>
      </w:tcPr>
    </w:tblStylePr>
  </w:style>
  <w:style w:type="table" w:styleId="GridTable5Dark-Accent5">
    <w:name w:val="Grid Table 5 Dark Accent 5"/>
    <w:basedOn w:val="TableNormal"/>
    <w:uiPriority w:val="50"/>
    <w:rsid w:val="008C475B"/>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
    <w:name w:val="Grid Table 5 Dark"/>
    <w:basedOn w:val="TableNormal"/>
    <w:uiPriority w:val="50"/>
    <w:rsid w:val="008C475B"/>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PlainTable1">
    <w:name w:val="Plain Table 1"/>
    <w:basedOn w:val="TableNormal"/>
    <w:uiPriority w:val="41"/>
    <w:rsid w:val="008C475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7Colorful-Accent1">
    <w:name w:val="List Table 7 Colorful Accent 1"/>
    <w:basedOn w:val="TableNormal"/>
    <w:uiPriority w:val="52"/>
    <w:rsid w:val="009E1E05"/>
    <w:pPr>
      <w:spacing w:line="240" w:lineRule="auto"/>
    </w:pPr>
    <w:rPr>
      <w:color w:val="365F9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F81B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F81B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F81B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F81BD" w:themeColor="accent1"/>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4-Accent1">
    <w:name w:val="List Table 4 Accent 1"/>
    <w:basedOn w:val="TableNormal"/>
    <w:uiPriority w:val="49"/>
    <w:rsid w:val="009E1E05"/>
    <w:pPr>
      <w:spacing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tcBorders>
        <w:shd w:val="clear" w:color="auto" w:fill="4F81BD" w:themeFill="accent1"/>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3-Accent1">
    <w:name w:val="Grid Table 3 Accent 1"/>
    <w:basedOn w:val="TableNormal"/>
    <w:uiPriority w:val="48"/>
    <w:rsid w:val="009E1E05"/>
    <w:pPr>
      <w:spacing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TableGridLight">
    <w:name w:val="Grid Table Light"/>
    <w:basedOn w:val="TableNormal"/>
    <w:uiPriority w:val="40"/>
    <w:rsid w:val="009E1E05"/>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9E1E05"/>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E1E05"/>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9E1E05"/>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Accent3">
    <w:name w:val="Grid Table 2 Accent 3"/>
    <w:basedOn w:val="TableNormal"/>
    <w:uiPriority w:val="47"/>
    <w:rsid w:val="009E1E05"/>
    <w:pPr>
      <w:spacing w:line="240" w:lineRule="auto"/>
    </w:pPr>
    <w:tblPr>
      <w:tblStyleRowBandSize w:val="1"/>
      <w:tblStyleColBandSize w:val="1"/>
      <w:tblBorders>
        <w:top w:val="single" w:sz="2" w:space="0" w:color="C2D69B" w:themeColor="accent3" w:themeTint="99"/>
        <w:bottom w:val="single" w:sz="2" w:space="0" w:color="C2D69B" w:themeColor="accent3" w:themeTint="99"/>
        <w:insideH w:val="single" w:sz="2" w:space="0" w:color="C2D69B" w:themeColor="accent3" w:themeTint="99"/>
        <w:insideV w:val="single" w:sz="2" w:space="0" w:color="C2D69B" w:themeColor="accent3" w:themeTint="99"/>
      </w:tblBorders>
    </w:tblPr>
    <w:tblStylePr w:type="firstRow">
      <w:rPr>
        <w:b/>
        <w:bCs/>
      </w:rPr>
      <w:tblPr/>
      <w:tcPr>
        <w:tcBorders>
          <w:top w:val="nil"/>
          <w:bottom w:val="single" w:sz="12" w:space="0" w:color="C2D69B" w:themeColor="accent3" w:themeTint="99"/>
          <w:insideH w:val="nil"/>
          <w:insideV w:val="nil"/>
        </w:tcBorders>
        <w:shd w:val="clear" w:color="auto" w:fill="FFFFFF" w:themeFill="background1"/>
      </w:tcPr>
    </w:tblStylePr>
    <w:tblStylePr w:type="lastRow">
      <w:rPr>
        <w:b/>
        <w:bCs/>
      </w:rPr>
      <w:tblPr/>
      <w:tcPr>
        <w:tcBorders>
          <w:top w:val="double" w:sz="2" w:space="0" w:color="C2D69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
    <w:name w:val="Grid Table 4"/>
    <w:basedOn w:val="TableNormal"/>
    <w:uiPriority w:val="49"/>
    <w:rsid w:val="009E1E05"/>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5Dark-Accent1">
    <w:name w:val="List Table 5 Dark Accent 1"/>
    <w:basedOn w:val="TableNormal"/>
    <w:uiPriority w:val="50"/>
    <w:rsid w:val="009E1E05"/>
    <w:pPr>
      <w:spacing w:line="240" w:lineRule="auto"/>
    </w:pPr>
    <w:rPr>
      <w:color w:val="FFFFFF" w:themeColor="background1"/>
    </w:rPr>
    <w:tblPr>
      <w:tblStyleRowBandSize w:val="1"/>
      <w:tblStyleColBandSize w:val="1"/>
      <w:tblBorders>
        <w:top w:val="single" w:sz="24" w:space="0" w:color="4F81BD" w:themeColor="accent1"/>
        <w:left w:val="single" w:sz="24" w:space="0" w:color="4F81BD" w:themeColor="accent1"/>
        <w:bottom w:val="single" w:sz="24" w:space="0" w:color="4F81BD" w:themeColor="accent1"/>
        <w:right w:val="single" w:sz="24" w:space="0" w:color="4F81BD" w:themeColor="accent1"/>
      </w:tblBorders>
    </w:tblPr>
    <w:tcPr>
      <w:shd w:val="clear" w:color="auto" w:fill="4F81BD"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Header">
    <w:name w:val="header"/>
    <w:basedOn w:val="Normal"/>
    <w:link w:val="HeaderChar"/>
    <w:uiPriority w:val="99"/>
    <w:unhideWhenUsed/>
    <w:rsid w:val="004E4E2E"/>
    <w:pPr>
      <w:tabs>
        <w:tab w:val="center" w:pos="4513"/>
        <w:tab w:val="right" w:pos="9026"/>
      </w:tabs>
      <w:spacing w:line="240" w:lineRule="auto"/>
    </w:pPr>
  </w:style>
  <w:style w:type="character" w:customStyle="1" w:styleId="HeaderChar">
    <w:name w:val="Header Char"/>
    <w:basedOn w:val="DefaultParagraphFont"/>
    <w:link w:val="Header"/>
    <w:uiPriority w:val="99"/>
    <w:rsid w:val="004E4E2E"/>
    <w:rPr>
      <w:lang w:val="en-GB"/>
    </w:rPr>
  </w:style>
  <w:style w:type="paragraph" w:styleId="Footer">
    <w:name w:val="footer"/>
    <w:basedOn w:val="Normal"/>
    <w:link w:val="FooterChar"/>
    <w:uiPriority w:val="99"/>
    <w:unhideWhenUsed/>
    <w:rsid w:val="004E4E2E"/>
    <w:pPr>
      <w:tabs>
        <w:tab w:val="center" w:pos="4513"/>
        <w:tab w:val="right" w:pos="9026"/>
      </w:tabs>
      <w:spacing w:line="240" w:lineRule="auto"/>
    </w:pPr>
  </w:style>
  <w:style w:type="character" w:customStyle="1" w:styleId="FooterChar">
    <w:name w:val="Footer Char"/>
    <w:basedOn w:val="DefaultParagraphFont"/>
    <w:link w:val="Footer"/>
    <w:uiPriority w:val="99"/>
    <w:rsid w:val="004E4E2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6547488">
      <w:bodyDiv w:val="1"/>
      <w:marLeft w:val="0"/>
      <w:marRight w:val="0"/>
      <w:marTop w:val="0"/>
      <w:marBottom w:val="0"/>
      <w:divBdr>
        <w:top w:val="none" w:sz="0" w:space="0" w:color="auto"/>
        <w:left w:val="none" w:sz="0" w:space="0" w:color="auto"/>
        <w:bottom w:val="none" w:sz="0" w:space="0" w:color="auto"/>
        <w:right w:val="none" w:sz="0" w:space="0" w:color="auto"/>
      </w:divBdr>
    </w:div>
    <w:div w:id="424035811">
      <w:bodyDiv w:val="1"/>
      <w:marLeft w:val="0"/>
      <w:marRight w:val="0"/>
      <w:marTop w:val="0"/>
      <w:marBottom w:val="0"/>
      <w:divBdr>
        <w:top w:val="none" w:sz="0" w:space="0" w:color="auto"/>
        <w:left w:val="none" w:sz="0" w:space="0" w:color="auto"/>
        <w:bottom w:val="none" w:sz="0" w:space="0" w:color="auto"/>
        <w:right w:val="none" w:sz="0" w:space="0" w:color="auto"/>
      </w:divBdr>
      <w:divsChild>
        <w:div w:id="767652559">
          <w:marLeft w:val="15"/>
          <w:marRight w:val="0"/>
          <w:marTop w:val="0"/>
          <w:marBottom w:val="0"/>
          <w:divBdr>
            <w:top w:val="none" w:sz="0" w:space="0" w:color="auto"/>
            <w:left w:val="none" w:sz="0" w:space="0" w:color="auto"/>
            <w:bottom w:val="none" w:sz="0" w:space="0" w:color="auto"/>
            <w:right w:val="none" w:sz="0" w:space="0" w:color="auto"/>
          </w:divBdr>
        </w:div>
      </w:divsChild>
    </w:div>
    <w:div w:id="583340800">
      <w:bodyDiv w:val="1"/>
      <w:marLeft w:val="0"/>
      <w:marRight w:val="0"/>
      <w:marTop w:val="0"/>
      <w:marBottom w:val="0"/>
      <w:divBdr>
        <w:top w:val="none" w:sz="0" w:space="0" w:color="auto"/>
        <w:left w:val="none" w:sz="0" w:space="0" w:color="auto"/>
        <w:bottom w:val="none" w:sz="0" w:space="0" w:color="auto"/>
        <w:right w:val="none" w:sz="0" w:space="0" w:color="auto"/>
      </w:divBdr>
    </w:div>
    <w:div w:id="655646304">
      <w:bodyDiv w:val="1"/>
      <w:marLeft w:val="0"/>
      <w:marRight w:val="0"/>
      <w:marTop w:val="0"/>
      <w:marBottom w:val="0"/>
      <w:divBdr>
        <w:top w:val="none" w:sz="0" w:space="0" w:color="auto"/>
        <w:left w:val="none" w:sz="0" w:space="0" w:color="auto"/>
        <w:bottom w:val="none" w:sz="0" w:space="0" w:color="auto"/>
        <w:right w:val="none" w:sz="0" w:space="0" w:color="auto"/>
      </w:divBdr>
      <w:divsChild>
        <w:div w:id="1062749120">
          <w:marLeft w:val="718"/>
          <w:marRight w:val="0"/>
          <w:marTop w:val="0"/>
          <w:marBottom w:val="0"/>
          <w:divBdr>
            <w:top w:val="none" w:sz="0" w:space="0" w:color="auto"/>
            <w:left w:val="none" w:sz="0" w:space="0" w:color="auto"/>
            <w:bottom w:val="none" w:sz="0" w:space="0" w:color="auto"/>
            <w:right w:val="none" w:sz="0" w:space="0" w:color="auto"/>
          </w:divBdr>
        </w:div>
      </w:divsChild>
    </w:div>
    <w:div w:id="12768676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hyundai.com/worldwide/en/company/innovation/future-mobility" TargetMode="External"/><Relationship Id="rId21" Type="http://schemas.openxmlformats.org/officeDocument/2006/relationships/hyperlink" Target="https://auto.economictimes.indiatimes.com/news/industry/auto-sector-facing-near-term-production-disruptions-amid-gas-supply-constraints-report/129652041" TargetMode="External"/><Relationship Id="rId42" Type="http://schemas.openxmlformats.org/officeDocument/2006/relationships/hyperlink" Target="https://doi.org/10.1016/j.nedt.2024.106481" TargetMode="External"/><Relationship Id="rId47" Type="http://schemas.openxmlformats.org/officeDocument/2006/relationships/hyperlink" Target="https://www.reuters.com/world/india/india-slash-tariffs-cars-40-trade-deal-with-eu-sources-say-2026-01-25/" TargetMode="External"/><Relationship Id="rId63" Type="http://schemas.openxmlformats.org/officeDocument/2006/relationships/hyperlink" Target="https://www.tatamotors.com/organisation/our-leadership/" TargetMode="External"/><Relationship Id="rId68" Type="http://schemas.openxmlformats.org/officeDocument/2006/relationships/hyperlink" Target="https://newsroom.toyota.eu/people-at-the-heart-of-toyotas-approach-to-accelerate-the-future-of-car-manufacturing/" TargetMode="External"/><Relationship Id="rId16" Type="http://schemas.openxmlformats.org/officeDocument/2006/relationships/hyperlink" Target="https://www.araiindia.com/pdf/Indian_Emission_Regulation_Booklet.pdf" TargetMode="External"/><Relationship Id="rId11" Type="http://schemas.openxmlformats.org/officeDocument/2006/relationships/image" Target="media/image4.png"/><Relationship Id="rId24" Type="http://schemas.openxmlformats.org/officeDocument/2006/relationships/hyperlink" Target="http://www.hindmotor.com/aboutus.asp" TargetMode="External"/><Relationship Id="rId32" Type="http://schemas.openxmlformats.org/officeDocument/2006/relationships/hyperlink" Target="http://dx.doi.org/10.58315/jcld.v11.301" TargetMode="External"/><Relationship Id="rId37" Type="http://schemas.openxmlformats.org/officeDocument/2006/relationships/hyperlink" Target="https://www.mospi.gov.in/uploads/latestReleases/latest_release_1767781372753_1380ce82-f5a5-440d-99e6-e6b35af0deb5_GDP_Press_Note_on_FAE_2025-26.pdf" TargetMode="External"/><Relationship Id="rId40" Type="http://schemas.openxmlformats.org/officeDocument/2006/relationships/hyperlink" Target="https://www.niti.gov.in/sites/default/files/2025-06/Automotive%20Industry%20Powering%20India%E2%80%99s%20participation%20in%20GVC_Non%20Confidential.pdf" TargetMode="External"/><Relationship Id="rId45" Type="http://schemas.openxmlformats.org/officeDocument/2006/relationships/hyperlink" Target="https://www.pib.gov.in/PressReleasePage.aspx?PRID=2114919&amp;reg=3&amp;lang=2v" TargetMode="External"/><Relationship Id="rId53" Type="http://schemas.openxmlformats.org/officeDocument/2006/relationships/hyperlink" Target="https://www.tatamotors.com/press-releases/tata-motors-leads-the-way-for-a-greener-india-launches-go-green-initiative/" TargetMode="External"/><Relationship Id="rId58" Type="http://schemas.openxmlformats.org/officeDocument/2006/relationships/hyperlink" Target="https://www.tatamotors.com/organisation/our-history/" TargetMode="External"/><Relationship Id="rId66" Type="http://schemas.openxmlformats.org/officeDocument/2006/relationships/hyperlink" Target="https://economictimes.indiatimes.com/news/india/top-7-countries-manufacturing-the-highest-number-of-cars-in-the-world-/car-manufacturing-leaderboard/slideshow/125436236.cms" TargetMode="External"/><Relationship Id="rId74" Type="http://schemas.openxmlformats.org/officeDocument/2006/relationships/hyperlink" Target="https://www.weforum.org/publications/the-future-of-jobs-report-2025/in-full/introduction-the-global-labour-market-landscape-in-2025/"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tatamotors.com/future-of-mobility/" TargetMode="External"/><Relationship Id="rId19" Type="http://schemas.openxmlformats.org/officeDocument/2006/relationships/hyperlink" Target="https://e-amrit.niti.gov.in/national-level-policy" TargetMode="External"/><Relationship Id="rId14" Type="http://schemas.openxmlformats.org/officeDocument/2006/relationships/image" Target="media/image7.png"/><Relationship Id="rId22" Type="http://schemas.openxmlformats.org/officeDocument/2006/relationships/hyperlink" Target="https://www.manufacturingtodayindia.com/indias-auto-industry-innovation" TargetMode="External"/><Relationship Id="rId27" Type="http://schemas.openxmlformats.org/officeDocument/2006/relationships/hyperlink" Target="https://www.iea.org/reports/what-next-for-the-global-car-industry/the-global-car-industry-in-context" TargetMode="External"/><Relationship Id="rId30" Type="http://schemas.openxmlformats.org/officeDocument/2006/relationships/hyperlink" Target="https://www.investindia.gov.in/sector/automobile" TargetMode="External"/><Relationship Id="rId35" Type="http://schemas.openxmlformats.org/officeDocument/2006/relationships/hyperlink" Target="https://www.mahindra.com/annual-report-FY2025/index.html" TargetMode="External"/><Relationship Id="rId43" Type="http://schemas.openxmlformats.org/officeDocument/2006/relationships/hyperlink" Target="https://www.pib.gov.in/PressReleasePage.aspx?PRID=2174773&amp;reg=3&amp;lang=2" TargetMode="External"/><Relationship Id="rId48" Type="http://schemas.openxmlformats.org/officeDocument/2006/relationships/hyperlink" Target="https://www.statista.com/statistics/316925/revenue-of-tata-motors/?srsltid=AfmBOootM-tR65A2Ks-FcstIXJzqIubqQ4pziC5nbpi64zLTCbe1T4HH" TargetMode="External"/><Relationship Id="rId56" Type="http://schemas.openxmlformats.org/officeDocument/2006/relationships/hyperlink" Target="https://www.tatamotors.com/blog/beyond-borders-a-blueprint-for-indian-brands-to-go-global/" TargetMode="External"/><Relationship Id="rId64" Type="http://schemas.openxmlformats.org/officeDocument/2006/relationships/hyperlink" Target="https://www.tatamotors.com/corporate-responsibility/sustainability-strategy/" TargetMode="External"/><Relationship Id="rId69" Type="http://schemas.openxmlformats.org/officeDocument/2006/relationships/hyperlink" Target="https://global.toyota/pages/global_toyota/ir/financial-results/2025_4q_summary_en.pdf" TargetMode="External"/><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statista.com/statistics/584968/leading-car-manufacturing-countries-worldwide/?srsltid=AfmBOopLrYhQGyEPwQOSqwBmboKtSX_jcdQMkdI30fMlEX4Y7w6y5X-W" TargetMode="External"/><Relationship Id="rId72" Type="http://schemas.openxmlformats.org/officeDocument/2006/relationships/hyperlink" Target="https://www.spglobal.com/market-intelligence/en/news-insights/research/climate-change-reshapes-the-automobile-sector"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rofile/Yasin-Babazade/publication/384966329_CRITICAL_THINKING_IN_ELT_DEVELOPING_ANALYTICAL_SKILLS_IN_ENGLISH_LEARNERS/links/670f996b24a01038d0f03c2a/CRITICAL-THINKING-IN-ELT-DEVELOPING-ANALYTICAL-SKILLS-IN-ENGLISH-LEARNERS.pdf" TargetMode="External"/><Relationship Id="rId25" Type="http://schemas.openxmlformats.org/officeDocument/2006/relationships/hyperlink" Target="https://www.hyundai.com/worldwide/en/newsroom/detail/hyundai-motor-announces-2025-annual-and-q4-business-results-0000001116" TargetMode="External"/><Relationship Id="rId33" Type="http://schemas.openxmlformats.org/officeDocument/2006/relationships/hyperlink" Target="https://papers.ssrn.com/sol3/Delivery.cfm?abstractid=4014586" TargetMode="External"/><Relationship Id="rId38" Type="http://schemas.openxmlformats.org/officeDocument/2006/relationships/hyperlink" Target="https://www.forbesindia.com/article/news/indias-ev-industry-has-crossed-early-adoption-level-but-infra-remain-problematic/2991248/1" TargetMode="External"/><Relationship Id="rId46" Type="http://schemas.openxmlformats.org/officeDocument/2006/relationships/hyperlink" Target="https://hrsea.economictimes.indiatimes.com/news/talent-management/remembering-ratan-tatas-leadership-style-how-can-todays-hr-leaders-seek-inspiration-from-it/114122898" TargetMode="External"/><Relationship Id="rId59" Type="http://schemas.openxmlformats.org/officeDocument/2006/relationships/hyperlink" Target="https://www.tatamotors.com/" TargetMode="External"/><Relationship Id="rId67" Type="http://schemas.openxmlformats.org/officeDocument/2006/relationships/hyperlink" Target="https://theprint.in/economy/india-lacks-innovations-in-automobile-sector-need-to-hike-substantial-investments-in-rd-niti-aayog/2594375/" TargetMode="External"/><Relationship Id="rId20" Type="http://schemas.openxmlformats.org/officeDocument/2006/relationships/hyperlink" Target="https://auto.economictimes.indiatimes.com/news/industry/indias-automotive-sector-drives-5-trillion-economy-ambition-with-record-exports/122150911" TargetMode="External"/><Relationship Id="rId41" Type="http://schemas.openxmlformats.org/officeDocument/2006/relationships/hyperlink" Target="https://nsdcindia.org/nos-listing/4" TargetMode="External"/><Relationship Id="rId54" Type="http://schemas.openxmlformats.org/officeDocument/2006/relationships/hyperlink" Target="https://www.tatamotors.com/press-releases/tata-motors-showcases-a-wide-range-of-safer-smarter-and-greener-mobility-solutions-at-excon-2023/" TargetMode="External"/><Relationship Id="rId62" Type="http://schemas.openxmlformats.org/officeDocument/2006/relationships/hyperlink" Target="https://www.tatamotors.com/corporate-responsibility/governance/" TargetMode="External"/><Relationship Id="rId70" Type="http://schemas.openxmlformats.org/officeDocument/2006/relationships/hyperlink" Target="https://tradingeconomics.com/india/inflation-cpi" TargetMode="External"/><Relationship Id="rId75" Type="http://schemas.openxmlformats.org/officeDocument/2006/relationships/hyperlink" Target="https://www.wri.org/outcomes/india-significantly-scales-electric-vehicle-adop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www.hindmotor.com/Files/HM-AR-2024-25.pdf" TargetMode="External"/><Relationship Id="rId28" Type="http://schemas.openxmlformats.org/officeDocument/2006/relationships/hyperlink" Target="https://www.iea.org/reports/global-ev-outlook-2025/trends-in-electric-car-markets-2" TargetMode="External"/><Relationship Id="rId36" Type="http://schemas.openxmlformats.org/officeDocument/2006/relationships/hyperlink" Target="https://www.mahindra.com/our-business/automotive" TargetMode="External"/><Relationship Id="rId49" Type="http://schemas.openxmlformats.org/officeDocument/2006/relationships/hyperlink" Target="https://www.statista.com/statistics/1066695/india-automotive-industry-market-share-by-segment/" TargetMode="External"/><Relationship Id="rId57" Type="http://schemas.openxmlformats.org/officeDocument/2006/relationships/hyperlink" Target="https://www.tatamotors.com/financials/79-ar-html/pdf/tata-motor-IAR-2023-24-People-and-culture.pdf" TargetMode="External"/><Relationship Id="rId10" Type="http://schemas.openxmlformats.org/officeDocument/2006/relationships/image" Target="media/image3.png"/><Relationship Id="rId31" Type="http://schemas.openxmlformats.org/officeDocument/2006/relationships/hyperlink" Target="https://www.kearney.com/industry/automotive/article/indian-two-wheeler-industry-themes-to-win-in-the-next-era-of-transformation" TargetMode="External"/><Relationship Id="rId44" Type="http://schemas.openxmlformats.org/officeDocument/2006/relationships/hyperlink" Target="https://www.pib.gov.in/PressNoteDetails.aspx?NoteId=154025&amp;ModuleId=3&amp;reg=3&amp;lang=2" TargetMode="External"/><Relationship Id="rId52" Type="http://schemas.openxmlformats.org/officeDocument/2006/relationships/hyperlink" Target="https://www.autocarpro.in/news/middle-east-conflict-casts-a-long-shadow-over-indian-automobile-sector-131442" TargetMode="External"/><Relationship Id="rId60" Type="http://schemas.openxmlformats.org/officeDocument/2006/relationships/hyperlink" Target="https://www.tatamotors.com/organisation/our-global-presence/" TargetMode="External"/><Relationship Id="rId65" Type="http://schemas.openxmlformats.org/officeDocument/2006/relationships/hyperlink" Target="https://www.theculturefactor.com/country-comparison-tool?countries=india" TargetMode="External"/><Relationship Id="rId73" Type="http://schemas.openxmlformats.org/officeDocument/2006/relationships/hyperlink" Target="https://www.worldbank.org/en/news/opinion/2024/01/30/gearing-up-for-india-s-rapid-urban-transformation"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team-bhp.com/news/inflation-india-are-cars-cheaper-or-costlier-buy-now" TargetMode="External"/><Relationship Id="rId39" Type="http://schemas.openxmlformats.org/officeDocument/2006/relationships/hyperlink" Target="https://www.niti.gov.in/sites/default/files/2025-08/Electric-Vehicles-WEB-LOW-Report.pdf" TargetMode="External"/><Relationship Id="rId34" Type="http://schemas.openxmlformats.org/officeDocument/2006/relationships/hyperlink" Target="https://guides.loc.gov/automotive-industry/global" TargetMode="External"/><Relationship Id="rId50" Type="http://schemas.openxmlformats.org/officeDocument/2006/relationships/hyperlink" Target="https://www.siam.in/knowledge/technical-regulations/regulatory-framework" TargetMode="External"/><Relationship Id="rId55" Type="http://schemas.openxmlformats.org/officeDocument/2006/relationships/hyperlink" Target="https://www.tatamotors.com/financials/78-ar-html/pdf/Tata-Motors-IR-2022-23-SOCIAL-PEOPLE.pdf" TargetMode="External"/><Relationship Id="rId76" Type="http://schemas.openxmlformats.org/officeDocument/2006/relationships/hyperlink" Target="https://doi.org/10.56982/dream.v2i03.90" TargetMode="External"/><Relationship Id="rId7" Type="http://schemas.openxmlformats.org/officeDocument/2006/relationships/endnotes" Target="endnotes.xml"/><Relationship Id="rId71" Type="http://schemas.openxmlformats.org/officeDocument/2006/relationships/hyperlink" Target="https://onlinelibrary.wiley.com/doi/pdf/10.1111/jcal.12893" TargetMode="External"/><Relationship Id="rId2" Type="http://schemas.openxmlformats.org/officeDocument/2006/relationships/numbering" Target="numbering.xml"/><Relationship Id="rId29" Type="http://schemas.openxmlformats.org/officeDocument/2006/relationships/hyperlink" Target="https://www.imarcgroup.com/insight/top-factors-driving-growth-india-passenger-car-industr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016D12-F7BB-48BF-A10C-540552E94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9227</Words>
  <Characters>52596</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perry:)</dc:creator>
  <cp:lastModifiedBy/>
  <cp:revision>1</cp:revision>
  <dcterms:created xsi:type="dcterms:W3CDTF">2026-03-26T07:13:00Z</dcterms:created>
  <dcterms:modified xsi:type="dcterms:W3CDTF">2026-04-26T11:55:00Z</dcterms:modified>
</cp:coreProperties>
</file>