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1AE20F" w14:textId="02542412" w:rsidR="00E75C67" w:rsidRPr="00EB499D" w:rsidRDefault="6189567C" w:rsidP="005637F8">
      <w:pPr>
        <w:pStyle w:val="Title"/>
        <w:spacing w:line="360" w:lineRule="auto"/>
        <w:jc w:val="both"/>
        <w:rPr>
          <w:color w:val="000000" w:themeColor="text1"/>
          <w:sz w:val="24"/>
          <w:szCs w:val="24"/>
        </w:rPr>
      </w:pPr>
      <w:bookmarkStart w:id="0" w:name="_Toc109102760"/>
      <w:r w:rsidRPr="46C455A4">
        <w:rPr>
          <w:sz w:val="24"/>
          <w:szCs w:val="24"/>
        </w:rPr>
        <w:t>HIV: Symptomatology, Treatment, and Public Health Response</w:t>
      </w:r>
      <w:bookmarkEnd w:id="0"/>
    </w:p>
    <w:p w14:paraId="0CA43598" w14:textId="7C1ACAEC" w:rsidR="00F01D00" w:rsidRPr="00EB499D" w:rsidRDefault="008904AE" w:rsidP="005637F8">
      <w:pPr>
        <w:spacing w:line="360" w:lineRule="auto"/>
        <w:jc w:val="both"/>
        <w:rPr>
          <w:rFonts w:asciiTheme="majorHAnsi" w:hAnsiTheme="majorHAnsi" w:cstheme="majorBidi"/>
          <w:color w:val="000000" w:themeColor="text1"/>
          <w:sz w:val="24"/>
          <w:szCs w:val="24"/>
        </w:rPr>
      </w:pPr>
      <w:r w:rsidRPr="00EB499D">
        <w:rPr>
          <w:rFonts w:asciiTheme="majorHAnsi" w:hAnsiTheme="majorHAnsi" w:cstheme="majorHAnsi"/>
          <w:noProof/>
          <w:sz w:val="24"/>
          <w:szCs w:val="24"/>
          <w:lang w:val="en-US"/>
        </w:rPr>
        <w:drawing>
          <wp:anchor distT="0" distB="0" distL="114300" distR="114300" simplePos="0" relativeHeight="251658240" behindDoc="0" locked="0" layoutInCell="1" allowOverlap="1" wp14:anchorId="174789FF" wp14:editId="01ACA824">
            <wp:simplePos x="0" y="0"/>
            <wp:positionH relativeFrom="column">
              <wp:posOffset>-135890</wp:posOffset>
            </wp:positionH>
            <wp:positionV relativeFrom="paragraph">
              <wp:posOffset>477520</wp:posOffset>
            </wp:positionV>
            <wp:extent cx="6447155" cy="4297045"/>
            <wp:effectExtent l="0" t="0" r="0" b="8255"/>
            <wp:wrapTopAndBottom/>
            <wp:docPr id="5" name="Picture 5" descr="Red ribbon with pi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Red ribbon with pin"/>
                    <pic:cNvPicPr/>
                  </pic:nvPicPr>
                  <pic:blipFill>
                    <a:blip r:embed="rId8"/>
                    <a:stretch>
                      <a:fillRect/>
                    </a:stretch>
                  </pic:blipFill>
                  <pic:spPr>
                    <a:xfrm>
                      <a:off x="0" y="0"/>
                      <a:ext cx="6447155" cy="4297045"/>
                    </a:xfrm>
                    <a:prstGeom prst="rect">
                      <a:avLst/>
                    </a:prstGeom>
                  </pic:spPr>
                </pic:pic>
              </a:graphicData>
            </a:graphic>
            <wp14:sizeRelH relativeFrom="margin">
              <wp14:pctWidth>0</wp14:pctWidth>
            </wp14:sizeRelH>
            <wp14:sizeRelV relativeFrom="margin">
              <wp14:pctHeight>0</wp14:pctHeight>
            </wp14:sizeRelV>
          </wp:anchor>
        </w:drawing>
      </w:r>
    </w:p>
    <w:p w14:paraId="6C21A542" w14:textId="5FD0C62A" w:rsidR="00F01D00" w:rsidRPr="00EB499D" w:rsidRDefault="00F01D00" w:rsidP="005637F8">
      <w:pPr>
        <w:spacing w:line="360" w:lineRule="auto"/>
        <w:jc w:val="both"/>
        <w:rPr>
          <w:rFonts w:asciiTheme="majorHAnsi" w:hAnsiTheme="majorHAnsi" w:cstheme="majorBidi"/>
          <w:sz w:val="24"/>
          <w:szCs w:val="24"/>
        </w:rPr>
      </w:pPr>
    </w:p>
    <w:p w14:paraId="2FAC0091" w14:textId="0B4B7D6F" w:rsidR="00F01D00" w:rsidRPr="00EB499D" w:rsidRDefault="00F01D00" w:rsidP="005637F8">
      <w:pPr>
        <w:spacing w:line="360" w:lineRule="auto"/>
        <w:jc w:val="both"/>
        <w:rPr>
          <w:rFonts w:asciiTheme="majorHAnsi" w:hAnsiTheme="majorHAnsi" w:cstheme="majorBidi"/>
          <w:sz w:val="24"/>
          <w:szCs w:val="24"/>
        </w:rPr>
      </w:pPr>
    </w:p>
    <w:p w14:paraId="007E171B" w14:textId="5509CD3F" w:rsidR="00F01D00" w:rsidRPr="00EB499D" w:rsidRDefault="00F01D00" w:rsidP="005637F8">
      <w:pPr>
        <w:spacing w:line="360" w:lineRule="auto"/>
        <w:jc w:val="both"/>
        <w:rPr>
          <w:rFonts w:asciiTheme="majorHAnsi" w:hAnsiTheme="majorHAnsi" w:cstheme="majorBidi"/>
          <w:sz w:val="24"/>
          <w:szCs w:val="24"/>
        </w:rPr>
      </w:pPr>
    </w:p>
    <w:p w14:paraId="76560CF9" w14:textId="793A86A4" w:rsidR="004927C3" w:rsidRPr="00EB499D" w:rsidRDefault="43F1552B" w:rsidP="005637F8">
      <w:pPr>
        <w:spacing w:line="360" w:lineRule="auto"/>
        <w:jc w:val="both"/>
        <w:rPr>
          <w:rFonts w:asciiTheme="majorHAnsi" w:hAnsiTheme="majorHAnsi" w:cstheme="majorBidi"/>
          <w:sz w:val="24"/>
          <w:szCs w:val="24"/>
        </w:rPr>
      </w:pPr>
      <w:r w:rsidRPr="46C455A4">
        <w:rPr>
          <w:rFonts w:asciiTheme="majorHAnsi" w:hAnsiTheme="majorHAnsi" w:cstheme="majorBidi"/>
          <w:sz w:val="24"/>
          <w:szCs w:val="24"/>
        </w:rPr>
        <w:t>Name</w:t>
      </w:r>
      <w:r w:rsidR="55C8B87C" w:rsidRPr="46C455A4">
        <w:rPr>
          <w:rFonts w:asciiTheme="majorHAnsi" w:hAnsiTheme="majorHAnsi" w:cstheme="majorBidi"/>
          <w:sz w:val="24"/>
          <w:szCs w:val="24"/>
        </w:rPr>
        <w:t>:</w:t>
      </w:r>
      <w:r w:rsidRPr="46C455A4">
        <w:rPr>
          <w:rFonts w:asciiTheme="majorHAnsi" w:hAnsiTheme="majorHAnsi" w:cstheme="majorBidi"/>
          <w:sz w:val="24"/>
          <w:szCs w:val="24"/>
        </w:rPr>
        <w:t xml:space="preserve"> </w:t>
      </w:r>
      <w:r w:rsidR="603AE9B2" w:rsidRPr="46C455A4">
        <w:rPr>
          <w:rFonts w:asciiTheme="majorHAnsi" w:hAnsiTheme="majorHAnsi" w:cstheme="majorBidi"/>
          <w:sz w:val="24"/>
          <w:szCs w:val="24"/>
        </w:rPr>
        <w:t xml:space="preserve">Tibka Mesfin Kebede </w:t>
      </w:r>
    </w:p>
    <w:p w14:paraId="2D837AB0" w14:textId="6084BAC8" w:rsidR="00C5361D" w:rsidRPr="00EB499D" w:rsidRDefault="5D736C32" w:rsidP="005637F8">
      <w:pPr>
        <w:spacing w:line="360" w:lineRule="auto"/>
        <w:jc w:val="both"/>
        <w:rPr>
          <w:rFonts w:asciiTheme="majorHAnsi" w:hAnsiTheme="majorHAnsi" w:cstheme="majorBidi"/>
          <w:sz w:val="24"/>
          <w:szCs w:val="24"/>
        </w:rPr>
      </w:pPr>
      <w:r w:rsidRPr="46C455A4">
        <w:rPr>
          <w:rFonts w:asciiTheme="majorHAnsi" w:hAnsiTheme="majorHAnsi" w:cstheme="majorBidi"/>
          <w:sz w:val="24"/>
          <w:szCs w:val="24"/>
        </w:rPr>
        <w:t>Student:</w:t>
      </w:r>
      <w:r w:rsidR="4E4EAD04" w:rsidRPr="46C455A4">
        <w:rPr>
          <w:rFonts w:asciiTheme="majorHAnsi" w:hAnsiTheme="majorHAnsi" w:cstheme="majorBidi"/>
          <w:sz w:val="24"/>
          <w:szCs w:val="24"/>
        </w:rPr>
        <w:t xml:space="preserve"> 2115101</w:t>
      </w:r>
    </w:p>
    <w:p w14:paraId="1117590F" w14:textId="76D4B4F2" w:rsidR="00BD7CA4" w:rsidRPr="00EB499D" w:rsidRDefault="4E4EAD04" w:rsidP="005637F8">
      <w:pPr>
        <w:spacing w:line="360" w:lineRule="auto"/>
        <w:jc w:val="both"/>
        <w:rPr>
          <w:rFonts w:asciiTheme="majorHAnsi" w:hAnsiTheme="majorHAnsi" w:cstheme="majorBidi"/>
          <w:sz w:val="24"/>
          <w:szCs w:val="24"/>
        </w:rPr>
      </w:pPr>
      <w:r w:rsidRPr="46C455A4">
        <w:rPr>
          <w:rFonts w:asciiTheme="majorHAnsi" w:hAnsiTheme="majorHAnsi" w:cstheme="majorBidi"/>
          <w:sz w:val="24"/>
          <w:szCs w:val="24"/>
        </w:rPr>
        <w:t>Lecturer</w:t>
      </w:r>
      <w:r w:rsidR="5D736C32" w:rsidRPr="46C455A4">
        <w:rPr>
          <w:rFonts w:asciiTheme="majorHAnsi" w:hAnsiTheme="majorHAnsi" w:cstheme="majorBidi"/>
          <w:sz w:val="24"/>
          <w:szCs w:val="24"/>
        </w:rPr>
        <w:t xml:space="preserve"> Name: </w:t>
      </w:r>
      <w:r w:rsidR="33831E6F" w:rsidRPr="46C455A4">
        <w:rPr>
          <w:rFonts w:asciiTheme="majorHAnsi" w:hAnsiTheme="majorHAnsi" w:cstheme="majorBidi"/>
          <w:sz w:val="24"/>
          <w:szCs w:val="24"/>
        </w:rPr>
        <w:t xml:space="preserve">Corey </w:t>
      </w:r>
      <w:r w:rsidR="55C8B87C" w:rsidRPr="46C455A4">
        <w:rPr>
          <w:rFonts w:asciiTheme="majorHAnsi" w:hAnsiTheme="majorHAnsi" w:cstheme="majorBidi"/>
          <w:sz w:val="24"/>
          <w:szCs w:val="24"/>
        </w:rPr>
        <w:t xml:space="preserve">Edwards </w:t>
      </w:r>
    </w:p>
    <w:p w14:paraId="10626A1C" w14:textId="5A51271B" w:rsidR="00F01D00" w:rsidRPr="00EB499D" w:rsidRDefault="4CE02FEE" w:rsidP="005637F8">
      <w:pPr>
        <w:spacing w:line="360" w:lineRule="auto"/>
        <w:jc w:val="both"/>
        <w:rPr>
          <w:rFonts w:asciiTheme="majorHAnsi" w:hAnsiTheme="majorHAnsi" w:cstheme="majorBidi"/>
          <w:sz w:val="24"/>
          <w:szCs w:val="24"/>
        </w:rPr>
      </w:pPr>
      <w:r w:rsidRPr="46C455A4">
        <w:rPr>
          <w:rFonts w:asciiTheme="majorHAnsi" w:hAnsiTheme="majorHAnsi" w:cstheme="majorBidi"/>
          <w:sz w:val="24"/>
          <w:szCs w:val="24"/>
        </w:rPr>
        <w:t xml:space="preserve"> </w:t>
      </w:r>
    </w:p>
    <w:p w14:paraId="52DFFB4D" w14:textId="468EB472" w:rsidR="64A1C1AA" w:rsidRPr="00EB499D" w:rsidRDefault="64A1C1AA" w:rsidP="005637F8">
      <w:pPr>
        <w:spacing w:line="360" w:lineRule="auto"/>
        <w:jc w:val="both"/>
        <w:rPr>
          <w:rFonts w:asciiTheme="majorHAnsi" w:eastAsia="Times New Roman" w:hAnsiTheme="majorHAnsi" w:cstheme="majorBidi"/>
          <w:color w:val="000000" w:themeColor="text1"/>
          <w:sz w:val="24"/>
          <w:szCs w:val="24"/>
        </w:rPr>
      </w:pPr>
    </w:p>
    <w:p w14:paraId="0B4855E5" w14:textId="77777777" w:rsidR="002662C6" w:rsidRDefault="002662C6" w:rsidP="005637F8">
      <w:pPr>
        <w:spacing w:line="360" w:lineRule="auto"/>
        <w:jc w:val="both"/>
        <w:rPr>
          <w:rFonts w:asciiTheme="majorHAnsi" w:eastAsia="Times New Roman" w:hAnsiTheme="majorHAnsi" w:cstheme="majorBidi"/>
          <w:color w:val="000000" w:themeColor="text1"/>
          <w:sz w:val="24"/>
          <w:szCs w:val="24"/>
        </w:rPr>
      </w:pPr>
    </w:p>
    <w:sdt>
      <w:sdtPr>
        <w:rPr>
          <w:rFonts w:asciiTheme="minorHAnsi" w:eastAsiaTheme="minorEastAsia" w:hAnsiTheme="minorHAnsi" w:cstheme="minorBidi"/>
          <w:b w:val="0"/>
          <w:bCs w:val="0"/>
          <w:color w:val="auto"/>
          <w:sz w:val="22"/>
          <w:szCs w:val="22"/>
        </w:rPr>
        <w:id w:val="988984409"/>
        <w:docPartObj>
          <w:docPartGallery w:val="Table of Contents"/>
          <w:docPartUnique/>
        </w:docPartObj>
      </w:sdtPr>
      <w:sdtEndPr>
        <w:rPr>
          <w:noProof/>
        </w:rPr>
      </w:sdtEndPr>
      <w:sdtContent>
        <w:p w14:paraId="159B1701" w14:textId="77777777" w:rsidR="00D802DB" w:rsidRDefault="00D802DB" w:rsidP="00C90FA3">
          <w:pPr>
            <w:pStyle w:val="TOCHeading"/>
            <w:spacing w:line="360" w:lineRule="auto"/>
            <w:jc w:val="both"/>
          </w:pPr>
          <w:r>
            <w:t>Table of Contents</w:t>
          </w:r>
        </w:p>
        <w:p w14:paraId="79CE4E9C" w14:textId="77777777" w:rsidR="00D802DB" w:rsidRDefault="00D802DB" w:rsidP="00C90FA3">
          <w:pPr>
            <w:pStyle w:val="TOC1"/>
            <w:tabs>
              <w:tab w:val="right" w:leader="dot" w:pos="9017"/>
            </w:tabs>
            <w:rPr>
              <w:noProof/>
              <w:lang w:val="en-US"/>
            </w:rPr>
          </w:pPr>
          <w:r>
            <w:fldChar w:fldCharType="begin"/>
          </w:r>
          <w:r>
            <w:instrText xml:space="preserve"> TOC \o "1-3" \h \z \u </w:instrText>
          </w:r>
          <w:r>
            <w:fldChar w:fldCharType="separate"/>
          </w:r>
          <w:hyperlink w:anchor="_Toc165334325" w:history="1">
            <w:r w:rsidRPr="00AB4F85">
              <w:rPr>
                <w:rStyle w:val="Hyperlink"/>
                <w:noProof/>
              </w:rPr>
              <w:t>Abstract</w:t>
            </w:r>
            <w:r>
              <w:rPr>
                <w:noProof/>
                <w:webHidden/>
              </w:rPr>
              <w:tab/>
            </w:r>
            <w:r>
              <w:rPr>
                <w:noProof/>
                <w:webHidden/>
              </w:rPr>
              <w:fldChar w:fldCharType="begin"/>
            </w:r>
            <w:r>
              <w:rPr>
                <w:noProof/>
                <w:webHidden/>
              </w:rPr>
              <w:instrText xml:space="preserve"> PAGEREF _Toc165334325 \h </w:instrText>
            </w:r>
            <w:r>
              <w:rPr>
                <w:noProof/>
                <w:webHidden/>
              </w:rPr>
            </w:r>
            <w:r>
              <w:rPr>
                <w:noProof/>
                <w:webHidden/>
              </w:rPr>
              <w:fldChar w:fldCharType="separate"/>
            </w:r>
            <w:r>
              <w:rPr>
                <w:noProof/>
                <w:webHidden/>
              </w:rPr>
              <w:t>2</w:t>
            </w:r>
            <w:r>
              <w:rPr>
                <w:noProof/>
                <w:webHidden/>
              </w:rPr>
              <w:fldChar w:fldCharType="end"/>
            </w:r>
          </w:hyperlink>
        </w:p>
        <w:p w14:paraId="7AAAC149" w14:textId="77777777" w:rsidR="00D802DB" w:rsidRDefault="00D802DB" w:rsidP="00C90FA3">
          <w:pPr>
            <w:pStyle w:val="TOC1"/>
            <w:tabs>
              <w:tab w:val="right" w:leader="dot" w:pos="9017"/>
            </w:tabs>
            <w:rPr>
              <w:noProof/>
              <w:lang w:val="en-US"/>
            </w:rPr>
          </w:pPr>
          <w:hyperlink w:anchor="_Toc165334326" w:history="1">
            <w:r w:rsidRPr="00AB4F85">
              <w:rPr>
                <w:rStyle w:val="Hyperlink"/>
                <w:noProof/>
              </w:rPr>
              <w:t>1.HIV</w:t>
            </w:r>
            <w:r>
              <w:rPr>
                <w:noProof/>
                <w:webHidden/>
              </w:rPr>
              <w:tab/>
            </w:r>
            <w:r>
              <w:rPr>
                <w:noProof/>
                <w:webHidden/>
              </w:rPr>
              <w:fldChar w:fldCharType="begin"/>
            </w:r>
            <w:r>
              <w:rPr>
                <w:noProof/>
                <w:webHidden/>
              </w:rPr>
              <w:instrText xml:space="preserve"> PAGEREF _Toc165334326 \h </w:instrText>
            </w:r>
            <w:r>
              <w:rPr>
                <w:noProof/>
                <w:webHidden/>
              </w:rPr>
            </w:r>
            <w:r>
              <w:rPr>
                <w:noProof/>
                <w:webHidden/>
              </w:rPr>
              <w:fldChar w:fldCharType="separate"/>
            </w:r>
            <w:r>
              <w:rPr>
                <w:noProof/>
                <w:webHidden/>
              </w:rPr>
              <w:t>5</w:t>
            </w:r>
            <w:r>
              <w:rPr>
                <w:noProof/>
                <w:webHidden/>
              </w:rPr>
              <w:fldChar w:fldCharType="end"/>
            </w:r>
          </w:hyperlink>
        </w:p>
        <w:p w14:paraId="03C60F13" w14:textId="77777777" w:rsidR="00D802DB" w:rsidRDefault="00D802DB" w:rsidP="00C90FA3">
          <w:pPr>
            <w:pStyle w:val="TOC1"/>
            <w:tabs>
              <w:tab w:val="right" w:leader="dot" w:pos="9017"/>
            </w:tabs>
            <w:rPr>
              <w:noProof/>
              <w:lang w:val="en-US"/>
            </w:rPr>
          </w:pPr>
          <w:hyperlink w:anchor="_Toc165334327" w:history="1">
            <w:r w:rsidRPr="00AB4F85">
              <w:rPr>
                <w:rStyle w:val="Hyperlink"/>
                <w:noProof/>
              </w:rPr>
              <w:t>2. Symptoms and Treatment of HIV</w:t>
            </w:r>
            <w:r>
              <w:rPr>
                <w:noProof/>
                <w:webHidden/>
              </w:rPr>
              <w:tab/>
            </w:r>
            <w:r>
              <w:rPr>
                <w:noProof/>
                <w:webHidden/>
              </w:rPr>
              <w:fldChar w:fldCharType="begin"/>
            </w:r>
            <w:r>
              <w:rPr>
                <w:noProof/>
                <w:webHidden/>
              </w:rPr>
              <w:instrText xml:space="preserve"> PAGEREF _Toc165334327 \h </w:instrText>
            </w:r>
            <w:r>
              <w:rPr>
                <w:noProof/>
                <w:webHidden/>
              </w:rPr>
            </w:r>
            <w:r>
              <w:rPr>
                <w:noProof/>
                <w:webHidden/>
              </w:rPr>
              <w:fldChar w:fldCharType="separate"/>
            </w:r>
            <w:r>
              <w:rPr>
                <w:noProof/>
                <w:webHidden/>
              </w:rPr>
              <w:t>5</w:t>
            </w:r>
            <w:r>
              <w:rPr>
                <w:noProof/>
                <w:webHidden/>
              </w:rPr>
              <w:fldChar w:fldCharType="end"/>
            </w:r>
          </w:hyperlink>
        </w:p>
        <w:p w14:paraId="603D01A0" w14:textId="77777777" w:rsidR="00D802DB" w:rsidRDefault="00D802DB" w:rsidP="00C90FA3">
          <w:pPr>
            <w:pStyle w:val="TOC1"/>
            <w:tabs>
              <w:tab w:val="right" w:leader="dot" w:pos="9017"/>
            </w:tabs>
            <w:rPr>
              <w:noProof/>
              <w:lang w:val="en-US"/>
            </w:rPr>
          </w:pPr>
          <w:hyperlink w:anchor="_Toc165334328" w:history="1">
            <w:r w:rsidRPr="00AB4F85">
              <w:rPr>
                <w:rStyle w:val="Hyperlink"/>
                <w:noProof/>
              </w:rPr>
              <w:t>3.The prevalence HIV</w:t>
            </w:r>
            <w:r>
              <w:rPr>
                <w:noProof/>
                <w:webHidden/>
              </w:rPr>
              <w:tab/>
            </w:r>
            <w:r>
              <w:rPr>
                <w:noProof/>
                <w:webHidden/>
              </w:rPr>
              <w:fldChar w:fldCharType="begin"/>
            </w:r>
            <w:r>
              <w:rPr>
                <w:noProof/>
                <w:webHidden/>
              </w:rPr>
              <w:instrText xml:space="preserve"> PAGEREF _Toc165334328 \h </w:instrText>
            </w:r>
            <w:r>
              <w:rPr>
                <w:noProof/>
                <w:webHidden/>
              </w:rPr>
            </w:r>
            <w:r>
              <w:rPr>
                <w:noProof/>
                <w:webHidden/>
              </w:rPr>
              <w:fldChar w:fldCharType="separate"/>
            </w:r>
            <w:r>
              <w:rPr>
                <w:noProof/>
                <w:webHidden/>
              </w:rPr>
              <w:t>6</w:t>
            </w:r>
            <w:r>
              <w:rPr>
                <w:noProof/>
                <w:webHidden/>
              </w:rPr>
              <w:fldChar w:fldCharType="end"/>
            </w:r>
          </w:hyperlink>
        </w:p>
        <w:p w14:paraId="1F743A08" w14:textId="77777777" w:rsidR="00D802DB" w:rsidRDefault="00D802DB" w:rsidP="00C90FA3">
          <w:pPr>
            <w:pStyle w:val="TOC1"/>
            <w:tabs>
              <w:tab w:val="right" w:leader="dot" w:pos="9017"/>
            </w:tabs>
            <w:rPr>
              <w:noProof/>
              <w:lang w:val="en-US"/>
            </w:rPr>
          </w:pPr>
          <w:hyperlink w:anchor="_Toc165334329" w:history="1">
            <w:r w:rsidRPr="00AB4F85">
              <w:rPr>
                <w:rStyle w:val="Hyperlink"/>
                <w:noProof/>
              </w:rPr>
              <w:t>4. prevention</w:t>
            </w:r>
            <w:r>
              <w:rPr>
                <w:noProof/>
                <w:webHidden/>
              </w:rPr>
              <w:tab/>
            </w:r>
            <w:r>
              <w:rPr>
                <w:noProof/>
                <w:webHidden/>
              </w:rPr>
              <w:fldChar w:fldCharType="begin"/>
            </w:r>
            <w:r>
              <w:rPr>
                <w:noProof/>
                <w:webHidden/>
              </w:rPr>
              <w:instrText xml:space="preserve"> PAGEREF _Toc165334329 \h </w:instrText>
            </w:r>
            <w:r>
              <w:rPr>
                <w:noProof/>
                <w:webHidden/>
              </w:rPr>
            </w:r>
            <w:r>
              <w:rPr>
                <w:noProof/>
                <w:webHidden/>
              </w:rPr>
              <w:fldChar w:fldCharType="separate"/>
            </w:r>
            <w:r>
              <w:rPr>
                <w:noProof/>
                <w:webHidden/>
              </w:rPr>
              <w:t>7</w:t>
            </w:r>
            <w:r>
              <w:rPr>
                <w:noProof/>
                <w:webHidden/>
              </w:rPr>
              <w:fldChar w:fldCharType="end"/>
            </w:r>
          </w:hyperlink>
        </w:p>
        <w:p w14:paraId="48E315C1" w14:textId="77777777" w:rsidR="00D802DB" w:rsidRDefault="00D802DB" w:rsidP="00C90FA3">
          <w:pPr>
            <w:pStyle w:val="TOC1"/>
            <w:tabs>
              <w:tab w:val="right" w:leader="dot" w:pos="9017"/>
            </w:tabs>
            <w:rPr>
              <w:noProof/>
              <w:lang w:val="en-US"/>
            </w:rPr>
          </w:pPr>
          <w:hyperlink w:anchor="_Toc165334330" w:history="1">
            <w:r w:rsidRPr="00AB4F85">
              <w:rPr>
                <w:rStyle w:val="Hyperlink"/>
                <w:noProof/>
              </w:rPr>
              <w:t>5. Public health response</w:t>
            </w:r>
            <w:r>
              <w:rPr>
                <w:noProof/>
                <w:webHidden/>
              </w:rPr>
              <w:tab/>
            </w:r>
            <w:r>
              <w:rPr>
                <w:noProof/>
                <w:webHidden/>
              </w:rPr>
              <w:fldChar w:fldCharType="begin"/>
            </w:r>
            <w:r>
              <w:rPr>
                <w:noProof/>
                <w:webHidden/>
              </w:rPr>
              <w:instrText xml:space="preserve"> PAGEREF _Toc165334330 \h </w:instrText>
            </w:r>
            <w:r>
              <w:rPr>
                <w:noProof/>
                <w:webHidden/>
              </w:rPr>
            </w:r>
            <w:r>
              <w:rPr>
                <w:noProof/>
                <w:webHidden/>
              </w:rPr>
              <w:fldChar w:fldCharType="separate"/>
            </w:r>
            <w:r>
              <w:rPr>
                <w:noProof/>
                <w:webHidden/>
              </w:rPr>
              <w:t>8</w:t>
            </w:r>
            <w:r>
              <w:rPr>
                <w:noProof/>
                <w:webHidden/>
              </w:rPr>
              <w:fldChar w:fldCharType="end"/>
            </w:r>
          </w:hyperlink>
        </w:p>
        <w:p w14:paraId="4AC66694" w14:textId="77777777" w:rsidR="00D802DB" w:rsidRDefault="00D802DB" w:rsidP="00C90FA3">
          <w:pPr>
            <w:pStyle w:val="TOC1"/>
            <w:tabs>
              <w:tab w:val="right" w:leader="dot" w:pos="9017"/>
            </w:tabs>
            <w:rPr>
              <w:noProof/>
              <w:lang w:val="en-US"/>
            </w:rPr>
          </w:pPr>
          <w:hyperlink w:anchor="_Toc165334331" w:history="1">
            <w:r w:rsidRPr="00AB4F85">
              <w:rPr>
                <w:rStyle w:val="Hyperlink"/>
                <w:noProof/>
              </w:rPr>
              <w:t>6. Impact on Society, Health Professionals, and Care</w:t>
            </w:r>
            <w:r>
              <w:rPr>
                <w:noProof/>
                <w:webHidden/>
              </w:rPr>
              <w:tab/>
            </w:r>
            <w:r>
              <w:rPr>
                <w:noProof/>
                <w:webHidden/>
              </w:rPr>
              <w:fldChar w:fldCharType="begin"/>
            </w:r>
            <w:r>
              <w:rPr>
                <w:noProof/>
                <w:webHidden/>
              </w:rPr>
              <w:instrText xml:space="preserve"> PAGEREF _Toc165334331 \h </w:instrText>
            </w:r>
            <w:r>
              <w:rPr>
                <w:noProof/>
                <w:webHidden/>
              </w:rPr>
            </w:r>
            <w:r>
              <w:rPr>
                <w:noProof/>
                <w:webHidden/>
              </w:rPr>
              <w:fldChar w:fldCharType="separate"/>
            </w:r>
            <w:r>
              <w:rPr>
                <w:noProof/>
                <w:webHidden/>
              </w:rPr>
              <w:t>9</w:t>
            </w:r>
            <w:r>
              <w:rPr>
                <w:noProof/>
                <w:webHidden/>
              </w:rPr>
              <w:fldChar w:fldCharType="end"/>
            </w:r>
          </w:hyperlink>
        </w:p>
        <w:p w14:paraId="385A10F6" w14:textId="77777777" w:rsidR="00D802DB" w:rsidRDefault="00D802DB" w:rsidP="00C90FA3">
          <w:pPr>
            <w:pStyle w:val="TOC2"/>
            <w:tabs>
              <w:tab w:val="right" w:leader="dot" w:pos="9017"/>
            </w:tabs>
            <w:rPr>
              <w:noProof/>
              <w:lang w:val="en-US"/>
            </w:rPr>
          </w:pPr>
          <w:hyperlink w:anchor="_Toc165334332" w:history="1">
            <w:r w:rsidRPr="00AB4F85">
              <w:rPr>
                <w:rStyle w:val="Hyperlink"/>
                <w:noProof/>
              </w:rPr>
              <w:t>6.1 Society</w:t>
            </w:r>
            <w:r>
              <w:rPr>
                <w:noProof/>
                <w:webHidden/>
              </w:rPr>
              <w:tab/>
            </w:r>
            <w:r>
              <w:rPr>
                <w:noProof/>
                <w:webHidden/>
              </w:rPr>
              <w:fldChar w:fldCharType="begin"/>
            </w:r>
            <w:r>
              <w:rPr>
                <w:noProof/>
                <w:webHidden/>
              </w:rPr>
              <w:instrText xml:space="preserve"> PAGEREF _Toc165334332 \h </w:instrText>
            </w:r>
            <w:r>
              <w:rPr>
                <w:noProof/>
                <w:webHidden/>
              </w:rPr>
            </w:r>
            <w:r>
              <w:rPr>
                <w:noProof/>
                <w:webHidden/>
              </w:rPr>
              <w:fldChar w:fldCharType="separate"/>
            </w:r>
            <w:r>
              <w:rPr>
                <w:noProof/>
                <w:webHidden/>
              </w:rPr>
              <w:t>9</w:t>
            </w:r>
            <w:r>
              <w:rPr>
                <w:noProof/>
                <w:webHidden/>
              </w:rPr>
              <w:fldChar w:fldCharType="end"/>
            </w:r>
          </w:hyperlink>
        </w:p>
        <w:p w14:paraId="724974FF" w14:textId="77777777" w:rsidR="00D802DB" w:rsidRDefault="00D802DB" w:rsidP="00C90FA3">
          <w:pPr>
            <w:pStyle w:val="TOC2"/>
            <w:tabs>
              <w:tab w:val="right" w:leader="dot" w:pos="9017"/>
            </w:tabs>
            <w:rPr>
              <w:noProof/>
              <w:lang w:val="en-US"/>
            </w:rPr>
          </w:pPr>
          <w:hyperlink w:anchor="_Toc165334333" w:history="1">
            <w:r w:rsidRPr="00AB4F85">
              <w:rPr>
                <w:rStyle w:val="Hyperlink"/>
                <w:noProof/>
              </w:rPr>
              <w:t>6.2 Health professionals</w:t>
            </w:r>
            <w:r>
              <w:rPr>
                <w:noProof/>
                <w:webHidden/>
              </w:rPr>
              <w:tab/>
            </w:r>
            <w:r>
              <w:rPr>
                <w:noProof/>
                <w:webHidden/>
              </w:rPr>
              <w:fldChar w:fldCharType="begin"/>
            </w:r>
            <w:r>
              <w:rPr>
                <w:noProof/>
                <w:webHidden/>
              </w:rPr>
              <w:instrText xml:space="preserve"> PAGEREF _Toc165334333 \h </w:instrText>
            </w:r>
            <w:r>
              <w:rPr>
                <w:noProof/>
                <w:webHidden/>
              </w:rPr>
            </w:r>
            <w:r>
              <w:rPr>
                <w:noProof/>
                <w:webHidden/>
              </w:rPr>
              <w:fldChar w:fldCharType="separate"/>
            </w:r>
            <w:r>
              <w:rPr>
                <w:noProof/>
                <w:webHidden/>
              </w:rPr>
              <w:t>10</w:t>
            </w:r>
            <w:r>
              <w:rPr>
                <w:noProof/>
                <w:webHidden/>
              </w:rPr>
              <w:fldChar w:fldCharType="end"/>
            </w:r>
          </w:hyperlink>
        </w:p>
        <w:p w14:paraId="071A4D5B" w14:textId="77777777" w:rsidR="00D802DB" w:rsidRDefault="00D802DB" w:rsidP="00C90FA3">
          <w:pPr>
            <w:pStyle w:val="TOC2"/>
            <w:tabs>
              <w:tab w:val="right" w:leader="dot" w:pos="9017"/>
            </w:tabs>
            <w:rPr>
              <w:noProof/>
              <w:lang w:val="en-US"/>
            </w:rPr>
          </w:pPr>
          <w:hyperlink w:anchor="_Toc165334334" w:history="1">
            <w:r w:rsidRPr="00AB4F85">
              <w:rPr>
                <w:rStyle w:val="Hyperlink"/>
                <w:noProof/>
              </w:rPr>
              <w:t>6.3 Care</w:t>
            </w:r>
            <w:r>
              <w:rPr>
                <w:noProof/>
                <w:webHidden/>
              </w:rPr>
              <w:tab/>
            </w:r>
            <w:r>
              <w:rPr>
                <w:noProof/>
                <w:webHidden/>
              </w:rPr>
              <w:fldChar w:fldCharType="begin"/>
            </w:r>
            <w:r>
              <w:rPr>
                <w:noProof/>
                <w:webHidden/>
              </w:rPr>
              <w:instrText xml:space="preserve"> PAGEREF _Toc165334334 \h </w:instrText>
            </w:r>
            <w:r>
              <w:rPr>
                <w:noProof/>
                <w:webHidden/>
              </w:rPr>
            </w:r>
            <w:r>
              <w:rPr>
                <w:noProof/>
                <w:webHidden/>
              </w:rPr>
              <w:fldChar w:fldCharType="separate"/>
            </w:r>
            <w:r>
              <w:rPr>
                <w:noProof/>
                <w:webHidden/>
              </w:rPr>
              <w:t>10</w:t>
            </w:r>
            <w:r>
              <w:rPr>
                <w:noProof/>
                <w:webHidden/>
              </w:rPr>
              <w:fldChar w:fldCharType="end"/>
            </w:r>
          </w:hyperlink>
        </w:p>
        <w:p w14:paraId="17165322" w14:textId="77777777" w:rsidR="00D802DB" w:rsidRDefault="00D802DB" w:rsidP="00C90FA3">
          <w:pPr>
            <w:pStyle w:val="TOC1"/>
            <w:tabs>
              <w:tab w:val="right" w:leader="dot" w:pos="9017"/>
            </w:tabs>
            <w:rPr>
              <w:noProof/>
              <w:lang w:val="en-US"/>
            </w:rPr>
          </w:pPr>
          <w:hyperlink w:anchor="_Toc165334335" w:history="1">
            <w:r w:rsidRPr="00AB4F85">
              <w:rPr>
                <w:rStyle w:val="Hyperlink"/>
                <w:noProof/>
              </w:rPr>
              <w:t>7.Conclusion</w:t>
            </w:r>
            <w:r>
              <w:rPr>
                <w:noProof/>
                <w:webHidden/>
              </w:rPr>
              <w:tab/>
            </w:r>
            <w:r>
              <w:rPr>
                <w:noProof/>
                <w:webHidden/>
              </w:rPr>
              <w:fldChar w:fldCharType="begin"/>
            </w:r>
            <w:r>
              <w:rPr>
                <w:noProof/>
                <w:webHidden/>
              </w:rPr>
              <w:instrText xml:space="preserve"> PAGEREF _Toc165334335 \h </w:instrText>
            </w:r>
            <w:r>
              <w:rPr>
                <w:noProof/>
                <w:webHidden/>
              </w:rPr>
            </w:r>
            <w:r>
              <w:rPr>
                <w:noProof/>
                <w:webHidden/>
              </w:rPr>
              <w:fldChar w:fldCharType="separate"/>
            </w:r>
            <w:r>
              <w:rPr>
                <w:noProof/>
                <w:webHidden/>
              </w:rPr>
              <w:t>11</w:t>
            </w:r>
            <w:r>
              <w:rPr>
                <w:noProof/>
                <w:webHidden/>
              </w:rPr>
              <w:fldChar w:fldCharType="end"/>
            </w:r>
          </w:hyperlink>
        </w:p>
        <w:p w14:paraId="4E80063C" w14:textId="77777777" w:rsidR="00D802DB" w:rsidRDefault="00D802DB" w:rsidP="00C90FA3">
          <w:pPr>
            <w:pStyle w:val="TOC1"/>
            <w:tabs>
              <w:tab w:val="right" w:leader="dot" w:pos="9017"/>
            </w:tabs>
            <w:rPr>
              <w:noProof/>
              <w:lang w:val="en-US"/>
            </w:rPr>
          </w:pPr>
          <w:hyperlink w:anchor="_Toc165334336" w:history="1">
            <w:r w:rsidRPr="00AB4F85">
              <w:rPr>
                <w:rStyle w:val="Hyperlink"/>
                <w:noProof/>
              </w:rPr>
              <w:t>References:</w:t>
            </w:r>
            <w:r>
              <w:rPr>
                <w:noProof/>
                <w:webHidden/>
              </w:rPr>
              <w:tab/>
            </w:r>
            <w:r>
              <w:rPr>
                <w:noProof/>
                <w:webHidden/>
              </w:rPr>
              <w:fldChar w:fldCharType="begin"/>
            </w:r>
            <w:r>
              <w:rPr>
                <w:noProof/>
                <w:webHidden/>
              </w:rPr>
              <w:instrText xml:space="preserve"> PAGEREF _Toc165334336 \h </w:instrText>
            </w:r>
            <w:r>
              <w:rPr>
                <w:noProof/>
                <w:webHidden/>
              </w:rPr>
            </w:r>
            <w:r>
              <w:rPr>
                <w:noProof/>
                <w:webHidden/>
              </w:rPr>
              <w:fldChar w:fldCharType="separate"/>
            </w:r>
            <w:r>
              <w:rPr>
                <w:noProof/>
                <w:webHidden/>
              </w:rPr>
              <w:t>13</w:t>
            </w:r>
            <w:r>
              <w:rPr>
                <w:noProof/>
                <w:webHidden/>
              </w:rPr>
              <w:fldChar w:fldCharType="end"/>
            </w:r>
          </w:hyperlink>
        </w:p>
        <w:p w14:paraId="207BFF32" w14:textId="77777777" w:rsidR="00D802DB" w:rsidRDefault="00D802DB" w:rsidP="00C90FA3">
          <w:pPr>
            <w:spacing w:line="360" w:lineRule="auto"/>
            <w:jc w:val="both"/>
            <w:rPr>
              <w:noProof/>
            </w:rPr>
          </w:pPr>
          <w:r>
            <w:rPr>
              <w:b/>
              <w:bCs/>
              <w:noProof/>
            </w:rPr>
            <w:fldChar w:fldCharType="end"/>
          </w:r>
        </w:p>
      </w:sdtContent>
    </w:sdt>
    <w:p w14:paraId="217E9864" w14:textId="77777777" w:rsidR="002662C6" w:rsidRDefault="002662C6" w:rsidP="005637F8">
      <w:pPr>
        <w:spacing w:line="360" w:lineRule="auto"/>
        <w:jc w:val="both"/>
        <w:rPr>
          <w:rFonts w:asciiTheme="majorHAnsi" w:eastAsia="Times New Roman" w:hAnsiTheme="majorHAnsi" w:cstheme="majorBidi"/>
          <w:color w:val="000000" w:themeColor="text1"/>
          <w:sz w:val="24"/>
          <w:szCs w:val="24"/>
        </w:rPr>
      </w:pPr>
    </w:p>
    <w:p w14:paraId="52BAE8F5" w14:textId="77777777" w:rsidR="00D802DB" w:rsidRDefault="00D802DB" w:rsidP="005637F8">
      <w:pPr>
        <w:spacing w:line="360" w:lineRule="auto"/>
        <w:jc w:val="both"/>
        <w:rPr>
          <w:rStyle w:val="Heading1Char"/>
        </w:rPr>
      </w:pPr>
      <w:bookmarkStart w:id="1" w:name="_Toc165334325"/>
    </w:p>
    <w:p w14:paraId="6400AC55" w14:textId="77777777" w:rsidR="00D802DB" w:rsidRDefault="00D802DB" w:rsidP="005637F8">
      <w:pPr>
        <w:spacing w:line="360" w:lineRule="auto"/>
        <w:jc w:val="both"/>
        <w:rPr>
          <w:rStyle w:val="Heading1Char"/>
        </w:rPr>
      </w:pPr>
    </w:p>
    <w:p w14:paraId="1C5C936B" w14:textId="77777777" w:rsidR="00D802DB" w:rsidRDefault="00D802DB" w:rsidP="005637F8">
      <w:pPr>
        <w:spacing w:line="360" w:lineRule="auto"/>
        <w:jc w:val="both"/>
        <w:rPr>
          <w:rStyle w:val="Heading1Char"/>
        </w:rPr>
      </w:pPr>
    </w:p>
    <w:p w14:paraId="021085DD" w14:textId="77777777" w:rsidR="00D802DB" w:rsidRDefault="00D802DB" w:rsidP="005637F8">
      <w:pPr>
        <w:spacing w:line="360" w:lineRule="auto"/>
        <w:jc w:val="both"/>
        <w:rPr>
          <w:rStyle w:val="Heading1Char"/>
        </w:rPr>
      </w:pPr>
    </w:p>
    <w:p w14:paraId="5229D998" w14:textId="77777777" w:rsidR="00D802DB" w:rsidRDefault="00D802DB" w:rsidP="005637F8">
      <w:pPr>
        <w:spacing w:line="360" w:lineRule="auto"/>
        <w:jc w:val="both"/>
        <w:rPr>
          <w:rStyle w:val="Heading1Char"/>
        </w:rPr>
      </w:pPr>
    </w:p>
    <w:p w14:paraId="1086A8A8" w14:textId="77777777" w:rsidR="00D802DB" w:rsidRDefault="00D802DB" w:rsidP="005637F8">
      <w:pPr>
        <w:spacing w:line="360" w:lineRule="auto"/>
        <w:jc w:val="both"/>
        <w:rPr>
          <w:rStyle w:val="Heading1Char"/>
        </w:rPr>
      </w:pPr>
    </w:p>
    <w:p w14:paraId="5670EC08" w14:textId="77777777" w:rsidR="00D802DB" w:rsidRDefault="00D802DB" w:rsidP="005637F8">
      <w:pPr>
        <w:spacing w:line="360" w:lineRule="auto"/>
        <w:jc w:val="both"/>
        <w:rPr>
          <w:rStyle w:val="Heading1Char"/>
        </w:rPr>
      </w:pPr>
    </w:p>
    <w:p w14:paraId="56305636" w14:textId="77777777" w:rsidR="00D802DB" w:rsidRDefault="00D802DB" w:rsidP="005637F8">
      <w:pPr>
        <w:spacing w:line="360" w:lineRule="auto"/>
        <w:jc w:val="both"/>
        <w:rPr>
          <w:rStyle w:val="Heading1Char"/>
        </w:rPr>
      </w:pPr>
    </w:p>
    <w:p w14:paraId="168943CB" w14:textId="77777777" w:rsidR="00D802DB" w:rsidRDefault="00D802DB" w:rsidP="005637F8">
      <w:pPr>
        <w:spacing w:line="360" w:lineRule="auto"/>
        <w:jc w:val="both"/>
        <w:rPr>
          <w:rStyle w:val="Heading1Char"/>
        </w:rPr>
      </w:pPr>
    </w:p>
    <w:p w14:paraId="691CD1C5" w14:textId="77777777" w:rsidR="00D802DB" w:rsidRDefault="00D802DB" w:rsidP="005637F8">
      <w:pPr>
        <w:spacing w:line="360" w:lineRule="auto"/>
        <w:jc w:val="both"/>
        <w:rPr>
          <w:rStyle w:val="Heading1Char"/>
        </w:rPr>
      </w:pPr>
    </w:p>
    <w:p w14:paraId="16663ABC" w14:textId="335FA120" w:rsidR="00404FE3" w:rsidRPr="00EB499D" w:rsidRDefault="68E4E81D" w:rsidP="005637F8">
      <w:pPr>
        <w:spacing w:line="360" w:lineRule="auto"/>
        <w:jc w:val="both"/>
        <w:rPr>
          <w:rFonts w:asciiTheme="majorHAnsi" w:hAnsiTheme="majorHAnsi" w:cstheme="majorBidi"/>
          <w:sz w:val="24"/>
          <w:szCs w:val="24"/>
        </w:rPr>
      </w:pPr>
      <w:r w:rsidRPr="005637F8">
        <w:rPr>
          <w:rStyle w:val="Heading1Char"/>
        </w:rPr>
        <w:lastRenderedPageBreak/>
        <w:t>Abstract</w:t>
      </w:r>
      <w:bookmarkEnd w:id="1"/>
      <w:r w:rsidR="603AE9B2" w:rsidRPr="005637F8">
        <w:rPr>
          <w:rStyle w:val="Heading1Char"/>
        </w:rPr>
        <w:t xml:space="preserve"> </w:t>
      </w:r>
      <w:r w:rsidR="006A7C74" w:rsidRPr="005637F8">
        <w:rPr>
          <w:rStyle w:val="Heading1Char"/>
        </w:rPr>
        <w:br/>
      </w:r>
      <w:r w:rsidR="006A7C74">
        <w:br/>
      </w:r>
      <w:r w:rsidRPr="46C455A4">
        <w:rPr>
          <w:rFonts w:asciiTheme="majorHAnsi" w:eastAsia="Times New Roman" w:hAnsiTheme="majorHAnsi" w:cstheme="majorBidi"/>
          <w:color w:val="000000" w:themeColor="text1"/>
          <w:sz w:val="24"/>
          <w:szCs w:val="24"/>
        </w:rPr>
        <w:t>This paper gives a complete review of HIV, including transmission, symptoms, treatment choices, prevalence, public health response, and impact on society and healthcare professionals. HIV is a retrovirus that spreads through body fluids and primarily targets CD4 cells, undermining the immune system. Symptoms range from asymptomatic to severe, and antiretroviral medication is the backbone of treatment, extending life expectancy and reducing disease progression. Despite advances, HIV remains a major public health problem, with young people being particularly affected. Prevention measures like PrEP show potential, but there are still problems, including stigma and prejudice. The UK's HIV response, while growing, confronts challenges in surveillance and data collecting, impeding effective policy formation.</w:t>
      </w:r>
      <w:r w:rsidR="04AF6B22" w:rsidRPr="46C455A4">
        <w:rPr>
          <w:rFonts w:asciiTheme="majorHAnsi" w:eastAsia="Times New Roman" w:hAnsiTheme="majorHAnsi" w:cstheme="majorBidi"/>
          <w:color w:val="000000" w:themeColor="text1"/>
          <w:sz w:val="24"/>
          <w:szCs w:val="24"/>
        </w:rPr>
        <w:t xml:space="preserve"> The social effect includes shame and fear, which influence attitudes and </w:t>
      </w:r>
      <w:r w:rsidR="08D71097" w:rsidRPr="46C455A4">
        <w:rPr>
          <w:rFonts w:asciiTheme="majorHAnsi" w:eastAsia="Times New Roman" w:hAnsiTheme="majorHAnsi" w:cstheme="majorBidi"/>
          <w:color w:val="000000" w:themeColor="text1"/>
          <w:sz w:val="24"/>
          <w:szCs w:val="24"/>
        </w:rPr>
        <w:t>behaviours</w:t>
      </w:r>
      <w:r w:rsidR="04AF6B22" w:rsidRPr="46C455A4">
        <w:rPr>
          <w:rFonts w:asciiTheme="majorHAnsi" w:eastAsia="Times New Roman" w:hAnsiTheme="majorHAnsi" w:cstheme="majorBidi"/>
          <w:color w:val="000000" w:themeColor="text1"/>
          <w:sz w:val="24"/>
          <w:szCs w:val="24"/>
        </w:rPr>
        <w:t xml:space="preserve"> towards persons afflicted. Healthcare workers' roles have evolved, with more training and awareness resulting in better treatment and less stigma. Overall, this research emphasises the multidimensional character of HIV and the continual efforts needed to properly battle it.</w:t>
      </w:r>
    </w:p>
    <w:p w14:paraId="60A01A2D" w14:textId="77777777" w:rsidR="00404FE3" w:rsidRPr="00EB499D" w:rsidRDefault="00404FE3" w:rsidP="005637F8">
      <w:pPr>
        <w:spacing w:line="360" w:lineRule="auto"/>
        <w:jc w:val="both"/>
        <w:rPr>
          <w:rFonts w:asciiTheme="majorHAnsi" w:hAnsiTheme="majorHAnsi" w:cstheme="majorBidi"/>
          <w:sz w:val="24"/>
          <w:szCs w:val="24"/>
        </w:rPr>
      </w:pPr>
    </w:p>
    <w:p w14:paraId="52A84E17" w14:textId="77777777" w:rsidR="00404FE3" w:rsidRPr="00EB499D" w:rsidRDefault="00404FE3" w:rsidP="005637F8">
      <w:pPr>
        <w:spacing w:line="360" w:lineRule="auto"/>
        <w:jc w:val="both"/>
        <w:rPr>
          <w:rFonts w:asciiTheme="majorHAnsi" w:hAnsiTheme="majorHAnsi" w:cstheme="majorBidi"/>
          <w:sz w:val="24"/>
          <w:szCs w:val="24"/>
        </w:rPr>
      </w:pPr>
    </w:p>
    <w:p w14:paraId="343FB2A2" w14:textId="77777777" w:rsidR="00404FE3" w:rsidRPr="00EB499D" w:rsidRDefault="00404FE3" w:rsidP="005637F8">
      <w:pPr>
        <w:spacing w:line="360" w:lineRule="auto"/>
        <w:jc w:val="both"/>
        <w:rPr>
          <w:rFonts w:asciiTheme="majorHAnsi" w:hAnsiTheme="majorHAnsi" w:cstheme="majorBidi"/>
          <w:sz w:val="24"/>
          <w:szCs w:val="24"/>
        </w:rPr>
      </w:pPr>
    </w:p>
    <w:p w14:paraId="50C028CA" w14:textId="77777777" w:rsidR="00404FE3" w:rsidRPr="00EB499D" w:rsidRDefault="00404FE3" w:rsidP="005637F8">
      <w:pPr>
        <w:spacing w:line="360" w:lineRule="auto"/>
        <w:jc w:val="both"/>
        <w:rPr>
          <w:rFonts w:asciiTheme="majorHAnsi" w:hAnsiTheme="majorHAnsi" w:cstheme="majorBidi"/>
          <w:sz w:val="24"/>
          <w:szCs w:val="24"/>
        </w:rPr>
      </w:pPr>
    </w:p>
    <w:p w14:paraId="7C090FA7" w14:textId="77777777" w:rsidR="00404FE3" w:rsidRPr="00EB499D" w:rsidRDefault="00404FE3" w:rsidP="005637F8">
      <w:pPr>
        <w:spacing w:line="360" w:lineRule="auto"/>
        <w:jc w:val="both"/>
        <w:rPr>
          <w:rFonts w:asciiTheme="majorHAnsi" w:hAnsiTheme="majorHAnsi" w:cstheme="majorBidi"/>
          <w:sz w:val="24"/>
          <w:szCs w:val="24"/>
        </w:rPr>
      </w:pPr>
    </w:p>
    <w:p w14:paraId="6048FACF" w14:textId="77777777" w:rsidR="00404FE3" w:rsidRPr="00EB499D" w:rsidRDefault="00404FE3" w:rsidP="005637F8">
      <w:pPr>
        <w:spacing w:line="360" w:lineRule="auto"/>
        <w:jc w:val="both"/>
        <w:rPr>
          <w:rFonts w:asciiTheme="majorHAnsi" w:hAnsiTheme="majorHAnsi" w:cstheme="majorBidi"/>
          <w:sz w:val="24"/>
          <w:szCs w:val="24"/>
        </w:rPr>
      </w:pPr>
    </w:p>
    <w:p w14:paraId="00ED67A9" w14:textId="77777777" w:rsidR="00404FE3" w:rsidRPr="00EB499D" w:rsidRDefault="00404FE3" w:rsidP="005637F8">
      <w:pPr>
        <w:spacing w:line="360" w:lineRule="auto"/>
        <w:jc w:val="both"/>
        <w:rPr>
          <w:rFonts w:asciiTheme="majorHAnsi" w:hAnsiTheme="majorHAnsi" w:cstheme="majorBidi"/>
          <w:sz w:val="24"/>
          <w:szCs w:val="24"/>
        </w:rPr>
      </w:pPr>
    </w:p>
    <w:p w14:paraId="745C14CE" w14:textId="77777777" w:rsidR="00404FE3" w:rsidRPr="00EB499D" w:rsidRDefault="00404FE3" w:rsidP="005637F8">
      <w:pPr>
        <w:spacing w:line="360" w:lineRule="auto"/>
        <w:jc w:val="both"/>
        <w:rPr>
          <w:rFonts w:asciiTheme="majorHAnsi" w:hAnsiTheme="majorHAnsi" w:cstheme="majorBidi"/>
          <w:sz w:val="24"/>
          <w:szCs w:val="24"/>
        </w:rPr>
      </w:pPr>
    </w:p>
    <w:p w14:paraId="3D6EF7A1" w14:textId="77777777" w:rsidR="00404FE3" w:rsidRPr="00EB499D" w:rsidRDefault="00404FE3" w:rsidP="005637F8">
      <w:pPr>
        <w:spacing w:line="360" w:lineRule="auto"/>
        <w:jc w:val="both"/>
        <w:rPr>
          <w:rFonts w:asciiTheme="majorHAnsi" w:hAnsiTheme="majorHAnsi" w:cstheme="majorBidi"/>
          <w:sz w:val="24"/>
          <w:szCs w:val="24"/>
        </w:rPr>
      </w:pPr>
    </w:p>
    <w:p w14:paraId="65D18CAD" w14:textId="1EA06704" w:rsidR="004C13DD" w:rsidRDefault="004C13DD" w:rsidP="005637F8">
      <w:pPr>
        <w:spacing w:line="360" w:lineRule="auto"/>
        <w:jc w:val="both"/>
        <w:rPr>
          <w:rFonts w:asciiTheme="majorHAnsi" w:hAnsiTheme="majorHAnsi" w:cstheme="majorBidi"/>
          <w:sz w:val="24"/>
          <w:szCs w:val="24"/>
        </w:rPr>
      </w:pPr>
    </w:p>
    <w:p w14:paraId="45CEB08A" w14:textId="77777777" w:rsidR="004C13DD" w:rsidRDefault="004C13DD" w:rsidP="005637F8">
      <w:pPr>
        <w:spacing w:line="360" w:lineRule="auto"/>
        <w:jc w:val="both"/>
        <w:rPr>
          <w:rFonts w:asciiTheme="majorHAnsi" w:hAnsiTheme="majorHAnsi" w:cstheme="majorBidi"/>
          <w:sz w:val="24"/>
          <w:szCs w:val="24"/>
        </w:rPr>
      </w:pPr>
    </w:p>
    <w:p w14:paraId="28D30F6C" w14:textId="77777777" w:rsidR="004C13DD" w:rsidRDefault="004C13DD" w:rsidP="005637F8">
      <w:pPr>
        <w:spacing w:line="360" w:lineRule="auto"/>
        <w:jc w:val="both"/>
        <w:rPr>
          <w:rFonts w:asciiTheme="majorHAnsi" w:hAnsiTheme="majorHAnsi" w:cstheme="majorBidi"/>
          <w:sz w:val="24"/>
          <w:szCs w:val="24"/>
        </w:rPr>
      </w:pPr>
      <w:r>
        <w:rPr>
          <w:rFonts w:asciiTheme="majorHAnsi" w:hAnsiTheme="majorHAnsi" w:cstheme="majorBidi"/>
          <w:sz w:val="24"/>
          <w:szCs w:val="24"/>
        </w:rPr>
        <w:lastRenderedPageBreak/>
        <w:br w:type="page"/>
      </w:r>
    </w:p>
    <w:sdt>
      <w:sdtPr>
        <w:rPr>
          <w:rFonts w:asciiTheme="minorHAnsi" w:eastAsiaTheme="minorEastAsia" w:hAnsiTheme="minorHAnsi" w:cstheme="minorBidi"/>
          <w:b w:val="0"/>
          <w:bCs w:val="0"/>
          <w:color w:val="auto"/>
          <w:sz w:val="22"/>
          <w:szCs w:val="22"/>
        </w:rPr>
        <w:id w:val="-1753812565"/>
        <w:docPartObj>
          <w:docPartGallery w:val="Table of Contents"/>
          <w:docPartUnique/>
        </w:docPartObj>
      </w:sdtPr>
      <w:sdtEndPr>
        <w:rPr>
          <w:noProof/>
        </w:rPr>
      </w:sdtEndPr>
      <w:sdtContent>
        <w:p w14:paraId="3E2C8866" w14:textId="7A1E5586" w:rsidR="004324B6" w:rsidRDefault="004324B6" w:rsidP="004324B6">
          <w:pPr>
            <w:pStyle w:val="TOCHeading"/>
            <w:spacing w:line="360" w:lineRule="auto"/>
            <w:jc w:val="both"/>
          </w:pPr>
        </w:p>
        <w:p w14:paraId="4D798353" w14:textId="196D2CE4" w:rsidR="005208C5" w:rsidRDefault="00000000" w:rsidP="005637F8">
          <w:pPr>
            <w:spacing w:line="360" w:lineRule="auto"/>
            <w:jc w:val="both"/>
          </w:pPr>
        </w:p>
      </w:sdtContent>
    </w:sdt>
    <w:p w14:paraId="295F2CC5" w14:textId="191C0B4E" w:rsidR="00E75C67" w:rsidRPr="004C13DD" w:rsidRDefault="1AA3DD36" w:rsidP="005637F8">
      <w:pPr>
        <w:pStyle w:val="Heading1"/>
        <w:spacing w:line="360" w:lineRule="auto"/>
        <w:jc w:val="both"/>
        <w:rPr>
          <w:color w:val="auto"/>
        </w:rPr>
      </w:pPr>
      <w:bookmarkStart w:id="2" w:name="_Toc248548855"/>
      <w:bookmarkStart w:id="3" w:name="_Toc165334326"/>
      <w:r w:rsidRPr="46C455A4">
        <w:t>1.</w:t>
      </w:r>
      <w:r w:rsidR="6189567C" w:rsidRPr="46C455A4">
        <w:t>HIV</w:t>
      </w:r>
      <w:bookmarkEnd w:id="2"/>
      <w:bookmarkEnd w:id="3"/>
    </w:p>
    <w:p w14:paraId="4177F93A" w14:textId="77777777" w:rsidR="00F42519" w:rsidRPr="00EB499D" w:rsidRDefault="00F42519" w:rsidP="005637F8">
      <w:pPr>
        <w:pStyle w:val="ListParagraph"/>
        <w:spacing w:line="360" w:lineRule="auto"/>
        <w:jc w:val="both"/>
        <w:rPr>
          <w:rFonts w:asciiTheme="majorHAnsi" w:hAnsiTheme="majorHAnsi" w:cstheme="majorBidi"/>
          <w:color w:val="000000" w:themeColor="text1"/>
          <w:sz w:val="24"/>
          <w:szCs w:val="24"/>
        </w:rPr>
      </w:pPr>
    </w:p>
    <w:p w14:paraId="32A10036" w14:textId="73DE769C" w:rsidR="00F42519" w:rsidRPr="00EB499D" w:rsidRDefault="1081904C"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Human immunodeficiency virus (HIV) is a disease that spreads through the interchange of physiological fluids such as blood, sperm, vaginal secretions, and breastmilk (Bacchus-Souffan et al., 2021; Petkov &amp; Chiodi, 2022; Kaw et al., 2020; Zhang et al., 2023).</w:t>
      </w:r>
      <w:r w:rsidR="2186C596" w:rsidRPr="46C455A4">
        <w:rPr>
          <w:rFonts w:asciiTheme="majorHAnsi" w:hAnsiTheme="majorHAnsi" w:cstheme="majorBidi"/>
          <w:color w:val="000000" w:themeColor="text1"/>
          <w:sz w:val="24"/>
          <w:szCs w:val="24"/>
        </w:rPr>
        <w:t xml:space="preserve">Vieira et al .,(2022) States </w:t>
      </w:r>
      <w:r w:rsidRPr="46C455A4">
        <w:rPr>
          <w:rFonts w:asciiTheme="majorHAnsi" w:hAnsiTheme="majorHAnsi" w:cstheme="majorBidi"/>
          <w:color w:val="000000" w:themeColor="text1"/>
          <w:sz w:val="24"/>
          <w:szCs w:val="24"/>
        </w:rPr>
        <w:t xml:space="preserve"> People with HIV have what is known as a retrovirus, which operates in the opposite manner of most viruses. HIV's genetic material is encoded in ribonucleic acid (RNA), and when the virus </w:t>
      </w:r>
      <w:r w:rsidR="33EB5FF6" w:rsidRPr="46C455A4">
        <w:rPr>
          <w:rFonts w:asciiTheme="majorHAnsi" w:hAnsiTheme="majorHAnsi" w:cstheme="majorBidi"/>
          <w:color w:val="000000" w:themeColor="text1"/>
          <w:sz w:val="24"/>
          <w:szCs w:val="24"/>
        </w:rPr>
        <w:t>encounters</w:t>
      </w:r>
      <w:r w:rsidRPr="46C455A4">
        <w:rPr>
          <w:rFonts w:asciiTheme="majorHAnsi" w:hAnsiTheme="majorHAnsi" w:cstheme="majorBidi"/>
          <w:color w:val="000000" w:themeColor="text1"/>
          <w:sz w:val="24"/>
          <w:szCs w:val="24"/>
        </w:rPr>
        <w:t xml:space="preserve"> a host cell, the enzyme reverse transcriptase converts the RNA into deoxyribonucleic acid (DNA</w:t>
      </w:r>
      <w:r w:rsidR="73E84687" w:rsidRPr="46C455A4">
        <w:rPr>
          <w:rFonts w:asciiTheme="majorHAnsi" w:hAnsiTheme="majorHAnsi" w:cstheme="majorBidi"/>
          <w:color w:val="000000" w:themeColor="text1"/>
          <w:sz w:val="24"/>
          <w:szCs w:val="24"/>
        </w:rPr>
        <w:t>).</w:t>
      </w:r>
      <w:r w:rsidRPr="46C455A4">
        <w:rPr>
          <w:rFonts w:asciiTheme="majorHAnsi" w:hAnsiTheme="majorHAnsi" w:cstheme="majorBidi"/>
          <w:color w:val="000000" w:themeColor="text1"/>
          <w:sz w:val="24"/>
          <w:szCs w:val="24"/>
        </w:rPr>
        <w:t xml:space="preserve"> The newly generated viral DNA is subsequently carried into the host cell's nucleus and integrated with its own DNA by the enzyme integrate (Hoffmann et al., 2020). This procedure is crucial because the genetic information is repeated each time the host cell duplicates, resulting in progeny that have HIV DNA (Petkov &amp; Chiodi, 2021; Xie et al., 2021; Gálvez et al., 2021). HIV selectively attacks CD4 cells, which are critical components of the immune system's cell-mediated response (Coffin &amp; Hughes, 2021). CD4 cells, a kind of T lymphocyte, are an essential component of the immune system and are also known as 'helper cells.' The immune system is divided into two functional parts: the </w:t>
      </w:r>
      <w:r w:rsidR="008B6B77" w:rsidRPr="46C455A4">
        <w:rPr>
          <w:rFonts w:asciiTheme="majorHAnsi" w:hAnsiTheme="majorHAnsi" w:cstheme="majorBidi"/>
          <w:color w:val="000000" w:themeColor="text1"/>
          <w:sz w:val="24"/>
          <w:szCs w:val="24"/>
        </w:rPr>
        <w:t>hum-oral</w:t>
      </w:r>
      <w:r w:rsidRPr="46C455A4">
        <w:rPr>
          <w:rFonts w:asciiTheme="majorHAnsi" w:hAnsiTheme="majorHAnsi" w:cstheme="majorBidi"/>
          <w:color w:val="000000" w:themeColor="text1"/>
          <w:sz w:val="24"/>
          <w:szCs w:val="24"/>
        </w:rPr>
        <w:t xml:space="preserve"> response and the cell-mediated response, and it works to protect the body against infections. CD4 cells are critical components of the cell-mediated response. This is essential because, as the HIV infection advances, the death of CD4 cells increases the infected individual's vulnerability to various infections and illnesses."</w:t>
      </w:r>
    </w:p>
    <w:p w14:paraId="6591DECC" w14:textId="77777777" w:rsidR="00F42519" w:rsidRPr="00EB499D" w:rsidRDefault="00F42519" w:rsidP="005637F8">
      <w:pPr>
        <w:pStyle w:val="Heading1"/>
        <w:spacing w:line="360" w:lineRule="auto"/>
        <w:jc w:val="both"/>
      </w:pPr>
    </w:p>
    <w:p w14:paraId="5B4B058C" w14:textId="415CE131" w:rsidR="0053606B" w:rsidRPr="00EB499D" w:rsidRDefault="6189567C" w:rsidP="005637F8">
      <w:pPr>
        <w:pStyle w:val="Heading1"/>
        <w:spacing w:line="360" w:lineRule="auto"/>
        <w:jc w:val="both"/>
      </w:pPr>
      <w:bookmarkStart w:id="4" w:name="_Toc650272603"/>
      <w:bookmarkStart w:id="5" w:name="_Toc165334327"/>
      <w:r w:rsidRPr="46C455A4">
        <w:t>2. Symptoms and Treatment of HIV</w:t>
      </w:r>
      <w:bookmarkEnd w:id="4"/>
      <w:bookmarkEnd w:id="5"/>
    </w:p>
    <w:p w14:paraId="6820AE17" w14:textId="77777777" w:rsidR="0053606B" w:rsidRPr="00EB499D" w:rsidRDefault="0053606B" w:rsidP="005637F8">
      <w:pPr>
        <w:spacing w:line="360" w:lineRule="auto"/>
        <w:jc w:val="both"/>
        <w:rPr>
          <w:rFonts w:asciiTheme="majorHAnsi" w:eastAsia="Times New Roman" w:hAnsiTheme="majorHAnsi" w:cstheme="majorBidi"/>
          <w:color w:val="000000" w:themeColor="text1"/>
          <w:sz w:val="24"/>
          <w:szCs w:val="24"/>
        </w:rPr>
      </w:pPr>
    </w:p>
    <w:p w14:paraId="724FE8BC" w14:textId="715334CC" w:rsidR="00AD60C2" w:rsidRPr="00EB499D" w:rsidRDefault="28C3EE83" w:rsidP="005637F8">
      <w:pPr>
        <w:spacing w:line="360" w:lineRule="auto"/>
        <w:jc w:val="both"/>
        <w:rPr>
          <w:rFonts w:asciiTheme="majorHAnsi" w:eastAsia="Times New Roman" w:hAnsiTheme="majorHAnsi" w:cstheme="majorBidi"/>
          <w:color w:val="000000"/>
          <w:sz w:val="24"/>
          <w:szCs w:val="24"/>
        </w:rPr>
      </w:pPr>
      <w:r w:rsidRPr="46C455A4">
        <w:rPr>
          <w:rFonts w:asciiTheme="majorHAnsi" w:eastAsia="Times New Roman" w:hAnsiTheme="majorHAnsi" w:cstheme="majorBidi"/>
          <w:color w:val="000000" w:themeColor="text1"/>
          <w:sz w:val="24"/>
          <w:szCs w:val="24"/>
        </w:rPr>
        <w:t xml:space="preserve">According to the studies of Yu et al. (2020) and O'Shea (2022), the early phase of HIV infection is typically silent, with no identifiable symptoms. Signs appear only as the infection </w:t>
      </w:r>
      <w:r w:rsidRPr="46C455A4">
        <w:rPr>
          <w:rFonts w:asciiTheme="majorHAnsi" w:eastAsia="Times New Roman" w:hAnsiTheme="majorHAnsi" w:cstheme="majorBidi"/>
          <w:color w:val="000000" w:themeColor="text1"/>
          <w:sz w:val="24"/>
          <w:szCs w:val="24"/>
        </w:rPr>
        <w:lastRenderedPageBreak/>
        <w:t>develops to the symptomatic phase, a change that may take 5-10 years or more, depending on many individual circumstances. Mailhe et al. (2023) argue that this extended period is inextricably tied to the infected individual's general health and lifestyle choices.</w:t>
      </w:r>
      <w:r w:rsidR="131301F5" w:rsidRPr="46C455A4">
        <w:rPr>
          <w:rFonts w:asciiTheme="majorHAnsi" w:eastAsia="Times New Roman" w:hAnsiTheme="majorHAnsi" w:cstheme="majorBidi"/>
          <w:color w:val="000000" w:themeColor="text1"/>
          <w:sz w:val="24"/>
          <w:szCs w:val="24"/>
        </w:rPr>
        <w:t xml:space="preserve"> Thornhill et al. (2022) identify fatigue as the most common symptom during this symptomatic phase, which is accompanied by a variety of other manifestations such as weight loss, fever, nocturnal sweats, recurring yeast infections, dermatological issues, dysphagia, chronic muscular discomfort, intense headaches, and joint pains, as highlighted in studies by Winston &amp; Spudich (2020) and Li et al. (2020).</w:t>
      </w:r>
      <w:r w:rsidR="131301F5" w:rsidRPr="46C455A4">
        <w:rPr>
          <w:rStyle w:val="apple-converted-space"/>
          <w:rFonts w:asciiTheme="majorHAnsi" w:eastAsia="Times New Roman" w:hAnsiTheme="majorHAnsi" w:cstheme="majorBidi"/>
          <w:color w:val="000000" w:themeColor="text1"/>
          <w:sz w:val="24"/>
          <w:szCs w:val="24"/>
        </w:rPr>
        <w:t> </w:t>
      </w:r>
      <w:r w:rsidR="7CC25D4B" w:rsidRPr="46C455A4">
        <w:rPr>
          <w:rFonts w:asciiTheme="majorHAnsi" w:eastAsia="Times New Roman" w:hAnsiTheme="majorHAnsi" w:cstheme="majorBidi"/>
          <w:color w:val="000000" w:themeColor="text1"/>
          <w:sz w:val="24"/>
          <w:szCs w:val="24"/>
        </w:rPr>
        <w:t>According to MacLean and Wetherall's (2021) notes, these symptoms might last up to six weeks. As a result, the HIV virus lingers and spreads rapidly, making it highly infectious between the six-week mark and the onset of severe symptoms. These severe signs include deep weariness, dyspnea, oedema in numerous body locations, chronic gastrointestinal difficulties, recurrent oral ulcerations, and the development of Kaposi's Sarcoma.</w:t>
      </w:r>
    </w:p>
    <w:p w14:paraId="209C6BDC" w14:textId="14DE9270" w:rsidR="008D1CC8" w:rsidRPr="00EB499D" w:rsidRDefault="067070F6" w:rsidP="005637F8">
      <w:pPr>
        <w:spacing w:line="360" w:lineRule="auto"/>
        <w:jc w:val="both"/>
        <w:rPr>
          <w:rFonts w:asciiTheme="majorHAnsi" w:eastAsia="Times New Roman" w:hAnsiTheme="majorHAnsi" w:cstheme="majorBidi"/>
          <w:color w:val="000000"/>
          <w:sz w:val="24"/>
          <w:szCs w:val="24"/>
        </w:rPr>
      </w:pPr>
      <w:r w:rsidRPr="46C455A4">
        <w:rPr>
          <w:rFonts w:asciiTheme="majorHAnsi" w:eastAsia="Times New Roman" w:hAnsiTheme="majorHAnsi" w:cstheme="majorBidi"/>
          <w:color w:val="000000" w:themeColor="text1"/>
          <w:sz w:val="24"/>
          <w:szCs w:val="24"/>
        </w:rPr>
        <w:t xml:space="preserve">The disease's course may culminate in the beginning of AIDS, which can occur several years after the first HIV infection, particularly in patients who display severe symptoms for a lengthy </w:t>
      </w:r>
      <w:r w:rsidR="4DC937E1" w:rsidRPr="46C455A4">
        <w:rPr>
          <w:rFonts w:asciiTheme="majorHAnsi" w:eastAsia="Times New Roman" w:hAnsiTheme="majorHAnsi" w:cstheme="majorBidi"/>
          <w:color w:val="000000" w:themeColor="text1"/>
          <w:sz w:val="24"/>
          <w:szCs w:val="24"/>
        </w:rPr>
        <w:t>period</w:t>
      </w:r>
      <w:r w:rsidRPr="46C455A4">
        <w:rPr>
          <w:rFonts w:asciiTheme="majorHAnsi" w:eastAsia="Times New Roman" w:hAnsiTheme="majorHAnsi" w:cstheme="majorBidi"/>
          <w:color w:val="000000" w:themeColor="text1"/>
          <w:sz w:val="24"/>
          <w:szCs w:val="24"/>
        </w:rPr>
        <w:t>, as explained by Kucharzik et al. (2021). At this point, the impaired immune system makes the individual very vulnerable to a variety of life-threatening infections and maladies, which are frequently accompanied by the formation of certain cancers and diseases, as elaborated on by Odo et al. (2020) and Auriti et al. (2021).</w:t>
      </w:r>
    </w:p>
    <w:p w14:paraId="663E7DE1" w14:textId="3B01F2C3" w:rsidR="005A1311" w:rsidRPr="00EB499D" w:rsidRDefault="122880C4" w:rsidP="005637F8">
      <w:p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While there is no definite treatment for HIV, O'Shea (2022) believes that a combination of pharmaceutical therapies can successfully slow the virus's growth. Antiretroviral medicines, as investigated by Yu et al. (2020), work by preventing virus replication at various phases of its lifetime. Nonetheless, worldwide access to these medications remains an issue, with HIV-positive patients in the United Kingdom receiving such drugs through the National Health Service (NHS), as highlighted by Mailhe et al. (2023). Those who are lucky enough to benefit from these therapies often see a significant increase in life expectancy and a slowing of the course of AIDS.</w:t>
      </w:r>
    </w:p>
    <w:p w14:paraId="190985E5" w14:textId="77777777" w:rsidR="00AD60C2" w:rsidRPr="00EB499D" w:rsidRDefault="00AD60C2" w:rsidP="005637F8">
      <w:pPr>
        <w:spacing w:line="360" w:lineRule="auto"/>
        <w:jc w:val="both"/>
        <w:rPr>
          <w:rFonts w:asciiTheme="majorHAnsi" w:eastAsia="Times New Roman" w:hAnsiTheme="majorHAnsi" w:cstheme="majorBidi"/>
          <w:color w:val="000000" w:themeColor="text1"/>
          <w:sz w:val="24"/>
          <w:szCs w:val="24"/>
        </w:rPr>
      </w:pPr>
    </w:p>
    <w:p w14:paraId="19AF805B" w14:textId="5B1DE509" w:rsidR="00A4360F" w:rsidRPr="00EB499D" w:rsidRDefault="212717AA" w:rsidP="005637F8">
      <w:pPr>
        <w:pStyle w:val="Heading1"/>
        <w:spacing w:line="360" w:lineRule="auto"/>
        <w:jc w:val="both"/>
      </w:pPr>
      <w:bookmarkStart w:id="6" w:name="_Toc1815176391"/>
      <w:bookmarkStart w:id="7" w:name="_Toc165334328"/>
      <w:r w:rsidRPr="46C455A4">
        <w:lastRenderedPageBreak/>
        <w:t>3.</w:t>
      </w:r>
      <w:r w:rsidR="6189567C" w:rsidRPr="46C455A4">
        <w:t>The prevalence HIV</w:t>
      </w:r>
      <w:bookmarkEnd w:id="6"/>
      <w:bookmarkEnd w:id="7"/>
      <w:r w:rsidR="6189567C" w:rsidRPr="46C455A4">
        <w:t xml:space="preserve"> </w:t>
      </w:r>
    </w:p>
    <w:p w14:paraId="7CDBE6DE" w14:textId="77777777" w:rsidR="00A4360F" w:rsidRPr="00EB499D" w:rsidRDefault="00A4360F" w:rsidP="005637F8">
      <w:pPr>
        <w:pStyle w:val="ListParagraph"/>
        <w:spacing w:line="360" w:lineRule="auto"/>
        <w:jc w:val="both"/>
        <w:rPr>
          <w:rFonts w:asciiTheme="majorHAnsi" w:hAnsiTheme="majorHAnsi" w:cstheme="majorBidi"/>
          <w:color w:val="000000" w:themeColor="text1"/>
          <w:sz w:val="24"/>
          <w:szCs w:val="24"/>
        </w:rPr>
      </w:pPr>
    </w:p>
    <w:p w14:paraId="49E58AE6" w14:textId="4C9B3ED0" w:rsidR="00392887" w:rsidRPr="00EB499D" w:rsidRDefault="512CFB89" w:rsidP="005637F8">
      <w:pPr>
        <w:spacing w:line="360" w:lineRule="auto"/>
        <w:jc w:val="both"/>
        <w:rPr>
          <w:rFonts w:asciiTheme="majorHAnsi"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 xml:space="preserve">Half of all new HIV infections in England occur in young individuals (Mayer et al., 2021). Furthermore, </w:t>
      </w:r>
      <w:r w:rsidR="594FCD08" w:rsidRPr="46C455A4">
        <w:rPr>
          <w:rFonts w:asciiTheme="majorHAnsi" w:eastAsia="Times New Roman" w:hAnsiTheme="majorHAnsi" w:cstheme="majorBidi"/>
          <w:color w:val="000000" w:themeColor="text1"/>
          <w:sz w:val="24"/>
          <w:szCs w:val="24"/>
        </w:rPr>
        <w:t>most of</w:t>
      </w:r>
      <w:r w:rsidRPr="46C455A4">
        <w:rPr>
          <w:rFonts w:asciiTheme="majorHAnsi" w:eastAsia="Times New Roman" w:hAnsiTheme="majorHAnsi" w:cstheme="majorBidi"/>
          <w:color w:val="000000" w:themeColor="text1"/>
          <w:sz w:val="24"/>
          <w:szCs w:val="24"/>
        </w:rPr>
        <w:t xml:space="preserve"> these groupings are made up of males who engage in sexual activity with other men (Risher et al., 2021). Moreover, Kimera et al. (2020) report that </w:t>
      </w:r>
      <w:r w:rsidR="0C1EA77F" w:rsidRPr="46C455A4">
        <w:rPr>
          <w:rFonts w:asciiTheme="majorHAnsi" w:eastAsia="Times New Roman" w:hAnsiTheme="majorHAnsi" w:cstheme="majorBidi"/>
          <w:color w:val="000000" w:themeColor="text1"/>
          <w:sz w:val="24"/>
          <w:szCs w:val="24"/>
        </w:rPr>
        <w:t>two out of every five</w:t>
      </w:r>
      <w:r w:rsidRPr="46C455A4">
        <w:rPr>
          <w:rFonts w:asciiTheme="majorHAnsi" w:eastAsia="Times New Roman" w:hAnsiTheme="majorHAnsi" w:cstheme="majorBidi"/>
          <w:color w:val="000000" w:themeColor="text1"/>
          <w:sz w:val="24"/>
          <w:szCs w:val="24"/>
        </w:rPr>
        <w:t xml:space="preserve"> newly diagnosed HIV cases happen at a late stage of infection. As per Ajayi et al. (2020), the life expectancy of individuals living with HIV has increased over the years owing to the efficacy of medication. By 2021, it is anticipated that 94 out of 100 newly diagnosed individuals would reach senior age.</w:t>
      </w:r>
      <w:r w:rsidRPr="46C455A4">
        <w:rPr>
          <w:rStyle w:val="apple-converted-space"/>
          <w:rFonts w:asciiTheme="majorHAnsi" w:eastAsia="Times New Roman" w:hAnsiTheme="majorHAnsi" w:cstheme="majorBidi"/>
          <w:color w:val="000000" w:themeColor="text1"/>
          <w:sz w:val="24"/>
          <w:szCs w:val="24"/>
        </w:rPr>
        <w:t> </w:t>
      </w:r>
      <w:r w:rsidR="1A6B3984" w:rsidRPr="46C455A4">
        <w:rPr>
          <w:rFonts w:asciiTheme="majorHAnsi" w:eastAsia="Times New Roman" w:hAnsiTheme="majorHAnsi" w:cstheme="majorBidi"/>
          <w:color w:val="000000" w:themeColor="text1"/>
          <w:sz w:val="24"/>
          <w:szCs w:val="24"/>
        </w:rPr>
        <w:t>Obeagu and Obeagu (2022) likewise anticipate that as survival rates climb and mortality rates decline, people living with HIV will get older. Furthermore, around one-third of all HIV-positive people in the UK are over the age of 50, with this proportion anticipated to rise to more than half by 2028 (Laurenzi et al., 2021). This demographic shift adds new challenges to managing HIV and co-morbidities in older populations, as well as exacerbating the problems associated with late diagnosis, which can reduce life expectancy and quality of life. Several studies have highlighted the changes in HIV demographics and its consequences (Singhroy et al., 2020; Mtasingwa, 2020; González-Alcaide et al., 2020).</w:t>
      </w:r>
    </w:p>
    <w:p w14:paraId="1E6D9B13" w14:textId="77777777" w:rsidR="004C13DD" w:rsidRDefault="004C13DD" w:rsidP="005637F8">
      <w:pPr>
        <w:spacing w:line="360" w:lineRule="auto"/>
        <w:jc w:val="both"/>
        <w:rPr>
          <w:rFonts w:asciiTheme="majorHAnsi" w:hAnsiTheme="majorHAnsi" w:cstheme="majorBidi"/>
          <w:color w:val="000000" w:themeColor="text1"/>
          <w:sz w:val="24"/>
          <w:szCs w:val="24"/>
        </w:rPr>
      </w:pPr>
    </w:p>
    <w:p w14:paraId="6DE2E69D" w14:textId="77777777" w:rsidR="004C13DD" w:rsidRDefault="004C13DD" w:rsidP="005637F8">
      <w:pPr>
        <w:spacing w:line="360" w:lineRule="auto"/>
        <w:jc w:val="both"/>
        <w:rPr>
          <w:rFonts w:asciiTheme="majorHAnsi" w:hAnsiTheme="majorHAnsi" w:cstheme="majorBidi"/>
          <w:color w:val="000000" w:themeColor="text1"/>
          <w:sz w:val="24"/>
          <w:szCs w:val="24"/>
        </w:rPr>
      </w:pPr>
    </w:p>
    <w:p w14:paraId="51424D48" w14:textId="77777777" w:rsidR="00DD6317" w:rsidRDefault="6189567C" w:rsidP="005637F8">
      <w:pPr>
        <w:pStyle w:val="Heading1"/>
        <w:spacing w:line="360" w:lineRule="auto"/>
        <w:jc w:val="both"/>
      </w:pPr>
      <w:bookmarkStart w:id="8" w:name="_Toc165334329"/>
      <w:r w:rsidRPr="005208C5">
        <w:t>4. prevention</w:t>
      </w:r>
      <w:bookmarkStart w:id="9" w:name="_Toc1022751089"/>
      <w:bookmarkEnd w:id="8"/>
    </w:p>
    <w:p w14:paraId="754C5DA8" w14:textId="77777777" w:rsidR="005208C5" w:rsidRPr="005208C5" w:rsidRDefault="005208C5" w:rsidP="005637F8">
      <w:pPr>
        <w:spacing w:line="360" w:lineRule="auto"/>
        <w:jc w:val="both"/>
      </w:pPr>
    </w:p>
    <w:p w14:paraId="66262B80" w14:textId="11C697C4" w:rsidR="002A1E6C" w:rsidRPr="005208C5" w:rsidRDefault="4B044DE9" w:rsidP="005637F8">
      <w:pPr>
        <w:spacing w:line="360" w:lineRule="auto"/>
        <w:jc w:val="both"/>
        <w:rPr>
          <w:b/>
          <w:bCs/>
          <w:sz w:val="24"/>
          <w:szCs w:val="24"/>
        </w:rPr>
      </w:pPr>
      <w:bookmarkStart w:id="10" w:name="_Toc590483818"/>
      <w:bookmarkEnd w:id="9"/>
      <w:r w:rsidRPr="005208C5">
        <w:rPr>
          <w:sz w:val="24"/>
          <w:szCs w:val="24"/>
        </w:rPr>
        <w:t>HIV still has no treatment or vaccine as of 2020 (Mayer et al.). Nonetheless, certain drugs have shown significant efficacy in preventing HIV transmission. Pre-exposure prophylaxis (PrEP), a combination of two HIV drugs—tenofovir and emtricitabine—has shown up to 99% efficacy in preventing HIV infection when used as directed (Molina et al., 2022). Tenofovir on its alone, used as a PrEP variation, is said to be especially effective in inhibiting HIV transmission, although garnering less scientific attention (Murchu et al., 2022; Ogbuagu et al., 2021).</w:t>
      </w:r>
      <w:r w:rsidRPr="005208C5">
        <w:rPr>
          <w:rStyle w:val="apple-converted-space"/>
          <w:rFonts w:eastAsia="Times New Roman"/>
          <w:color w:val="000000" w:themeColor="text1"/>
          <w:sz w:val="24"/>
          <w:szCs w:val="24"/>
        </w:rPr>
        <w:t> </w:t>
      </w:r>
      <w:r w:rsidR="0C736B6A" w:rsidRPr="005208C5">
        <w:rPr>
          <w:sz w:val="24"/>
          <w:szCs w:val="24"/>
        </w:rPr>
        <w:t xml:space="preserve">Furthermore, tenofovir plus emtricitabine, as well as tenofovir alone, have demonstrated decreased effectiveness in preventing HIV </w:t>
      </w:r>
      <w:r w:rsidR="0C736B6A" w:rsidRPr="005208C5">
        <w:rPr>
          <w:sz w:val="24"/>
          <w:szCs w:val="24"/>
        </w:rPr>
        <w:lastRenderedPageBreak/>
        <w:t>transmission in women. This discrepancy is thought to stem from the predominance of tenofovir-resistant HIV strains transmitted through sexual intercourse and drug use among women (Marrazzo et al., 2024). In such cases, using tenofovir as a topical microbicide has shown more effective than oral therapy in preventing HIV transmission (Glidden et al., 2021; Mujugira et al., 2021).</w:t>
      </w:r>
      <w:r w:rsidR="0C736B6A" w:rsidRPr="005208C5">
        <w:rPr>
          <w:rStyle w:val="apple-converted-space"/>
          <w:rFonts w:eastAsia="Times New Roman"/>
          <w:color w:val="000000" w:themeColor="text1"/>
          <w:sz w:val="24"/>
          <w:szCs w:val="24"/>
        </w:rPr>
        <w:t> </w:t>
      </w:r>
    </w:p>
    <w:p w14:paraId="407C2A06" w14:textId="09FDBC1C" w:rsidR="00E75C67" w:rsidRPr="004A0F9F" w:rsidRDefault="6189567C" w:rsidP="005637F8">
      <w:pPr>
        <w:pStyle w:val="Heading1"/>
        <w:spacing w:line="360" w:lineRule="auto"/>
        <w:jc w:val="both"/>
      </w:pPr>
      <w:bookmarkStart w:id="11" w:name="_Toc165334330"/>
      <w:r w:rsidRPr="46C455A4">
        <w:t>5. Public health response</w:t>
      </w:r>
      <w:bookmarkEnd w:id="10"/>
      <w:bookmarkEnd w:id="11"/>
      <w:r w:rsidRPr="46C455A4">
        <w:t xml:space="preserve"> </w:t>
      </w:r>
    </w:p>
    <w:p w14:paraId="4750B4E9" w14:textId="77777777" w:rsidR="006E05A7" w:rsidRPr="00EB499D" w:rsidRDefault="006E05A7" w:rsidP="005637F8">
      <w:pPr>
        <w:spacing w:line="360" w:lineRule="auto"/>
        <w:jc w:val="both"/>
        <w:rPr>
          <w:rFonts w:asciiTheme="majorHAnsi" w:eastAsia="Times New Roman" w:hAnsiTheme="majorHAnsi" w:cstheme="majorBidi"/>
          <w:color w:val="000000" w:themeColor="text1"/>
          <w:sz w:val="24"/>
          <w:szCs w:val="24"/>
        </w:rPr>
      </w:pPr>
    </w:p>
    <w:p w14:paraId="455F3583" w14:textId="6DEB61A9" w:rsidR="00112B0D" w:rsidRPr="00EB499D" w:rsidRDefault="3A044EB8" w:rsidP="005637F8">
      <w:pPr>
        <w:spacing w:line="360" w:lineRule="auto"/>
        <w:jc w:val="both"/>
        <w:rPr>
          <w:rFonts w:asciiTheme="majorHAnsi" w:eastAsia="Times New Roman" w:hAnsiTheme="majorHAnsi" w:cstheme="majorBidi"/>
          <w:color w:val="000000"/>
          <w:sz w:val="24"/>
          <w:szCs w:val="24"/>
        </w:rPr>
      </w:pPr>
      <w:r w:rsidRPr="46C455A4">
        <w:rPr>
          <w:rFonts w:asciiTheme="majorHAnsi" w:eastAsia="Times New Roman" w:hAnsiTheme="majorHAnsi" w:cstheme="majorBidi"/>
          <w:color w:val="000000" w:themeColor="text1"/>
          <w:sz w:val="24"/>
          <w:szCs w:val="24"/>
        </w:rPr>
        <w:t>As s</w:t>
      </w:r>
      <w:r w:rsidR="46E8CEC7" w:rsidRPr="46C455A4">
        <w:rPr>
          <w:rFonts w:asciiTheme="majorHAnsi" w:eastAsia="Times New Roman" w:hAnsiTheme="majorHAnsi" w:cstheme="majorBidi"/>
          <w:color w:val="000000" w:themeColor="text1"/>
          <w:sz w:val="24"/>
          <w:szCs w:val="24"/>
        </w:rPr>
        <w:t>t</w:t>
      </w:r>
      <w:r w:rsidR="225AF3FA" w:rsidRPr="46C455A4">
        <w:rPr>
          <w:rFonts w:asciiTheme="majorHAnsi" w:eastAsia="Times New Roman" w:hAnsiTheme="majorHAnsi" w:cstheme="majorBidi"/>
          <w:color w:val="000000" w:themeColor="text1"/>
          <w:sz w:val="24"/>
          <w:szCs w:val="24"/>
        </w:rPr>
        <w:t xml:space="preserve">ates by palfreeman </w:t>
      </w:r>
      <w:r w:rsidR="11EF3291" w:rsidRPr="46C455A4">
        <w:rPr>
          <w:rFonts w:asciiTheme="majorHAnsi" w:eastAsia="Times New Roman" w:hAnsiTheme="majorHAnsi" w:cstheme="majorBidi"/>
          <w:color w:val="000000" w:themeColor="text1"/>
          <w:sz w:val="24"/>
          <w:szCs w:val="24"/>
        </w:rPr>
        <w:t>et al., (2020) In</w:t>
      </w:r>
      <w:r w:rsidRPr="46C455A4">
        <w:rPr>
          <w:rFonts w:asciiTheme="majorHAnsi" w:eastAsia="Times New Roman" w:hAnsiTheme="majorHAnsi" w:cstheme="majorBidi"/>
          <w:color w:val="000000" w:themeColor="text1"/>
          <w:sz w:val="24"/>
          <w:szCs w:val="24"/>
        </w:rPr>
        <w:t xml:space="preserve"> the United Kingdom and Wales, public health approaches to HIV have changed dramatically in recent decades. Initially, the discovery of HIV/AIDS in the 1980s caused fear and misunderstanding, resulting in stigma and discrimination against people who were infected. However, as the knowledge of the virus grew and treatment possibilities expanded, public health efforts switched to prevention, education, and </w:t>
      </w:r>
      <w:r w:rsidR="5F7F12BC" w:rsidRPr="46C455A4">
        <w:rPr>
          <w:rFonts w:asciiTheme="majorHAnsi" w:eastAsia="Times New Roman" w:hAnsiTheme="majorHAnsi" w:cstheme="majorBidi"/>
          <w:color w:val="000000" w:themeColor="text1"/>
          <w:sz w:val="24"/>
          <w:szCs w:val="24"/>
        </w:rPr>
        <w:t>support (Kaya 2024</w:t>
      </w:r>
      <w:r w:rsidR="652BD8B0" w:rsidRPr="46C455A4">
        <w:rPr>
          <w:rFonts w:asciiTheme="majorHAnsi" w:eastAsia="Times New Roman" w:hAnsiTheme="majorHAnsi" w:cstheme="majorBidi"/>
          <w:color w:val="000000" w:themeColor="text1"/>
          <w:sz w:val="24"/>
          <w:szCs w:val="24"/>
        </w:rPr>
        <w:t>), (</w:t>
      </w:r>
      <w:r w:rsidR="1B7EDFAB" w:rsidRPr="46C455A4">
        <w:rPr>
          <w:rFonts w:asciiTheme="majorHAnsi" w:eastAsia="Times New Roman" w:hAnsiTheme="majorHAnsi" w:cstheme="majorBidi"/>
          <w:color w:val="000000" w:themeColor="text1"/>
          <w:sz w:val="24"/>
          <w:szCs w:val="24"/>
        </w:rPr>
        <w:t>safreeed Harmon et al.,</w:t>
      </w:r>
      <w:r w:rsidR="652BD8B0" w:rsidRPr="46C455A4">
        <w:rPr>
          <w:rFonts w:asciiTheme="majorHAnsi" w:eastAsia="Times New Roman" w:hAnsiTheme="majorHAnsi" w:cstheme="majorBidi"/>
          <w:color w:val="000000" w:themeColor="text1"/>
          <w:sz w:val="24"/>
          <w:szCs w:val="24"/>
        </w:rPr>
        <w:t xml:space="preserve"> 2020)</w:t>
      </w:r>
      <w:r w:rsidRPr="46C455A4">
        <w:rPr>
          <w:rFonts w:asciiTheme="majorHAnsi" w:eastAsia="Times New Roman" w:hAnsiTheme="majorHAnsi" w:cstheme="majorBidi"/>
          <w:color w:val="000000" w:themeColor="text1"/>
          <w:sz w:val="24"/>
          <w:szCs w:val="24"/>
        </w:rPr>
        <w:t>.</w:t>
      </w:r>
    </w:p>
    <w:p w14:paraId="4AE2C685" w14:textId="407C67C7" w:rsidR="009310F3" w:rsidRPr="00EB499D" w:rsidRDefault="62EBA09B" w:rsidP="005637F8">
      <w:pPr>
        <w:spacing w:line="360" w:lineRule="auto"/>
        <w:jc w:val="both"/>
        <w:rPr>
          <w:rFonts w:asciiTheme="majorHAnsi" w:eastAsia="Times New Roman" w:hAnsiTheme="majorHAnsi" w:cstheme="majorBidi"/>
          <w:color w:val="000000"/>
          <w:sz w:val="24"/>
          <w:szCs w:val="24"/>
        </w:rPr>
      </w:pPr>
      <w:r w:rsidRPr="46C455A4">
        <w:rPr>
          <w:rFonts w:asciiTheme="majorHAnsi" w:eastAsia="Times New Roman" w:hAnsiTheme="majorHAnsi" w:cstheme="majorBidi"/>
          <w:color w:val="000000" w:themeColor="text1"/>
          <w:sz w:val="24"/>
          <w:szCs w:val="24"/>
        </w:rPr>
        <w:t>Here is how public health agencies in the UK and Wales responded to HIV:</w:t>
      </w:r>
    </w:p>
    <w:p w14:paraId="1CA61BF5" w14:textId="721D75CA" w:rsidR="00E401C1" w:rsidRPr="00EB499D" w:rsidRDefault="58B3FC98" w:rsidP="005637F8">
      <w:pPr>
        <w:pStyle w:val="ListParagraph"/>
        <w:numPr>
          <w:ilvl w:val="0"/>
          <w:numId w:val="12"/>
        </w:num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preventative and Education efforts: Public health organisations have undertaken major efforts to promote awareness about HIV transmission, preventative options (such as condom usage and pre-exposure prophylaxis), and the significance of frequent testing. These efforts seek to remove stigma, promote safe sexual behaviours, and encourage early diagnosis (Lazarus et al</w:t>
      </w:r>
      <w:r w:rsidR="55C98DB4" w:rsidRPr="46C455A4">
        <w:rPr>
          <w:rFonts w:asciiTheme="majorHAnsi" w:eastAsia="Times New Roman" w:hAnsiTheme="majorHAnsi" w:cstheme="majorBidi"/>
          <w:color w:val="000000" w:themeColor="text1"/>
          <w:sz w:val="24"/>
          <w:szCs w:val="24"/>
        </w:rPr>
        <w:t>., 2021)</w:t>
      </w:r>
    </w:p>
    <w:p w14:paraId="07A9F08B" w14:textId="7FA624A4" w:rsidR="001B3F24" w:rsidRPr="00EB499D" w:rsidRDefault="0DF8D60B" w:rsidP="005637F8">
      <w:pPr>
        <w:pStyle w:val="ListParagraph"/>
        <w:numPr>
          <w:ilvl w:val="0"/>
          <w:numId w:val="12"/>
        </w:num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HIV Testing Services: Steps have been taken to make HIV testing more accessible and routine. Testing is offered by healthcare practitioners, sexual health clinics, and community organisations. Additionally, home testing kits and self-testing options have been offered to reach those who may not have access to typical healthcare venues</w:t>
      </w:r>
      <w:r w:rsidR="3E2A91A9" w:rsidRPr="46C455A4">
        <w:rPr>
          <w:rFonts w:asciiTheme="majorHAnsi" w:eastAsia="Times New Roman" w:hAnsiTheme="majorHAnsi" w:cstheme="majorBidi"/>
          <w:color w:val="000000" w:themeColor="text1"/>
          <w:sz w:val="24"/>
          <w:szCs w:val="24"/>
        </w:rPr>
        <w:t xml:space="preserve"> (Pantelic et al.,</w:t>
      </w:r>
      <w:r w:rsidR="05801991" w:rsidRPr="46C455A4">
        <w:rPr>
          <w:rFonts w:asciiTheme="majorHAnsi" w:eastAsia="Times New Roman" w:hAnsiTheme="majorHAnsi" w:cstheme="majorBidi"/>
          <w:color w:val="000000" w:themeColor="text1"/>
          <w:sz w:val="24"/>
          <w:szCs w:val="24"/>
        </w:rPr>
        <w:t xml:space="preserve"> 2022).</w:t>
      </w:r>
    </w:p>
    <w:p w14:paraId="2C997309" w14:textId="7B5420A1" w:rsidR="002B43BA" w:rsidRPr="00EB499D" w:rsidRDefault="312608A6" w:rsidP="005637F8">
      <w:pPr>
        <w:pStyle w:val="ListParagraph"/>
        <w:numPr>
          <w:ilvl w:val="0"/>
          <w:numId w:val="12"/>
        </w:num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 xml:space="preserve">Treatment &amp; Care Services: The availability of antiretroviral medication (ART) has converted HIV from a potentially fatal infection to a manageable chronic condition. Individuals diagnosed with HIV benefit from extensive treatment, care, and support services provided by public health systems. This involves monitoring viral load, </w:t>
      </w:r>
      <w:r w:rsidRPr="46C455A4">
        <w:rPr>
          <w:rFonts w:asciiTheme="majorHAnsi" w:eastAsia="Times New Roman" w:hAnsiTheme="majorHAnsi" w:cstheme="majorBidi"/>
          <w:color w:val="000000" w:themeColor="text1"/>
          <w:sz w:val="24"/>
          <w:szCs w:val="24"/>
        </w:rPr>
        <w:lastRenderedPageBreak/>
        <w:t>controlling pharmaceutical adverse effects, and dealing with any related health complications</w:t>
      </w:r>
      <w:r w:rsidR="7C285809" w:rsidRPr="46C455A4">
        <w:rPr>
          <w:rFonts w:asciiTheme="majorHAnsi" w:eastAsia="Times New Roman" w:hAnsiTheme="majorHAnsi" w:cstheme="majorBidi"/>
          <w:color w:val="000000" w:themeColor="text1"/>
          <w:sz w:val="24"/>
          <w:szCs w:val="24"/>
        </w:rPr>
        <w:t xml:space="preserve"> (Molldrem and Smith,2020). </w:t>
      </w:r>
    </w:p>
    <w:p w14:paraId="559D5894" w14:textId="010D6504" w:rsidR="00957C4D" w:rsidRPr="00EB499D" w:rsidRDefault="09F2EAEB" w:rsidP="005637F8">
      <w:pPr>
        <w:pStyle w:val="ListParagraph"/>
        <w:numPr>
          <w:ilvl w:val="0"/>
          <w:numId w:val="12"/>
        </w:num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 xml:space="preserve">Harm Reduction measures: Public health programmes promote harm reduction measures in high-risk groups, such as drug users and men who have sex with males. These techniques include needle exchange programmes, opioid replacement treatment, and focused outreach to offer assistance and </w:t>
      </w:r>
      <w:r w:rsidR="00BDC3C1" w:rsidRPr="46C455A4">
        <w:rPr>
          <w:rFonts w:asciiTheme="majorHAnsi" w:eastAsia="Times New Roman" w:hAnsiTheme="majorHAnsi" w:cstheme="majorBidi"/>
          <w:color w:val="000000" w:themeColor="text1"/>
          <w:sz w:val="24"/>
          <w:szCs w:val="24"/>
        </w:rPr>
        <w:t xml:space="preserve">resources </w:t>
      </w:r>
      <w:r w:rsidR="331D25A0" w:rsidRPr="46C455A4">
        <w:rPr>
          <w:rFonts w:asciiTheme="majorHAnsi" w:eastAsia="Times New Roman" w:hAnsiTheme="majorHAnsi" w:cstheme="majorBidi"/>
          <w:color w:val="000000" w:themeColor="text1"/>
          <w:sz w:val="24"/>
          <w:szCs w:val="24"/>
        </w:rPr>
        <w:t>(Health org</w:t>
      </w:r>
      <w:r w:rsidR="6B68F76B" w:rsidRPr="46C455A4">
        <w:rPr>
          <w:rFonts w:asciiTheme="majorHAnsi" w:eastAsia="Times New Roman" w:hAnsiTheme="majorHAnsi" w:cstheme="majorBidi"/>
          <w:color w:val="000000" w:themeColor="text1"/>
          <w:sz w:val="24"/>
          <w:szCs w:val="24"/>
        </w:rPr>
        <w:t>anization</w:t>
      </w:r>
      <w:r w:rsidR="00BDC3C1" w:rsidRPr="46C455A4">
        <w:rPr>
          <w:rFonts w:asciiTheme="majorHAnsi" w:eastAsia="Times New Roman" w:hAnsiTheme="majorHAnsi" w:cstheme="majorBidi"/>
          <w:color w:val="000000" w:themeColor="text1"/>
          <w:sz w:val="24"/>
          <w:szCs w:val="24"/>
        </w:rPr>
        <w:t>,202</w:t>
      </w:r>
      <w:r w:rsidR="331D25A0" w:rsidRPr="46C455A4">
        <w:rPr>
          <w:rFonts w:asciiTheme="majorHAnsi" w:eastAsia="Times New Roman" w:hAnsiTheme="majorHAnsi" w:cstheme="majorBidi"/>
          <w:color w:val="000000" w:themeColor="text1"/>
          <w:sz w:val="24"/>
          <w:szCs w:val="24"/>
        </w:rPr>
        <w:t>2</w:t>
      </w:r>
      <w:r w:rsidR="00BDC3C1" w:rsidRPr="46C455A4">
        <w:rPr>
          <w:rFonts w:asciiTheme="majorHAnsi" w:eastAsia="Times New Roman" w:hAnsiTheme="majorHAnsi" w:cstheme="majorBidi"/>
          <w:color w:val="000000" w:themeColor="text1"/>
          <w:sz w:val="24"/>
          <w:szCs w:val="24"/>
        </w:rPr>
        <w:t xml:space="preserve">). </w:t>
      </w:r>
    </w:p>
    <w:p w14:paraId="249B56F5" w14:textId="0DC8812B" w:rsidR="00D93E54" w:rsidRPr="00EB499D" w:rsidRDefault="732A2411" w:rsidP="005637F8">
      <w:pPr>
        <w:pStyle w:val="ListParagraph"/>
        <w:numPr>
          <w:ilvl w:val="0"/>
          <w:numId w:val="12"/>
        </w:numPr>
        <w:spacing w:line="360" w:lineRule="auto"/>
        <w:jc w:val="both"/>
        <w:rPr>
          <w:rFonts w:asciiTheme="majorHAnsi" w:eastAsia="Times New Roman" w:hAnsiTheme="majorHAnsi" w:cstheme="majorBidi"/>
          <w:color w:val="000000" w:themeColor="text1"/>
          <w:sz w:val="24"/>
          <w:szCs w:val="24"/>
        </w:rPr>
      </w:pPr>
      <w:r w:rsidRPr="46C455A4">
        <w:rPr>
          <w:rFonts w:asciiTheme="majorHAnsi" w:eastAsia="Times New Roman" w:hAnsiTheme="majorHAnsi" w:cstheme="majorBidi"/>
          <w:color w:val="000000" w:themeColor="text1"/>
          <w:sz w:val="24"/>
          <w:szCs w:val="24"/>
        </w:rPr>
        <w:t xml:space="preserve">Public health agencies invest in research to improve understanding of HIV epidemiology, develop new prevention methods (such as HIV vaccines and </w:t>
      </w:r>
      <w:r w:rsidR="1BE46BD0" w:rsidRPr="46C455A4">
        <w:rPr>
          <w:rFonts w:asciiTheme="majorHAnsi" w:eastAsia="Times New Roman" w:hAnsiTheme="majorHAnsi" w:cstheme="majorBidi"/>
          <w:color w:val="000000" w:themeColor="text1"/>
          <w:sz w:val="24"/>
          <w:szCs w:val="24"/>
        </w:rPr>
        <w:t>long acting</w:t>
      </w:r>
      <w:r w:rsidRPr="46C455A4">
        <w:rPr>
          <w:rFonts w:asciiTheme="majorHAnsi" w:eastAsia="Times New Roman" w:hAnsiTheme="majorHAnsi" w:cstheme="majorBidi"/>
          <w:color w:val="000000" w:themeColor="text1"/>
          <w:sz w:val="24"/>
          <w:szCs w:val="24"/>
        </w:rPr>
        <w:t xml:space="preserve"> injectables), and address emerging challenges, such as HIV in key populations and co-infections with other sexually transmitted </w:t>
      </w:r>
      <w:r w:rsidR="6B68F76B" w:rsidRPr="46C455A4">
        <w:rPr>
          <w:rFonts w:asciiTheme="majorHAnsi" w:eastAsia="Times New Roman" w:hAnsiTheme="majorHAnsi" w:cstheme="majorBidi"/>
          <w:color w:val="000000" w:themeColor="text1"/>
          <w:sz w:val="24"/>
          <w:szCs w:val="24"/>
        </w:rPr>
        <w:t xml:space="preserve">diseases (Namiba </w:t>
      </w:r>
      <w:r w:rsidR="59855231" w:rsidRPr="46C455A4">
        <w:rPr>
          <w:rFonts w:asciiTheme="majorHAnsi" w:eastAsia="Times New Roman" w:hAnsiTheme="majorHAnsi" w:cstheme="majorBidi"/>
          <w:color w:val="000000" w:themeColor="text1"/>
          <w:sz w:val="24"/>
          <w:szCs w:val="24"/>
        </w:rPr>
        <w:t>et al., 2022), (Kall et al</w:t>
      </w:r>
      <w:r w:rsidR="3324AA73" w:rsidRPr="46C455A4">
        <w:rPr>
          <w:rFonts w:asciiTheme="majorHAnsi" w:eastAsia="Times New Roman" w:hAnsiTheme="majorHAnsi" w:cstheme="majorBidi"/>
          <w:color w:val="000000" w:themeColor="text1"/>
          <w:sz w:val="24"/>
          <w:szCs w:val="24"/>
        </w:rPr>
        <w:t>.</w:t>
      </w:r>
      <w:r w:rsidR="0854DA5A" w:rsidRPr="46C455A4">
        <w:rPr>
          <w:rFonts w:asciiTheme="majorHAnsi" w:eastAsia="Times New Roman" w:hAnsiTheme="majorHAnsi" w:cstheme="majorBidi"/>
          <w:color w:val="000000" w:themeColor="text1"/>
          <w:sz w:val="24"/>
          <w:szCs w:val="24"/>
        </w:rPr>
        <w:t xml:space="preserve">, 2020) </w:t>
      </w:r>
      <w:r w:rsidR="00C565E8">
        <w:br/>
      </w:r>
      <w:r w:rsidRPr="46C455A4">
        <w:rPr>
          <w:rFonts w:asciiTheme="majorHAnsi" w:eastAsia="Times New Roman" w:hAnsiTheme="majorHAnsi" w:cstheme="majorBidi"/>
          <w:color w:val="000000" w:themeColor="text1"/>
          <w:sz w:val="24"/>
          <w:szCs w:val="24"/>
        </w:rPr>
        <w:t xml:space="preserve">Overall, </w:t>
      </w:r>
      <w:r w:rsidR="3D5A87A8" w:rsidRPr="46C455A4">
        <w:rPr>
          <w:rFonts w:asciiTheme="majorHAnsi" w:eastAsia="Times New Roman" w:hAnsiTheme="majorHAnsi" w:cstheme="majorBidi"/>
          <w:color w:val="000000" w:themeColor="text1"/>
          <w:sz w:val="24"/>
          <w:szCs w:val="24"/>
        </w:rPr>
        <w:t>Farhoudi et al., (2022)</w:t>
      </w:r>
      <w:r w:rsidR="72C5CB72" w:rsidRPr="46C455A4">
        <w:rPr>
          <w:rFonts w:asciiTheme="majorHAnsi" w:eastAsia="Times New Roman" w:hAnsiTheme="majorHAnsi" w:cstheme="majorBidi"/>
          <w:color w:val="000000" w:themeColor="text1"/>
          <w:sz w:val="24"/>
          <w:szCs w:val="24"/>
        </w:rPr>
        <w:t xml:space="preserve"> believes that the</w:t>
      </w:r>
      <w:r w:rsidRPr="46C455A4">
        <w:rPr>
          <w:rFonts w:asciiTheme="majorHAnsi" w:eastAsia="Times New Roman" w:hAnsiTheme="majorHAnsi" w:cstheme="majorBidi"/>
          <w:color w:val="000000" w:themeColor="text1"/>
          <w:sz w:val="24"/>
          <w:szCs w:val="24"/>
        </w:rPr>
        <w:t xml:space="preserve"> public health response to HIV in the United Kingdom and Wales remains focused on a holistic approach that includes prevention, testing, treatment, and support services. While tremendous progress has been made, further efforts are required to attain the goals of zero new HIV transmissions, zero HIV-related fatalities, and zero HIV-related stigma and prejudice.</w:t>
      </w:r>
    </w:p>
    <w:p w14:paraId="13D167DD" w14:textId="77777777" w:rsidR="00112B0D" w:rsidRPr="00EB499D" w:rsidRDefault="00112B0D" w:rsidP="005637F8">
      <w:pPr>
        <w:spacing w:line="360" w:lineRule="auto"/>
        <w:jc w:val="both"/>
        <w:rPr>
          <w:rFonts w:asciiTheme="majorHAnsi" w:eastAsia="Times New Roman" w:hAnsiTheme="majorHAnsi" w:cstheme="majorBidi"/>
          <w:color w:val="000000" w:themeColor="text1"/>
          <w:sz w:val="24"/>
          <w:szCs w:val="24"/>
        </w:rPr>
      </w:pPr>
    </w:p>
    <w:p w14:paraId="1B8F6002" w14:textId="52E46FFA" w:rsidR="00053964" w:rsidRPr="00EB499D" w:rsidRDefault="00053964" w:rsidP="005637F8">
      <w:pPr>
        <w:spacing w:line="360" w:lineRule="auto"/>
        <w:jc w:val="both"/>
        <w:rPr>
          <w:rFonts w:asciiTheme="majorHAnsi" w:hAnsiTheme="majorHAnsi" w:cstheme="majorBidi"/>
          <w:color w:val="000000" w:themeColor="text1"/>
          <w:sz w:val="24"/>
          <w:szCs w:val="24"/>
        </w:rPr>
      </w:pPr>
    </w:p>
    <w:p w14:paraId="21E1039C" w14:textId="22791E62" w:rsidR="00E75C67" w:rsidRPr="004A0F9F" w:rsidRDefault="6189567C" w:rsidP="005637F8">
      <w:pPr>
        <w:pStyle w:val="Heading1"/>
        <w:spacing w:line="360" w:lineRule="auto"/>
        <w:jc w:val="both"/>
      </w:pPr>
      <w:bookmarkStart w:id="12" w:name="_Toc165334331"/>
      <w:r w:rsidRPr="46C455A4">
        <w:t>6. Impact on Society, Health Professionals, and Care</w:t>
      </w:r>
      <w:bookmarkEnd w:id="12"/>
    </w:p>
    <w:p w14:paraId="3F843B64" w14:textId="5A612A7B" w:rsidR="007F01A1" w:rsidRDefault="32144F62" w:rsidP="005637F8">
      <w:pPr>
        <w:pStyle w:val="paragraph"/>
        <w:spacing w:line="360" w:lineRule="auto"/>
        <w:jc w:val="both"/>
        <w:divId w:val="936602527"/>
        <w:rPr>
          <w:rFonts w:asciiTheme="majorHAnsi" w:hAnsiTheme="majorHAnsi" w:cstheme="majorBidi"/>
          <w:color w:val="000000" w:themeColor="text1"/>
        </w:rPr>
      </w:pPr>
      <w:r w:rsidRPr="46C455A4">
        <w:rPr>
          <w:rFonts w:asciiTheme="majorHAnsi" w:eastAsia="Times New Roman" w:hAnsiTheme="majorHAnsi" w:cstheme="majorBidi"/>
          <w:color w:val="000000" w:themeColor="text1"/>
        </w:rPr>
        <w:t xml:space="preserve">HIV has had a lasting impact on society, healthcare professionals, and the care environment in Wales and the United Kingdom, altering attitudes, processes, and approaches to public health and patient </w:t>
      </w:r>
      <w:r w:rsidR="61EEA80C" w:rsidRPr="46C455A4">
        <w:rPr>
          <w:rFonts w:asciiTheme="majorHAnsi" w:eastAsia="Times New Roman" w:hAnsiTheme="majorHAnsi" w:cstheme="majorBidi"/>
          <w:color w:val="000000" w:themeColor="text1"/>
        </w:rPr>
        <w:t xml:space="preserve">welfare </w:t>
      </w:r>
      <w:r w:rsidR="61EEA80C" w:rsidRPr="46C455A4">
        <w:rPr>
          <w:rFonts w:asciiTheme="majorHAnsi" w:hAnsiTheme="majorHAnsi" w:cstheme="majorBidi"/>
          <w:color w:val="000000" w:themeColor="text1"/>
        </w:rPr>
        <w:t>(</w:t>
      </w:r>
      <w:r w:rsidR="2B79B04F" w:rsidRPr="46C455A4">
        <w:rPr>
          <w:rFonts w:asciiTheme="majorHAnsi" w:hAnsiTheme="majorHAnsi" w:cstheme="majorBidi"/>
          <w:color w:val="000000" w:themeColor="text1"/>
        </w:rPr>
        <w:t>Banldassarre et</w:t>
      </w:r>
      <w:r w:rsidR="79F8EB1F" w:rsidRPr="46C455A4">
        <w:rPr>
          <w:rFonts w:asciiTheme="majorHAnsi" w:hAnsiTheme="majorHAnsi" w:cstheme="majorBidi"/>
          <w:color w:val="000000" w:themeColor="text1"/>
        </w:rPr>
        <w:t xml:space="preserve"> al., 2021), </w:t>
      </w:r>
      <w:r w:rsidR="61EEA80C" w:rsidRPr="46C455A4">
        <w:rPr>
          <w:rFonts w:asciiTheme="majorHAnsi" w:hAnsiTheme="majorHAnsi" w:cstheme="majorBidi"/>
          <w:color w:val="000000" w:themeColor="text1"/>
        </w:rPr>
        <w:t>(</w:t>
      </w:r>
      <w:r w:rsidR="79F8EB1F" w:rsidRPr="46C455A4">
        <w:rPr>
          <w:rFonts w:asciiTheme="majorHAnsi" w:hAnsiTheme="majorHAnsi" w:cstheme="majorBidi"/>
          <w:color w:val="000000" w:themeColor="text1"/>
        </w:rPr>
        <w:t>Beichler et al., 202</w:t>
      </w:r>
      <w:r w:rsidR="61EEA80C" w:rsidRPr="46C455A4">
        <w:rPr>
          <w:rFonts w:asciiTheme="majorHAnsi" w:hAnsiTheme="majorHAnsi" w:cstheme="majorBidi"/>
          <w:color w:val="000000" w:themeColor="text1"/>
        </w:rPr>
        <w:t>3)</w:t>
      </w:r>
      <w:r w:rsidR="7920A91D" w:rsidRPr="46C455A4">
        <w:rPr>
          <w:rFonts w:asciiTheme="majorHAnsi" w:hAnsiTheme="majorHAnsi" w:cstheme="majorBidi"/>
          <w:color w:val="000000" w:themeColor="text1"/>
        </w:rPr>
        <w:t>.</w:t>
      </w:r>
    </w:p>
    <w:p w14:paraId="7DC2FA84" w14:textId="1627A3B6" w:rsidR="00680ECE" w:rsidRPr="005208C5" w:rsidRDefault="004C13DD" w:rsidP="005637F8">
      <w:pPr>
        <w:pStyle w:val="Heading2"/>
        <w:spacing w:line="360" w:lineRule="auto"/>
        <w:jc w:val="both"/>
        <w:divId w:val="936602527"/>
      </w:pPr>
      <w:bookmarkStart w:id="13" w:name="_Toc165334332"/>
      <w:r w:rsidRPr="005208C5">
        <w:t xml:space="preserve">6.1 </w:t>
      </w:r>
      <w:r w:rsidR="16783A92" w:rsidRPr="005208C5">
        <w:t>Society</w:t>
      </w:r>
      <w:bookmarkEnd w:id="13"/>
      <w:r w:rsidR="16783A92" w:rsidRPr="005208C5">
        <w:t xml:space="preserve"> </w:t>
      </w:r>
    </w:p>
    <w:p w14:paraId="5C545C4D" w14:textId="5013C398" w:rsidR="00943023" w:rsidRDefault="463A9E1F" w:rsidP="005637F8">
      <w:pPr>
        <w:pStyle w:val="paragraph"/>
        <w:spacing w:line="360" w:lineRule="auto"/>
        <w:jc w:val="both"/>
        <w:divId w:val="936602527"/>
        <w:rPr>
          <w:rFonts w:asciiTheme="majorHAnsi" w:eastAsia="Times New Roman" w:hAnsiTheme="majorHAnsi" w:cstheme="majorBidi"/>
          <w:color w:val="000000"/>
        </w:rPr>
      </w:pPr>
      <w:r w:rsidRPr="46C455A4">
        <w:rPr>
          <w:rFonts w:asciiTheme="majorHAnsi" w:eastAsia="Times New Roman" w:hAnsiTheme="majorHAnsi" w:cstheme="majorBidi"/>
          <w:color w:val="000000" w:themeColor="text1"/>
        </w:rPr>
        <w:t xml:space="preserve">Hedge </w:t>
      </w:r>
      <w:r w:rsidR="57A4FF72" w:rsidRPr="46C455A4">
        <w:rPr>
          <w:rFonts w:asciiTheme="majorHAnsi" w:eastAsia="Times New Roman" w:hAnsiTheme="majorHAnsi" w:cstheme="majorBidi"/>
          <w:color w:val="000000" w:themeColor="text1"/>
        </w:rPr>
        <w:t xml:space="preserve">et al., (2021) </w:t>
      </w:r>
      <w:r w:rsidR="038B6F75" w:rsidRPr="46C455A4">
        <w:rPr>
          <w:rFonts w:asciiTheme="majorHAnsi" w:eastAsia="Times New Roman" w:hAnsiTheme="majorHAnsi" w:cstheme="majorBidi"/>
          <w:color w:val="000000" w:themeColor="text1"/>
        </w:rPr>
        <w:t>claims that HIV</w:t>
      </w:r>
      <w:r w:rsidR="50ABC73E" w:rsidRPr="46C455A4">
        <w:rPr>
          <w:rFonts w:asciiTheme="majorHAnsi" w:eastAsia="Times New Roman" w:hAnsiTheme="majorHAnsi" w:cstheme="majorBidi"/>
          <w:color w:val="000000" w:themeColor="text1"/>
        </w:rPr>
        <w:t xml:space="preserve">/AIDS has caused significant changes in society, questioning long-held assumptions about sexuality, gender, and health. The advent of the pandemic sparked fear and disinformation, leading to stigma and prejudice against people </w:t>
      </w:r>
      <w:r w:rsidR="50ABC73E" w:rsidRPr="46C455A4">
        <w:rPr>
          <w:rFonts w:asciiTheme="majorHAnsi" w:eastAsia="Times New Roman" w:hAnsiTheme="majorHAnsi" w:cstheme="majorBidi"/>
          <w:color w:val="000000" w:themeColor="text1"/>
        </w:rPr>
        <w:lastRenderedPageBreak/>
        <w:t xml:space="preserve">affected. As a result, people living with HIV frequently face ostracism, limiting their access to critical support networks and services. Nonetheless, there have been strong attempts over time to eliminate stigma via education, activism, and community engagement. Public health initiatives have been crucial in increasing awareness, cultivating empathy, and building inclusion, progressively tearing down barriers and creating a more supportive atmosphere for those living with </w:t>
      </w:r>
      <w:r w:rsidR="4EC4F2E7" w:rsidRPr="46C455A4">
        <w:rPr>
          <w:rFonts w:asciiTheme="majorHAnsi" w:eastAsia="Times New Roman" w:hAnsiTheme="majorHAnsi" w:cstheme="majorBidi"/>
          <w:color w:val="000000" w:themeColor="text1"/>
        </w:rPr>
        <w:t>HIV (Ziersch et al</w:t>
      </w:r>
      <w:r w:rsidR="7FFC9528" w:rsidRPr="46C455A4">
        <w:rPr>
          <w:rFonts w:asciiTheme="majorHAnsi" w:eastAsia="Times New Roman" w:hAnsiTheme="majorHAnsi" w:cstheme="majorBidi"/>
          <w:color w:val="000000" w:themeColor="text1"/>
        </w:rPr>
        <w:t>., 2021</w:t>
      </w:r>
      <w:r w:rsidR="10DBC0AC" w:rsidRPr="46C455A4">
        <w:rPr>
          <w:rFonts w:asciiTheme="majorHAnsi" w:eastAsia="Times New Roman" w:hAnsiTheme="majorHAnsi" w:cstheme="majorBidi"/>
          <w:color w:val="000000" w:themeColor="text1"/>
        </w:rPr>
        <w:t xml:space="preserve">). </w:t>
      </w:r>
    </w:p>
    <w:p w14:paraId="48A24F08" w14:textId="77777777" w:rsidR="004A0F9F" w:rsidRDefault="004A0F9F" w:rsidP="005637F8">
      <w:pPr>
        <w:pStyle w:val="paragraph"/>
        <w:spacing w:line="360" w:lineRule="auto"/>
        <w:jc w:val="both"/>
        <w:divId w:val="936602527"/>
        <w:rPr>
          <w:rFonts w:asciiTheme="majorHAnsi" w:eastAsia="Times New Roman" w:hAnsiTheme="majorHAnsi" w:cstheme="majorBidi"/>
          <w:b/>
          <w:bCs/>
          <w:color w:val="000000"/>
        </w:rPr>
      </w:pPr>
    </w:p>
    <w:p w14:paraId="504505C7" w14:textId="77777777" w:rsidR="004A0F9F" w:rsidRDefault="004A0F9F" w:rsidP="005637F8">
      <w:pPr>
        <w:pStyle w:val="paragraph"/>
        <w:spacing w:line="360" w:lineRule="auto"/>
        <w:jc w:val="both"/>
        <w:divId w:val="936602527"/>
        <w:rPr>
          <w:rFonts w:asciiTheme="majorHAnsi" w:eastAsia="Times New Roman" w:hAnsiTheme="majorHAnsi" w:cstheme="majorBidi"/>
          <w:b/>
          <w:bCs/>
          <w:color w:val="000000"/>
        </w:rPr>
      </w:pPr>
    </w:p>
    <w:p w14:paraId="794D9737" w14:textId="09C0388A" w:rsidR="004A0F9F" w:rsidRDefault="004C13DD" w:rsidP="005637F8">
      <w:pPr>
        <w:pStyle w:val="Heading2"/>
        <w:spacing w:line="360" w:lineRule="auto"/>
        <w:jc w:val="both"/>
        <w:divId w:val="936602527"/>
        <w:rPr>
          <w:color w:val="000000"/>
        </w:rPr>
      </w:pPr>
      <w:bookmarkStart w:id="14" w:name="_Toc165334333"/>
      <w:r>
        <w:t xml:space="preserve">6.2 </w:t>
      </w:r>
      <w:r w:rsidR="50C1EF5D" w:rsidRPr="46C455A4">
        <w:t>Health professionals</w:t>
      </w:r>
      <w:bookmarkEnd w:id="14"/>
      <w:r w:rsidR="50C1EF5D" w:rsidRPr="46C455A4">
        <w:t xml:space="preserve"> </w:t>
      </w:r>
    </w:p>
    <w:p w14:paraId="19B87FDF" w14:textId="501FBDCF" w:rsidR="007F01A1" w:rsidRPr="004A0F9F" w:rsidRDefault="323813FD" w:rsidP="005637F8">
      <w:pPr>
        <w:pStyle w:val="paragraph"/>
        <w:spacing w:line="360" w:lineRule="auto"/>
        <w:jc w:val="both"/>
        <w:divId w:val="936602527"/>
        <w:rPr>
          <w:rFonts w:asciiTheme="majorHAnsi" w:eastAsia="Times New Roman" w:hAnsiTheme="majorHAnsi" w:cstheme="majorBidi"/>
          <w:b/>
          <w:bCs/>
          <w:color w:val="000000"/>
        </w:rPr>
      </w:pPr>
      <w:r w:rsidRPr="46C455A4">
        <w:rPr>
          <w:rFonts w:asciiTheme="majorHAnsi" w:eastAsia="Times New Roman" w:hAnsiTheme="majorHAnsi" w:cstheme="majorBidi"/>
          <w:color w:val="000000" w:themeColor="text1"/>
        </w:rPr>
        <w:t>Masrie et al., (2023), Blesdale et al., (2020)</w:t>
      </w:r>
      <w:r w:rsidR="0E36B628" w:rsidRPr="46C455A4">
        <w:rPr>
          <w:rFonts w:asciiTheme="majorHAnsi" w:eastAsia="Times New Roman" w:hAnsiTheme="majorHAnsi" w:cstheme="majorBidi"/>
          <w:color w:val="000000" w:themeColor="text1"/>
        </w:rPr>
        <w:t xml:space="preserve"> acknow</w:t>
      </w:r>
      <w:r w:rsidR="67203F9D" w:rsidRPr="46C455A4">
        <w:rPr>
          <w:rFonts w:asciiTheme="majorHAnsi" w:eastAsia="Times New Roman" w:hAnsiTheme="majorHAnsi" w:cstheme="majorBidi"/>
          <w:color w:val="000000" w:themeColor="text1"/>
        </w:rPr>
        <w:t xml:space="preserve">ledges </w:t>
      </w:r>
      <w:r w:rsidR="2B0DB8E7" w:rsidRPr="46C455A4">
        <w:rPr>
          <w:rFonts w:asciiTheme="majorHAnsi" w:eastAsia="Times New Roman" w:hAnsiTheme="majorHAnsi" w:cstheme="majorBidi"/>
          <w:color w:val="000000" w:themeColor="text1"/>
        </w:rPr>
        <w:t>that HIV</w:t>
      </w:r>
      <w:r w:rsidR="0E2CDC13" w:rsidRPr="46C455A4">
        <w:rPr>
          <w:rFonts w:asciiTheme="majorHAnsi" w:eastAsia="Times New Roman" w:hAnsiTheme="majorHAnsi" w:cstheme="majorBidi"/>
          <w:color w:val="000000" w:themeColor="text1"/>
        </w:rPr>
        <w:t xml:space="preserve">/AIDS provides a multidimensional challenge to healthcare providers, necessitating both clinical skill and compassionate </w:t>
      </w:r>
      <w:r w:rsidR="074C70B4" w:rsidRPr="46C455A4">
        <w:rPr>
          <w:rFonts w:asciiTheme="majorHAnsi" w:eastAsia="Times New Roman" w:hAnsiTheme="majorHAnsi" w:cstheme="majorBidi"/>
          <w:color w:val="000000" w:themeColor="text1"/>
        </w:rPr>
        <w:t>care</w:t>
      </w:r>
      <w:r w:rsidR="6872F0BF" w:rsidRPr="46C455A4">
        <w:rPr>
          <w:rFonts w:asciiTheme="majorHAnsi" w:eastAsia="Times New Roman" w:hAnsiTheme="majorHAnsi" w:cstheme="majorBidi"/>
          <w:color w:val="000000" w:themeColor="text1"/>
        </w:rPr>
        <w:t xml:space="preserve">. </w:t>
      </w:r>
      <w:r w:rsidR="0E2CDC13" w:rsidRPr="46C455A4">
        <w:rPr>
          <w:rFonts w:asciiTheme="majorHAnsi" w:eastAsia="Times New Roman" w:hAnsiTheme="majorHAnsi" w:cstheme="majorBidi"/>
          <w:color w:val="000000" w:themeColor="text1"/>
        </w:rPr>
        <w:t xml:space="preserve">From frontline medics to behind-the-scenes researchers, individuals from a variety of fields have been at the vanguard of the HIV fight. The virus's ever-changing nature demands ongoing education and training to keep up with the newest advances in prevention, detection, and treatment. Furthermore, the emotional toll of caring for those living with HIV cannot be underestimated. Healthcare practitioners frequently find themselves negotiating challenging ethical quandaries while providing not just medical treatment but also emotional support and advocacy. Despite the hurdles, commitment and creativity in the healthcare sector have resulted in significant advances in HIV care, prolonging and improving the lives of countless </w:t>
      </w:r>
      <w:r w:rsidR="2B0DB8E7" w:rsidRPr="46C455A4">
        <w:rPr>
          <w:rFonts w:asciiTheme="majorHAnsi" w:eastAsia="Times New Roman" w:hAnsiTheme="majorHAnsi" w:cstheme="majorBidi"/>
          <w:color w:val="000000" w:themeColor="text1"/>
        </w:rPr>
        <w:t>people (Ritter et al., 2022)</w:t>
      </w:r>
      <w:r w:rsidR="0E2CDC13" w:rsidRPr="46C455A4">
        <w:rPr>
          <w:rFonts w:asciiTheme="majorHAnsi" w:eastAsia="Times New Roman" w:hAnsiTheme="majorHAnsi" w:cstheme="majorBidi"/>
          <w:color w:val="000000" w:themeColor="text1"/>
        </w:rPr>
        <w:t>.</w:t>
      </w:r>
    </w:p>
    <w:p w14:paraId="592C9C29" w14:textId="2E45BB2F" w:rsidR="000E3A03" w:rsidRPr="000E3A03" w:rsidRDefault="004C13DD" w:rsidP="005637F8">
      <w:pPr>
        <w:pStyle w:val="Heading2"/>
        <w:spacing w:line="360" w:lineRule="auto"/>
        <w:jc w:val="both"/>
        <w:divId w:val="936602527"/>
        <w:rPr>
          <w:color w:val="000000"/>
        </w:rPr>
      </w:pPr>
      <w:bookmarkStart w:id="15" w:name="_Toc165334334"/>
      <w:r>
        <w:t xml:space="preserve">6.3 </w:t>
      </w:r>
      <w:r w:rsidR="7226E32B" w:rsidRPr="46C455A4">
        <w:t>Care</w:t>
      </w:r>
      <w:bookmarkEnd w:id="15"/>
      <w:r w:rsidR="7226E32B" w:rsidRPr="46C455A4">
        <w:t xml:space="preserve"> </w:t>
      </w:r>
    </w:p>
    <w:p w14:paraId="0CFF4533" w14:textId="01D6DBA7" w:rsidR="00935660" w:rsidRDefault="7226E32B" w:rsidP="005637F8">
      <w:pPr>
        <w:spacing w:line="360" w:lineRule="auto"/>
        <w:jc w:val="both"/>
        <w:divId w:val="936602527"/>
        <w:rPr>
          <w:color w:val="000000"/>
        </w:rPr>
      </w:pPr>
      <w:r w:rsidRPr="46C455A4">
        <w:t xml:space="preserve">HIV care in Wales and the UK has evolved dramatically, mirroring larger developments in views and approaches to the </w:t>
      </w:r>
      <w:r w:rsidR="41F397BA" w:rsidRPr="46C455A4">
        <w:t>pandemic (Wiginton et al.,</w:t>
      </w:r>
      <w:r w:rsidR="000121E4" w:rsidRPr="46C455A4">
        <w:t>2021)</w:t>
      </w:r>
      <w:r w:rsidR="18EAC93E" w:rsidRPr="46C455A4">
        <w:t xml:space="preserve">. </w:t>
      </w:r>
      <w:r w:rsidR="000121E4" w:rsidRPr="46C455A4">
        <w:t>Ac</w:t>
      </w:r>
      <w:r w:rsidR="29B7C5FF" w:rsidRPr="46C455A4">
        <w:t>cording to Qiao et al., (2021) From</w:t>
      </w:r>
      <w:r w:rsidRPr="46C455A4">
        <w:t xml:space="preserve"> the early days of uncertainty and dread to the present, when HIV is viewed as a treatable chronic illness, the landscape of care has evolved significantly. The development of antiretroviral medication (ART) has changed HIV treatment, transforming what was long considered a death sentence into a chronic but manageable illness. Access to comprehensive treatment, which includes regular monitoring, adherence support, and psychiatric therapies, is critical in improving outcomes for HIV patients.</w:t>
      </w:r>
      <w:r w:rsidR="28B1FEC3" w:rsidRPr="46C455A4">
        <w:rPr>
          <w:rFonts w:ascii="-webkit-standard" w:hAnsi="-webkit-standard"/>
          <w:sz w:val="27"/>
          <w:szCs w:val="27"/>
        </w:rPr>
        <w:t xml:space="preserve"> </w:t>
      </w:r>
      <w:r w:rsidR="28B1FEC3" w:rsidRPr="46C455A4">
        <w:t xml:space="preserve">Furthermore, integrating HIV care into </w:t>
      </w:r>
      <w:r w:rsidR="28B1FEC3" w:rsidRPr="46C455A4">
        <w:lastRenderedPageBreak/>
        <w:t xml:space="preserve">mainstream healthcare services has helped to close access gaps and address inequities in care provision. This guarantees that everyone, regardless of background or circumstances, has equal access to high-quality treatment and assistance customised to their specific requirements. </w:t>
      </w:r>
      <w:r w:rsidR="1B56025A" w:rsidRPr="46C455A4">
        <w:t>Therefore</w:t>
      </w:r>
      <w:r w:rsidR="28B1FEC3" w:rsidRPr="46C455A4">
        <w:t>, people living with HIV may live full lives, aided by a network of healthcare professionals committed to their well-being and empowerment</w:t>
      </w:r>
      <w:r w:rsidR="76FA3E8C" w:rsidRPr="46C455A4">
        <w:t xml:space="preserve"> (Ko</w:t>
      </w:r>
      <w:r w:rsidR="5CDEFB4E" w:rsidRPr="46C455A4">
        <w:t>seoglu ornek., 2020</w:t>
      </w:r>
      <w:r w:rsidR="319ABFE3" w:rsidRPr="46C455A4">
        <w:t xml:space="preserve">), (Wilson et al., 2021). </w:t>
      </w:r>
    </w:p>
    <w:p w14:paraId="4D8109F0" w14:textId="77777777" w:rsidR="005208C5" w:rsidRDefault="51E6294F" w:rsidP="005637F8">
      <w:pPr>
        <w:spacing w:after="0" w:line="360" w:lineRule="auto"/>
        <w:jc w:val="both"/>
        <w:divId w:val="267129740"/>
      </w:pPr>
      <w:r w:rsidRPr="46C455A4">
        <w:rPr>
          <w:rFonts w:asciiTheme="majorHAnsi" w:eastAsia="Times New Roman" w:hAnsiTheme="majorHAnsi" w:cstheme="majorBidi"/>
          <w:color w:val="000000" w:themeColor="text1"/>
          <w:sz w:val="24"/>
          <w:szCs w:val="24"/>
        </w:rPr>
        <w:t xml:space="preserve">While HIV has presented enormous difficulties to society, healthcare professionals, and care systems in Wales and the United Kingdom, it has also sparked extraordinary advances, encouraging perseverance, inventiveness, and compassion in the face of hardship. The impact of HIV on society and healthcare is evolving </w:t>
      </w:r>
      <w:r w:rsidR="78BC03A8" w:rsidRPr="46C455A4">
        <w:rPr>
          <w:rFonts w:asciiTheme="majorHAnsi" w:eastAsia="Times New Roman" w:hAnsiTheme="majorHAnsi" w:cstheme="majorBidi"/>
          <w:color w:val="000000" w:themeColor="text1"/>
          <w:sz w:val="24"/>
          <w:szCs w:val="24"/>
        </w:rPr>
        <w:t>because of</w:t>
      </w:r>
      <w:r w:rsidRPr="46C455A4">
        <w:rPr>
          <w:rFonts w:asciiTheme="majorHAnsi" w:eastAsia="Times New Roman" w:hAnsiTheme="majorHAnsi" w:cstheme="majorBidi"/>
          <w:color w:val="000000" w:themeColor="text1"/>
          <w:sz w:val="24"/>
          <w:szCs w:val="24"/>
        </w:rPr>
        <w:t xml:space="preserve"> joint efforts and unshakable dedication, paving the way for a future in which the burden of HIV is reduced, and the rights and dignity of all persons are protected (</w:t>
      </w:r>
      <w:r w:rsidR="292EC788" w:rsidRPr="46C455A4">
        <w:rPr>
          <w:rFonts w:asciiTheme="majorHAnsi" w:eastAsia="Times New Roman" w:hAnsiTheme="majorHAnsi" w:cstheme="majorBidi"/>
          <w:color w:val="000000" w:themeColor="text1"/>
          <w:sz w:val="24"/>
          <w:szCs w:val="24"/>
        </w:rPr>
        <w:t>Warner et al.,2024)</w:t>
      </w:r>
      <w:r w:rsidRPr="46C455A4">
        <w:rPr>
          <w:rFonts w:asciiTheme="majorHAnsi" w:eastAsia="Times New Roman" w:hAnsiTheme="majorHAnsi" w:cstheme="majorBidi"/>
          <w:color w:val="000000" w:themeColor="text1"/>
          <w:sz w:val="24"/>
          <w:szCs w:val="24"/>
        </w:rPr>
        <w:t>.</w:t>
      </w:r>
      <w:r w:rsidR="004C1D4C">
        <w:br/>
      </w:r>
      <w:r w:rsidR="004C1D4C">
        <w:br/>
      </w:r>
    </w:p>
    <w:p w14:paraId="03E6D45C" w14:textId="6A672D1A" w:rsidR="00232B85" w:rsidRPr="00D10647" w:rsidRDefault="004C1D4C" w:rsidP="005637F8">
      <w:pPr>
        <w:pStyle w:val="Heading1"/>
        <w:spacing w:line="360" w:lineRule="auto"/>
        <w:jc w:val="both"/>
        <w:divId w:val="267129740"/>
        <w:rPr>
          <w:rFonts w:eastAsia="Times New Roman"/>
          <w:lang w:eastAsia="en-GB"/>
        </w:rPr>
      </w:pPr>
      <w:r>
        <w:br/>
      </w:r>
      <w:bookmarkStart w:id="16" w:name="_Toc165334335"/>
      <w:r w:rsidR="2E1C54E5" w:rsidRPr="46C455A4">
        <w:t>7.</w:t>
      </w:r>
      <w:r w:rsidR="77DB2260" w:rsidRPr="46C455A4">
        <w:t>Conclusion</w:t>
      </w:r>
      <w:bookmarkEnd w:id="16"/>
    </w:p>
    <w:p w14:paraId="6E64664D" w14:textId="02712135" w:rsidR="009D0CFC" w:rsidRPr="00EB499D" w:rsidRDefault="59D6869D" w:rsidP="005637F8">
      <w:pPr>
        <w:pStyle w:val="paragraph"/>
        <w:spacing w:line="360" w:lineRule="auto"/>
        <w:jc w:val="both"/>
        <w:divId w:val="936602527"/>
        <w:rPr>
          <w:rFonts w:asciiTheme="majorHAnsi" w:hAnsiTheme="majorHAnsi" w:cstheme="majorBidi"/>
          <w:color w:val="000000" w:themeColor="text1"/>
        </w:rPr>
      </w:pPr>
      <w:r w:rsidRPr="46C455A4">
        <w:rPr>
          <w:rFonts w:asciiTheme="majorHAnsi" w:eastAsia="Times New Roman" w:hAnsiTheme="majorHAnsi" w:cstheme="majorBidi"/>
          <w:color w:val="000000" w:themeColor="text1"/>
        </w:rPr>
        <w:t>To summarise, HIV continues to be a major global health issue, affecting individuals, communities, and healthcare systems across the world. The virus, which spreads through body fluids, primarily affects the immune system, resulting in progressive immunodeficiency if left untreated. Despite advances in antiretroviral medication, HIV infection remains incurable, emphasising the necessity of preventative initiatives.</w:t>
      </w:r>
      <w:r w:rsidR="09821B8A" w:rsidRPr="46C455A4">
        <w:rPr>
          <w:rFonts w:asciiTheme="majorHAnsi" w:eastAsia="Times New Roman" w:hAnsiTheme="majorHAnsi" w:cstheme="majorBidi"/>
          <w:color w:val="000000" w:themeColor="text1"/>
        </w:rPr>
        <w:t xml:space="preserve"> </w:t>
      </w:r>
      <w:r w:rsidRPr="46C455A4">
        <w:rPr>
          <w:rFonts w:asciiTheme="majorHAnsi" w:eastAsia="Times New Roman" w:hAnsiTheme="majorHAnsi" w:cstheme="majorBidi"/>
          <w:color w:val="000000" w:themeColor="text1"/>
        </w:rPr>
        <w:t>HIV symptoms vary and may not appear until the illness has progressed to late stages, frequently leading to AIDS, which is characterised by significant immunological compromise and vulnerability to opportunist infections. While therapy can successfully inhibit viral replication and increase life expectancy, access to medicine remains uneven over the globe.</w:t>
      </w:r>
    </w:p>
    <w:p w14:paraId="4460AEE6" w14:textId="263AF5BA" w:rsidR="007C195A" w:rsidRPr="00EB499D" w:rsidRDefault="1B4F3C03" w:rsidP="005637F8">
      <w:pPr>
        <w:spacing w:after="0" w:line="360" w:lineRule="auto"/>
        <w:jc w:val="both"/>
        <w:divId w:val="1799449964"/>
        <w:rPr>
          <w:rFonts w:asciiTheme="majorHAnsi" w:eastAsia="Times New Roman" w:hAnsiTheme="majorHAnsi" w:cstheme="majorBidi"/>
          <w:color w:val="000000" w:themeColor="text1"/>
          <w:sz w:val="24"/>
          <w:szCs w:val="24"/>
          <w:lang w:eastAsia="en-GB"/>
        </w:rPr>
      </w:pPr>
      <w:r w:rsidRPr="46C455A4">
        <w:rPr>
          <w:rFonts w:asciiTheme="majorHAnsi" w:eastAsia="Times New Roman" w:hAnsiTheme="majorHAnsi" w:cstheme="majorBidi"/>
          <w:color w:val="000000" w:themeColor="text1"/>
          <w:sz w:val="24"/>
          <w:szCs w:val="24"/>
        </w:rPr>
        <w:t xml:space="preserve">Prevention initiatives, including pre-exposure prophylaxis (PrEP) and ongoing research into further preventative strategies, are critical in reducing transmission rates. While public health responses are improving, obstacles remain, such as surveillance gaps and inequities in healthcare access. Furthermore, HIV has had a </w:t>
      </w:r>
      <w:r w:rsidR="62D0F26A" w:rsidRPr="46C455A4">
        <w:rPr>
          <w:rFonts w:asciiTheme="majorHAnsi" w:eastAsia="Times New Roman" w:hAnsiTheme="majorHAnsi" w:cstheme="majorBidi"/>
          <w:color w:val="000000" w:themeColor="text1"/>
          <w:sz w:val="24"/>
          <w:szCs w:val="24"/>
        </w:rPr>
        <w:t>major</w:t>
      </w:r>
      <w:r w:rsidRPr="46C455A4">
        <w:rPr>
          <w:rFonts w:asciiTheme="majorHAnsi" w:eastAsia="Times New Roman" w:hAnsiTheme="majorHAnsi" w:cstheme="majorBidi"/>
          <w:color w:val="000000" w:themeColor="text1"/>
          <w:sz w:val="24"/>
          <w:szCs w:val="24"/>
        </w:rPr>
        <w:t xml:space="preserve"> influence on society, promoting </w:t>
      </w:r>
      <w:r w:rsidRPr="46C455A4">
        <w:rPr>
          <w:rFonts w:asciiTheme="majorHAnsi" w:eastAsia="Times New Roman" w:hAnsiTheme="majorHAnsi" w:cstheme="majorBidi"/>
          <w:color w:val="000000" w:themeColor="text1"/>
          <w:sz w:val="24"/>
          <w:szCs w:val="24"/>
        </w:rPr>
        <w:lastRenderedPageBreak/>
        <w:t xml:space="preserve">stigma and prejudice against those infected. However, attitudes and </w:t>
      </w:r>
      <w:r w:rsidR="0A3D1777" w:rsidRPr="46C455A4">
        <w:rPr>
          <w:rFonts w:asciiTheme="majorHAnsi" w:eastAsia="Times New Roman" w:hAnsiTheme="majorHAnsi" w:cstheme="majorBidi"/>
          <w:color w:val="000000" w:themeColor="text1"/>
          <w:sz w:val="24"/>
          <w:szCs w:val="24"/>
        </w:rPr>
        <w:t>behaviours</w:t>
      </w:r>
      <w:r w:rsidRPr="46C455A4">
        <w:rPr>
          <w:rFonts w:asciiTheme="majorHAnsi" w:eastAsia="Times New Roman" w:hAnsiTheme="majorHAnsi" w:cstheme="majorBidi"/>
          <w:color w:val="000000" w:themeColor="text1"/>
          <w:sz w:val="24"/>
          <w:szCs w:val="24"/>
        </w:rPr>
        <w:t xml:space="preserve"> among healthcare workers have shifted positively, with enhanced training and knowledge leading to better treatment and support for HIV/AIDS patients.</w:t>
      </w:r>
      <w:r w:rsidR="00A1173C">
        <w:br/>
      </w:r>
      <w:r w:rsidR="00A1173C">
        <w:br/>
      </w:r>
      <w:r w:rsidRPr="46C455A4">
        <w:rPr>
          <w:rFonts w:asciiTheme="majorHAnsi" w:eastAsia="Times New Roman" w:hAnsiTheme="majorHAnsi" w:cstheme="majorBidi"/>
          <w:color w:val="000000" w:themeColor="text1"/>
          <w:sz w:val="24"/>
          <w:szCs w:val="24"/>
        </w:rPr>
        <w:t>In summary, tackling HIV necessitates a multidimensional approach that includes public health measures, access to treatment and prevention, community participation, and stigma reduction. With ongoing efforts and collaboration, progress may be achieved towards lowering the burden of HIV and enhancing the quality of life for people afflicted by the</w:t>
      </w:r>
      <w:r w:rsidR="79E3432D" w:rsidRPr="46C455A4">
        <w:rPr>
          <w:rFonts w:asciiTheme="majorHAnsi" w:eastAsia="Times New Roman" w:hAnsiTheme="majorHAnsi" w:cstheme="majorBidi"/>
          <w:color w:val="000000" w:themeColor="text1"/>
          <w:sz w:val="24"/>
          <w:szCs w:val="24"/>
        </w:rPr>
        <w:t xml:space="preserve"> virus. </w:t>
      </w:r>
      <w:r w:rsidRPr="46C455A4">
        <w:rPr>
          <w:rFonts w:asciiTheme="majorHAnsi" w:eastAsia="Times New Roman" w:hAnsiTheme="majorHAnsi" w:cstheme="majorBidi"/>
          <w:color w:val="000000" w:themeColor="text1"/>
          <w:sz w:val="24"/>
          <w:szCs w:val="24"/>
        </w:rPr>
        <w:t xml:space="preserve"> </w:t>
      </w:r>
    </w:p>
    <w:p w14:paraId="2C8270A2" w14:textId="77777777" w:rsidR="00AF3A0A" w:rsidRPr="00EB499D" w:rsidRDefault="00AF3A0A" w:rsidP="005637F8">
      <w:pPr>
        <w:pStyle w:val="Heading2"/>
        <w:spacing w:line="360" w:lineRule="auto"/>
        <w:jc w:val="both"/>
      </w:pPr>
    </w:p>
    <w:p w14:paraId="4A022206" w14:textId="77777777" w:rsidR="00AF3A0A" w:rsidRPr="00EB499D" w:rsidRDefault="00AF3A0A" w:rsidP="005637F8">
      <w:pPr>
        <w:spacing w:line="360" w:lineRule="auto"/>
        <w:jc w:val="both"/>
        <w:rPr>
          <w:rFonts w:asciiTheme="majorHAnsi" w:hAnsiTheme="majorHAnsi" w:cstheme="majorBidi"/>
          <w:color w:val="000000" w:themeColor="text1"/>
          <w:sz w:val="24"/>
          <w:szCs w:val="24"/>
        </w:rPr>
      </w:pPr>
    </w:p>
    <w:p w14:paraId="06980063" w14:textId="77777777" w:rsidR="00AF3A0A" w:rsidRPr="00EB499D" w:rsidRDefault="00AF3A0A" w:rsidP="005637F8">
      <w:pPr>
        <w:spacing w:line="360" w:lineRule="auto"/>
        <w:jc w:val="both"/>
        <w:rPr>
          <w:rFonts w:asciiTheme="majorHAnsi" w:hAnsiTheme="majorHAnsi" w:cstheme="majorBidi"/>
          <w:color w:val="000000" w:themeColor="text1"/>
          <w:sz w:val="24"/>
          <w:szCs w:val="24"/>
        </w:rPr>
      </w:pPr>
    </w:p>
    <w:p w14:paraId="254BC6EF" w14:textId="77777777" w:rsidR="0051319E" w:rsidRPr="00EB499D" w:rsidRDefault="0051319E" w:rsidP="005637F8">
      <w:pPr>
        <w:spacing w:line="360" w:lineRule="auto"/>
        <w:jc w:val="both"/>
        <w:rPr>
          <w:rFonts w:asciiTheme="majorHAnsi" w:hAnsiTheme="majorHAnsi" w:cstheme="majorBidi"/>
          <w:color w:val="000000" w:themeColor="text1"/>
          <w:sz w:val="24"/>
          <w:szCs w:val="24"/>
        </w:rPr>
      </w:pPr>
    </w:p>
    <w:p w14:paraId="265DFEB8" w14:textId="77777777" w:rsidR="0051319E" w:rsidRPr="00EB499D" w:rsidRDefault="0051319E" w:rsidP="005637F8">
      <w:pPr>
        <w:spacing w:line="360" w:lineRule="auto"/>
        <w:jc w:val="both"/>
        <w:rPr>
          <w:rFonts w:asciiTheme="majorHAnsi" w:hAnsiTheme="majorHAnsi" w:cstheme="majorBidi"/>
          <w:color w:val="000000" w:themeColor="text1"/>
          <w:sz w:val="24"/>
          <w:szCs w:val="24"/>
        </w:rPr>
      </w:pPr>
    </w:p>
    <w:p w14:paraId="7D33EC22" w14:textId="77777777" w:rsidR="0051319E" w:rsidRPr="00EB499D" w:rsidRDefault="0051319E" w:rsidP="005637F8">
      <w:pPr>
        <w:spacing w:line="360" w:lineRule="auto"/>
        <w:jc w:val="both"/>
        <w:rPr>
          <w:rFonts w:asciiTheme="majorHAnsi" w:hAnsiTheme="majorHAnsi" w:cstheme="majorBidi"/>
          <w:color w:val="000000" w:themeColor="text1"/>
          <w:sz w:val="24"/>
          <w:szCs w:val="24"/>
        </w:rPr>
      </w:pPr>
    </w:p>
    <w:p w14:paraId="574ADD13" w14:textId="77777777" w:rsidR="0051319E" w:rsidRPr="00EB499D" w:rsidRDefault="0051319E" w:rsidP="005637F8">
      <w:pPr>
        <w:spacing w:line="360" w:lineRule="auto"/>
        <w:jc w:val="both"/>
        <w:rPr>
          <w:rFonts w:asciiTheme="majorHAnsi" w:hAnsiTheme="majorHAnsi" w:cstheme="majorBidi"/>
          <w:color w:val="000000" w:themeColor="text1"/>
          <w:sz w:val="24"/>
          <w:szCs w:val="24"/>
        </w:rPr>
      </w:pPr>
    </w:p>
    <w:p w14:paraId="12F4D46E" w14:textId="77777777" w:rsidR="006F3440" w:rsidRDefault="006F3440" w:rsidP="005637F8">
      <w:pPr>
        <w:spacing w:line="360" w:lineRule="auto"/>
        <w:jc w:val="both"/>
        <w:rPr>
          <w:rFonts w:asciiTheme="majorHAnsi" w:hAnsiTheme="majorHAnsi" w:cstheme="majorBidi"/>
          <w:color w:val="000000" w:themeColor="text1"/>
          <w:sz w:val="24"/>
          <w:szCs w:val="24"/>
        </w:rPr>
      </w:pPr>
    </w:p>
    <w:p w14:paraId="1C6F7352" w14:textId="77777777" w:rsidR="006F3440" w:rsidRDefault="006F3440" w:rsidP="005637F8">
      <w:pPr>
        <w:spacing w:line="360" w:lineRule="auto"/>
        <w:jc w:val="both"/>
        <w:rPr>
          <w:rFonts w:asciiTheme="majorHAnsi" w:hAnsiTheme="majorHAnsi" w:cstheme="majorBidi"/>
          <w:color w:val="000000" w:themeColor="text1"/>
          <w:sz w:val="24"/>
          <w:szCs w:val="24"/>
        </w:rPr>
      </w:pPr>
    </w:p>
    <w:p w14:paraId="156B44FA" w14:textId="77777777" w:rsidR="006F3440" w:rsidRDefault="006F3440" w:rsidP="005637F8">
      <w:pPr>
        <w:spacing w:line="360" w:lineRule="auto"/>
        <w:jc w:val="both"/>
        <w:rPr>
          <w:rFonts w:asciiTheme="majorHAnsi" w:hAnsiTheme="majorHAnsi" w:cstheme="majorBidi"/>
          <w:color w:val="000000" w:themeColor="text1"/>
          <w:sz w:val="24"/>
          <w:szCs w:val="24"/>
        </w:rPr>
      </w:pPr>
    </w:p>
    <w:p w14:paraId="2CB4DE63" w14:textId="77777777" w:rsidR="006F3440" w:rsidRDefault="006F3440" w:rsidP="005637F8">
      <w:pPr>
        <w:spacing w:line="360" w:lineRule="auto"/>
        <w:jc w:val="both"/>
        <w:rPr>
          <w:rFonts w:asciiTheme="majorHAnsi" w:hAnsiTheme="majorHAnsi" w:cstheme="majorBidi"/>
          <w:color w:val="000000" w:themeColor="text1"/>
          <w:sz w:val="24"/>
          <w:szCs w:val="24"/>
        </w:rPr>
      </w:pPr>
    </w:p>
    <w:p w14:paraId="45460876" w14:textId="77777777" w:rsidR="007D16CD" w:rsidRDefault="007D16CD" w:rsidP="005637F8">
      <w:pPr>
        <w:spacing w:line="360" w:lineRule="auto"/>
        <w:jc w:val="both"/>
        <w:rPr>
          <w:rFonts w:asciiTheme="majorHAnsi" w:hAnsiTheme="majorHAnsi" w:cstheme="majorBidi"/>
          <w:color w:val="000000" w:themeColor="text1"/>
          <w:sz w:val="24"/>
          <w:szCs w:val="24"/>
        </w:rPr>
      </w:pPr>
    </w:p>
    <w:p w14:paraId="0C314E7E" w14:textId="77777777" w:rsidR="007D16CD" w:rsidRDefault="007D16CD" w:rsidP="005637F8">
      <w:pPr>
        <w:spacing w:line="360" w:lineRule="auto"/>
        <w:jc w:val="both"/>
        <w:rPr>
          <w:rFonts w:asciiTheme="majorHAnsi" w:hAnsiTheme="majorHAnsi" w:cstheme="majorBidi"/>
          <w:color w:val="000000" w:themeColor="text1"/>
          <w:sz w:val="24"/>
          <w:szCs w:val="24"/>
        </w:rPr>
      </w:pPr>
    </w:p>
    <w:p w14:paraId="500B32A8" w14:textId="77777777" w:rsidR="007D16CD" w:rsidRDefault="007D16CD" w:rsidP="005637F8">
      <w:pPr>
        <w:spacing w:line="360" w:lineRule="auto"/>
        <w:jc w:val="both"/>
        <w:rPr>
          <w:rFonts w:asciiTheme="majorHAnsi" w:hAnsiTheme="majorHAnsi" w:cstheme="majorBidi"/>
          <w:color w:val="000000" w:themeColor="text1"/>
          <w:sz w:val="24"/>
          <w:szCs w:val="24"/>
        </w:rPr>
      </w:pPr>
    </w:p>
    <w:p w14:paraId="5D1A8A11" w14:textId="77777777" w:rsidR="00726976" w:rsidRDefault="00726976" w:rsidP="005637F8">
      <w:pPr>
        <w:spacing w:line="360" w:lineRule="auto"/>
        <w:jc w:val="both"/>
        <w:rPr>
          <w:rFonts w:asciiTheme="majorHAnsi" w:hAnsiTheme="majorHAnsi" w:cstheme="majorBidi"/>
          <w:b/>
          <w:bCs/>
          <w:color w:val="000000" w:themeColor="text1"/>
          <w:sz w:val="24"/>
          <w:szCs w:val="24"/>
        </w:rPr>
      </w:pPr>
    </w:p>
    <w:p w14:paraId="60C9AFE4" w14:textId="77777777" w:rsidR="00726976" w:rsidRDefault="00726976" w:rsidP="005637F8">
      <w:pPr>
        <w:spacing w:line="360" w:lineRule="auto"/>
        <w:jc w:val="both"/>
        <w:rPr>
          <w:rFonts w:asciiTheme="majorHAnsi" w:hAnsiTheme="majorHAnsi" w:cstheme="majorBidi"/>
          <w:b/>
          <w:bCs/>
          <w:color w:val="000000" w:themeColor="text1"/>
          <w:sz w:val="24"/>
          <w:szCs w:val="24"/>
        </w:rPr>
      </w:pPr>
    </w:p>
    <w:p w14:paraId="6D1DD8BF" w14:textId="77777777" w:rsidR="00726976" w:rsidRDefault="00726976" w:rsidP="005637F8">
      <w:pPr>
        <w:spacing w:line="360" w:lineRule="auto"/>
        <w:jc w:val="both"/>
        <w:rPr>
          <w:rFonts w:asciiTheme="majorHAnsi" w:hAnsiTheme="majorHAnsi" w:cstheme="majorBidi"/>
          <w:b/>
          <w:bCs/>
          <w:color w:val="000000" w:themeColor="text1"/>
          <w:sz w:val="24"/>
          <w:szCs w:val="24"/>
        </w:rPr>
      </w:pPr>
    </w:p>
    <w:p w14:paraId="164E5FE6" w14:textId="77777777" w:rsidR="003A03AC" w:rsidRDefault="003A03AC" w:rsidP="005637F8">
      <w:pPr>
        <w:spacing w:line="360" w:lineRule="auto"/>
        <w:jc w:val="both"/>
        <w:rPr>
          <w:rFonts w:asciiTheme="majorHAnsi" w:hAnsiTheme="majorHAnsi" w:cstheme="majorBidi"/>
          <w:b/>
          <w:bCs/>
          <w:color w:val="000000" w:themeColor="text1"/>
          <w:sz w:val="24"/>
          <w:szCs w:val="24"/>
        </w:rPr>
      </w:pPr>
    </w:p>
    <w:p w14:paraId="1257545C" w14:textId="346DA348" w:rsidR="00E75C67" w:rsidRPr="007D16CD" w:rsidRDefault="6189567C" w:rsidP="005637F8">
      <w:pPr>
        <w:pStyle w:val="Heading1"/>
        <w:spacing w:line="360" w:lineRule="auto"/>
        <w:jc w:val="both"/>
      </w:pPr>
      <w:bookmarkStart w:id="17" w:name="_Toc165334336"/>
      <w:r w:rsidRPr="46C455A4">
        <w:t>References:</w:t>
      </w:r>
      <w:bookmarkEnd w:id="17"/>
    </w:p>
    <w:p w14:paraId="7C74CF34" w14:textId="2874A5D0"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Abdool Karim, S.S., Baxter, C. and Abdool Karim, Q., 2022. Advancing HIV prevention using tenofovir-based pre-exposure prophylaxis. Antiviral Therapy, 27(2), p.13596535211067589. </w:t>
      </w:r>
    </w:p>
    <w:p w14:paraId="283DE777" w14:textId="2EE76FED"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Ajayi, A. I., Awopegba, O. E., Adeagbo, O. A., &amp; Ushie, B. A., 2020. Low coverage of HIV testing among adolescents and young adults in Nigeria: Implication for achieving the UNAIDS first 95. PloS one. </w:t>
      </w:r>
    </w:p>
    <w:p w14:paraId="69E59785" w14:textId="072EE698"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Andersson, G.Z., Reinius, M., Eriksson, L.E., Svedhem, V., Esfahani, F.M., Deuba, K., Rao, D., Lyatuu, G.W., Giovenco, D. and Ekström, A.M., 2020. Stigma reduction interventions in people living with HIV to improve health-related quality of life. The Lancet HIV, 7(2), pp. e129-e140. </w:t>
      </w:r>
    </w:p>
    <w:p w14:paraId="27F2BA9C" w14:textId="3104B8E0"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Armoon, B., Higgs, P., Fleury, M.J., Bayat, A.H., Moghaddam, L.F., Bayani, A. and Fakhri, Y., 2021. Socio-demographic, clinical and service use determinants associated with HIV related stigma among people living with HIV/AIDS: a systematic review and meta-analysis. BMC health services research, 21, pp.1-20. </w:t>
      </w:r>
    </w:p>
    <w:p w14:paraId="25EDBEBA" w14:textId="027DEB9B"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Auriti, C., De Rose, D.U., Santisi, A., Martini, L., Piersigilli, F., Bersani, I., Ronchetti, M.P. and Caforio, L., 2021. Pregnancy and viral infections: Mechanisms of fetal damage, diagnosis, and prevention of neonatal adverse outcomes from cytomegalovirus to SARS-CoV-2 and Zika virus. Biochimica et Biophysica Acta (BBA)-Molecular Basis of Disease, 1867(10), p.166198. </w:t>
      </w:r>
    </w:p>
    <w:p w14:paraId="2CBAA70F" w14:textId="5AA5497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Bacchus-Souffan, C., Fitch, M., Symons, J., Abdel-Mohsen, M., Reeves, D.B., Hoh, R., Stone, M., Hiatt, J., Kim, P., Chopra, A. and Ahn, H., 2021. Relationship between CD4 T cell turnover, cellular differentiation, and HIV persistence during ART. PLoS pathogens, 17(1), p.e1009214. </w:t>
      </w:r>
    </w:p>
    <w:p w14:paraId="0FA7BADA" w14:textId="3E3B5382"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Baldassarre, A., Giorgi, G., Alessio, F., Lulli, L.G., Arcangeli, G. and Mucci, N., 2020. Stigma and discrimination (SAD) at the time of the SARS-CoV-2 pandemic. International journal of environmental research and public health, 17(17), p.6341. </w:t>
      </w:r>
    </w:p>
    <w:p w14:paraId="30B7ECDA" w14:textId="5634E258"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lastRenderedPageBreak/>
        <w:t>Beichler, H., Kutalek, R. and Dorner, T.E., 2023. People Living with HIV and AIDS: Experiences towards Antiretroviral Therapy, Paradigm Changes, Coping, Stigma, and Discrimination—A Grounded Theory Study. International Journal of Environmental Research and Public Health, 20(4), p.3000.</w:t>
      </w:r>
    </w:p>
    <w:p w14:paraId="1B062EC1" w14:textId="1B2635EB"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Bleasdale, J., Wilson, K., Aidoo-Frimpong, G. and Przybyla, S., 2020. Prescribing HIV pre-exposure prophylaxis: A qualitative analysis of health care provider training needs. Journal of HIV/AIDS &amp; social services, 19(1), pp.107-123. </w:t>
      </w:r>
    </w:p>
    <w:p w14:paraId="573C677F" w14:textId="7E6206EE"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Chen, D., Luo, G., Meng, X., Wang, Z., Cao, B., Yuan, T., Xie, Y., Hu, T., Chen, Y., Ke, W. and Wang, Z., 2020. Efficacy of HIV interventions among factory workers in low-and middle-income countries: a systematic review. BMC Public Health, 20, pp.1-12. </w:t>
      </w:r>
    </w:p>
    <w:p w14:paraId="435B549E" w14:textId="6F0AAFBE"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Coffin, J. M. &amp; Hughes, S. H., 2021. Clonal expansion of infected CD4+ T cells in people living with HIV. Viruses. </w:t>
      </w:r>
    </w:p>
    <w:p w14:paraId="21CA174E" w14:textId="2CEABC3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Cui, Y., Wang, L., McGoogan, J.M. and Pisani, E., 2020. Evolution of HIV/AIDS epidemics in China. HIV/AIDS in China: Epidemiology, Prevention and Treatment, pp.3-23. </w:t>
      </w:r>
    </w:p>
    <w:p w14:paraId="60ECC002" w14:textId="6A6AE5C9"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Downey, L.E., Gadsden, T., Vilas, V.D.R., Peiris, D. and Jan, S., 2022. The impact of COVID-19 on essential health service provision for endemic infectious diseases in the South-East Asia region: a systematic review. The Lancet Regional Health-Southeast Asia, 1. </w:t>
      </w:r>
    </w:p>
    <w:p w14:paraId="758F012A" w14:textId="1EC7053A"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Du, M., Liu, M., &amp; Liu, J., 2024. Global, regional, and national disease burden and attributable risk factors of HIV/AIDS in older adults aged 70 years and above: a trend analysis based on the Global …. Epidemiology &amp; Infection. </w:t>
      </w:r>
    </w:p>
    <w:p w14:paraId="0A2C8C71" w14:textId="7662C0F3"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Enane, L.A., Apondi, E., Aluoch, J., Bakoyannis, G., Lewis Kulzer, J., Kwena, Z., Kantor, R., Chory, A., Gardner, A., Scanlon, M. and Goodrich, S., 2021. Social, economic, and health effects of the COVID-19 pandemic on adolescents retained in or recently disengaged from HIV care in Kenya. PLoS One, 16(9), p.e0257210. </w:t>
      </w:r>
    </w:p>
    <w:p w14:paraId="6A1478FB" w14:textId="79B7F65B"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Farhoudi, B., Ghalekhani, N., Afsar Kazerooni, P., Namdari </w:t>
      </w:r>
      <w:r w:rsidR="0010330B" w:rsidRPr="46C455A4">
        <w:rPr>
          <w:rFonts w:asciiTheme="majorHAnsi" w:hAnsiTheme="majorHAnsi" w:cstheme="majorBidi"/>
          <w:color w:val="000000" w:themeColor="text1"/>
          <w:sz w:val="24"/>
          <w:szCs w:val="24"/>
        </w:rPr>
        <w:t>Tabard</w:t>
      </w:r>
      <w:r w:rsidRPr="46C455A4">
        <w:rPr>
          <w:rFonts w:asciiTheme="majorHAnsi" w:hAnsiTheme="majorHAnsi" w:cstheme="majorBidi"/>
          <w:color w:val="000000" w:themeColor="text1"/>
          <w:sz w:val="24"/>
          <w:szCs w:val="24"/>
        </w:rPr>
        <w:t xml:space="preserve">, H., Tayeri, K., Gouya, M.M., SeyedAlinaghi, S., Haghdoost, A.A., Mirzazadeh, A. and Sharifi, H., 2022. Cascade of </w:t>
      </w:r>
      <w:r w:rsidRPr="46C455A4">
        <w:rPr>
          <w:rFonts w:asciiTheme="majorHAnsi" w:hAnsiTheme="majorHAnsi" w:cstheme="majorBidi"/>
          <w:color w:val="000000" w:themeColor="text1"/>
          <w:sz w:val="24"/>
          <w:szCs w:val="24"/>
        </w:rPr>
        <w:lastRenderedPageBreak/>
        <w:t xml:space="preserve">care in people living with HIV in Iran in 2019; how far to reach UNAIDS/WHO targets. AIDS care, 34(5), pp.590-596. </w:t>
      </w:r>
    </w:p>
    <w:p w14:paraId="2E721C49" w14:textId="206E2F37"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Gálvez, C., Grau-Expósito, J., Urrea, V., Clotet, B., Falcó, V., Buzón, M.J. and Martinez-Picado, J., 2021. Atlas of the HIV-1 reservoir in peripheral CD4 T cells of individuals on successful antiretroviral therapy. MBio, 12(6), pp. e03078-21. </w:t>
      </w:r>
    </w:p>
    <w:p w14:paraId="6AB3F3F5" w14:textId="18E68385"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Gesesew, H., Ward, P., Woldemichael, K. and Mwanri, L., 2020. Improving the UNAIDS 90-90-90 treatment targets: solutions suggested from a qualitative study of HIV patients, community advocates, health workers and program managers in Jimma, Southwest Ethiopia. International Journal of Environmental Research and Public Health, 17(1), p.378.</w:t>
      </w:r>
    </w:p>
    <w:p w14:paraId="49B331FB" w14:textId="6CADB354" w:rsidR="00D87560" w:rsidRPr="00D87560" w:rsidRDefault="005952E5" w:rsidP="005637F8">
      <w:pPr>
        <w:spacing w:line="360" w:lineRule="auto"/>
        <w:jc w:val="both"/>
        <w:rPr>
          <w:rFonts w:asciiTheme="majorHAnsi" w:hAnsiTheme="majorHAnsi" w:cstheme="majorBidi"/>
          <w:color w:val="000000" w:themeColor="text1"/>
          <w:sz w:val="24"/>
          <w:szCs w:val="24"/>
          <w:u w:val="single"/>
        </w:rPr>
      </w:pPr>
      <w:r w:rsidRPr="46C455A4">
        <w:rPr>
          <w:rFonts w:asciiTheme="majorHAnsi" w:hAnsiTheme="majorHAnsi" w:cstheme="majorBidi"/>
          <w:color w:val="000000" w:themeColor="text1"/>
          <w:sz w:val="24"/>
          <w:szCs w:val="24"/>
        </w:rPr>
        <w:t xml:space="preserve">Gill, K., Johnson, L., Dietrich, J., Myer, L., Marcus, R., Wallace, M., Pidwell, T., Mendel, E., Fynn, L., Jones, K. and Wiesner, L., 2020. Acceptability, safety, and patterns of use of oral tenofovir disoproxil fumarate and emtricitabine for HIV pre-exposure prophylaxis in South African adolescents: an open-label single-arm phase 2 trial. The lancet child &amp; adolescent health, 4(12), pp.875-883. </w:t>
      </w:r>
    </w:p>
    <w:p w14:paraId="4BD9AA9B" w14:textId="197D8258"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Glidden, D.V., Das, M., Dunn, D.T., Ebrahimi, R., Zhao, Y., Stirrup, O.T., Baeten, J.M. and Anderson, P.L., 2021. Using the adherence‐efficacy relationship of emtricitabine and tenofovir disoproxil fumarate to calculate background </w:t>
      </w:r>
      <w:r w:rsidR="009C6032">
        <w:rPr>
          <w:rFonts w:asciiTheme="majorHAnsi" w:hAnsiTheme="majorHAnsi" w:cstheme="majorBidi"/>
          <w:color w:val="000000" w:themeColor="text1"/>
          <w:sz w:val="24"/>
          <w:szCs w:val="24"/>
        </w:rPr>
        <w:t xml:space="preserve">HIV </w:t>
      </w:r>
      <w:r w:rsidRPr="46C455A4">
        <w:rPr>
          <w:rFonts w:asciiTheme="majorHAnsi" w:hAnsiTheme="majorHAnsi" w:cstheme="majorBidi"/>
          <w:color w:val="000000" w:themeColor="text1"/>
          <w:sz w:val="24"/>
          <w:szCs w:val="24"/>
        </w:rPr>
        <w:t xml:space="preserve">incidence: a secondary analysis of a randomized, controlled trial. African Journal of Reproduction and Gynaecological Endoscopy, 24(5), p.e25744. </w:t>
      </w:r>
    </w:p>
    <w:p w14:paraId="7872E4E8" w14:textId="00E469FB"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González-Alcaide, G., Menchi-Elanzi, M., Nacarapa, E. and Ramos-Rincón, J.M., 2020. HIV/AIDS research in Africa and the Middle East: participation and equity in North-South collaborations and relationships. Globalization and Health, 16, pp.1-18. </w:t>
      </w:r>
    </w:p>
    <w:p w14:paraId="6AC487FF" w14:textId="32929EC2"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Health Organization, W., 2021. Consolidated guidelines on HIV prevention, testing, treatment, service delivery and monitoring: recommendations for a public health approach. </w:t>
      </w:r>
    </w:p>
    <w:p w14:paraId="10A23B40" w14:textId="60456128"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Hedge, B., Devan, K., Catalan, J., Cheshire, A., &amp; Ridge, D., 2021. HIV-related stigma in the UK then and now: to what extent are we on track to eliminate stigma? A qualitative investigation. BMC public health. </w:t>
      </w:r>
    </w:p>
    <w:p w14:paraId="3AC7B23C" w14:textId="1EBCD749"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lastRenderedPageBreak/>
        <w:t xml:space="preserve">Hoffmann, M.A., Bar-On, Y., Yang, Z., Gristick, H.B., Gnanapragasam, P.N., Vielmetter, J., Nussenzweig, M.C. and Bjorkman, P.J., 2020. Nanoparticles presenting clusters of CD4 expose a universal vulnerability of HIV-1 by mimicking target cells. Proceedings of the National Academy of Sciences, 117(31), pp.18719-18728. </w:t>
      </w:r>
    </w:p>
    <w:p w14:paraId="1A0D732D" w14:textId="6F79DDF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Ishungisa, A.M., Meyrowitsch, D.W., Mmbaga, E.J., Leshabari, M.T. and Moen, K., 2022. Not a Problem at All or Excluded by Oneself, Doctors, and the Law? Healthcare Workers’ Perspectives on Access to HIV-Related Healthcare among Same-Sex Attracted Men in Tanzania. Journal of the International Association of Providers of AIDS Care, 21. </w:t>
      </w:r>
    </w:p>
    <w:p w14:paraId="110854DA" w14:textId="1CF6C8E7"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Jefferis, K., Avalos, A., Phillips, H., Mmelesi, M., Ramaabya, D., Nkomo, B., Muthoga, C., Jarvis, J.N., Ratladi, S., Selato, R. and Stover, J., 2021. Five years after Treat All implementation: Botswana’s HIV response and future directions in the era of COVID-19. Southern African journal of HIV medicine, 22(1). </w:t>
      </w:r>
    </w:p>
    <w:p w14:paraId="07ABD7F6" w14:textId="145487BA"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Kall, M., Kelly, C., Auzenbergs, M. and Delpech, V., 2020. Positive voices: The national survey of people living with HIV. PHE publications. </w:t>
      </w:r>
    </w:p>
    <w:p w14:paraId="6688A4A6" w14:textId="01C8EE36"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Kavanagh, M.M., Graeden, E., Pillinger, M., Singh, R., Eaneff, S., Bendaud, V., Gustav, R. and Erkkola, T., 2020. Understanding and comparing HIV-related law and policy environments: cross-national data and accountability for the global AIDS response. BMJ global health, 5(9), p.e003695. </w:t>
      </w:r>
    </w:p>
    <w:p w14:paraId="23215B8F" w14:textId="749B8D18"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Kaw, S., Ananth, S., Tsaousidis, N., Morath, K., Coban, B.M., Hohenberger, R., Bulut, O.C., Klein, F., Stolp, B. and Fackler, O.T., 2020. HIV‐1 infection of CD4 T cells impairs antigen‐specific B cell function. The EMBO Journal, 39(24), p.e105594.</w:t>
      </w:r>
    </w:p>
    <w:p w14:paraId="51C23BF7" w14:textId="09DC47AF"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Kaya, H., 2024. Safeguarding strategies and current HIV treatment in the UK. World Journal of Advanced Research and Reviews.</w:t>
      </w:r>
    </w:p>
    <w:p w14:paraId="2383435B" w14:textId="2AFAE12A"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Kimera, E., Vindevogel, S., Reynaert, D., Justice, K.M., Rubaihayo, J., De Maeyer, J., Engelen, A.M., Musanje, K. and Bilsen, J., 2020. Experiences and effects of HIV-related stigma among youth living with HIV/AIDS in Western Uganda: A photovoice study. PloS one, 15(4), p.e0232359. </w:t>
      </w:r>
    </w:p>
    <w:p w14:paraId="7DBBBE9D" w14:textId="7138EEF1"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lastRenderedPageBreak/>
        <w:t xml:space="preserve">Koseoglu Ornek, O., Tabak, F., &amp; Mete, B., 2020. Stigma in hospital: an examination of beliefs and attitudes towards HIV/AIDS patients, Istanbul. AIDS care. </w:t>
      </w:r>
    </w:p>
    <w:p w14:paraId="268C94F5" w14:textId="21CDBAAC" w:rsidR="005952E5" w:rsidRPr="00EB499D" w:rsidRDefault="005952E5" w:rsidP="005637F8">
      <w:pPr>
        <w:spacing w:line="360" w:lineRule="auto"/>
        <w:jc w:val="both"/>
        <w:rPr>
          <w:rFonts w:asciiTheme="majorHAnsi" w:hAnsiTheme="majorHAnsi" w:cstheme="majorBidi"/>
          <w:color w:val="000000" w:themeColor="text1"/>
          <w:sz w:val="24"/>
          <w:szCs w:val="24"/>
          <w:u w:val="single"/>
        </w:rPr>
      </w:pPr>
      <w:r w:rsidRPr="46C455A4">
        <w:rPr>
          <w:rFonts w:asciiTheme="majorHAnsi" w:hAnsiTheme="majorHAnsi" w:cstheme="majorBidi"/>
          <w:color w:val="000000" w:themeColor="text1"/>
          <w:sz w:val="24"/>
          <w:szCs w:val="24"/>
        </w:rPr>
        <w:t xml:space="preserve">Kteily-Hawa, R., Hawa, A.C., Gogolishvili, D., Al Akel, M., Andruszkiewicz, N., Vijayanathan, H. and Loutfy, M., 2022. Understanding the epidemiological HIV risk factors and underlying risk context for youth residing in or originating from the Middle East and North Africa (MENA) region: a scoping review of the literature. PLoS One, 17(1), p.e0260935. </w:t>
      </w:r>
    </w:p>
    <w:p w14:paraId="7A3B41A8" w14:textId="70891350"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Kucharzik, T., Ellul, P., Greuter, T., Rahier, J.F., Verstockt, B., Abreu, C., Albuquerque, A., Allocca, M., Esteve, M., Farraye, F.A. and Gordon, H., 2021. ECCO guidelines on the prevention, diagnosis, and management of infections in inflammatory bowel disease. Journal of Crohn's and Colitis, 15(6), pp.879-913. </w:t>
      </w:r>
    </w:p>
    <w:p w14:paraId="4E52D53F" w14:textId="575DCE6A"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Laurenzi, C.A., du Toit, S., Ameyan, W., Melendez‐Torres, G.J., Kara, T., Brand, A., Chideya, Y., Abrahams, N., Bradshaw, M., Page, D.T. and Ford, N., 2021. Psychosocial interventions for improving engagement in care and health and behavioural outcomes for adolescents and young people living with HIV: a systematic review and meta‐analysis. African Journal of Reproduction and Gynaecological Endoscopy, 24(8), p.e25741. </w:t>
      </w:r>
    </w:p>
    <w:p w14:paraId="5ACBBE9B" w14:textId="7E4B6705"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Lazarus, J.V., Safreed-Harmon, K., Kamarulzaman, A., Anderson, J., Leite, R.B., Behrens, G., Bekker, L.G., Bhagani, S., Brown, D., Brown, G. and Buchbinder, S., 2021. Consensus statement on the role of health systems in advancing the long-term well-being of people living with HIV. Nature communications, 12(1), p.4450. </w:t>
      </w:r>
    </w:p>
    <w:p w14:paraId="555C2FA7" w14:textId="74993FF8"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Li, Y., Twersky, S., Ignace, K., Zhao, M., Purandare, R., Bennett-Jones, B. and Weaver, S.R., 2020. Constructing and communicating COVID-19 stigma on Twitter: A content analysis of tweets during the early stage of the COVID-19 outbreak. International journal of environmental research and public health, 17(18), p.6847. </w:t>
      </w:r>
    </w:p>
    <w:p w14:paraId="4C9CF05C" w14:textId="2112D47D"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Lu, X., Huang, H., Khoshnood, K., Koniak-Griffin, D., Wang, H. and Yang, M., 2022. Ethical decision-making of health professionals caring for people living with HIV/AIDS in Hunan, China: A Qualitative Study. INQUIRY: The Journal of Health Care Organization, Provision, and Financing, 59, p.00469580221127789. </w:t>
      </w:r>
    </w:p>
    <w:p w14:paraId="3BBDD955" w14:textId="6DD6A72D"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lastRenderedPageBreak/>
        <w:t xml:space="preserve">MacLean, J. R. &amp; Wetherall, K., 2021. The association between HIV-stigma and depressive symptoms among people living with HIV/AIDS: A systematic review of studies conducted in South Africa. Journal of affective disorders. </w:t>
      </w:r>
    </w:p>
    <w:p w14:paraId="7D475888" w14:textId="4764B4EF"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Mailhe, M., Beaumont, A.L., Thy, M., Le Pluart, D., Perrineau, S., Houhou-Fidouh, N., Deconinck, L., Bertin, C., Ferré, V.M., Cortier, M. and Des Vaux, C.D.L.P., 2023. Clinical characteristics of ambulatory and hospitalized patients with monkeypox virus infection: an observational cohort study. Clinical Microbiology and Infection, 29(2), pp.233-239. </w:t>
      </w:r>
    </w:p>
    <w:p w14:paraId="351C64A0" w14:textId="71BBBFC7"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Marrazzo, J., Tao, L., Becker, M., Leech, A.A., Taylor, A.W., Ussery, F., Kiragu, M., Reza-Paul, S., Myers, J., Bekker, L.G. and Yang, J., 2024. HIV Preexposure Prophylaxis with Emtricitabine and Tenofovir Disoproxil Fumarate Among Cisgender Women. JAMA. </w:t>
      </w:r>
    </w:p>
    <w:p w14:paraId="1D4D147C" w14:textId="516ACFFB"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Masrie, A., Shawel, S., Tamire, A., Mandefro, M., Gebru, T., Seboka Ergiba, M. and Getachew, M., 2023. Implementation Evaluation of HIV/AIDS Voluntary Counseling and Testing (VCT) Service at Public Health Facilities of Akaki Kality Sub-City, Addis Ababa, Ethiopia. HIV/AIDS-Research and Palliative Care, pp.503-518. </w:t>
      </w:r>
    </w:p>
    <w:p w14:paraId="3117A207" w14:textId="70C163BE"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Mayer, K.H., Molina, J.M., Thompson, M.A., Anderson, P.L., Mounzer, K.C., De Wet, J.J., DeJesus, E., Jessen, H., Grant, R.M., Ruane, P.J. and Wong, P., 2020. Emtricitabine and tenofovir alafenamide vs emtricitabine and tenofovir disoproxil fumarate for HIV pre-exposure prophylaxis (DISCOVER): primary results from a randomised, double-blind, multicentre, active-controlled, phase 3, non-inferiority trial. The Lancet, 396(10246), pp.239-254. </w:t>
      </w:r>
    </w:p>
    <w:p w14:paraId="72AFBD3B" w14:textId="7405A226"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Mayer, K.H., Nelson, L., Hightow-Weidman, L., Mimiaga, M.J., Mena, L., Reisner, S., Daskalakis, D., Safren, S.A., Beyrer, C. and Sullivan, P.S., 2021. The persistent and evolving HIV epidemic in American men who have sex with men. The Lancet, 397(10279), pp.1116-1126. </w:t>
      </w:r>
    </w:p>
    <w:p w14:paraId="5AFB86B4" w14:textId="0F1510BB"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Molina, J.M., Ghosn, J., Assoumou, L., Delaugerre, C., Algarte-Genin, M., Pialoux, G., Katlama, C., Slama, L., Liegeon, G., Beniguel, L. and Ohayon, M., 2022. Daily and on-demand HIV pre-exposure prophylaxis with emtricitabine and tenofovir disoproxil (ANRS PREVENIR): a prospective observational cohort study. The lancet HIV, 9(8), pp. e554-e562. </w:t>
      </w:r>
    </w:p>
    <w:p w14:paraId="7E6B9468" w14:textId="07AD41C5"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lastRenderedPageBreak/>
        <w:t xml:space="preserve">Molldrem, S. &amp; Smith, A. K. J., 2020. Reassessing the ethics of molecular HIV surveillance in the era of cluster detection and response: Toward HIV data justice. The American Journal of Bioethics. </w:t>
      </w:r>
    </w:p>
    <w:p w14:paraId="00296501" w14:textId="0DA26202"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Mtasingwa, L. V., 2020. Challenges facing Tanzanian youth in the fight against HIV/AIDS: lessons learnt from Mbeya region, southern highlands. Forum for Development Studies.</w:t>
      </w:r>
    </w:p>
    <w:p w14:paraId="4F14775B" w14:textId="6E0AC971"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Mujugira, A., Baeten, J.M., Hodges-Mameletzis, I. and Haberer, J.E., 2020. Lamivudine/Tenofovir Disoproxil fumarate is an appropriate PrEP REGIMEN. Drugs, 80(18), pp.1881-1888. </w:t>
      </w:r>
    </w:p>
    <w:p w14:paraId="5F33CD67" w14:textId="149D7308"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Murchu, E.O., Marshall, L., Teljeur, C., Harrington, P., Hayes, C., Moran, P. and Ryan, M., 2022. Oral pre-exposure prophylaxis (PrEP) to prevent HIV: a systematic review and meta-analysis of clinical effectiveness, safety, adherence, and risk compensation in all populations. BMJ open, 12(5), p.e048478. </w:t>
      </w:r>
    </w:p>
    <w:p w14:paraId="615BCD7F" w14:textId="20490BBA"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Mwijage Ishungisa, A., Meyrowitsch, D.W., Mmbaga, E.J., Leshabari, M.T. and Moen, K., 2022. Not a Problem at All or Excluded by Oneself, Doctors, and the Law? Healthcare Workers’ Perspectives on Access to HIV-Related Healthcare among Same-Sex Attracted Men in Tanzania. Journal of the International Association of Providers of AIDS Care (JIAPAC), 21, p.23259582221121448. </w:t>
      </w:r>
    </w:p>
    <w:p w14:paraId="19E75C41" w14:textId="2ED43273"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Namiba, A., Kwardem, L., Dhairyawan, R., Hale, F., McGregor Read, J., Anderson, J. and Welbourn, A., 2022. From presumptive exclusion towards fair inclusion: perspectives on the involvement of women living with HIV in clinical trials, including stakeholders’ views. Therapeutic Advances in Infectious Disease, 9, p.20499361221075454. </w:t>
      </w:r>
    </w:p>
    <w:p w14:paraId="5BCAD84B" w14:textId="3AA9651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Nyman, F., 2024. Reshaping the narrative: Tracing the historical trajectory of HIV/AIDS, gay men, and public health in Sweden. Plos one.</w:t>
      </w:r>
    </w:p>
    <w:p w14:paraId="0FD8954F" w14:textId="13A543DC"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Obeagu, E. I. &amp; Obeagu, G. U., 2022. An update on survival of people living with HIV in Nigeria. J Pub Health Nutri. 2022; 5 (6). </w:t>
      </w:r>
    </w:p>
    <w:p w14:paraId="02E4A5EF" w14:textId="3D69BA20"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Odo, M., Ochei, K.C., Obeagu, E.I., Barinaadaa, A., Eteng, E.U., Ikpeme, M., Bassey, J.O. and Paul, A.O., 2020. Cascade variabilities in TB case finding among people living with HIV and </w:t>
      </w:r>
      <w:r w:rsidRPr="46C455A4">
        <w:rPr>
          <w:rFonts w:asciiTheme="majorHAnsi" w:hAnsiTheme="majorHAnsi" w:cstheme="majorBidi"/>
          <w:color w:val="000000" w:themeColor="text1"/>
          <w:sz w:val="24"/>
          <w:szCs w:val="24"/>
        </w:rPr>
        <w:lastRenderedPageBreak/>
        <w:t>the use of IPT: assessment in three levels of care in cross River State, Nigeria. Journal of Pharmaceutical Research International, 32(24), pp.9-18.</w:t>
      </w:r>
    </w:p>
    <w:p w14:paraId="18BE7813" w14:textId="18E661D0"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Ogbuagu, O., Ruane, P.J., Podzamczer, D., Salazar, L.C., Henry, K., Asmuth, D.M., Wohl, D., Gilson, R., Shao, Y., Ebrahimi, R. and Cox, S., 2021. Long-term safety and efficacy of emtricitabine and tenofovir alafenamide vs emtricitabine and tenofovir disoproxil fumarate for HIV-1 pre-exposure prophylaxis: week 96 results from a randomised, double-blind, placebo-controlled, phase 3 trial. The Lancet HIV, 8(7), pp. e397-e407.</w:t>
      </w:r>
    </w:p>
    <w:p w14:paraId="5E1137DC" w14:textId="12680CED"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O'Shea, J., 2022. Interim guidance for prevention and treatment of monkeypox in persons with HIV infection—United States, August 2022. MMWR. Morbidity and Mortality Weekly Report. </w:t>
      </w:r>
    </w:p>
    <w:p w14:paraId="5598E44A" w14:textId="2A61AB35"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Padamsee, T. J., 2020. Fighting an epidemic in political context: thirty-five years of HIV/AIDS policy making in the United States. Social History of Medicine.</w:t>
      </w:r>
    </w:p>
    <w:p w14:paraId="657ABDE7" w14:textId="5E8BFA84"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Palfreeman, A., Sullivan, A., Rayment, M., Waters, L., Buckley, A., Burns, F., Clutterbuck, D., Cormack, I., Croxford, S., Dean, G. and Delpech, V., 2020. British HIV association/British association for sexual health and HIV/British infection association adult HIV testing guidelines 2020. HIV medicine, 21(S6), pp.1-26. </w:t>
      </w:r>
    </w:p>
    <w:p w14:paraId="30D42AA6" w14:textId="54B2DAE0"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Pantelic, M., Martin, K., Fitzpatrick, C., Nixon, E., Tweed, M., Spice, W., Jones, M., Darking, M., Whetham, J., and Vera, J.H., 2022. “I have the strength to get through this using my past experiences with HIV”: findings from a mixed-method survey of health outcomes, service accessibility, and psychosocial wellbeing among people living with HIV during the Covid-19 pandemic. AIDS care, 34(7), pp.821-827. </w:t>
      </w:r>
    </w:p>
    <w:p w14:paraId="5674F314" w14:textId="6DC58821"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Petkov, S. &amp; Chiodi, F., 2021. Distinct transcriptomic profiles of naive CD4+ T cells distinguish HIV-1 infected patients initiating antiretroviral therapy at acute or chronic phase of infection. Genomics. </w:t>
      </w:r>
    </w:p>
    <w:p w14:paraId="5F9E18C3" w14:textId="36761AA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Petkov, S. &amp; Chiodi, F., 2022. Impaired CD4+ T cell differentiation in HIV-1 infected patients receiving early anti-retroviral therapy. Genomics.</w:t>
      </w:r>
    </w:p>
    <w:p w14:paraId="4F28CA27" w14:textId="554E2203"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lastRenderedPageBreak/>
        <w:t xml:space="preserve">Qiao, S., Yang, X., Sun, S., Li, X., Mi, T., Zhou, Y., &amp; Shen, Z., 2021. Challenges to HIV service delivery and the impacts on patient care during COVID-19: perspective of HIV care providers in Guangxi, China. AIDS care. </w:t>
      </w:r>
    </w:p>
    <w:p w14:paraId="6AE027C9" w14:textId="466F4BF1"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Razzaq, A., Travaglia, J., Raynes-Greenow, C., &amp; Alam, N. A., 2024. Understanding Fijian health system challenges in the prevention of mother-to-child transmission of HIV services in the three tertiary hospitals in Fiji. AIDS care. </w:t>
      </w:r>
    </w:p>
    <w:p w14:paraId="34634042" w14:textId="36C12B4D"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Risher, K.A., Cori, A., Reniers, G., Marston, M., Calvert, C., Crampin, A., Dadirai, T., Dube, A., Gregson, S., Herbst, K. and Lutalo, T., 2021. Age patterns of HIV incidence in eastern and southern Africa: a modelling analysis of observational population-based cohort studies. The Lancet HIV, 8(7), pp. e429-e439. </w:t>
      </w:r>
    </w:p>
    <w:p w14:paraId="5EA4EFBA" w14:textId="12B752C8"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Ritter, R., Nkhwalingwa, N., Anthonj, C. and Kistemann, T., 2022. Coping with ill-health while lacking access to health care: Acceptability of health service provision in rural Malawi–a qualitative study. Global Health Action, 15(1), p.2062174. </w:t>
      </w:r>
    </w:p>
    <w:p w14:paraId="788DA4E8" w14:textId="1DEF76CF"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Robles, G., Sauermilch, D., Gandhi, M., &amp; Starks, T. J., 2021. PrEP demonstration project showed superior adherence with tenofovir alafenamide/emtricitabine compared to tenofovir disoproxil fumarate/emtricitabine in a sample …. AIDS and Behavior. </w:t>
      </w:r>
    </w:p>
    <w:p w14:paraId="6CFC5F86" w14:textId="06ADB25D" w:rsidR="005952E5" w:rsidRPr="00EB499D" w:rsidRDefault="005952E5" w:rsidP="005637F8">
      <w:pPr>
        <w:spacing w:before="100" w:beforeAutospacing="1" w:after="100" w:afterAutospacing="1" w:line="360" w:lineRule="auto"/>
        <w:jc w:val="both"/>
        <w:divId w:val="459542393"/>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Safreed-Harmon, K., Kall, M., Anderson, J., Azzopardi-Muscat, N., Behrens, G.M., d'Arminio Monforte, A., Davidovich, U., Noori, T. and Lazarus, J.V., 2020. Ability to monitor national responses to the HIV Epidemic “beyond viral suppression”: findings from six European countries. Frontiers in Public Health, 8, p.36. </w:t>
      </w:r>
    </w:p>
    <w:p w14:paraId="28E992A4" w14:textId="7FB78332"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Singhroy, D.N., MacLean, E., Kohli, M., Lessem, E., Branigan, D., England, K., Suleiman, K., Drain, P.K., Ruhwald, M., Schumacher, S., and Denkinger, C.M., 2020. Adoption and uptake of the lateral flow urine LAM test in countries with high tuberculosis and HIV/AIDS burden: current landscape and barriers. Gates open research, 4.</w:t>
      </w:r>
    </w:p>
    <w:p w14:paraId="23AB53E7" w14:textId="4067FD0F"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Thornhill, J.P., Barkati, S., Walmsley, S., Rockstroh, J., Antinori, A., Harrison, L.B., Palich, R., Nori, A., Reeves, I., Habibi, M.S. and Apea, V., 2022. Monkeypox virus infection in humans </w:t>
      </w:r>
      <w:r w:rsidRPr="46C455A4">
        <w:rPr>
          <w:rFonts w:asciiTheme="majorHAnsi" w:hAnsiTheme="majorHAnsi" w:cstheme="majorBidi"/>
          <w:color w:val="000000" w:themeColor="text1"/>
          <w:sz w:val="24"/>
          <w:szCs w:val="24"/>
        </w:rPr>
        <w:lastRenderedPageBreak/>
        <w:t>across 16 countries—April–June 2022. New England Journal of Medicine, 387(8), pp.679-691.</w:t>
      </w:r>
    </w:p>
    <w:p w14:paraId="7EBE92D7" w14:textId="70641252"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Vieira, V.A., Millar, J., Adland, E., Muenchhoff, M., Roider, J., Guash, C.F., Peluso, D., Thomé, B., Garcia-Guerrero, M.C., Puertas, M.C. and Bamford, A., 2022. Robust HIV-specific CD4+ and CD8+ T-cell responses distinguish elite control in adolescents living with HIV from viremic nonprogressors. Aids, 36(1), pp.95-105. </w:t>
      </w:r>
    </w:p>
    <w:p w14:paraId="70143EB5" w14:textId="31235478"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Warner, S., Cheung, D., Condon, A., Cunningham, J., Bailie, J., Minc, A., Herbert, S. and Edmiston, N., 2024. Communication and coordination of care for people living with HIV: a qualitative study of the patient perspective. BMC Primary Care, 25(1), p.19. </w:t>
      </w:r>
    </w:p>
    <w:p w14:paraId="53B6A8A7" w14:textId="336C4DE5"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Wiginton, J.M., Maksut, J.L., Murray, S.M., Augustinavicius, J.L., Kall, M., Delpech, V. and Baral, S.D., 2021. Brief report: HIV-related healthcare stigma/discrimination and unmet needs among persons living with HIV in England and Wales. Preventive Medicine Reports, 24, p.101580. </w:t>
      </w:r>
    </w:p>
    <w:p w14:paraId="2170F519" w14:textId="55D3E014"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Wilson, K., Bleasdale, J., &amp; Przybyla, S. M., 2021. Provider-patient communication on pre-exposure prophylaxis (Prep) for HIV prevention: An exploration of healthcare provider challenges. Health communication.</w:t>
      </w:r>
    </w:p>
    <w:p w14:paraId="05777F2D" w14:textId="60E56611"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Winston, A. &amp; Spudich, S., 2020. Cognitive disorders in people living with HIV. The Lancet HIV. </w:t>
      </w:r>
    </w:p>
    <w:p w14:paraId="54569293" w14:textId="5CF17DBA"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Xie, G., Luo, X., Ma, T., Frouard, J., Neidleman, J., Hoh, R., Deeks, S.G., Greene, W.C., and Roan, N.R., 2021. Characterization of HIV-induced remodeling reveals differences in infection susceptibility of memory CD4+ T cell subsets in vivo. Cell reports, 35(4).</w:t>
      </w:r>
    </w:p>
    <w:p w14:paraId="1841F835" w14:textId="78BA4D88" w:rsidR="005952E5" w:rsidRPr="00EB499D" w:rsidRDefault="005952E5" w:rsidP="005637F8">
      <w:pPr>
        <w:spacing w:before="100" w:beforeAutospacing="1" w:after="100" w:afterAutospacing="1" w:line="360" w:lineRule="auto"/>
        <w:jc w:val="both"/>
        <w:divId w:val="1759477405"/>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 xml:space="preserve">Yu, H., Li, M., Li, Z., Xiang, W., Yuan, Y., Liu, Y., Li, Z., &amp; Xiong, Z., 2020. Coping style, social support, and psychological distress in the general Chinese population in the preliminary stages of the COVID-19 epidemic. BMC psychiatry. </w:t>
      </w:r>
    </w:p>
    <w:p w14:paraId="35DBC4D3" w14:textId="57D2FC5C"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 xml:space="preserve">Yuan, D., Yu, B., Liang, S., Fei, T., Tang, H., Kang, R., Li, Y., Ye, L., Jia, P. and Yang, S., 2022. HIV-1 genetic transmission networks among people living with HIV/AIDS in Sichuan, China: a </w:t>
      </w:r>
      <w:r w:rsidRPr="46C455A4">
        <w:rPr>
          <w:rFonts w:asciiTheme="majorHAnsi" w:hAnsiTheme="majorHAnsi" w:cstheme="majorBidi"/>
          <w:color w:val="000000" w:themeColor="text1"/>
          <w:sz w:val="24"/>
          <w:szCs w:val="24"/>
        </w:rPr>
        <w:lastRenderedPageBreak/>
        <w:t xml:space="preserve">genomic and spatial epidemiological analysis. The Lancet Regional Health–Western Pacific, 18. </w:t>
      </w:r>
    </w:p>
    <w:p w14:paraId="4B1A95A3" w14:textId="36E16C41" w:rsidR="005952E5" w:rsidRPr="00EB499D" w:rsidRDefault="005952E5" w:rsidP="005637F8">
      <w:pPr>
        <w:spacing w:line="360" w:lineRule="auto"/>
        <w:jc w:val="both"/>
        <w:rPr>
          <w:rFonts w:asciiTheme="majorHAnsi" w:hAnsiTheme="majorHAnsi" w:cstheme="majorBidi"/>
          <w:color w:val="000000" w:themeColor="text1"/>
          <w:sz w:val="24"/>
          <w:szCs w:val="24"/>
        </w:rPr>
      </w:pPr>
      <w:r w:rsidRPr="46C455A4">
        <w:rPr>
          <w:rFonts w:asciiTheme="majorHAnsi" w:hAnsiTheme="majorHAnsi" w:cstheme="majorBidi"/>
          <w:color w:val="000000" w:themeColor="text1"/>
          <w:sz w:val="24"/>
          <w:szCs w:val="24"/>
        </w:rPr>
        <w:t>Zhang, X., Deshmukh, S., Mukim, A., Zhang, J. and Beliakova-Bethell, N., 2023. HIV infection elicits differential transcriptomic remodeling in CD4+ T cells with variable proliferative responses to the T cell receptor stimulus. Pathogens, 12(4), p.511.</w:t>
      </w:r>
    </w:p>
    <w:p w14:paraId="55EB76E3" w14:textId="13DC273D" w:rsidR="005952E5" w:rsidRPr="00EB499D" w:rsidRDefault="005952E5" w:rsidP="005637F8">
      <w:pPr>
        <w:spacing w:before="100" w:beforeAutospacing="1" w:after="100" w:afterAutospacing="1" w:line="360" w:lineRule="auto"/>
        <w:jc w:val="both"/>
        <w:divId w:val="1833062682"/>
        <w:rPr>
          <w:rFonts w:asciiTheme="majorHAnsi" w:hAnsiTheme="majorHAnsi" w:cstheme="majorBidi"/>
          <w:color w:val="000000" w:themeColor="text1"/>
          <w:sz w:val="24"/>
          <w:szCs w:val="24"/>
          <w:lang w:eastAsia="en-GB"/>
        </w:rPr>
      </w:pPr>
      <w:r w:rsidRPr="46C455A4">
        <w:rPr>
          <w:rFonts w:asciiTheme="majorHAnsi" w:hAnsiTheme="majorHAnsi" w:cstheme="majorBidi"/>
          <w:color w:val="000000" w:themeColor="text1"/>
          <w:sz w:val="24"/>
          <w:szCs w:val="24"/>
        </w:rPr>
        <w:t>Ziersch, A., Walsh, M., Baak, M., Rowley, G., Oudih, E. and Mwanri, L., 2021. “It is not an acceptable disease”: A qualitative study of HIV-related stigma and discrimination and impacts on health and wellbeing for people from ethnically diverse backgrounds in Australia. BMC Public Health, 21(1), p.779.</w:t>
      </w:r>
    </w:p>
    <w:sectPr w:rsidR="005952E5" w:rsidRPr="00EB499D" w:rsidSect="00DB065D">
      <w:pgSz w:w="11907" w:h="1683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7F11401" w14:textId="77777777" w:rsidR="00DB065D" w:rsidRDefault="00DB065D">
      <w:pPr>
        <w:spacing w:after="0" w:line="240" w:lineRule="auto"/>
      </w:pPr>
      <w:r>
        <w:separator/>
      </w:r>
    </w:p>
  </w:endnote>
  <w:endnote w:type="continuationSeparator" w:id="0">
    <w:p w14:paraId="317B4952" w14:textId="77777777" w:rsidR="00DB065D" w:rsidRDefault="00DB065D">
      <w:pPr>
        <w:spacing w:after="0" w:line="240" w:lineRule="auto"/>
      </w:pPr>
      <w:r>
        <w:continuationSeparator/>
      </w:r>
    </w:p>
  </w:endnote>
  <w:endnote w:type="continuationNotice" w:id="1">
    <w:p w14:paraId="0401BBFA" w14:textId="77777777" w:rsidR="00DB065D" w:rsidRDefault="00DB065D">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ebkit-standard">
    <w:altName w:val="Cambria"/>
    <w:panose1 w:val="020B0604020202020204"/>
    <w:charset w:val="00"/>
    <w:family w:val="roman"/>
    <w:pitch w:val="default"/>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4002EFF" w:usb1="C000ACF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B0604020202020204"/>
    <w:charset w:val="00"/>
    <w:family w:val="modern"/>
    <w:notTrueType/>
    <w:pitch w:val="fixed"/>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F50C67" w14:textId="77777777" w:rsidR="00DB065D" w:rsidRDefault="00DB065D">
      <w:pPr>
        <w:spacing w:after="0" w:line="240" w:lineRule="auto"/>
      </w:pPr>
      <w:r>
        <w:separator/>
      </w:r>
    </w:p>
  </w:footnote>
  <w:footnote w:type="continuationSeparator" w:id="0">
    <w:p w14:paraId="5F8151A4" w14:textId="77777777" w:rsidR="00DB065D" w:rsidRDefault="00DB065D">
      <w:pPr>
        <w:spacing w:after="0" w:line="240" w:lineRule="auto"/>
      </w:pPr>
      <w:r>
        <w:continuationSeparator/>
      </w:r>
    </w:p>
  </w:footnote>
  <w:footnote w:type="continuationNotice" w:id="1">
    <w:p w14:paraId="6AE864A7" w14:textId="77777777" w:rsidR="00DB065D" w:rsidRDefault="00DB065D">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textHash int2:hashCode="CJMBpVftojo1u3" int2:id="gP13mflq">
      <int2:state int2:value="Rejected" int2:type="AugLoop_Text_Critique"/>
    </int2:textHash>
    <int2:textHash int2:hashCode="ub5hpapoibLeW6" int2:id="RHCnuviw">
      <int2:state int2:value="Rejected" int2:type="AugLoop_Text_Critique"/>
    </int2:textHash>
    <int2:textHash int2:hashCode="A4/rY4JsYpU4vI" int2:id="hIkNscLv">
      <int2:state int2:value="Rejected" int2:type="AugLoop_Text_Critique"/>
    </int2:textHash>
    <int2:textHash int2:hashCode="dIlmFGAKFbjU/g" int2:id="YuPZElLf">
      <int2:state int2:value="Rejected" int2:type="AugLoop_Text_Critique"/>
    </int2:textHash>
    <int2:textHash int2:hashCode="SeqSA6+JcF2053" int2:id="SDBk9NLn">
      <int2:state int2:value="Rejected" int2:type="AugLoop_Text_Critique"/>
    </int2:textHash>
    <int2:textHash int2:hashCode="0t4nOmCZcxjnfn" int2:id="hd8JxVbt">
      <int2:state int2:value="Rejected" int2:type="AugLoop_Text_Critique"/>
    </int2:textHash>
    <int2:textHash int2:hashCode="10j07wUgh1CnhY" int2:id="5c8ku0a1">
      <int2:state int2:value="Rejected" int2:type="AugLoop_Text_Critique"/>
    </int2:textHash>
    <int2:textHash int2:hashCode="TaUNCpEh0sOBot" int2:id="5TQORxrZ">
      <int2:state int2:value="Rejected" int2:type="AugLoop_Text_Critique"/>
    </int2:textHash>
    <int2:textHash int2:hashCode="lrm3Bt8l4hUojL" int2:id="9M53lAl6">
      <int2:state int2:value="Rejected" int2:type="AugLoop_Text_Critique"/>
    </int2:textHash>
    <int2:textHash int2:hashCode="LMebnptiTojDry" int2:id="pNrBD5Yi">
      <int2:state int2:value="Rejected" int2:type="AugLoop_Text_Critique"/>
    </int2:textHash>
    <int2:textHash int2:hashCode="2rwxaXPjwPVEV1" int2:id="Humrf17f">
      <int2:state int2:value="Rejected" int2:type="AugLoop_Text_Critique"/>
    </int2:textHash>
    <int2:textHash int2:hashCode="1pBTqck39+5QAx" int2:id="Qvrt7WQb">
      <int2:state int2:value="Rejected" int2:type="AugLoop_Text_Critique"/>
    </int2:textHash>
    <int2:textHash int2:hashCode="Bva00yU0/IPGJn" int2:id="TM4G7l7q">
      <int2:state int2:value="Rejected" int2:type="AugLoop_Text_Critique"/>
    </int2:textHash>
    <int2:textHash int2:hashCode="UmgqT2BuS0wJQq" int2:id="uoBLdurO">
      <int2:state int2:value="Rejected" int2:type="AugLoop_Text_Critique"/>
    </int2:textHash>
    <int2:textHash int2:hashCode="ryPF9LE2LHsIgM" int2:id="dM2v1TOX">
      <int2:state int2:value="Rejected" int2:type="AugLoop_Text_Critique"/>
    </int2:textHash>
    <int2:textHash int2:hashCode="2FdN/DjZKqEfzs" int2:id="vQn0KKtU">
      <int2:state int2:value="Rejected" int2:type="AugLoop_Text_Critique"/>
    </int2:textHash>
    <int2:textHash int2:hashCode="EG3s8ctt4UQSHj" int2:id="jcLqSwZT">
      <int2:state int2:value="Rejected" int2:type="AugLoop_Text_Critique"/>
    </int2:textHash>
    <int2:textHash int2:hashCode="fvguDBYTRm8VaD" int2:id="T0EtBgVC">
      <int2:state int2:value="Rejected" int2:type="AugLoop_Text_Critique"/>
    </int2:textHash>
    <int2:textHash int2:hashCode="Lq1VwAFX4AiuiQ" int2:id="2m2xapD1">
      <int2:state int2:value="Rejected" int2:type="AugLoop_Text_Critique"/>
    </int2:textHash>
    <int2:textHash int2:hashCode="NT12h6See3qwhk" int2:id="Gly9A93x">
      <int2:state int2:value="Rejected" int2:type="AugLoop_Text_Critique"/>
    </int2:textHash>
    <int2:textHash int2:hashCode="KRanK8MB6zyw0H" int2:id="JMar706D">
      <int2:state int2:value="Rejected" int2:type="AugLoop_Text_Critique"/>
    </int2:textHash>
    <int2:textHash int2:hashCode="sLqyN+ZBc1besa" int2:id="n8akVyPK">
      <int2:state int2:value="Rejected" int2:type="AugLoop_Text_Critique"/>
    </int2:textHash>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29584C60"/>
    <w:multiLevelType w:val="hybridMultilevel"/>
    <w:tmpl w:val="E706641A"/>
    <w:lvl w:ilvl="0" w:tplc="FFFFFFFF">
      <w:start w:val="1"/>
      <w:numFmt w:val="decimal"/>
      <w:lvlText w:val="%1."/>
      <w:lvlJc w:val="left"/>
      <w:pPr>
        <w:ind w:left="720" w:hanging="360"/>
      </w:pPr>
      <w:rPr>
        <w:rFonts w:ascii="-webkit-standard" w:hAnsi="-webkit-standard" w:hint="default"/>
        <w:color w:val="000000"/>
        <w:sz w:val="27"/>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3A5AD8"/>
    <w:multiLevelType w:val="hybridMultilevel"/>
    <w:tmpl w:val="3DDEB770"/>
    <w:lvl w:ilvl="0" w:tplc="FFFFFFF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787C072D"/>
    <w:multiLevelType w:val="hybridMultilevel"/>
    <w:tmpl w:val="C5C0DB2E"/>
    <w:lvl w:ilvl="0" w:tplc="FFFFFFF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98690170">
    <w:abstractNumId w:val="8"/>
  </w:num>
  <w:num w:numId="2" w16cid:durableId="409893430">
    <w:abstractNumId w:val="6"/>
  </w:num>
  <w:num w:numId="3" w16cid:durableId="263345906">
    <w:abstractNumId w:val="5"/>
  </w:num>
  <w:num w:numId="4" w16cid:durableId="476070979">
    <w:abstractNumId w:val="4"/>
  </w:num>
  <w:num w:numId="5" w16cid:durableId="1840152120">
    <w:abstractNumId w:val="7"/>
  </w:num>
  <w:num w:numId="6" w16cid:durableId="186259515">
    <w:abstractNumId w:val="3"/>
  </w:num>
  <w:num w:numId="7" w16cid:durableId="497038165">
    <w:abstractNumId w:val="2"/>
  </w:num>
  <w:num w:numId="8" w16cid:durableId="1121803163">
    <w:abstractNumId w:val="1"/>
  </w:num>
  <w:num w:numId="9" w16cid:durableId="460421462">
    <w:abstractNumId w:val="0"/>
  </w:num>
  <w:num w:numId="10" w16cid:durableId="1835366980">
    <w:abstractNumId w:val="10"/>
  </w:num>
  <w:num w:numId="11" w16cid:durableId="293339792">
    <w:abstractNumId w:val="11"/>
  </w:num>
  <w:num w:numId="12" w16cid:durableId="90461216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98"/>
  <w:proofState w:spelling="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1D8F"/>
    <w:rsid w:val="00004C61"/>
    <w:rsid w:val="000121E4"/>
    <w:rsid w:val="00034616"/>
    <w:rsid w:val="00037E47"/>
    <w:rsid w:val="00043DBE"/>
    <w:rsid w:val="00053964"/>
    <w:rsid w:val="00053A76"/>
    <w:rsid w:val="00057279"/>
    <w:rsid w:val="0006063C"/>
    <w:rsid w:val="00064B7F"/>
    <w:rsid w:val="000739CE"/>
    <w:rsid w:val="00075EA0"/>
    <w:rsid w:val="000A7B2E"/>
    <w:rsid w:val="000B3DF1"/>
    <w:rsid w:val="000C011B"/>
    <w:rsid w:val="000C1D12"/>
    <w:rsid w:val="000C43FE"/>
    <w:rsid w:val="000E3A03"/>
    <w:rsid w:val="000E5368"/>
    <w:rsid w:val="000F1F00"/>
    <w:rsid w:val="000F504D"/>
    <w:rsid w:val="0010330B"/>
    <w:rsid w:val="00112B0D"/>
    <w:rsid w:val="00126C26"/>
    <w:rsid w:val="00127128"/>
    <w:rsid w:val="0012781B"/>
    <w:rsid w:val="001357F6"/>
    <w:rsid w:val="00146735"/>
    <w:rsid w:val="00147FBF"/>
    <w:rsid w:val="0015074B"/>
    <w:rsid w:val="001561D2"/>
    <w:rsid w:val="001639F2"/>
    <w:rsid w:val="00170BCB"/>
    <w:rsid w:val="0018287E"/>
    <w:rsid w:val="00186FAF"/>
    <w:rsid w:val="0019585A"/>
    <w:rsid w:val="001A0103"/>
    <w:rsid w:val="001B3F24"/>
    <w:rsid w:val="001B601E"/>
    <w:rsid w:val="001E44D1"/>
    <w:rsid w:val="001F11E1"/>
    <w:rsid w:val="001F37CD"/>
    <w:rsid w:val="001F4002"/>
    <w:rsid w:val="001F4547"/>
    <w:rsid w:val="001F784F"/>
    <w:rsid w:val="00217189"/>
    <w:rsid w:val="00232B85"/>
    <w:rsid w:val="002349FA"/>
    <w:rsid w:val="00241008"/>
    <w:rsid w:val="002542D6"/>
    <w:rsid w:val="002555D2"/>
    <w:rsid w:val="002662C6"/>
    <w:rsid w:val="00266DA0"/>
    <w:rsid w:val="00270D18"/>
    <w:rsid w:val="00275DE9"/>
    <w:rsid w:val="0027657A"/>
    <w:rsid w:val="0028152F"/>
    <w:rsid w:val="00295FB3"/>
    <w:rsid w:val="0029639D"/>
    <w:rsid w:val="002A1E6C"/>
    <w:rsid w:val="002B43BA"/>
    <w:rsid w:val="002B4C6F"/>
    <w:rsid w:val="002B6B69"/>
    <w:rsid w:val="002B7FEC"/>
    <w:rsid w:val="002C3537"/>
    <w:rsid w:val="002D597C"/>
    <w:rsid w:val="002E254A"/>
    <w:rsid w:val="002E3250"/>
    <w:rsid w:val="002E5D1A"/>
    <w:rsid w:val="002E7E68"/>
    <w:rsid w:val="0031058F"/>
    <w:rsid w:val="003163DB"/>
    <w:rsid w:val="003174CD"/>
    <w:rsid w:val="00326F90"/>
    <w:rsid w:val="00334615"/>
    <w:rsid w:val="00344171"/>
    <w:rsid w:val="003464D5"/>
    <w:rsid w:val="00346A06"/>
    <w:rsid w:val="00351D13"/>
    <w:rsid w:val="0035777D"/>
    <w:rsid w:val="00381AAB"/>
    <w:rsid w:val="00382131"/>
    <w:rsid w:val="00390AF8"/>
    <w:rsid w:val="00392887"/>
    <w:rsid w:val="003A03AC"/>
    <w:rsid w:val="003C2FE4"/>
    <w:rsid w:val="003D6197"/>
    <w:rsid w:val="003D6559"/>
    <w:rsid w:val="003F2A5F"/>
    <w:rsid w:val="003F38DE"/>
    <w:rsid w:val="003F7A0A"/>
    <w:rsid w:val="00402D1D"/>
    <w:rsid w:val="00404FE3"/>
    <w:rsid w:val="00405294"/>
    <w:rsid w:val="00410D4E"/>
    <w:rsid w:val="0042471A"/>
    <w:rsid w:val="004324B6"/>
    <w:rsid w:val="004426DE"/>
    <w:rsid w:val="00442759"/>
    <w:rsid w:val="0044364D"/>
    <w:rsid w:val="00444FD9"/>
    <w:rsid w:val="004458C3"/>
    <w:rsid w:val="00450930"/>
    <w:rsid w:val="0046248C"/>
    <w:rsid w:val="00465F6A"/>
    <w:rsid w:val="0046609E"/>
    <w:rsid w:val="00466B1E"/>
    <w:rsid w:val="00466D2F"/>
    <w:rsid w:val="00467F12"/>
    <w:rsid w:val="004859B0"/>
    <w:rsid w:val="00487ECF"/>
    <w:rsid w:val="004927C3"/>
    <w:rsid w:val="00494EF4"/>
    <w:rsid w:val="004A01D8"/>
    <w:rsid w:val="004A0F9F"/>
    <w:rsid w:val="004A2041"/>
    <w:rsid w:val="004A37F6"/>
    <w:rsid w:val="004A4580"/>
    <w:rsid w:val="004A4637"/>
    <w:rsid w:val="004A71FE"/>
    <w:rsid w:val="004B4680"/>
    <w:rsid w:val="004C13DD"/>
    <w:rsid w:val="004C1704"/>
    <w:rsid w:val="004C1CC8"/>
    <w:rsid w:val="004C1D4C"/>
    <w:rsid w:val="004D6D1C"/>
    <w:rsid w:val="004E45B5"/>
    <w:rsid w:val="004E50C9"/>
    <w:rsid w:val="004F0B6F"/>
    <w:rsid w:val="00501636"/>
    <w:rsid w:val="00502A56"/>
    <w:rsid w:val="0050468C"/>
    <w:rsid w:val="00504FDB"/>
    <w:rsid w:val="005105B5"/>
    <w:rsid w:val="0051319E"/>
    <w:rsid w:val="005208C5"/>
    <w:rsid w:val="0053606B"/>
    <w:rsid w:val="005437F3"/>
    <w:rsid w:val="0055677D"/>
    <w:rsid w:val="005637F8"/>
    <w:rsid w:val="00572AF7"/>
    <w:rsid w:val="00582267"/>
    <w:rsid w:val="005952E5"/>
    <w:rsid w:val="005975CD"/>
    <w:rsid w:val="005A1311"/>
    <w:rsid w:val="005A4BD5"/>
    <w:rsid w:val="005C73CB"/>
    <w:rsid w:val="005D0E19"/>
    <w:rsid w:val="005D0FD8"/>
    <w:rsid w:val="005D2749"/>
    <w:rsid w:val="005D5BAF"/>
    <w:rsid w:val="005D61A3"/>
    <w:rsid w:val="005F5789"/>
    <w:rsid w:val="00601236"/>
    <w:rsid w:val="0061693F"/>
    <w:rsid w:val="00626B48"/>
    <w:rsid w:val="0065757D"/>
    <w:rsid w:val="00672FA5"/>
    <w:rsid w:val="0067347E"/>
    <w:rsid w:val="00680ECE"/>
    <w:rsid w:val="00681D3C"/>
    <w:rsid w:val="006837A7"/>
    <w:rsid w:val="00684ADA"/>
    <w:rsid w:val="006A7C74"/>
    <w:rsid w:val="006C76B0"/>
    <w:rsid w:val="006D0265"/>
    <w:rsid w:val="006E05A7"/>
    <w:rsid w:val="006E721B"/>
    <w:rsid w:val="006E7896"/>
    <w:rsid w:val="006F19D8"/>
    <w:rsid w:val="006F3440"/>
    <w:rsid w:val="006F47B3"/>
    <w:rsid w:val="006F50BC"/>
    <w:rsid w:val="0070686C"/>
    <w:rsid w:val="007250AB"/>
    <w:rsid w:val="00726976"/>
    <w:rsid w:val="00734708"/>
    <w:rsid w:val="00734CA5"/>
    <w:rsid w:val="007407AB"/>
    <w:rsid w:val="007466CB"/>
    <w:rsid w:val="0076245D"/>
    <w:rsid w:val="00771FFB"/>
    <w:rsid w:val="00772600"/>
    <w:rsid w:val="00787103"/>
    <w:rsid w:val="007942FD"/>
    <w:rsid w:val="007970C7"/>
    <w:rsid w:val="007A03BD"/>
    <w:rsid w:val="007A18A4"/>
    <w:rsid w:val="007A43B8"/>
    <w:rsid w:val="007B2B63"/>
    <w:rsid w:val="007B4016"/>
    <w:rsid w:val="007C195A"/>
    <w:rsid w:val="007D063E"/>
    <w:rsid w:val="007D131B"/>
    <w:rsid w:val="007D16CD"/>
    <w:rsid w:val="007D52AA"/>
    <w:rsid w:val="007F01A1"/>
    <w:rsid w:val="007F7788"/>
    <w:rsid w:val="00805CC3"/>
    <w:rsid w:val="008258E6"/>
    <w:rsid w:val="008445E9"/>
    <w:rsid w:val="0085267F"/>
    <w:rsid w:val="008628E1"/>
    <w:rsid w:val="00871D71"/>
    <w:rsid w:val="00877753"/>
    <w:rsid w:val="00883AC8"/>
    <w:rsid w:val="008904AE"/>
    <w:rsid w:val="008941DD"/>
    <w:rsid w:val="00897C84"/>
    <w:rsid w:val="008B0DF9"/>
    <w:rsid w:val="008B6B77"/>
    <w:rsid w:val="008D1CC8"/>
    <w:rsid w:val="008D1DC5"/>
    <w:rsid w:val="008E35A1"/>
    <w:rsid w:val="008E46BC"/>
    <w:rsid w:val="008F7B5F"/>
    <w:rsid w:val="00901BA4"/>
    <w:rsid w:val="00904B8B"/>
    <w:rsid w:val="009113E9"/>
    <w:rsid w:val="0091550B"/>
    <w:rsid w:val="00920673"/>
    <w:rsid w:val="009310F3"/>
    <w:rsid w:val="00935660"/>
    <w:rsid w:val="00943023"/>
    <w:rsid w:val="00952270"/>
    <w:rsid w:val="00957C4D"/>
    <w:rsid w:val="009743F9"/>
    <w:rsid w:val="00975C8D"/>
    <w:rsid w:val="00976A9D"/>
    <w:rsid w:val="0098020F"/>
    <w:rsid w:val="009917FF"/>
    <w:rsid w:val="00994267"/>
    <w:rsid w:val="009A284B"/>
    <w:rsid w:val="009C0F4A"/>
    <w:rsid w:val="009C6032"/>
    <w:rsid w:val="009C71B3"/>
    <w:rsid w:val="009D0CFC"/>
    <w:rsid w:val="009F21AB"/>
    <w:rsid w:val="009F67E2"/>
    <w:rsid w:val="00A11604"/>
    <w:rsid w:val="00A1173C"/>
    <w:rsid w:val="00A17B3F"/>
    <w:rsid w:val="00A25342"/>
    <w:rsid w:val="00A2620F"/>
    <w:rsid w:val="00A31693"/>
    <w:rsid w:val="00A318EA"/>
    <w:rsid w:val="00A34090"/>
    <w:rsid w:val="00A3732E"/>
    <w:rsid w:val="00A41830"/>
    <w:rsid w:val="00A4360F"/>
    <w:rsid w:val="00A527CD"/>
    <w:rsid w:val="00A5345A"/>
    <w:rsid w:val="00A64ABF"/>
    <w:rsid w:val="00A703CA"/>
    <w:rsid w:val="00AA0827"/>
    <w:rsid w:val="00AA19FD"/>
    <w:rsid w:val="00AA1D8D"/>
    <w:rsid w:val="00AA2318"/>
    <w:rsid w:val="00AB37A3"/>
    <w:rsid w:val="00AD23CE"/>
    <w:rsid w:val="00AD60C2"/>
    <w:rsid w:val="00AE2616"/>
    <w:rsid w:val="00AE62D0"/>
    <w:rsid w:val="00AF3A0A"/>
    <w:rsid w:val="00B47730"/>
    <w:rsid w:val="00B566CA"/>
    <w:rsid w:val="00B638D1"/>
    <w:rsid w:val="00B66A6A"/>
    <w:rsid w:val="00B72FB9"/>
    <w:rsid w:val="00B75136"/>
    <w:rsid w:val="00B765B4"/>
    <w:rsid w:val="00B766DE"/>
    <w:rsid w:val="00B80551"/>
    <w:rsid w:val="00B9090F"/>
    <w:rsid w:val="00BA0346"/>
    <w:rsid w:val="00BB6591"/>
    <w:rsid w:val="00BD2AF9"/>
    <w:rsid w:val="00BD6FB7"/>
    <w:rsid w:val="00BD7CA4"/>
    <w:rsid w:val="00BDC3C1"/>
    <w:rsid w:val="00BE2291"/>
    <w:rsid w:val="00BE301D"/>
    <w:rsid w:val="00BE5250"/>
    <w:rsid w:val="00BE57D2"/>
    <w:rsid w:val="00BE6542"/>
    <w:rsid w:val="00C00895"/>
    <w:rsid w:val="00C2013E"/>
    <w:rsid w:val="00C20A4B"/>
    <w:rsid w:val="00C3569E"/>
    <w:rsid w:val="00C35DB1"/>
    <w:rsid w:val="00C4226B"/>
    <w:rsid w:val="00C44E30"/>
    <w:rsid w:val="00C5361D"/>
    <w:rsid w:val="00C54A2A"/>
    <w:rsid w:val="00C565E8"/>
    <w:rsid w:val="00C57C6A"/>
    <w:rsid w:val="00C921CA"/>
    <w:rsid w:val="00C924AB"/>
    <w:rsid w:val="00C94AF6"/>
    <w:rsid w:val="00CA0216"/>
    <w:rsid w:val="00CA5707"/>
    <w:rsid w:val="00CA6714"/>
    <w:rsid w:val="00CA6959"/>
    <w:rsid w:val="00CB0664"/>
    <w:rsid w:val="00CC6B47"/>
    <w:rsid w:val="00CC7064"/>
    <w:rsid w:val="00CD166D"/>
    <w:rsid w:val="00CD1841"/>
    <w:rsid w:val="00D04086"/>
    <w:rsid w:val="00D07E37"/>
    <w:rsid w:val="00D10647"/>
    <w:rsid w:val="00D123FB"/>
    <w:rsid w:val="00D61893"/>
    <w:rsid w:val="00D66230"/>
    <w:rsid w:val="00D712BB"/>
    <w:rsid w:val="00D802DB"/>
    <w:rsid w:val="00D87560"/>
    <w:rsid w:val="00D937CF"/>
    <w:rsid w:val="00D93E54"/>
    <w:rsid w:val="00DB065D"/>
    <w:rsid w:val="00DB5277"/>
    <w:rsid w:val="00DB6E37"/>
    <w:rsid w:val="00DC00D1"/>
    <w:rsid w:val="00DC1D83"/>
    <w:rsid w:val="00DC2C9E"/>
    <w:rsid w:val="00DD6317"/>
    <w:rsid w:val="00DF16B0"/>
    <w:rsid w:val="00E01EDF"/>
    <w:rsid w:val="00E1069D"/>
    <w:rsid w:val="00E11804"/>
    <w:rsid w:val="00E135F8"/>
    <w:rsid w:val="00E153C3"/>
    <w:rsid w:val="00E16A82"/>
    <w:rsid w:val="00E23D97"/>
    <w:rsid w:val="00E302DA"/>
    <w:rsid w:val="00E3720A"/>
    <w:rsid w:val="00E401C1"/>
    <w:rsid w:val="00E41C57"/>
    <w:rsid w:val="00E558AD"/>
    <w:rsid w:val="00E667AE"/>
    <w:rsid w:val="00E75C67"/>
    <w:rsid w:val="00E83926"/>
    <w:rsid w:val="00E86ED3"/>
    <w:rsid w:val="00E9232E"/>
    <w:rsid w:val="00EA6B52"/>
    <w:rsid w:val="00EA73BF"/>
    <w:rsid w:val="00EA7E95"/>
    <w:rsid w:val="00EB499D"/>
    <w:rsid w:val="00ED3535"/>
    <w:rsid w:val="00ED45A3"/>
    <w:rsid w:val="00EF0C11"/>
    <w:rsid w:val="00EF395B"/>
    <w:rsid w:val="00EF7205"/>
    <w:rsid w:val="00F01D00"/>
    <w:rsid w:val="00F06549"/>
    <w:rsid w:val="00F23360"/>
    <w:rsid w:val="00F421FC"/>
    <w:rsid w:val="00F42519"/>
    <w:rsid w:val="00F511D6"/>
    <w:rsid w:val="00F51713"/>
    <w:rsid w:val="00F6009D"/>
    <w:rsid w:val="00F618AC"/>
    <w:rsid w:val="00F7365C"/>
    <w:rsid w:val="00F74878"/>
    <w:rsid w:val="00FA3874"/>
    <w:rsid w:val="00FA6680"/>
    <w:rsid w:val="00FB2282"/>
    <w:rsid w:val="00FB35BA"/>
    <w:rsid w:val="00FC0958"/>
    <w:rsid w:val="00FC1BE2"/>
    <w:rsid w:val="00FC40AC"/>
    <w:rsid w:val="00FC693F"/>
    <w:rsid w:val="00FE5781"/>
    <w:rsid w:val="021B0B42"/>
    <w:rsid w:val="02813E0A"/>
    <w:rsid w:val="038B6F75"/>
    <w:rsid w:val="0480948F"/>
    <w:rsid w:val="04AF6B22"/>
    <w:rsid w:val="05801991"/>
    <w:rsid w:val="0612ABBB"/>
    <w:rsid w:val="067070F6"/>
    <w:rsid w:val="074C70B4"/>
    <w:rsid w:val="0854DA5A"/>
    <w:rsid w:val="08D71097"/>
    <w:rsid w:val="09821B8A"/>
    <w:rsid w:val="09F2EAEB"/>
    <w:rsid w:val="0A3D1777"/>
    <w:rsid w:val="0BC594EA"/>
    <w:rsid w:val="0C1EA77F"/>
    <w:rsid w:val="0C736B6A"/>
    <w:rsid w:val="0DF8D60B"/>
    <w:rsid w:val="0E2CDC13"/>
    <w:rsid w:val="0E36B628"/>
    <w:rsid w:val="0FE30F62"/>
    <w:rsid w:val="1051D80C"/>
    <w:rsid w:val="1081904C"/>
    <w:rsid w:val="10DBC0AC"/>
    <w:rsid w:val="1190348D"/>
    <w:rsid w:val="11EF3291"/>
    <w:rsid w:val="122880C4"/>
    <w:rsid w:val="131301F5"/>
    <w:rsid w:val="16783A92"/>
    <w:rsid w:val="18D4B25C"/>
    <w:rsid w:val="18EAC93E"/>
    <w:rsid w:val="1A6B3984"/>
    <w:rsid w:val="1AA3DD36"/>
    <w:rsid w:val="1B4F3C03"/>
    <w:rsid w:val="1B56025A"/>
    <w:rsid w:val="1B7EDFAB"/>
    <w:rsid w:val="1BE46BD0"/>
    <w:rsid w:val="1BF0C4AA"/>
    <w:rsid w:val="212717AA"/>
    <w:rsid w:val="2186C596"/>
    <w:rsid w:val="225AF3FA"/>
    <w:rsid w:val="273DB05F"/>
    <w:rsid w:val="28B1FEC3"/>
    <w:rsid w:val="28C3EE83"/>
    <w:rsid w:val="292EC788"/>
    <w:rsid w:val="29B7C5FF"/>
    <w:rsid w:val="2AC7FA2D"/>
    <w:rsid w:val="2B0DB8E7"/>
    <w:rsid w:val="2B79B04F"/>
    <w:rsid w:val="2D45B3E6"/>
    <w:rsid w:val="2E1C54E5"/>
    <w:rsid w:val="2F3027C6"/>
    <w:rsid w:val="31023FC5"/>
    <w:rsid w:val="312608A6"/>
    <w:rsid w:val="3147DD04"/>
    <w:rsid w:val="319ABFE3"/>
    <w:rsid w:val="32144F62"/>
    <w:rsid w:val="323813FD"/>
    <w:rsid w:val="331D25A0"/>
    <w:rsid w:val="3324AA73"/>
    <w:rsid w:val="33831E6F"/>
    <w:rsid w:val="33EB5FF6"/>
    <w:rsid w:val="37B44FBD"/>
    <w:rsid w:val="3A044EB8"/>
    <w:rsid w:val="3AE3B766"/>
    <w:rsid w:val="3D5A87A8"/>
    <w:rsid w:val="3E1558EF"/>
    <w:rsid w:val="3E2A91A9"/>
    <w:rsid w:val="3E7371FC"/>
    <w:rsid w:val="41F397BA"/>
    <w:rsid w:val="43F1552B"/>
    <w:rsid w:val="463A9E1F"/>
    <w:rsid w:val="46A9DB2A"/>
    <w:rsid w:val="46C455A4"/>
    <w:rsid w:val="46E8CEC7"/>
    <w:rsid w:val="485FC6E6"/>
    <w:rsid w:val="4B044DE9"/>
    <w:rsid w:val="4CE02FEE"/>
    <w:rsid w:val="4DC937E1"/>
    <w:rsid w:val="4E0B2CFA"/>
    <w:rsid w:val="4E37A13E"/>
    <w:rsid w:val="4E4EAD04"/>
    <w:rsid w:val="4EC4F2E7"/>
    <w:rsid w:val="50ABC73E"/>
    <w:rsid w:val="50C1EF5D"/>
    <w:rsid w:val="512CFB89"/>
    <w:rsid w:val="51E6294F"/>
    <w:rsid w:val="537D7EFA"/>
    <w:rsid w:val="55C8B87C"/>
    <w:rsid w:val="55C98DB4"/>
    <w:rsid w:val="57A4FF72"/>
    <w:rsid w:val="584D9545"/>
    <w:rsid w:val="585164F1"/>
    <w:rsid w:val="58B3FC98"/>
    <w:rsid w:val="594FCD08"/>
    <w:rsid w:val="59855231"/>
    <w:rsid w:val="59985134"/>
    <w:rsid w:val="59D6869D"/>
    <w:rsid w:val="5C70B3BC"/>
    <w:rsid w:val="5CDEFB4E"/>
    <w:rsid w:val="5CEE5BD2"/>
    <w:rsid w:val="5D736C32"/>
    <w:rsid w:val="5F7F12BC"/>
    <w:rsid w:val="5FB73EDE"/>
    <w:rsid w:val="603AE9B2"/>
    <w:rsid w:val="60BBE95D"/>
    <w:rsid w:val="6189567C"/>
    <w:rsid w:val="61EDC0F9"/>
    <w:rsid w:val="61EEA80C"/>
    <w:rsid w:val="62D0F26A"/>
    <w:rsid w:val="62EBA09B"/>
    <w:rsid w:val="63BB0BBE"/>
    <w:rsid w:val="64A1C1AA"/>
    <w:rsid w:val="64FA3398"/>
    <w:rsid w:val="652BD8B0"/>
    <w:rsid w:val="67203F9D"/>
    <w:rsid w:val="67C0797E"/>
    <w:rsid w:val="67FAD9D9"/>
    <w:rsid w:val="6872F0BF"/>
    <w:rsid w:val="68E4E81D"/>
    <w:rsid w:val="6B68F76B"/>
    <w:rsid w:val="6E04CBD1"/>
    <w:rsid w:val="6FA5D0D5"/>
    <w:rsid w:val="7048E90E"/>
    <w:rsid w:val="7226E32B"/>
    <w:rsid w:val="72A37C64"/>
    <w:rsid w:val="72C5CB72"/>
    <w:rsid w:val="732A2411"/>
    <w:rsid w:val="735EA6D1"/>
    <w:rsid w:val="73E84687"/>
    <w:rsid w:val="75A0708C"/>
    <w:rsid w:val="76FA3E8C"/>
    <w:rsid w:val="77DB2260"/>
    <w:rsid w:val="78013E61"/>
    <w:rsid w:val="781D7FA5"/>
    <w:rsid w:val="78BC03A8"/>
    <w:rsid w:val="7920A91D"/>
    <w:rsid w:val="79E3432D"/>
    <w:rsid w:val="79F8EB1F"/>
    <w:rsid w:val="7B927F84"/>
    <w:rsid w:val="7C285809"/>
    <w:rsid w:val="7CC25D4B"/>
    <w:rsid w:val="7D4F5ED7"/>
    <w:rsid w:val="7FFC9528"/>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6AE9199"/>
  <w14:defaultImageDpi w14:val="300"/>
  <w15:docId w15:val="{DD74C821-3364-B143-A0B5-0522E15C55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qFormat="1"/>
    <w:lsdException w:name="toc 2" w:semiHidden="1" w:uiPriority="39" w:unhideWhenUsed="1" w:qFormat="1"/>
    <w:lsdException w:name="toc 3" w:semiHidden="1" w:uiPriority="39" w:unhideWhenUsed="1" w:qFormat="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46C455A4"/>
    <w:rPr>
      <w:lang w:val="en-GB"/>
    </w:rPr>
  </w:style>
  <w:style w:type="paragraph" w:styleId="Heading1">
    <w:name w:val="heading 1"/>
    <w:basedOn w:val="Normal"/>
    <w:next w:val="Normal"/>
    <w:link w:val="Heading1Char"/>
    <w:uiPriority w:val="9"/>
    <w:qFormat/>
    <w:rsid w:val="004C13DD"/>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46C455A4"/>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46C455A4"/>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46C455A4"/>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46C455A4"/>
    <w:pPr>
      <w:keepNext/>
      <w:keepLines/>
      <w:spacing w:before="200" w:after="0"/>
      <w:outlineLvl w:val="4"/>
    </w:pPr>
    <w:rPr>
      <w:rFonts w:asciiTheme="majorHAnsi" w:eastAsiaTheme="majorEastAsia" w:hAnsiTheme="majorHAnsi" w:cstheme="majorBidi"/>
      <w:color w:val="243F60"/>
    </w:rPr>
  </w:style>
  <w:style w:type="paragraph" w:styleId="Heading6">
    <w:name w:val="heading 6"/>
    <w:basedOn w:val="Normal"/>
    <w:next w:val="Normal"/>
    <w:link w:val="Heading6Char"/>
    <w:uiPriority w:val="9"/>
    <w:semiHidden/>
    <w:unhideWhenUsed/>
    <w:qFormat/>
    <w:rsid w:val="46C455A4"/>
    <w:pPr>
      <w:keepNext/>
      <w:keepLines/>
      <w:spacing w:before="200" w:after="0"/>
      <w:outlineLvl w:val="5"/>
    </w:pPr>
    <w:rPr>
      <w:rFonts w:asciiTheme="majorHAnsi" w:eastAsiaTheme="majorEastAsia" w:hAnsiTheme="majorHAnsi" w:cstheme="majorBidi"/>
      <w:i/>
      <w:iCs/>
      <w:color w:val="243F60"/>
    </w:rPr>
  </w:style>
  <w:style w:type="paragraph" w:styleId="Heading7">
    <w:name w:val="heading 7"/>
    <w:basedOn w:val="Normal"/>
    <w:next w:val="Normal"/>
    <w:link w:val="Heading7Char"/>
    <w:uiPriority w:val="9"/>
    <w:semiHidden/>
    <w:unhideWhenUsed/>
    <w:qFormat/>
    <w:rsid w:val="46C455A4"/>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46C455A4"/>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46C455A4"/>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46C455A4"/>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46C455A4"/>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4C13DD"/>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46C455A4"/>
    <w:pPr>
      <w:spacing w:after="300" w:line="240" w:lineRule="auto"/>
      <w:contextualSpacing/>
    </w:pPr>
    <w:rPr>
      <w:rFonts w:asciiTheme="majorHAnsi" w:eastAsiaTheme="majorEastAsia" w:hAnsiTheme="majorHAnsi" w:cstheme="majorBidi"/>
      <w:color w:val="17365D" w:themeColor="text2" w:themeShade="BF"/>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46C455A4"/>
    <w:rPr>
      <w:rFonts w:asciiTheme="majorHAnsi" w:eastAsiaTheme="majorEastAsia" w:hAnsiTheme="majorHAnsi" w:cstheme="majorBidi"/>
      <w:i/>
      <w:iCs/>
      <w:color w:val="4F81BD" w:themeColor="accent1"/>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46C455A4"/>
    <w:pPr>
      <w:ind w:left="720"/>
      <w:contextualSpacing/>
    </w:pPr>
  </w:style>
  <w:style w:type="paragraph" w:styleId="BodyText">
    <w:name w:val="Body Text"/>
    <w:basedOn w:val="Normal"/>
    <w:link w:val="BodyTextChar"/>
    <w:uiPriority w:val="99"/>
    <w:unhideWhenUsed/>
    <w:rsid w:val="46C455A4"/>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46C455A4"/>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46C455A4"/>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46C455A4"/>
    <w:pPr>
      <w:ind w:left="360" w:hanging="360"/>
      <w:contextualSpacing/>
    </w:pPr>
  </w:style>
  <w:style w:type="paragraph" w:styleId="List2">
    <w:name w:val="List 2"/>
    <w:basedOn w:val="Normal"/>
    <w:uiPriority w:val="99"/>
    <w:unhideWhenUsed/>
    <w:rsid w:val="46C455A4"/>
    <w:pPr>
      <w:ind w:left="720" w:hanging="360"/>
      <w:contextualSpacing/>
    </w:pPr>
  </w:style>
  <w:style w:type="paragraph" w:styleId="List3">
    <w:name w:val="List 3"/>
    <w:basedOn w:val="Normal"/>
    <w:uiPriority w:val="99"/>
    <w:unhideWhenUsed/>
    <w:rsid w:val="46C455A4"/>
    <w:pPr>
      <w:ind w:left="1080" w:hanging="360"/>
      <w:contextualSpacing/>
    </w:pPr>
  </w:style>
  <w:style w:type="paragraph" w:styleId="ListBullet">
    <w:name w:val="List Bullet"/>
    <w:basedOn w:val="Normal"/>
    <w:uiPriority w:val="99"/>
    <w:unhideWhenUsed/>
    <w:rsid w:val="46C455A4"/>
    <w:pPr>
      <w:numPr>
        <w:numId w:val="1"/>
      </w:numPr>
      <w:contextualSpacing/>
    </w:pPr>
  </w:style>
  <w:style w:type="paragraph" w:styleId="ListBullet2">
    <w:name w:val="List Bullet 2"/>
    <w:basedOn w:val="Normal"/>
    <w:uiPriority w:val="99"/>
    <w:unhideWhenUsed/>
    <w:rsid w:val="46C455A4"/>
    <w:pPr>
      <w:numPr>
        <w:numId w:val="2"/>
      </w:numPr>
      <w:contextualSpacing/>
    </w:pPr>
  </w:style>
  <w:style w:type="paragraph" w:styleId="ListBullet3">
    <w:name w:val="List Bullet 3"/>
    <w:basedOn w:val="Normal"/>
    <w:uiPriority w:val="99"/>
    <w:unhideWhenUsed/>
    <w:rsid w:val="46C455A4"/>
    <w:pPr>
      <w:numPr>
        <w:numId w:val="3"/>
      </w:numPr>
      <w:contextualSpacing/>
    </w:pPr>
  </w:style>
  <w:style w:type="paragraph" w:styleId="ListNumber">
    <w:name w:val="List Number"/>
    <w:basedOn w:val="Normal"/>
    <w:uiPriority w:val="99"/>
    <w:unhideWhenUsed/>
    <w:rsid w:val="46C455A4"/>
    <w:pPr>
      <w:numPr>
        <w:numId w:val="5"/>
      </w:numPr>
      <w:contextualSpacing/>
    </w:pPr>
  </w:style>
  <w:style w:type="paragraph" w:styleId="ListNumber2">
    <w:name w:val="List Number 2"/>
    <w:basedOn w:val="Normal"/>
    <w:uiPriority w:val="99"/>
    <w:unhideWhenUsed/>
    <w:rsid w:val="46C455A4"/>
    <w:pPr>
      <w:numPr>
        <w:numId w:val="6"/>
      </w:numPr>
      <w:contextualSpacing/>
    </w:pPr>
  </w:style>
  <w:style w:type="paragraph" w:styleId="ListNumber3">
    <w:name w:val="List Number 3"/>
    <w:basedOn w:val="Normal"/>
    <w:uiPriority w:val="99"/>
    <w:unhideWhenUsed/>
    <w:rsid w:val="46C455A4"/>
    <w:pPr>
      <w:numPr>
        <w:numId w:val="7"/>
      </w:numPr>
      <w:contextualSpacing/>
    </w:pPr>
  </w:style>
  <w:style w:type="paragraph" w:styleId="ListContinue">
    <w:name w:val="List Continue"/>
    <w:basedOn w:val="Normal"/>
    <w:uiPriority w:val="99"/>
    <w:unhideWhenUsed/>
    <w:rsid w:val="46C455A4"/>
    <w:pPr>
      <w:spacing w:after="120"/>
      <w:ind w:left="360"/>
      <w:contextualSpacing/>
    </w:pPr>
  </w:style>
  <w:style w:type="paragraph" w:styleId="ListContinue2">
    <w:name w:val="List Continue 2"/>
    <w:basedOn w:val="Normal"/>
    <w:uiPriority w:val="99"/>
    <w:unhideWhenUsed/>
    <w:rsid w:val="46C455A4"/>
    <w:pPr>
      <w:spacing w:after="120"/>
      <w:ind w:left="720"/>
      <w:contextualSpacing/>
    </w:pPr>
  </w:style>
  <w:style w:type="paragraph" w:styleId="ListContinue3">
    <w:name w:val="List Continue 3"/>
    <w:basedOn w:val="Normal"/>
    <w:uiPriority w:val="99"/>
    <w:unhideWhenUsed/>
    <w:rsid w:val="46C455A4"/>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46C455A4"/>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46C455A4"/>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46C455A4"/>
    <w:pP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paragraph">
    <w:name w:val="paragraph"/>
    <w:basedOn w:val="Normal"/>
    <w:uiPriority w:val="1"/>
    <w:rsid w:val="46C455A4"/>
    <w:pPr>
      <w:spacing w:beforeAutospacing="1" w:afterAutospacing="1" w:line="240" w:lineRule="auto"/>
    </w:pPr>
    <w:rPr>
      <w:rFonts w:ascii="Times New Roman" w:hAnsi="Times New Roman" w:cs="Times New Roman"/>
      <w:sz w:val="24"/>
      <w:szCs w:val="24"/>
      <w:lang w:eastAsia="en-GB"/>
    </w:rPr>
  </w:style>
  <w:style w:type="character" w:customStyle="1" w:styleId="citation">
    <w:name w:val="citation"/>
    <w:basedOn w:val="DefaultParagraphFont"/>
    <w:rsid w:val="00FC0958"/>
  </w:style>
  <w:style w:type="character" w:customStyle="1" w:styleId="citation-link">
    <w:name w:val="citation-link"/>
    <w:basedOn w:val="DefaultParagraphFont"/>
    <w:rsid w:val="00FC0958"/>
  </w:style>
  <w:style w:type="character" w:styleId="Hyperlink">
    <w:name w:val="Hyperlink"/>
    <w:basedOn w:val="DefaultParagraphFont"/>
    <w:uiPriority w:val="99"/>
    <w:unhideWhenUsed/>
    <w:rsid w:val="007407AB"/>
    <w:rPr>
      <w:color w:val="0000FF"/>
      <w:u w:val="single"/>
    </w:rPr>
  </w:style>
  <w:style w:type="character" w:customStyle="1" w:styleId="apple-converted-space">
    <w:name w:val="apple-converted-space"/>
    <w:basedOn w:val="DefaultParagraphFont"/>
    <w:rsid w:val="004A4637"/>
  </w:style>
  <w:style w:type="paragraph" w:styleId="TOC1">
    <w:name w:val="toc 1"/>
    <w:basedOn w:val="Normal"/>
    <w:next w:val="Normal"/>
    <w:uiPriority w:val="39"/>
    <w:unhideWhenUsed/>
    <w:qFormat/>
    <w:rsid w:val="46C455A4"/>
    <w:pPr>
      <w:spacing w:after="100"/>
    </w:pPr>
  </w:style>
  <w:style w:type="paragraph" w:styleId="TOC2">
    <w:name w:val="toc 2"/>
    <w:basedOn w:val="Normal"/>
    <w:next w:val="Normal"/>
    <w:uiPriority w:val="39"/>
    <w:unhideWhenUsed/>
    <w:qFormat/>
    <w:rsid w:val="46C455A4"/>
    <w:pPr>
      <w:spacing w:after="100"/>
      <w:ind w:left="220"/>
    </w:pPr>
  </w:style>
  <w:style w:type="character" w:styleId="EndnoteReference">
    <w:name w:val="endnote reference"/>
    <w:basedOn w:val="DefaultParagraphFont"/>
    <w:uiPriority w:val="99"/>
    <w:semiHidden/>
    <w:unhideWhenUsed/>
    <w:rsid w:val="00C3569E"/>
    <w:rPr>
      <w:vertAlign w:val="superscript"/>
    </w:rPr>
  </w:style>
  <w:style w:type="character" w:customStyle="1" w:styleId="EndnoteTextChar">
    <w:name w:val="Endnote Text Char"/>
    <w:basedOn w:val="DefaultParagraphFont"/>
    <w:link w:val="EndnoteText"/>
    <w:uiPriority w:val="99"/>
    <w:semiHidden/>
    <w:rsid w:val="00C3569E"/>
    <w:rPr>
      <w:sz w:val="20"/>
      <w:szCs w:val="20"/>
    </w:rPr>
  </w:style>
  <w:style w:type="paragraph" w:styleId="EndnoteText">
    <w:name w:val="endnote text"/>
    <w:basedOn w:val="Normal"/>
    <w:link w:val="EndnoteTextChar"/>
    <w:uiPriority w:val="99"/>
    <w:semiHidden/>
    <w:unhideWhenUsed/>
    <w:rsid w:val="46C455A4"/>
    <w:pPr>
      <w:spacing w:after="0" w:line="240" w:lineRule="auto"/>
    </w:pPr>
    <w:rPr>
      <w:sz w:val="20"/>
      <w:szCs w:val="20"/>
    </w:rPr>
  </w:style>
  <w:style w:type="character" w:customStyle="1" w:styleId="EndnoteTextChar1">
    <w:name w:val="Endnote Text Char1"/>
    <w:basedOn w:val="DefaultParagraphFont"/>
    <w:uiPriority w:val="99"/>
    <w:semiHidden/>
    <w:rsid w:val="00C3569E"/>
    <w:rPr>
      <w:sz w:val="20"/>
      <w:szCs w:val="20"/>
    </w:rPr>
  </w:style>
  <w:style w:type="character" w:styleId="FootnoteReference">
    <w:name w:val="footnote reference"/>
    <w:basedOn w:val="DefaultParagraphFont"/>
    <w:uiPriority w:val="99"/>
    <w:semiHidden/>
    <w:unhideWhenUsed/>
    <w:rPr>
      <w:vertAlign w:val="superscript"/>
    </w:rPr>
  </w:style>
  <w:style w:type="character" w:customStyle="1" w:styleId="FootnoteTextChar">
    <w:name w:val="Footnote Text Char"/>
    <w:basedOn w:val="DefaultParagraphFont"/>
    <w:link w:val="FootnoteText"/>
    <w:uiPriority w:val="99"/>
    <w:semiHidden/>
    <w:rPr>
      <w:sz w:val="20"/>
      <w:szCs w:val="20"/>
    </w:rPr>
  </w:style>
  <w:style w:type="paragraph" w:styleId="FootnoteText">
    <w:name w:val="footnote text"/>
    <w:basedOn w:val="Normal"/>
    <w:link w:val="FootnoteTextChar"/>
    <w:uiPriority w:val="99"/>
    <w:semiHidden/>
    <w:unhideWhenUsed/>
    <w:rsid w:val="46C455A4"/>
    <w:pPr>
      <w:spacing w:after="0" w:line="240" w:lineRule="auto"/>
    </w:pPr>
    <w:rPr>
      <w:sz w:val="20"/>
      <w:szCs w:val="20"/>
    </w:rPr>
  </w:style>
  <w:style w:type="paragraph" w:styleId="TOC3">
    <w:name w:val="toc 3"/>
    <w:basedOn w:val="Normal"/>
    <w:next w:val="Normal"/>
    <w:uiPriority w:val="39"/>
    <w:unhideWhenUsed/>
    <w:qFormat/>
    <w:rsid w:val="46C455A4"/>
    <w:pPr>
      <w:spacing w:after="100"/>
      <w:ind w:left="440"/>
    </w:pPr>
  </w:style>
  <w:style w:type="paragraph" w:styleId="TOC4">
    <w:name w:val="toc 4"/>
    <w:basedOn w:val="Normal"/>
    <w:next w:val="Normal"/>
    <w:uiPriority w:val="39"/>
    <w:unhideWhenUsed/>
    <w:rsid w:val="46C455A4"/>
    <w:pPr>
      <w:spacing w:after="100"/>
      <w:ind w:left="660"/>
    </w:pPr>
  </w:style>
  <w:style w:type="paragraph" w:styleId="TOC5">
    <w:name w:val="toc 5"/>
    <w:basedOn w:val="Normal"/>
    <w:next w:val="Normal"/>
    <w:uiPriority w:val="39"/>
    <w:unhideWhenUsed/>
    <w:rsid w:val="46C455A4"/>
    <w:pPr>
      <w:spacing w:after="100"/>
      <w:ind w:left="880"/>
    </w:pPr>
  </w:style>
  <w:style w:type="paragraph" w:styleId="TOC6">
    <w:name w:val="toc 6"/>
    <w:basedOn w:val="Normal"/>
    <w:next w:val="Normal"/>
    <w:uiPriority w:val="39"/>
    <w:unhideWhenUsed/>
    <w:rsid w:val="46C455A4"/>
    <w:pPr>
      <w:spacing w:after="100"/>
      <w:ind w:left="1100"/>
    </w:pPr>
  </w:style>
  <w:style w:type="paragraph" w:styleId="TOC7">
    <w:name w:val="toc 7"/>
    <w:basedOn w:val="Normal"/>
    <w:next w:val="Normal"/>
    <w:uiPriority w:val="39"/>
    <w:unhideWhenUsed/>
    <w:rsid w:val="46C455A4"/>
    <w:pPr>
      <w:spacing w:after="100"/>
      <w:ind w:left="1320"/>
    </w:pPr>
  </w:style>
  <w:style w:type="paragraph" w:styleId="TOC8">
    <w:name w:val="toc 8"/>
    <w:basedOn w:val="Normal"/>
    <w:next w:val="Normal"/>
    <w:uiPriority w:val="39"/>
    <w:unhideWhenUsed/>
    <w:rsid w:val="46C455A4"/>
    <w:pPr>
      <w:spacing w:after="100"/>
      <w:ind w:left="1540"/>
    </w:pPr>
  </w:style>
  <w:style w:type="paragraph" w:styleId="TOC9">
    <w:name w:val="toc 9"/>
    <w:basedOn w:val="Normal"/>
    <w:next w:val="Normal"/>
    <w:uiPriority w:val="39"/>
    <w:unhideWhenUsed/>
    <w:rsid w:val="46C455A4"/>
    <w:pPr>
      <w:spacing w:after="100"/>
      <w:ind w:left="1760"/>
    </w:pPr>
  </w:style>
  <w:style w:type="paragraph" w:styleId="BalloonText">
    <w:name w:val="Balloon Text"/>
    <w:basedOn w:val="Normal"/>
    <w:link w:val="BalloonTextChar"/>
    <w:uiPriority w:val="99"/>
    <w:semiHidden/>
    <w:unhideWhenUsed/>
    <w:rsid w:val="004C13D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13DD"/>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6694754">
      <w:bodyDiv w:val="1"/>
      <w:marLeft w:val="0"/>
      <w:marRight w:val="0"/>
      <w:marTop w:val="0"/>
      <w:marBottom w:val="0"/>
      <w:divBdr>
        <w:top w:val="none" w:sz="0" w:space="0" w:color="auto"/>
        <w:left w:val="none" w:sz="0" w:space="0" w:color="auto"/>
        <w:bottom w:val="none" w:sz="0" w:space="0" w:color="auto"/>
        <w:right w:val="none" w:sz="0" w:space="0" w:color="auto"/>
      </w:divBdr>
    </w:div>
    <w:div w:id="1557811270">
      <w:bodyDiv w:val="1"/>
      <w:marLeft w:val="0"/>
      <w:marRight w:val="0"/>
      <w:marTop w:val="0"/>
      <w:marBottom w:val="0"/>
      <w:divBdr>
        <w:top w:val="none" w:sz="0" w:space="0" w:color="auto"/>
        <w:left w:val="none" w:sz="0" w:space="0" w:color="auto"/>
        <w:bottom w:val="none" w:sz="0" w:space="0" w:color="auto"/>
        <w:right w:val="none" w:sz="0" w:space="0" w:color="auto"/>
      </w:divBdr>
    </w:div>
    <w:div w:id="1759477405">
      <w:bodyDiv w:val="1"/>
      <w:marLeft w:val="0"/>
      <w:marRight w:val="0"/>
      <w:marTop w:val="0"/>
      <w:marBottom w:val="0"/>
      <w:divBdr>
        <w:top w:val="none" w:sz="0" w:space="0" w:color="auto"/>
        <w:left w:val="none" w:sz="0" w:space="0" w:color="auto"/>
        <w:bottom w:val="none" w:sz="0" w:space="0" w:color="auto"/>
        <w:right w:val="none" w:sz="0" w:space="0" w:color="auto"/>
      </w:divBdr>
      <w:divsChild>
        <w:div w:id="459542393">
          <w:marLeft w:val="0"/>
          <w:marRight w:val="0"/>
          <w:marTop w:val="0"/>
          <w:marBottom w:val="0"/>
          <w:divBdr>
            <w:top w:val="none" w:sz="0" w:space="0" w:color="auto"/>
            <w:left w:val="none" w:sz="0" w:space="0" w:color="auto"/>
            <w:bottom w:val="none" w:sz="0" w:space="0" w:color="auto"/>
            <w:right w:val="none" w:sz="0" w:space="0" w:color="auto"/>
          </w:divBdr>
        </w:div>
      </w:divsChild>
    </w:div>
    <w:div w:id="1799449964">
      <w:bodyDiv w:val="1"/>
      <w:marLeft w:val="0"/>
      <w:marRight w:val="0"/>
      <w:marTop w:val="0"/>
      <w:marBottom w:val="0"/>
      <w:divBdr>
        <w:top w:val="none" w:sz="0" w:space="0" w:color="auto"/>
        <w:left w:val="none" w:sz="0" w:space="0" w:color="auto"/>
        <w:bottom w:val="none" w:sz="0" w:space="0" w:color="auto"/>
        <w:right w:val="none" w:sz="0" w:space="0" w:color="auto"/>
      </w:divBdr>
      <w:divsChild>
        <w:div w:id="936602527">
          <w:marLeft w:val="0"/>
          <w:marRight w:val="0"/>
          <w:marTop w:val="0"/>
          <w:marBottom w:val="0"/>
          <w:divBdr>
            <w:top w:val="none" w:sz="0" w:space="0" w:color="auto"/>
            <w:left w:val="none" w:sz="0" w:space="0" w:color="auto"/>
            <w:bottom w:val="none" w:sz="0" w:space="0" w:color="auto"/>
            <w:right w:val="none" w:sz="0" w:space="0" w:color="auto"/>
          </w:divBdr>
          <w:divsChild>
            <w:div w:id="1379354421">
              <w:marLeft w:val="0"/>
              <w:marRight w:val="0"/>
              <w:marTop w:val="0"/>
              <w:marBottom w:val="0"/>
              <w:divBdr>
                <w:top w:val="none" w:sz="0" w:space="0" w:color="auto"/>
                <w:left w:val="none" w:sz="0" w:space="0" w:color="auto"/>
                <w:bottom w:val="none" w:sz="0" w:space="0" w:color="auto"/>
                <w:right w:val="none" w:sz="0" w:space="0" w:color="auto"/>
              </w:divBdr>
            </w:div>
            <w:div w:id="2100901630">
              <w:marLeft w:val="0"/>
              <w:marRight w:val="0"/>
              <w:marTop w:val="0"/>
              <w:marBottom w:val="0"/>
              <w:divBdr>
                <w:top w:val="none" w:sz="0" w:space="0" w:color="auto"/>
                <w:left w:val="none" w:sz="0" w:space="0" w:color="auto"/>
                <w:bottom w:val="none" w:sz="0" w:space="0" w:color="auto"/>
                <w:right w:val="none" w:sz="0" w:space="0" w:color="auto"/>
              </w:divBdr>
            </w:div>
            <w:div w:id="2671297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3062682">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20/10/relationships/intelligence" Target="intelligence2.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D13A2AB-24FF-47D2-B7BF-C2584048E64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23</Pages>
  <Words>5766</Words>
  <Characters>32867</Characters>
  <Application>Microsoft Office Word</Application>
  <DocSecurity>0</DocSecurity>
  <Lines>273</Lines>
  <Paragraphs>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38556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python-docx</dc:creator>
  <dc:description>generated by python-docx</dc:description>
  <cp:lastModifiedBy>Mesfin Kebede (2115101)</cp:lastModifiedBy>
  <cp:revision>6</cp:revision>
  <dcterms:created xsi:type="dcterms:W3CDTF">2024-04-29T22:52:00Z</dcterms:created>
  <dcterms:modified xsi:type="dcterms:W3CDTF">2024-04-29T18:59:00Z</dcterms:modified>
</cp:coreProperties>
</file>