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70F2E" w14:textId="77777777" w:rsidR="009E7A56" w:rsidRPr="00816D8B" w:rsidRDefault="009E7A56" w:rsidP="009E7A56">
      <w:pPr>
        <w:rPr>
          <w:rFonts w:asciiTheme="majorHAnsi" w:hAnsiTheme="majorHAnsi" w:cstheme="majorHAnsi"/>
        </w:rPr>
      </w:pPr>
    </w:p>
    <w:p w14:paraId="7C2E38E4" w14:textId="77777777" w:rsidR="009E7A56" w:rsidRPr="00816D8B" w:rsidRDefault="009E7A56" w:rsidP="009E7A56">
      <w:pPr>
        <w:jc w:val="center"/>
        <w:rPr>
          <w:rFonts w:asciiTheme="majorHAnsi" w:hAnsiTheme="majorHAnsi" w:cstheme="majorHAnsi"/>
        </w:rPr>
      </w:pPr>
    </w:p>
    <w:p w14:paraId="14497339" w14:textId="77777777" w:rsidR="009E7A56" w:rsidRPr="00816D8B" w:rsidRDefault="009E7A56" w:rsidP="009E7A56">
      <w:pPr>
        <w:jc w:val="center"/>
        <w:rPr>
          <w:rFonts w:asciiTheme="majorHAnsi" w:hAnsiTheme="majorHAnsi" w:cstheme="majorHAnsi"/>
          <w:noProof/>
        </w:rPr>
      </w:pPr>
      <w:r w:rsidRPr="00816D8B">
        <w:rPr>
          <w:rFonts w:asciiTheme="majorHAnsi" w:hAnsiTheme="majorHAnsi" w:cstheme="majorHAnsi"/>
          <w:noProof/>
        </w:rPr>
        <w:drawing>
          <wp:inline distT="0" distB="0" distL="0" distR="0" wp14:anchorId="7CC12FBC" wp14:editId="1A512953">
            <wp:extent cx="5028936" cy="1978925"/>
            <wp:effectExtent l="0" t="0" r="635" b="2540"/>
            <wp:docPr id="5681888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18133" b="22840"/>
                    <a:stretch>
                      <a:fillRect/>
                    </a:stretch>
                  </pic:blipFill>
                  <pic:spPr bwMode="auto">
                    <a:xfrm>
                      <a:off x="0" y="0"/>
                      <a:ext cx="5067573" cy="1994129"/>
                    </a:xfrm>
                    <a:prstGeom prst="rect">
                      <a:avLst/>
                    </a:prstGeom>
                    <a:noFill/>
                    <a:ln>
                      <a:noFill/>
                    </a:ln>
                    <a:extLst>
                      <a:ext uri="{53640926-AAD7-44D8-BBD7-CCE9431645EC}">
                        <a14:shadowObscured xmlns:a14="http://schemas.microsoft.com/office/drawing/2010/main"/>
                      </a:ext>
                    </a:extLst>
                  </pic:spPr>
                </pic:pic>
              </a:graphicData>
            </a:graphic>
          </wp:inline>
        </w:drawing>
      </w:r>
    </w:p>
    <w:p w14:paraId="60D616DD" w14:textId="77777777" w:rsidR="009E7A56" w:rsidRPr="00816D8B" w:rsidRDefault="009E7A56" w:rsidP="009E7A56">
      <w:pPr>
        <w:rPr>
          <w:rFonts w:asciiTheme="majorHAnsi" w:hAnsiTheme="majorHAnsi" w:cstheme="majorHAnsi"/>
          <w:sz w:val="32"/>
          <w:szCs w:val="32"/>
        </w:rPr>
      </w:pPr>
    </w:p>
    <w:p w14:paraId="10380F3A" w14:textId="77777777" w:rsidR="009E7A56" w:rsidRPr="00816D8B" w:rsidRDefault="009E7A56" w:rsidP="009E7A56">
      <w:pPr>
        <w:jc w:val="center"/>
        <w:rPr>
          <w:rFonts w:asciiTheme="majorHAnsi" w:hAnsiTheme="majorHAnsi" w:cstheme="majorHAnsi"/>
          <w:b/>
          <w:bCs/>
          <w:sz w:val="40"/>
          <w:szCs w:val="40"/>
        </w:rPr>
      </w:pPr>
      <w:r w:rsidRPr="00816D8B">
        <w:rPr>
          <w:rFonts w:asciiTheme="majorHAnsi" w:hAnsiTheme="majorHAnsi" w:cstheme="majorHAnsi"/>
          <w:b/>
          <w:bCs/>
          <w:sz w:val="40"/>
          <w:szCs w:val="40"/>
        </w:rPr>
        <w:t>Raj Bhatia</w:t>
      </w:r>
    </w:p>
    <w:p w14:paraId="51ACEFF9" w14:textId="77777777" w:rsidR="009E7A56" w:rsidRPr="00816D8B" w:rsidRDefault="009E7A56" w:rsidP="009E7A56">
      <w:pPr>
        <w:jc w:val="center"/>
        <w:rPr>
          <w:rFonts w:asciiTheme="majorHAnsi" w:hAnsiTheme="majorHAnsi" w:cstheme="majorHAnsi"/>
          <w:b/>
          <w:bCs/>
          <w:sz w:val="32"/>
          <w:szCs w:val="32"/>
        </w:rPr>
      </w:pPr>
      <w:r w:rsidRPr="00816D8B">
        <w:rPr>
          <w:rFonts w:asciiTheme="majorHAnsi" w:hAnsiTheme="majorHAnsi" w:cstheme="majorHAnsi"/>
          <w:b/>
          <w:bCs/>
          <w:sz w:val="32"/>
          <w:szCs w:val="32"/>
        </w:rPr>
        <w:t>Cyber Security and Digital Forensic</w:t>
      </w:r>
    </w:p>
    <w:p w14:paraId="727EFD5E" w14:textId="77777777" w:rsidR="009E7A56" w:rsidRPr="00816D8B" w:rsidRDefault="009E7A56" w:rsidP="009E7A56">
      <w:pPr>
        <w:jc w:val="center"/>
        <w:rPr>
          <w:rFonts w:asciiTheme="majorHAnsi" w:hAnsiTheme="majorHAnsi" w:cstheme="majorHAnsi"/>
          <w:b/>
          <w:bCs/>
          <w:sz w:val="32"/>
          <w:szCs w:val="32"/>
        </w:rPr>
      </w:pPr>
      <w:r w:rsidRPr="00816D8B">
        <w:rPr>
          <w:rFonts w:asciiTheme="majorHAnsi" w:hAnsiTheme="majorHAnsi" w:cstheme="majorHAnsi"/>
          <w:b/>
          <w:bCs/>
          <w:sz w:val="32"/>
          <w:szCs w:val="32"/>
        </w:rPr>
        <w:t>Student ID: 2522682</w:t>
      </w:r>
    </w:p>
    <w:p w14:paraId="0CCAFE28" w14:textId="77777777" w:rsidR="009E7A56" w:rsidRPr="00816D8B" w:rsidRDefault="009E7A56" w:rsidP="009E7A56">
      <w:pPr>
        <w:jc w:val="center"/>
        <w:rPr>
          <w:rFonts w:asciiTheme="majorHAnsi" w:hAnsiTheme="majorHAnsi" w:cstheme="majorHAnsi"/>
          <w:b/>
          <w:bCs/>
          <w:sz w:val="32"/>
          <w:szCs w:val="32"/>
        </w:rPr>
      </w:pPr>
    </w:p>
    <w:p w14:paraId="6284F382" w14:textId="77777777" w:rsidR="009E7A56" w:rsidRPr="00816D8B" w:rsidRDefault="009E7A56" w:rsidP="009E7A56">
      <w:pPr>
        <w:jc w:val="center"/>
        <w:rPr>
          <w:rFonts w:asciiTheme="majorHAnsi" w:hAnsiTheme="majorHAnsi" w:cstheme="majorHAnsi"/>
          <w:b/>
          <w:bCs/>
          <w:sz w:val="32"/>
          <w:szCs w:val="32"/>
        </w:rPr>
      </w:pPr>
      <w:r w:rsidRPr="00816D8B">
        <w:rPr>
          <w:rFonts w:asciiTheme="majorHAnsi" w:hAnsiTheme="majorHAnsi" w:cstheme="majorHAnsi"/>
          <w:b/>
          <w:bCs/>
          <w:sz w:val="32"/>
          <w:szCs w:val="32"/>
        </w:rPr>
        <w:t>Lecturer: Dr. Ayman Al Hajjar</w:t>
      </w:r>
    </w:p>
    <w:p w14:paraId="217EBE29" w14:textId="77777777" w:rsidR="009E7A56" w:rsidRPr="00816D8B" w:rsidRDefault="009E7A56" w:rsidP="009E7A56">
      <w:pPr>
        <w:jc w:val="center"/>
        <w:rPr>
          <w:rFonts w:asciiTheme="majorHAnsi" w:hAnsiTheme="majorHAnsi" w:cstheme="majorHAnsi"/>
          <w:b/>
          <w:bCs/>
          <w:sz w:val="32"/>
          <w:szCs w:val="32"/>
        </w:rPr>
      </w:pPr>
    </w:p>
    <w:p w14:paraId="1651EF02" w14:textId="77777777" w:rsidR="009E7A56" w:rsidRPr="00816D8B" w:rsidRDefault="009E7A56" w:rsidP="009E7A56">
      <w:pPr>
        <w:jc w:val="center"/>
        <w:rPr>
          <w:rFonts w:asciiTheme="majorHAnsi" w:hAnsiTheme="majorHAnsi" w:cstheme="majorHAnsi"/>
          <w:b/>
          <w:bCs/>
          <w:sz w:val="36"/>
          <w:szCs w:val="36"/>
        </w:rPr>
      </w:pPr>
      <w:r w:rsidRPr="00816D8B">
        <w:rPr>
          <w:rFonts w:asciiTheme="majorHAnsi" w:hAnsiTheme="majorHAnsi" w:cstheme="majorHAnsi"/>
          <w:b/>
          <w:bCs/>
          <w:sz w:val="36"/>
          <w:szCs w:val="36"/>
        </w:rPr>
        <w:t>Data Security, Governance and Compliance</w:t>
      </w:r>
    </w:p>
    <w:p w14:paraId="604AD779" w14:textId="77777777" w:rsidR="009E7A56" w:rsidRPr="00816D8B" w:rsidRDefault="009E7A56" w:rsidP="009E7A56">
      <w:pPr>
        <w:jc w:val="center"/>
        <w:rPr>
          <w:rFonts w:asciiTheme="majorHAnsi" w:hAnsiTheme="majorHAnsi" w:cstheme="majorHAnsi"/>
          <w:b/>
          <w:bCs/>
          <w:sz w:val="32"/>
          <w:szCs w:val="32"/>
        </w:rPr>
      </w:pPr>
      <w:r w:rsidRPr="00816D8B">
        <w:rPr>
          <w:rFonts w:asciiTheme="majorHAnsi" w:hAnsiTheme="majorHAnsi" w:cstheme="majorHAnsi"/>
          <w:b/>
          <w:bCs/>
          <w:sz w:val="32"/>
          <w:szCs w:val="32"/>
        </w:rPr>
        <w:t>Module code: ACCA7028</w:t>
      </w:r>
    </w:p>
    <w:p w14:paraId="32391C31" w14:textId="77777777" w:rsidR="009E7A56" w:rsidRPr="00816D8B" w:rsidRDefault="009E7A56" w:rsidP="009E7A56">
      <w:pPr>
        <w:jc w:val="center"/>
        <w:rPr>
          <w:rFonts w:asciiTheme="majorHAnsi" w:hAnsiTheme="majorHAnsi" w:cstheme="majorHAnsi"/>
          <w:b/>
          <w:bCs/>
          <w:sz w:val="32"/>
          <w:szCs w:val="32"/>
        </w:rPr>
      </w:pPr>
      <w:r w:rsidRPr="00816D8B">
        <w:rPr>
          <w:rFonts w:asciiTheme="majorHAnsi" w:hAnsiTheme="majorHAnsi" w:cstheme="majorHAnsi"/>
          <w:b/>
          <w:bCs/>
          <w:sz w:val="32"/>
          <w:szCs w:val="32"/>
        </w:rPr>
        <w:t>Academic Year 2026 – 2027</w:t>
      </w:r>
    </w:p>
    <w:p w14:paraId="53FB5878" w14:textId="77777777" w:rsidR="009E7A56" w:rsidRPr="00816D8B" w:rsidRDefault="009E7A56" w:rsidP="009E7A56">
      <w:pPr>
        <w:jc w:val="center"/>
        <w:rPr>
          <w:rFonts w:asciiTheme="majorHAnsi" w:hAnsiTheme="majorHAnsi" w:cstheme="majorHAnsi"/>
          <w:b/>
          <w:bCs/>
          <w:sz w:val="32"/>
          <w:szCs w:val="32"/>
        </w:rPr>
      </w:pPr>
      <w:r w:rsidRPr="00816D8B">
        <w:rPr>
          <w:rFonts w:asciiTheme="majorHAnsi" w:hAnsiTheme="majorHAnsi" w:cstheme="majorHAnsi"/>
          <w:b/>
          <w:bCs/>
          <w:sz w:val="32"/>
          <w:szCs w:val="32"/>
        </w:rPr>
        <w:t>Submission date - 29th April 2026</w:t>
      </w:r>
    </w:p>
    <w:p w14:paraId="6C7DD72C" w14:textId="77777777" w:rsidR="009E7A56" w:rsidRPr="00816D8B" w:rsidRDefault="009E7A56" w:rsidP="009E7A56">
      <w:pPr>
        <w:jc w:val="center"/>
        <w:rPr>
          <w:rFonts w:asciiTheme="majorHAnsi" w:hAnsiTheme="majorHAnsi" w:cstheme="majorHAnsi"/>
          <w:sz w:val="32"/>
          <w:szCs w:val="32"/>
        </w:rPr>
      </w:pPr>
      <w:r w:rsidRPr="00816D8B">
        <w:rPr>
          <w:rFonts w:asciiTheme="majorHAnsi" w:hAnsiTheme="majorHAnsi" w:cstheme="majorHAnsi"/>
          <w:b/>
          <w:bCs/>
          <w:sz w:val="32"/>
          <w:szCs w:val="32"/>
        </w:rPr>
        <w:t>Case Study:</w:t>
      </w:r>
      <w:r w:rsidRPr="00816D8B">
        <w:rPr>
          <w:rFonts w:asciiTheme="majorHAnsi" w:hAnsiTheme="majorHAnsi" w:cstheme="majorHAnsi"/>
          <w:sz w:val="32"/>
          <w:szCs w:val="32"/>
        </w:rPr>
        <w:t xml:space="preserve"> FinSure Bank (FSB)</w:t>
      </w:r>
    </w:p>
    <w:p w14:paraId="32B49C2F" w14:textId="77777777" w:rsidR="009E7A56" w:rsidRPr="00816D8B" w:rsidRDefault="009E7A56" w:rsidP="009E7A56">
      <w:pPr>
        <w:rPr>
          <w:rFonts w:asciiTheme="majorHAnsi" w:hAnsiTheme="majorHAnsi" w:cstheme="majorHAnsi"/>
        </w:rPr>
      </w:pPr>
      <w:r w:rsidRPr="00816D8B">
        <w:rPr>
          <w:rFonts w:asciiTheme="majorHAnsi" w:hAnsiTheme="majorHAnsi" w:cstheme="majorHAnsi"/>
        </w:rPr>
        <w:br w:type="page"/>
      </w:r>
    </w:p>
    <w:p w14:paraId="55D891D0" w14:textId="77777777" w:rsidR="009E7A56" w:rsidRPr="00816D8B" w:rsidRDefault="009E7A56" w:rsidP="009E7A56">
      <w:pPr>
        <w:pStyle w:val="Heading1"/>
        <w:jc w:val="center"/>
        <w:rPr>
          <w:rFonts w:cstheme="majorHAnsi"/>
          <w:b/>
          <w:bCs/>
          <w:color w:val="auto"/>
        </w:rPr>
      </w:pPr>
      <w:r w:rsidRPr="00816D8B">
        <w:rPr>
          <w:rFonts w:cstheme="majorHAnsi"/>
          <w:b/>
          <w:bCs/>
          <w:color w:val="auto"/>
        </w:rPr>
        <w:lastRenderedPageBreak/>
        <w:t>Index</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4"/>
        <w:gridCol w:w="571"/>
        <w:gridCol w:w="6873"/>
        <w:gridCol w:w="254"/>
        <w:gridCol w:w="828"/>
      </w:tblGrid>
      <w:tr w:rsidR="009E7A56" w:rsidRPr="00816D8B" w14:paraId="1D666247" w14:textId="77777777" w:rsidTr="00F46F89">
        <w:tc>
          <w:tcPr>
            <w:tcW w:w="834" w:type="dxa"/>
          </w:tcPr>
          <w:p w14:paraId="705EB120" w14:textId="77777777" w:rsidR="009E7A56" w:rsidRPr="00816D8B" w:rsidRDefault="009E7A56" w:rsidP="00F46F89">
            <w:pPr>
              <w:pStyle w:val="Heading2"/>
              <w:spacing w:after="0"/>
              <w:jc w:val="center"/>
              <w:rPr>
                <w:rFonts w:cstheme="majorHAnsi"/>
                <w:b/>
                <w:bCs/>
                <w:color w:val="auto"/>
                <w:sz w:val="28"/>
                <w:szCs w:val="28"/>
              </w:rPr>
            </w:pPr>
            <w:r w:rsidRPr="00816D8B">
              <w:rPr>
                <w:rFonts w:cstheme="majorHAnsi"/>
                <w:b/>
                <w:bCs/>
                <w:color w:val="auto"/>
                <w:sz w:val="28"/>
                <w:szCs w:val="28"/>
              </w:rPr>
              <w:t>Sr. No</w:t>
            </w:r>
          </w:p>
        </w:tc>
        <w:tc>
          <w:tcPr>
            <w:tcW w:w="571" w:type="dxa"/>
          </w:tcPr>
          <w:p w14:paraId="7BBE0D49" w14:textId="77777777" w:rsidR="009E7A56" w:rsidRPr="00816D8B" w:rsidRDefault="009E7A56" w:rsidP="00F46F89">
            <w:pPr>
              <w:pStyle w:val="Heading2"/>
              <w:spacing w:after="0"/>
              <w:jc w:val="center"/>
              <w:rPr>
                <w:rFonts w:cstheme="majorHAnsi"/>
                <w:b/>
                <w:bCs/>
                <w:color w:val="auto"/>
              </w:rPr>
            </w:pPr>
          </w:p>
        </w:tc>
        <w:tc>
          <w:tcPr>
            <w:tcW w:w="6873" w:type="dxa"/>
          </w:tcPr>
          <w:p w14:paraId="4510A2AE" w14:textId="77777777" w:rsidR="009E7A56" w:rsidRPr="00816D8B" w:rsidRDefault="009E7A56" w:rsidP="00F46F89">
            <w:pPr>
              <w:pStyle w:val="Heading2"/>
              <w:spacing w:after="0"/>
              <w:jc w:val="center"/>
              <w:rPr>
                <w:rFonts w:cstheme="majorHAnsi"/>
                <w:b/>
                <w:bCs/>
                <w:color w:val="auto"/>
                <w:sz w:val="28"/>
                <w:szCs w:val="28"/>
              </w:rPr>
            </w:pPr>
            <w:r w:rsidRPr="00816D8B">
              <w:rPr>
                <w:rFonts w:cstheme="majorHAnsi"/>
                <w:b/>
                <w:bCs/>
                <w:color w:val="auto"/>
              </w:rPr>
              <w:t>Topic</w:t>
            </w:r>
          </w:p>
        </w:tc>
        <w:tc>
          <w:tcPr>
            <w:tcW w:w="1082" w:type="dxa"/>
            <w:gridSpan w:val="2"/>
          </w:tcPr>
          <w:p w14:paraId="2A3DBC1D" w14:textId="77777777" w:rsidR="009E7A56" w:rsidRPr="00816D8B" w:rsidRDefault="009E7A56" w:rsidP="00F46F89">
            <w:pPr>
              <w:pStyle w:val="Heading2"/>
              <w:spacing w:after="0"/>
              <w:jc w:val="center"/>
              <w:rPr>
                <w:rFonts w:cstheme="majorHAnsi"/>
                <w:b/>
                <w:bCs/>
                <w:color w:val="auto"/>
                <w:sz w:val="28"/>
                <w:szCs w:val="28"/>
              </w:rPr>
            </w:pPr>
            <w:r w:rsidRPr="00816D8B">
              <w:rPr>
                <w:rFonts w:cstheme="majorHAnsi"/>
                <w:b/>
                <w:bCs/>
                <w:color w:val="auto"/>
                <w:sz w:val="28"/>
                <w:szCs w:val="28"/>
              </w:rPr>
              <w:t>Page No.</w:t>
            </w:r>
          </w:p>
        </w:tc>
      </w:tr>
      <w:tr w:rsidR="009E7A56" w:rsidRPr="00816D8B" w14:paraId="6E0E45BE" w14:textId="77777777" w:rsidTr="00F46F89">
        <w:tc>
          <w:tcPr>
            <w:tcW w:w="834" w:type="dxa"/>
          </w:tcPr>
          <w:p w14:paraId="7BD50B0A" w14:textId="77777777" w:rsidR="009E7A56" w:rsidRPr="00816D8B" w:rsidRDefault="009E7A56" w:rsidP="00F46F89">
            <w:pPr>
              <w:spacing w:before="240"/>
              <w:jc w:val="center"/>
              <w:rPr>
                <w:rFonts w:asciiTheme="majorHAnsi" w:hAnsiTheme="majorHAnsi" w:cstheme="majorHAnsi"/>
              </w:rPr>
            </w:pPr>
          </w:p>
        </w:tc>
        <w:tc>
          <w:tcPr>
            <w:tcW w:w="571" w:type="dxa"/>
          </w:tcPr>
          <w:p w14:paraId="37158940" w14:textId="77777777" w:rsidR="009E7A56" w:rsidRPr="00816D8B" w:rsidRDefault="009E7A56" w:rsidP="00F46F89">
            <w:pPr>
              <w:spacing w:before="240"/>
              <w:rPr>
                <w:rFonts w:asciiTheme="majorHAnsi" w:hAnsiTheme="majorHAnsi" w:cstheme="majorHAnsi"/>
              </w:rPr>
            </w:pPr>
          </w:p>
        </w:tc>
        <w:tc>
          <w:tcPr>
            <w:tcW w:w="7127" w:type="dxa"/>
            <w:gridSpan w:val="2"/>
          </w:tcPr>
          <w:p w14:paraId="503F3796" w14:textId="77777777" w:rsidR="009E7A56" w:rsidRPr="00816D8B" w:rsidRDefault="009E7A56" w:rsidP="00F46F89">
            <w:pPr>
              <w:spacing w:before="240"/>
              <w:rPr>
                <w:rFonts w:asciiTheme="majorHAnsi" w:hAnsiTheme="majorHAnsi" w:cstheme="majorHAnsi"/>
              </w:rPr>
            </w:pPr>
            <w:r w:rsidRPr="00816D8B">
              <w:rPr>
                <w:rFonts w:asciiTheme="majorHAnsi" w:hAnsiTheme="majorHAnsi" w:cstheme="majorHAnsi"/>
              </w:rPr>
              <w:t>Abstract</w:t>
            </w:r>
          </w:p>
        </w:tc>
        <w:tc>
          <w:tcPr>
            <w:tcW w:w="828" w:type="dxa"/>
          </w:tcPr>
          <w:p w14:paraId="24445F71" w14:textId="4D9401BD" w:rsidR="009E7A56" w:rsidRPr="00816D8B" w:rsidRDefault="009E7A56" w:rsidP="00F46F89">
            <w:pPr>
              <w:spacing w:before="240"/>
              <w:jc w:val="center"/>
              <w:rPr>
                <w:rFonts w:asciiTheme="majorHAnsi" w:hAnsiTheme="majorHAnsi" w:cstheme="majorHAnsi"/>
              </w:rPr>
            </w:pPr>
            <w:r w:rsidRPr="00816D8B">
              <w:rPr>
                <w:rFonts w:asciiTheme="majorHAnsi" w:hAnsiTheme="majorHAnsi" w:cstheme="majorHAnsi"/>
              </w:rPr>
              <w:t>0</w:t>
            </w:r>
            <w:r w:rsidR="00744439">
              <w:rPr>
                <w:rFonts w:asciiTheme="majorHAnsi" w:hAnsiTheme="majorHAnsi" w:cstheme="majorHAnsi"/>
              </w:rPr>
              <w:t>6</w:t>
            </w:r>
          </w:p>
        </w:tc>
      </w:tr>
      <w:tr w:rsidR="009E7A56" w:rsidRPr="00816D8B" w14:paraId="088A38C2" w14:textId="77777777" w:rsidTr="00F46F89">
        <w:tc>
          <w:tcPr>
            <w:tcW w:w="834" w:type="dxa"/>
          </w:tcPr>
          <w:p w14:paraId="3496861B"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w:t>
            </w:r>
          </w:p>
        </w:tc>
        <w:tc>
          <w:tcPr>
            <w:tcW w:w="571" w:type="dxa"/>
          </w:tcPr>
          <w:p w14:paraId="0DA38BDC" w14:textId="77777777" w:rsidR="009E7A56" w:rsidRPr="00816D8B" w:rsidRDefault="009E7A56" w:rsidP="00F46F89">
            <w:pPr>
              <w:rPr>
                <w:rFonts w:asciiTheme="majorHAnsi" w:hAnsiTheme="majorHAnsi" w:cstheme="majorHAnsi"/>
              </w:rPr>
            </w:pPr>
          </w:p>
        </w:tc>
        <w:tc>
          <w:tcPr>
            <w:tcW w:w="7127" w:type="dxa"/>
            <w:gridSpan w:val="2"/>
          </w:tcPr>
          <w:p w14:paraId="5639266D"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Introduction</w:t>
            </w:r>
          </w:p>
        </w:tc>
        <w:tc>
          <w:tcPr>
            <w:tcW w:w="828" w:type="dxa"/>
          </w:tcPr>
          <w:p w14:paraId="69840394" w14:textId="63F2087E" w:rsidR="009E7A56" w:rsidRPr="00816D8B" w:rsidRDefault="00744439" w:rsidP="00F46F89">
            <w:pPr>
              <w:jc w:val="center"/>
              <w:rPr>
                <w:rFonts w:asciiTheme="majorHAnsi" w:hAnsiTheme="majorHAnsi" w:cstheme="majorHAnsi"/>
              </w:rPr>
            </w:pPr>
            <w:r>
              <w:rPr>
                <w:rFonts w:asciiTheme="majorHAnsi" w:hAnsiTheme="majorHAnsi" w:cstheme="majorHAnsi"/>
              </w:rPr>
              <w:t>07</w:t>
            </w:r>
          </w:p>
        </w:tc>
      </w:tr>
      <w:tr w:rsidR="009E7A56" w:rsidRPr="00816D8B" w14:paraId="0F7754DA" w14:textId="77777777" w:rsidTr="00F46F89">
        <w:tc>
          <w:tcPr>
            <w:tcW w:w="834" w:type="dxa"/>
          </w:tcPr>
          <w:p w14:paraId="39B024D9"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2</w:t>
            </w:r>
          </w:p>
        </w:tc>
        <w:tc>
          <w:tcPr>
            <w:tcW w:w="571" w:type="dxa"/>
          </w:tcPr>
          <w:p w14:paraId="35825F6A" w14:textId="77777777" w:rsidR="009E7A56" w:rsidRPr="00816D8B" w:rsidRDefault="009E7A56" w:rsidP="00F46F89">
            <w:pPr>
              <w:rPr>
                <w:rFonts w:asciiTheme="majorHAnsi" w:hAnsiTheme="majorHAnsi" w:cstheme="majorHAnsi"/>
              </w:rPr>
            </w:pPr>
          </w:p>
        </w:tc>
        <w:tc>
          <w:tcPr>
            <w:tcW w:w="7127" w:type="dxa"/>
            <w:gridSpan w:val="2"/>
          </w:tcPr>
          <w:p w14:paraId="65934364"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 xml:space="preserve">Literature Review: Frameworks and Models for Information Security </w:t>
            </w:r>
          </w:p>
        </w:tc>
        <w:tc>
          <w:tcPr>
            <w:tcW w:w="828" w:type="dxa"/>
          </w:tcPr>
          <w:p w14:paraId="5D8D4405" w14:textId="0AB398EE" w:rsidR="009E7A56" w:rsidRPr="00816D8B" w:rsidRDefault="009E7A56" w:rsidP="00F46F89">
            <w:pPr>
              <w:jc w:val="center"/>
              <w:rPr>
                <w:rFonts w:asciiTheme="majorHAnsi" w:hAnsiTheme="majorHAnsi" w:cstheme="majorHAnsi"/>
              </w:rPr>
            </w:pPr>
            <w:r w:rsidRPr="00816D8B">
              <w:rPr>
                <w:rFonts w:asciiTheme="majorHAnsi" w:hAnsiTheme="majorHAnsi" w:cstheme="majorHAnsi"/>
              </w:rPr>
              <w:t>0</w:t>
            </w:r>
            <w:r w:rsidR="00816D8B">
              <w:rPr>
                <w:rFonts w:asciiTheme="majorHAnsi" w:hAnsiTheme="majorHAnsi" w:cstheme="majorHAnsi"/>
              </w:rPr>
              <w:t>8</w:t>
            </w:r>
          </w:p>
        </w:tc>
      </w:tr>
      <w:tr w:rsidR="009E7A56" w:rsidRPr="00816D8B" w14:paraId="50A5BA72" w14:textId="77777777" w:rsidTr="00F46F89">
        <w:tc>
          <w:tcPr>
            <w:tcW w:w="834" w:type="dxa"/>
          </w:tcPr>
          <w:p w14:paraId="6FFEEB49" w14:textId="77777777" w:rsidR="009E7A56" w:rsidRPr="00816D8B" w:rsidRDefault="009E7A56" w:rsidP="00F46F89">
            <w:pPr>
              <w:jc w:val="center"/>
              <w:rPr>
                <w:rFonts w:asciiTheme="majorHAnsi" w:hAnsiTheme="majorHAnsi" w:cstheme="majorHAnsi"/>
              </w:rPr>
            </w:pPr>
          </w:p>
        </w:tc>
        <w:tc>
          <w:tcPr>
            <w:tcW w:w="571" w:type="dxa"/>
          </w:tcPr>
          <w:p w14:paraId="21954349"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2.1</w:t>
            </w:r>
          </w:p>
        </w:tc>
        <w:tc>
          <w:tcPr>
            <w:tcW w:w="7127" w:type="dxa"/>
            <w:gridSpan w:val="2"/>
          </w:tcPr>
          <w:p w14:paraId="7643136B"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Information Security Frameworks Overview</w:t>
            </w:r>
          </w:p>
        </w:tc>
        <w:tc>
          <w:tcPr>
            <w:tcW w:w="828" w:type="dxa"/>
          </w:tcPr>
          <w:p w14:paraId="064CF027" w14:textId="05D2CC26" w:rsidR="009E7A56" w:rsidRPr="00816D8B" w:rsidRDefault="009E7A56" w:rsidP="00F46F89">
            <w:pPr>
              <w:jc w:val="center"/>
              <w:rPr>
                <w:rFonts w:asciiTheme="majorHAnsi" w:hAnsiTheme="majorHAnsi" w:cstheme="majorHAnsi"/>
              </w:rPr>
            </w:pPr>
            <w:r w:rsidRPr="00816D8B">
              <w:rPr>
                <w:rFonts w:asciiTheme="majorHAnsi" w:hAnsiTheme="majorHAnsi" w:cstheme="majorHAnsi"/>
              </w:rPr>
              <w:t>0</w:t>
            </w:r>
            <w:r w:rsidR="00816D8B">
              <w:rPr>
                <w:rFonts w:asciiTheme="majorHAnsi" w:hAnsiTheme="majorHAnsi" w:cstheme="majorHAnsi"/>
              </w:rPr>
              <w:t>8</w:t>
            </w:r>
          </w:p>
        </w:tc>
      </w:tr>
      <w:tr w:rsidR="009E7A56" w:rsidRPr="00816D8B" w14:paraId="27117678" w14:textId="77777777" w:rsidTr="00F46F89">
        <w:tc>
          <w:tcPr>
            <w:tcW w:w="834" w:type="dxa"/>
          </w:tcPr>
          <w:p w14:paraId="00EE7CB0" w14:textId="77777777" w:rsidR="009E7A56" w:rsidRPr="00816D8B" w:rsidRDefault="009E7A56" w:rsidP="00F46F89">
            <w:pPr>
              <w:jc w:val="center"/>
              <w:rPr>
                <w:rFonts w:asciiTheme="majorHAnsi" w:hAnsiTheme="majorHAnsi" w:cstheme="majorHAnsi"/>
              </w:rPr>
            </w:pPr>
          </w:p>
        </w:tc>
        <w:tc>
          <w:tcPr>
            <w:tcW w:w="571" w:type="dxa"/>
          </w:tcPr>
          <w:p w14:paraId="5832142C"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2.2</w:t>
            </w:r>
          </w:p>
        </w:tc>
        <w:tc>
          <w:tcPr>
            <w:tcW w:w="7127" w:type="dxa"/>
            <w:gridSpan w:val="2"/>
          </w:tcPr>
          <w:p w14:paraId="143CCA95"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Information Security Management System ISO/IEC 27001</w:t>
            </w:r>
          </w:p>
        </w:tc>
        <w:tc>
          <w:tcPr>
            <w:tcW w:w="828" w:type="dxa"/>
          </w:tcPr>
          <w:p w14:paraId="7B3478F6"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08</w:t>
            </w:r>
          </w:p>
        </w:tc>
      </w:tr>
      <w:tr w:rsidR="009E7A56" w:rsidRPr="00816D8B" w14:paraId="4184FF6A" w14:textId="77777777" w:rsidTr="00F46F89">
        <w:tc>
          <w:tcPr>
            <w:tcW w:w="834" w:type="dxa"/>
          </w:tcPr>
          <w:p w14:paraId="63FAB23B" w14:textId="77777777" w:rsidR="009E7A56" w:rsidRPr="00816D8B" w:rsidRDefault="009E7A56" w:rsidP="00F46F89">
            <w:pPr>
              <w:jc w:val="center"/>
              <w:rPr>
                <w:rFonts w:asciiTheme="majorHAnsi" w:hAnsiTheme="majorHAnsi" w:cstheme="majorHAnsi"/>
              </w:rPr>
            </w:pPr>
          </w:p>
        </w:tc>
        <w:tc>
          <w:tcPr>
            <w:tcW w:w="571" w:type="dxa"/>
          </w:tcPr>
          <w:p w14:paraId="23947D11"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2.3</w:t>
            </w:r>
          </w:p>
        </w:tc>
        <w:tc>
          <w:tcPr>
            <w:tcW w:w="7127" w:type="dxa"/>
            <w:gridSpan w:val="2"/>
          </w:tcPr>
          <w:p w14:paraId="128EC3C7"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Infrastructure Library for Information Technology</w:t>
            </w:r>
          </w:p>
        </w:tc>
        <w:tc>
          <w:tcPr>
            <w:tcW w:w="828" w:type="dxa"/>
          </w:tcPr>
          <w:p w14:paraId="09F97187"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09</w:t>
            </w:r>
          </w:p>
        </w:tc>
      </w:tr>
      <w:tr w:rsidR="009E7A56" w:rsidRPr="00816D8B" w14:paraId="1C5A1245" w14:textId="77777777" w:rsidTr="00F46F89">
        <w:tc>
          <w:tcPr>
            <w:tcW w:w="834" w:type="dxa"/>
          </w:tcPr>
          <w:p w14:paraId="26476844" w14:textId="77777777" w:rsidR="009E7A56" w:rsidRPr="00816D8B" w:rsidRDefault="009E7A56" w:rsidP="00F46F89">
            <w:pPr>
              <w:jc w:val="center"/>
              <w:rPr>
                <w:rFonts w:asciiTheme="majorHAnsi" w:hAnsiTheme="majorHAnsi" w:cstheme="majorHAnsi"/>
              </w:rPr>
            </w:pPr>
          </w:p>
        </w:tc>
        <w:tc>
          <w:tcPr>
            <w:tcW w:w="571" w:type="dxa"/>
          </w:tcPr>
          <w:p w14:paraId="1C77BB9E"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2.4</w:t>
            </w:r>
          </w:p>
        </w:tc>
        <w:tc>
          <w:tcPr>
            <w:tcW w:w="7127" w:type="dxa"/>
            <w:gridSpan w:val="2"/>
          </w:tcPr>
          <w:p w14:paraId="386557BE" w14:textId="77777777" w:rsidR="009E7A56" w:rsidRPr="00816D8B" w:rsidRDefault="009E7A56" w:rsidP="00F46F89">
            <w:pPr>
              <w:rPr>
                <w:rFonts w:asciiTheme="majorHAnsi" w:hAnsiTheme="majorHAnsi" w:cstheme="majorHAnsi"/>
              </w:rPr>
            </w:pPr>
            <w:r w:rsidRPr="00816D8B">
              <w:rPr>
                <w:rStyle w:val="Heading2Char"/>
                <w:rFonts w:cstheme="majorHAnsi"/>
                <w:color w:val="auto"/>
                <w:sz w:val="24"/>
                <w:szCs w:val="24"/>
              </w:rPr>
              <w:t>NIST Framework for Cybersecurity</w:t>
            </w:r>
          </w:p>
        </w:tc>
        <w:tc>
          <w:tcPr>
            <w:tcW w:w="828" w:type="dxa"/>
          </w:tcPr>
          <w:p w14:paraId="22E3E878"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09</w:t>
            </w:r>
          </w:p>
        </w:tc>
      </w:tr>
      <w:tr w:rsidR="009E7A56" w:rsidRPr="00816D8B" w14:paraId="5753C7B5" w14:textId="77777777" w:rsidTr="00F46F89">
        <w:tc>
          <w:tcPr>
            <w:tcW w:w="834" w:type="dxa"/>
          </w:tcPr>
          <w:p w14:paraId="467BB044" w14:textId="77777777" w:rsidR="009E7A56" w:rsidRPr="00816D8B" w:rsidRDefault="009E7A56" w:rsidP="00F46F89">
            <w:pPr>
              <w:jc w:val="center"/>
              <w:rPr>
                <w:rFonts w:asciiTheme="majorHAnsi" w:hAnsiTheme="majorHAnsi" w:cstheme="majorHAnsi"/>
              </w:rPr>
            </w:pPr>
          </w:p>
        </w:tc>
        <w:tc>
          <w:tcPr>
            <w:tcW w:w="571" w:type="dxa"/>
          </w:tcPr>
          <w:p w14:paraId="1225FA52"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2.5</w:t>
            </w:r>
          </w:p>
        </w:tc>
        <w:tc>
          <w:tcPr>
            <w:tcW w:w="7127" w:type="dxa"/>
            <w:gridSpan w:val="2"/>
          </w:tcPr>
          <w:p w14:paraId="5600D88E" w14:textId="77777777" w:rsidR="009E7A56" w:rsidRPr="00816D8B" w:rsidRDefault="009E7A56" w:rsidP="00F46F89">
            <w:pPr>
              <w:rPr>
                <w:rStyle w:val="Heading2Char"/>
                <w:rFonts w:cstheme="majorHAnsi"/>
                <w:color w:val="auto"/>
                <w:sz w:val="24"/>
                <w:szCs w:val="24"/>
              </w:rPr>
            </w:pPr>
            <w:r w:rsidRPr="00816D8B">
              <w:rPr>
                <w:rFonts w:asciiTheme="majorHAnsi" w:hAnsiTheme="majorHAnsi" w:cstheme="majorHAnsi"/>
              </w:rPr>
              <w:t>Ethical Dilemmas in Information Security</w:t>
            </w:r>
          </w:p>
        </w:tc>
        <w:tc>
          <w:tcPr>
            <w:tcW w:w="828" w:type="dxa"/>
          </w:tcPr>
          <w:p w14:paraId="7980A556"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10</w:t>
            </w:r>
          </w:p>
        </w:tc>
      </w:tr>
      <w:tr w:rsidR="009E7A56" w:rsidRPr="00816D8B" w14:paraId="102FC3D2" w14:textId="77777777" w:rsidTr="00F46F89">
        <w:tc>
          <w:tcPr>
            <w:tcW w:w="834" w:type="dxa"/>
          </w:tcPr>
          <w:p w14:paraId="44214125"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3</w:t>
            </w:r>
          </w:p>
        </w:tc>
        <w:tc>
          <w:tcPr>
            <w:tcW w:w="571" w:type="dxa"/>
          </w:tcPr>
          <w:p w14:paraId="4ACD12D7" w14:textId="77777777" w:rsidR="009E7A56" w:rsidRPr="00816D8B" w:rsidRDefault="009E7A56" w:rsidP="00F46F89">
            <w:pPr>
              <w:rPr>
                <w:rFonts w:asciiTheme="majorHAnsi" w:hAnsiTheme="majorHAnsi" w:cstheme="majorHAnsi"/>
              </w:rPr>
            </w:pPr>
          </w:p>
        </w:tc>
        <w:tc>
          <w:tcPr>
            <w:tcW w:w="7127" w:type="dxa"/>
            <w:gridSpan w:val="2"/>
          </w:tcPr>
          <w:p w14:paraId="3858993F"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FinSure Bank's Security Issues</w:t>
            </w:r>
          </w:p>
        </w:tc>
        <w:tc>
          <w:tcPr>
            <w:tcW w:w="828" w:type="dxa"/>
          </w:tcPr>
          <w:p w14:paraId="39FBE93E"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11</w:t>
            </w:r>
          </w:p>
        </w:tc>
      </w:tr>
      <w:tr w:rsidR="009E7A56" w:rsidRPr="00816D8B" w14:paraId="7E2062A9" w14:textId="77777777" w:rsidTr="00F46F89">
        <w:tc>
          <w:tcPr>
            <w:tcW w:w="834" w:type="dxa"/>
          </w:tcPr>
          <w:p w14:paraId="13781008" w14:textId="77777777" w:rsidR="009E7A56" w:rsidRPr="00816D8B" w:rsidRDefault="009E7A56" w:rsidP="00F46F89">
            <w:pPr>
              <w:jc w:val="center"/>
              <w:rPr>
                <w:rFonts w:asciiTheme="majorHAnsi" w:hAnsiTheme="majorHAnsi" w:cstheme="majorHAnsi"/>
              </w:rPr>
            </w:pPr>
          </w:p>
        </w:tc>
        <w:tc>
          <w:tcPr>
            <w:tcW w:w="571" w:type="dxa"/>
          </w:tcPr>
          <w:p w14:paraId="000BB3FD"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3.1</w:t>
            </w:r>
          </w:p>
        </w:tc>
        <w:tc>
          <w:tcPr>
            <w:tcW w:w="7127" w:type="dxa"/>
            <w:gridSpan w:val="2"/>
          </w:tcPr>
          <w:p w14:paraId="5C04A369"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Risks to Cloud Infrastructure Security</w:t>
            </w:r>
          </w:p>
        </w:tc>
        <w:tc>
          <w:tcPr>
            <w:tcW w:w="828" w:type="dxa"/>
          </w:tcPr>
          <w:p w14:paraId="38FDDD52"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11</w:t>
            </w:r>
          </w:p>
        </w:tc>
      </w:tr>
      <w:tr w:rsidR="009E7A56" w:rsidRPr="00816D8B" w14:paraId="0DC04FC8" w14:textId="77777777" w:rsidTr="00F46F89">
        <w:tc>
          <w:tcPr>
            <w:tcW w:w="834" w:type="dxa"/>
          </w:tcPr>
          <w:p w14:paraId="3B75DF5C" w14:textId="77777777" w:rsidR="009E7A56" w:rsidRPr="00816D8B" w:rsidRDefault="009E7A56" w:rsidP="00F46F89">
            <w:pPr>
              <w:jc w:val="center"/>
              <w:rPr>
                <w:rFonts w:asciiTheme="majorHAnsi" w:hAnsiTheme="majorHAnsi" w:cstheme="majorHAnsi"/>
              </w:rPr>
            </w:pPr>
          </w:p>
        </w:tc>
        <w:tc>
          <w:tcPr>
            <w:tcW w:w="571" w:type="dxa"/>
          </w:tcPr>
          <w:p w14:paraId="3406B0E7"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3.2</w:t>
            </w:r>
          </w:p>
        </w:tc>
        <w:tc>
          <w:tcPr>
            <w:tcW w:w="7127" w:type="dxa"/>
            <w:gridSpan w:val="2"/>
          </w:tcPr>
          <w:p w14:paraId="7FBD57A5"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Security Issues with BYOD</w:t>
            </w:r>
          </w:p>
        </w:tc>
        <w:tc>
          <w:tcPr>
            <w:tcW w:w="828" w:type="dxa"/>
          </w:tcPr>
          <w:p w14:paraId="1DD84AF5"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11</w:t>
            </w:r>
          </w:p>
        </w:tc>
      </w:tr>
      <w:tr w:rsidR="009E7A56" w:rsidRPr="00816D8B" w14:paraId="78BA96C2" w14:textId="77777777" w:rsidTr="00F46F89">
        <w:tc>
          <w:tcPr>
            <w:tcW w:w="834" w:type="dxa"/>
          </w:tcPr>
          <w:p w14:paraId="25C156AB" w14:textId="77777777" w:rsidR="009E7A56" w:rsidRPr="00816D8B" w:rsidRDefault="009E7A56" w:rsidP="00F46F89">
            <w:pPr>
              <w:jc w:val="center"/>
              <w:rPr>
                <w:rFonts w:asciiTheme="majorHAnsi" w:hAnsiTheme="majorHAnsi" w:cstheme="majorHAnsi"/>
              </w:rPr>
            </w:pPr>
          </w:p>
        </w:tc>
        <w:tc>
          <w:tcPr>
            <w:tcW w:w="571" w:type="dxa"/>
          </w:tcPr>
          <w:p w14:paraId="05269BA4"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3.3</w:t>
            </w:r>
          </w:p>
        </w:tc>
        <w:tc>
          <w:tcPr>
            <w:tcW w:w="7127" w:type="dxa"/>
            <w:gridSpan w:val="2"/>
          </w:tcPr>
          <w:p w14:paraId="352D9AED"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Risks to Mobile Banking Security</w:t>
            </w:r>
          </w:p>
        </w:tc>
        <w:tc>
          <w:tcPr>
            <w:tcW w:w="828" w:type="dxa"/>
          </w:tcPr>
          <w:p w14:paraId="319D405A"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11</w:t>
            </w:r>
          </w:p>
        </w:tc>
      </w:tr>
      <w:tr w:rsidR="009E7A56" w:rsidRPr="00816D8B" w14:paraId="1F4306C3" w14:textId="77777777" w:rsidTr="00F46F89">
        <w:tc>
          <w:tcPr>
            <w:tcW w:w="834" w:type="dxa"/>
          </w:tcPr>
          <w:p w14:paraId="2936770E" w14:textId="77777777" w:rsidR="009E7A56" w:rsidRPr="00816D8B" w:rsidRDefault="009E7A56" w:rsidP="00F46F89">
            <w:pPr>
              <w:jc w:val="center"/>
              <w:rPr>
                <w:rFonts w:asciiTheme="majorHAnsi" w:hAnsiTheme="majorHAnsi" w:cstheme="majorHAnsi"/>
              </w:rPr>
            </w:pPr>
          </w:p>
        </w:tc>
        <w:tc>
          <w:tcPr>
            <w:tcW w:w="571" w:type="dxa"/>
          </w:tcPr>
          <w:p w14:paraId="29822130"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3.4</w:t>
            </w:r>
          </w:p>
        </w:tc>
        <w:tc>
          <w:tcPr>
            <w:tcW w:w="7127" w:type="dxa"/>
            <w:gridSpan w:val="2"/>
          </w:tcPr>
          <w:p w14:paraId="004004C2"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Insufficient Security Governance and Compliance Structure</w:t>
            </w:r>
          </w:p>
        </w:tc>
        <w:tc>
          <w:tcPr>
            <w:tcW w:w="828" w:type="dxa"/>
          </w:tcPr>
          <w:p w14:paraId="3303438B"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11</w:t>
            </w:r>
          </w:p>
        </w:tc>
      </w:tr>
      <w:tr w:rsidR="009E7A56" w:rsidRPr="00816D8B" w14:paraId="54FF8BB1" w14:textId="77777777" w:rsidTr="00F46F89">
        <w:tc>
          <w:tcPr>
            <w:tcW w:w="834" w:type="dxa"/>
          </w:tcPr>
          <w:p w14:paraId="696731D7" w14:textId="77777777" w:rsidR="009E7A56" w:rsidRPr="00816D8B" w:rsidRDefault="009E7A56" w:rsidP="00F46F89">
            <w:pPr>
              <w:jc w:val="center"/>
              <w:rPr>
                <w:rFonts w:asciiTheme="majorHAnsi" w:hAnsiTheme="majorHAnsi" w:cstheme="majorHAnsi"/>
              </w:rPr>
            </w:pPr>
          </w:p>
        </w:tc>
        <w:tc>
          <w:tcPr>
            <w:tcW w:w="571" w:type="dxa"/>
          </w:tcPr>
          <w:p w14:paraId="36EFFE7D"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3.5</w:t>
            </w:r>
          </w:p>
        </w:tc>
        <w:tc>
          <w:tcPr>
            <w:tcW w:w="7127" w:type="dxa"/>
            <w:gridSpan w:val="2"/>
          </w:tcPr>
          <w:p w14:paraId="3002E524"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Risk Assessment Methodology</w:t>
            </w:r>
          </w:p>
        </w:tc>
        <w:tc>
          <w:tcPr>
            <w:tcW w:w="828" w:type="dxa"/>
          </w:tcPr>
          <w:p w14:paraId="7A1D66D9"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12</w:t>
            </w:r>
          </w:p>
        </w:tc>
      </w:tr>
      <w:tr w:rsidR="009E7A56" w:rsidRPr="00816D8B" w14:paraId="468DCAD2" w14:textId="77777777" w:rsidTr="00F46F89">
        <w:tc>
          <w:tcPr>
            <w:tcW w:w="834" w:type="dxa"/>
          </w:tcPr>
          <w:p w14:paraId="6A9EDEB0"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4</w:t>
            </w:r>
          </w:p>
        </w:tc>
        <w:tc>
          <w:tcPr>
            <w:tcW w:w="571" w:type="dxa"/>
          </w:tcPr>
          <w:p w14:paraId="6BD1FA86" w14:textId="77777777" w:rsidR="009E7A56" w:rsidRPr="00816D8B" w:rsidRDefault="009E7A56" w:rsidP="00F46F89">
            <w:pPr>
              <w:rPr>
                <w:rFonts w:asciiTheme="majorHAnsi" w:hAnsiTheme="majorHAnsi" w:cstheme="majorHAnsi"/>
              </w:rPr>
            </w:pPr>
          </w:p>
        </w:tc>
        <w:tc>
          <w:tcPr>
            <w:tcW w:w="7127" w:type="dxa"/>
            <w:gridSpan w:val="2"/>
          </w:tcPr>
          <w:p w14:paraId="7184D8CB"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FinSure Bank's suggested security governance and compliance strategy</w:t>
            </w:r>
          </w:p>
        </w:tc>
        <w:tc>
          <w:tcPr>
            <w:tcW w:w="828" w:type="dxa"/>
          </w:tcPr>
          <w:p w14:paraId="107DD62A"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13</w:t>
            </w:r>
          </w:p>
        </w:tc>
      </w:tr>
      <w:tr w:rsidR="009E7A56" w:rsidRPr="00816D8B" w14:paraId="740EE176" w14:textId="77777777" w:rsidTr="00F46F89">
        <w:tc>
          <w:tcPr>
            <w:tcW w:w="834" w:type="dxa"/>
          </w:tcPr>
          <w:p w14:paraId="48AAB1A8" w14:textId="77777777" w:rsidR="009E7A56" w:rsidRPr="00816D8B" w:rsidRDefault="009E7A56" w:rsidP="00F46F89">
            <w:pPr>
              <w:jc w:val="center"/>
              <w:rPr>
                <w:rFonts w:asciiTheme="majorHAnsi" w:hAnsiTheme="majorHAnsi" w:cstheme="majorHAnsi"/>
              </w:rPr>
            </w:pPr>
          </w:p>
        </w:tc>
        <w:tc>
          <w:tcPr>
            <w:tcW w:w="571" w:type="dxa"/>
          </w:tcPr>
          <w:p w14:paraId="576E4BED"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4.1</w:t>
            </w:r>
          </w:p>
        </w:tc>
        <w:tc>
          <w:tcPr>
            <w:tcW w:w="7127" w:type="dxa"/>
            <w:gridSpan w:val="2"/>
          </w:tcPr>
          <w:p w14:paraId="3D63B165"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Developing a Security Governance Structured Design</w:t>
            </w:r>
          </w:p>
        </w:tc>
        <w:tc>
          <w:tcPr>
            <w:tcW w:w="828" w:type="dxa"/>
          </w:tcPr>
          <w:p w14:paraId="3499318E"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13</w:t>
            </w:r>
          </w:p>
        </w:tc>
      </w:tr>
      <w:tr w:rsidR="009E7A56" w:rsidRPr="00816D8B" w14:paraId="05D71F12" w14:textId="77777777" w:rsidTr="00F46F89">
        <w:tc>
          <w:tcPr>
            <w:tcW w:w="834" w:type="dxa"/>
          </w:tcPr>
          <w:p w14:paraId="79EC53A4" w14:textId="77777777" w:rsidR="009E7A56" w:rsidRPr="00816D8B" w:rsidRDefault="009E7A56" w:rsidP="00F46F89">
            <w:pPr>
              <w:jc w:val="center"/>
              <w:rPr>
                <w:rFonts w:asciiTheme="majorHAnsi" w:hAnsiTheme="majorHAnsi" w:cstheme="majorHAnsi"/>
              </w:rPr>
            </w:pPr>
          </w:p>
        </w:tc>
        <w:tc>
          <w:tcPr>
            <w:tcW w:w="571" w:type="dxa"/>
          </w:tcPr>
          <w:p w14:paraId="7A51AA71"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4.2</w:t>
            </w:r>
          </w:p>
        </w:tc>
        <w:tc>
          <w:tcPr>
            <w:tcW w:w="7127" w:type="dxa"/>
            <w:gridSpan w:val="2"/>
          </w:tcPr>
          <w:p w14:paraId="2A04B899"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The framework of integrated security should be established</w:t>
            </w:r>
          </w:p>
        </w:tc>
        <w:tc>
          <w:tcPr>
            <w:tcW w:w="828" w:type="dxa"/>
          </w:tcPr>
          <w:p w14:paraId="122A8FB0" w14:textId="04C7EB92"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w:t>
            </w:r>
            <w:r w:rsidR="00744439">
              <w:rPr>
                <w:rFonts w:asciiTheme="majorHAnsi" w:hAnsiTheme="majorHAnsi" w:cstheme="majorHAnsi"/>
              </w:rPr>
              <w:t>3</w:t>
            </w:r>
          </w:p>
        </w:tc>
      </w:tr>
      <w:tr w:rsidR="009E7A56" w:rsidRPr="00816D8B" w14:paraId="7F9AB95A" w14:textId="77777777" w:rsidTr="00F46F89">
        <w:tc>
          <w:tcPr>
            <w:tcW w:w="834" w:type="dxa"/>
          </w:tcPr>
          <w:p w14:paraId="28CF97A2" w14:textId="77777777" w:rsidR="009E7A56" w:rsidRPr="00816D8B" w:rsidRDefault="009E7A56" w:rsidP="00F46F89">
            <w:pPr>
              <w:jc w:val="center"/>
              <w:rPr>
                <w:rFonts w:asciiTheme="majorHAnsi" w:hAnsiTheme="majorHAnsi" w:cstheme="majorHAnsi"/>
              </w:rPr>
            </w:pPr>
          </w:p>
        </w:tc>
        <w:tc>
          <w:tcPr>
            <w:tcW w:w="571" w:type="dxa"/>
          </w:tcPr>
          <w:p w14:paraId="3EF8EE21"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4.3</w:t>
            </w:r>
          </w:p>
        </w:tc>
        <w:tc>
          <w:tcPr>
            <w:tcW w:w="7127" w:type="dxa"/>
            <w:gridSpan w:val="2"/>
          </w:tcPr>
          <w:p w14:paraId="6ED43E61"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GDPR Data Protection and Compliance</w:t>
            </w:r>
          </w:p>
        </w:tc>
        <w:tc>
          <w:tcPr>
            <w:tcW w:w="828" w:type="dxa"/>
          </w:tcPr>
          <w:p w14:paraId="5F69F9A3" w14:textId="4580F33F"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w:t>
            </w:r>
            <w:r w:rsidR="00744439">
              <w:rPr>
                <w:rFonts w:asciiTheme="majorHAnsi" w:hAnsiTheme="majorHAnsi" w:cstheme="majorHAnsi"/>
              </w:rPr>
              <w:t>4</w:t>
            </w:r>
          </w:p>
        </w:tc>
      </w:tr>
      <w:tr w:rsidR="009E7A56" w:rsidRPr="00816D8B" w14:paraId="47B7F7A1" w14:textId="77777777" w:rsidTr="00F46F89">
        <w:tc>
          <w:tcPr>
            <w:tcW w:w="834" w:type="dxa"/>
          </w:tcPr>
          <w:p w14:paraId="6DC5BB69" w14:textId="77777777" w:rsidR="009E7A56" w:rsidRPr="00816D8B" w:rsidRDefault="009E7A56" w:rsidP="00F46F89">
            <w:pPr>
              <w:jc w:val="center"/>
              <w:rPr>
                <w:rFonts w:asciiTheme="majorHAnsi" w:hAnsiTheme="majorHAnsi" w:cstheme="majorHAnsi"/>
              </w:rPr>
            </w:pPr>
          </w:p>
        </w:tc>
        <w:tc>
          <w:tcPr>
            <w:tcW w:w="571" w:type="dxa"/>
          </w:tcPr>
          <w:p w14:paraId="55B3A5F3"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4.4</w:t>
            </w:r>
          </w:p>
        </w:tc>
        <w:tc>
          <w:tcPr>
            <w:tcW w:w="7127" w:type="dxa"/>
            <w:gridSpan w:val="2"/>
          </w:tcPr>
          <w:p w14:paraId="67F25063"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Unchanging Security Surveillance and Risk Management</w:t>
            </w:r>
          </w:p>
        </w:tc>
        <w:tc>
          <w:tcPr>
            <w:tcW w:w="828" w:type="dxa"/>
          </w:tcPr>
          <w:p w14:paraId="5602E27F" w14:textId="5683FFFB"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w:t>
            </w:r>
            <w:r w:rsidR="00744439">
              <w:rPr>
                <w:rFonts w:asciiTheme="majorHAnsi" w:hAnsiTheme="majorHAnsi" w:cstheme="majorHAnsi"/>
              </w:rPr>
              <w:t>4</w:t>
            </w:r>
          </w:p>
        </w:tc>
      </w:tr>
      <w:tr w:rsidR="009E7A56" w:rsidRPr="00816D8B" w14:paraId="24C314C5" w14:textId="77777777" w:rsidTr="00F46F89">
        <w:tc>
          <w:tcPr>
            <w:tcW w:w="834" w:type="dxa"/>
          </w:tcPr>
          <w:p w14:paraId="77A3BEFD" w14:textId="77777777" w:rsidR="009E7A56" w:rsidRPr="00816D8B" w:rsidRDefault="009E7A56" w:rsidP="00F46F89">
            <w:pPr>
              <w:jc w:val="center"/>
              <w:rPr>
                <w:rFonts w:asciiTheme="majorHAnsi" w:hAnsiTheme="majorHAnsi" w:cstheme="majorHAnsi"/>
              </w:rPr>
            </w:pPr>
          </w:p>
        </w:tc>
        <w:tc>
          <w:tcPr>
            <w:tcW w:w="571" w:type="dxa"/>
          </w:tcPr>
          <w:p w14:paraId="5FE2F881"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4.5</w:t>
            </w:r>
          </w:p>
        </w:tc>
        <w:tc>
          <w:tcPr>
            <w:tcW w:w="7127" w:type="dxa"/>
            <w:gridSpan w:val="2"/>
          </w:tcPr>
          <w:p w14:paraId="21644BCD"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Information Security Policy and Contingency Planning</w:t>
            </w:r>
          </w:p>
        </w:tc>
        <w:tc>
          <w:tcPr>
            <w:tcW w:w="828" w:type="dxa"/>
          </w:tcPr>
          <w:p w14:paraId="1FBCB045" w14:textId="1B18B3AF"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w:t>
            </w:r>
            <w:r w:rsidR="00744439">
              <w:rPr>
                <w:rFonts w:asciiTheme="majorHAnsi" w:hAnsiTheme="majorHAnsi" w:cstheme="majorHAnsi"/>
              </w:rPr>
              <w:t>4</w:t>
            </w:r>
          </w:p>
        </w:tc>
      </w:tr>
      <w:tr w:rsidR="009E7A56" w:rsidRPr="00816D8B" w14:paraId="156BDED6" w14:textId="77777777" w:rsidTr="00F46F89">
        <w:tc>
          <w:tcPr>
            <w:tcW w:w="834" w:type="dxa"/>
          </w:tcPr>
          <w:p w14:paraId="6B008AE7" w14:textId="77777777" w:rsidR="009E7A56" w:rsidRPr="00816D8B" w:rsidRDefault="009E7A56" w:rsidP="00F46F89">
            <w:pPr>
              <w:jc w:val="center"/>
              <w:rPr>
                <w:rFonts w:asciiTheme="majorHAnsi" w:hAnsiTheme="majorHAnsi" w:cstheme="majorHAnsi"/>
              </w:rPr>
            </w:pPr>
          </w:p>
        </w:tc>
        <w:tc>
          <w:tcPr>
            <w:tcW w:w="571" w:type="dxa"/>
          </w:tcPr>
          <w:p w14:paraId="0EDDA8BF"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4.6</w:t>
            </w:r>
          </w:p>
        </w:tc>
        <w:tc>
          <w:tcPr>
            <w:tcW w:w="7127" w:type="dxa"/>
            <w:gridSpan w:val="2"/>
          </w:tcPr>
          <w:p w14:paraId="689F5F5B"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Network and Perimeter Security</w:t>
            </w:r>
          </w:p>
        </w:tc>
        <w:tc>
          <w:tcPr>
            <w:tcW w:w="828" w:type="dxa"/>
          </w:tcPr>
          <w:p w14:paraId="451A1A33" w14:textId="354897AC"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w:t>
            </w:r>
            <w:r w:rsidR="00744439">
              <w:rPr>
                <w:rFonts w:asciiTheme="majorHAnsi" w:hAnsiTheme="majorHAnsi" w:cstheme="majorHAnsi"/>
              </w:rPr>
              <w:t>5</w:t>
            </w:r>
          </w:p>
        </w:tc>
      </w:tr>
      <w:tr w:rsidR="009E7A56" w:rsidRPr="00816D8B" w14:paraId="07395BED" w14:textId="77777777" w:rsidTr="00F46F89">
        <w:tc>
          <w:tcPr>
            <w:tcW w:w="834" w:type="dxa"/>
          </w:tcPr>
          <w:p w14:paraId="66507615"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5</w:t>
            </w:r>
          </w:p>
        </w:tc>
        <w:tc>
          <w:tcPr>
            <w:tcW w:w="571" w:type="dxa"/>
          </w:tcPr>
          <w:p w14:paraId="37CEE244" w14:textId="77777777" w:rsidR="009E7A56" w:rsidRPr="00816D8B" w:rsidRDefault="009E7A56" w:rsidP="00F46F89">
            <w:pPr>
              <w:rPr>
                <w:rFonts w:asciiTheme="majorHAnsi" w:hAnsiTheme="majorHAnsi" w:cstheme="majorHAnsi"/>
              </w:rPr>
            </w:pPr>
          </w:p>
        </w:tc>
        <w:tc>
          <w:tcPr>
            <w:tcW w:w="7127" w:type="dxa"/>
            <w:gridSpan w:val="2"/>
          </w:tcPr>
          <w:p w14:paraId="16CB0DFE"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The Significance of Reviving Information Security Rules and Standards</w:t>
            </w:r>
          </w:p>
        </w:tc>
        <w:tc>
          <w:tcPr>
            <w:tcW w:w="828" w:type="dxa"/>
          </w:tcPr>
          <w:p w14:paraId="06E48119" w14:textId="4758937C"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w:t>
            </w:r>
            <w:r w:rsidR="00744439">
              <w:rPr>
                <w:rFonts w:asciiTheme="majorHAnsi" w:hAnsiTheme="majorHAnsi" w:cstheme="majorHAnsi"/>
              </w:rPr>
              <w:t>7</w:t>
            </w:r>
          </w:p>
        </w:tc>
      </w:tr>
      <w:tr w:rsidR="009E7A56" w:rsidRPr="00816D8B" w14:paraId="2FF2BFF5" w14:textId="77777777" w:rsidTr="00F46F89">
        <w:tc>
          <w:tcPr>
            <w:tcW w:w="834" w:type="dxa"/>
          </w:tcPr>
          <w:p w14:paraId="3E883D48" w14:textId="77777777" w:rsidR="009E7A56" w:rsidRPr="00816D8B" w:rsidRDefault="009E7A56" w:rsidP="00F46F89">
            <w:pPr>
              <w:jc w:val="center"/>
              <w:rPr>
                <w:rFonts w:asciiTheme="majorHAnsi" w:hAnsiTheme="majorHAnsi" w:cstheme="majorHAnsi"/>
              </w:rPr>
            </w:pPr>
          </w:p>
        </w:tc>
        <w:tc>
          <w:tcPr>
            <w:tcW w:w="571" w:type="dxa"/>
          </w:tcPr>
          <w:p w14:paraId="0BA3D71D"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5.1</w:t>
            </w:r>
          </w:p>
        </w:tc>
        <w:tc>
          <w:tcPr>
            <w:tcW w:w="7127" w:type="dxa"/>
            <w:gridSpan w:val="2"/>
          </w:tcPr>
          <w:p w14:paraId="278032DA"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Taking Action Against New Cybersecurity Risks</w:t>
            </w:r>
          </w:p>
        </w:tc>
        <w:tc>
          <w:tcPr>
            <w:tcW w:w="828" w:type="dxa"/>
          </w:tcPr>
          <w:p w14:paraId="7C2B9B53" w14:textId="3FFE09EB"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w:t>
            </w:r>
            <w:r w:rsidR="00744439">
              <w:rPr>
                <w:rFonts w:asciiTheme="majorHAnsi" w:hAnsiTheme="majorHAnsi" w:cstheme="majorHAnsi"/>
              </w:rPr>
              <w:t>7</w:t>
            </w:r>
          </w:p>
        </w:tc>
      </w:tr>
      <w:tr w:rsidR="009E7A56" w:rsidRPr="00816D8B" w14:paraId="7A4ADEDE" w14:textId="77777777" w:rsidTr="00F46F89">
        <w:tc>
          <w:tcPr>
            <w:tcW w:w="834" w:type="dxa"/>
          </w:tcPr>
          <w:p w14:paraId="0EBAD6C6" w14:textId="77777777" w:rsidR="009E7A56" w:rsidRPr="00816D8B" w:rsidRDefault="009E7A56" w:rsidP="00F46F89">
            <w:pPr>
              <w:jc w:val="center"/>
              <w:rPr>
                <w:rFonts w:asciiTheme="majorHAnsi" w:hAnsiTheme="majorHAnsi" w:cstheme="majorHAnsi"/>
              </w:rPr>
            </w:pPr>
          </w:p>
        </w:tc>
        <w:tc>
          <w:tcPr>
            <w:tcW w:w="571" w:type="dxa"/>
          </w:tcPr>
          <w:p w14:paraId="30CE2952"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5.2</w:t>
            </w:r>
          </w:p>
        </w:tc>
        <w:tc>
          <w:tcPr>
            <w:tcW w:w="7127" w:type="dxa"/>
            <w:gridSpan w:val="2"/>
          </w:tcPr>
          <w:p w14:paraId="7013FBE3"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Ensuring Adherence to Legal and Regulatory Conditions</w:t>
            </w:r>
          </w:p>
        </w:tc>
        <w:tc>
          <w:tcPr>
            <w:tcW w:w="828" w:type="dxa"/>
          </w:tcPr>
          <w:p w14:paraId="49B33025" w14:textId="20BAE0D3"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w:t>
            </w:r>
            <w:r w:rsidR="00744439">
              <w:rPr>
                <w:rFonts w:asciiTheme="majorHAnsi" w:hAnsiTheme="majorHAnsi" w:cstheme="majorHAnsi"/>
              </w:rPr>
              <w:t>7</w:t>
            </w:r>
          </w:p>
        </w:tc>
      </w:tr>
      <w:tr w:rsidR="009E7A56" w:rsidRPr="00816D8B" w14:paraId="01EE5D19" w14:textId="77777777" w:rsidTr="00F46F89">
        <w:tc>
          <w:tcPr>
            <w:tcW w:w="834" w:type="dxa"/>
          </w:tcPr>
          <w:p w14:paraId="2554EC47" w14:textId="77777777" w:rsidR="009E7A56" w:rsidRPr="00816D8B" w:rsidRDefault="009E7A56" w:rsidP="00F46F89">
            <w:pPr>
              <w:jc w:val="center"/>
              <w:rPr>
                <w:rFonts w:asciiTheme="majorHAnsi" w:hAnsiTheme="majorHAnsi" w:cstheme="majorHAnsi"/>
              </w:rPr>
            </w:pPr>
          </w:p>
        </w:tc>
        <w:tc>
          <w:tcPr>
            <w:tcW w:w="571" w:type="dxa"/>
          </w:tcPr>
          <w:p w14:paraId="45F91C8F"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5.3</w:t>
            </w:r>
          </w:p>
        </w:tc>
        <w:tc>
          <w:tcPr>
            <w:tcW w:w="7127" w:type="dxa"/>
            <w:gridSpan w:val="2"/>
          </w:tcPr>
          <w:p w14:paraId="00C97FB5"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Enhancing Governance for Organizational Security</w:t>
            </w:r>
          </w:p>
        </w:tc>
        <w:tc>
          <w:tcPr>
            <w:tcW w:w="828" w:type="dxa"/>
          </w:tcPr>
          <w:p w14:paraId="4D34E97E" w14:textId="5BFDC4CB"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w:t>
            </w:r>
            <w:r w:rsidR="00744439">
              <w:rPr>
                <w:rFonts w:asciiTheme="majorHAnsi" w:hAnsiTheme="majorHAnsi" w:cstheme="majorHAnsi"/>
              </w:rPr>
              <w:t>7</w:t>
            </w:r>
          </w:p>
        </w:tc>
      </w:tr>
      <w:tr w:rsidR="009E7A56" w:rsidRPr="00816D8B" w14:paraId="27801DA4" w14:textId="77777777" w:rsidTr="00F46F89">
        <w:tc>
          <w:tcPr>
            <w:tcW w:w="834" w:type="dxa"/>
          </w:tcPr>
          <w:p w14:paraId="30762A40"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6</w:t>
            </w:r>
          </w:p>
        </w:tc>
        <w:tc>
          <w:tcPr>
            <w:tcW w:w="571" w:type="dxa"/>
          </w:tcPr>
          <w:p w14:paraId="403FAC7F" w14:textId="77777777" w:rsidR="009E7A56" w:rsidRPr="00816D8B" w:rsidRDefault="009E7A56" w:rsidP="00F46F89">
            <w:pPr>
              <w:rPr>
                <w:rFonts w:asciiTheme="majorHAnsi" w:hAnsiTheme="majorHAnsi" w:cstheme="majorHAnsi"/>
              </w:rPr>
            </w:pPr>
          </w:p>
        </w:tc>
        <w:tc>
          <w:tcPr>
            <w:tcW w:w="7127" w:type="dxa"/>
            <w:gridSpan w:val="2"/>
          </w:tcPr>
          <w:p w14:paraId="65C96D69"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Conclusion</w:t>
            </w:r>
          </w:p>
        </w:tc>
        <w:tc>
          <w:tcPr>
            <w:tcW w:w="828" w:type="dxa"/>
          </w:tcPr>
          <w:p w14:paraId="7B7736D9" w14:textId="364B7E52"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w:t>
            </w:r>
            <w:r w:rsidR="00744439">
              <w:rPr>
                <w:rFonts w:asciiTheme="majorHAnsi" w:hAnsiTheme="majorHAnsi" w:cstheme="majorHAnsi"/>
              </w:rPr>
              <w:t>8</w:t>
            </w:r>
          </w:p>
        </w:tc>
      </w:tr>
      <w:tr w:rsidR="009E7A56" w:rsidRPr="00816D8B" w14:paraId="283FDA3A" w14:textId="77777777" w:rsidTr="00F46F89">
        <w:tc>
          <w:tcPr>
            <w:tcW w:w="834" w:type="dxa"/>
          </w:tcPr>
          <w:p w14:paraId="78FDEB53"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7</w:t>
            </w:r>
          </w:p>
        </w:tc>
        <w:tc>
          <w:tcPr>
            <w:tcW w:w="571" w:type="dxa"/>
          </w:tcPr>
          <w:p w14:paraId="4039CBAF" w14:textId="77777777" w:rsidR="009E7A56" w:rsidRPr="00816D8B" w:rsidRDefault="009E7A56" w:rsidP="00F46F89">
            <w:pPr>
              <w:rPr>
                <w:rFonts w:asciiTheme="majorHAnsi" w:hAnsiTheme="majorHAnsi" w:cstheme="majorHAnsi"/>
              </w:rPr>
            </w:pPr>
          </w:p>
        </w:tc>
        <w:tc>
          <w:tcPr>
            <w:tcW w:w="7127" w:type="dxa"/>
            <w:gridSpan w:val="2"/>
          </w:tcPr>
          <w:p w14:paraId="0447CE39"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References</w:t>
            </w:r>
          </w:p>
        </w:tc>
        <w:tc>
          <w:tcPr>
            <w:tcW w:w="828" w:type="dxa"/>
          </w:tcPr>
          <w:p w14:paraId="51BF056C" w14:textId="654B6CD0" w:rsidR="009E7A56" w:rsidRPr="00816D8B" w:rsidRDefault="00744439" w:rsidP="00F46F89">
            <w:pPr>
              <w:jc w:val="center"/>
              <w:rPr>
                <w:rFonts w:asciiTheme="majorHAnsi" w:hAnsiTheme="majorHAnsi" w:cstheme="majorHAnsi"/>
              </w:rPr>
            </w:pPr>
            <w:r>
              <w:rPr>
                <w:rFonts w:asciiTheme="majorHAnsi" w:hAnsiTheme="majorHAnsi" w:cstheme="majorHAnsi"/>
              </w:rPr>
              <w:t>19</w:t>
            </w:r>
          </w:p>
        </w:tc>
      </w:tr>
    </w:tbl>
    <w:p w14:paraId="34A39C51" w14:textId="77777777" w:rsidR="009E7A56" w:rsidRPr="00816D8B" w:rsidRDefault="009E7A56" w:rsidP="009E7A56">
      <w:pPr>
        <w:rPr>
          <w:rFonts w:asciiTheme="majorHAnsi" w:hAnsiTheme="majorHAnsi" w:cstheme="majorHAnsi"/>
        </w:rPr>
      </w:pPr>
      <w:r w:rsidRPr="00816D8B">
        <w:rPr>
          <w:rFonts w:asciiTheme="majorHAnsi" w:hAnsiTheme="majorHAnsi" w:cstheme="majorHAnsi"/>
        </w:rPr>
        <w:br/>
      </w:r>
    </w:p>
    <w:p w14:paraId="03B0A094" w14:textId="77777777" w:rsidR="009E7A56" w:rsidRPr="00816D8B" w:rsidRDefault="009E7A56" w:rsidP="009E7A56">
      <w:pPr>
        <w:rPr>
          <w:rFonts w:asciiTheme="majorHAnsi" w:hAnsiTheme="majorHAnsi" w:cstheme="majorHAnsi"/>
        </w:rPr>
      </w:pPr>
      <w:r w:rsidRPr="00816D8B">
        <w:rPr>
          <w:rFonts w:asciiTheme="majorHAnsi" w:hAnsiTheme="majorHAnsi" w:cstheme="majorHAnsi"/>
        </w:rPr>
        <w:br w:type="page"/>
      </w:r>
    </w:p>
    <w:p w14:paraId="2A0CF661" w14:textId="77777777" w:rsidR="009E7A56" w:rsidRPr="00816D8B" w:rsidRDefault="009E7A56" w:rsidP="009E7A56">
      <w:pPr>
        <w:pStyle w:val="Heading1"/>
        <w:jc w:val="center"/>
        <w:rPr>
          <w:rFonts w:cstheme="majorHAnsi"/>
          <w:b/>
          <w:bCs/>
          <w:color w:val="auto"/>
        </w:rPr>
      </w:pPr>
      <w:r w:rsidRPr="00816D8B">
        <w:rPr>
          <w:rFonts w:cstheme="majorHAnsi"/>
          <w:b/>
          <w:bCs/>
          <w:color w:val="auto"/>
        </w:rPr>
        <w:lastRenderedPageBreak/>
        <w:t>Table Content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6809"/>
        <w:gridCol w:w="1553"/>
      </w:tblGrid>
      <w:tr w:rsidR="009E7A56" w:rsidRPr="00816D8B" w14:paraId="061847D1" w14:textId="77777777" w:rsidTr="00F46F89">
        <w:tc>
          <w:tcPr>
            <w:tcW w:w="988" w:type="dxa"/>
          </w:tcPr>
          <w:p w14:paraId="4E54ABF2" w14:textId="77777777" w:rsidR="009E7A56" w:rsidRPr="00816D8B" w:rsidRDefault="009E7A56" w:rsidP="00F46F89">
            <w:pPr>
              <w:spacing w:line="480" w:lineRule="auto"/>
              <w:jc w:val="center"/>
              <w:rPr>
                <w:rFonts w:asciiTheme="majorHAnsi" w:hAnsiTheme="majorHAnsi" w:cstheme="majorHAnsi"/>
                <w:b/>
                <w:bCs/>
                <w:sz w:val="28"/>
                <w:szCs w:val="28"/>
              </w:rPr>
            </w:pPr>
            <w:r w:rsidRPr="00816D8B">
              <w:rPr>
                <w:rFonts w:asciiTheme="majorHAnsi" w:hAnsiTheme="majorHAnsi" w:cstheme="majorHAnsi"/>
                <w:b/>
                <w:bCs/>
                <w:sz w:val="28"/>
                <w:szCs w:val="28"/>
              </w:rPr>
              <w:t>Sr. No</w:t>
            </w:r>
          </w:p>
        </w:tc>
        <w:tc>
          <w:tcPr>
            <w:tcW w:w="6809" w:type="dxa"/>
          </w:tcPr>
          <w:p w14:paraId="21555269" w14:textId="77777777" w:rsidR="009E7A56" w:rsidRPr="00816D8B" w:rsidRDefault="009E7A56" w:rsidP="00F46F89">
            <w:pPr>
              <w:spacing w:line="480" w:lineRule="auto"/>
              <w:jc w:val="center"/>
              <w:rPr>
                <w:rFonts w:asciiTheme="majorHAnsi" w:hAnsiTheme="majorHAnsi" w:cstheme="majorHAnsi"/>
                <w:b/>
                <w:bCs/>
                <w:sz w:val="28"/>
                <w:szCs w:val="28"/>
              </w:rPr>
            </w:pPr>
            <w:r w:rsidRPr="00816D8B">
              <w:rPr>
                <w:rFonts w:asciiTheme="majorHAnsi" w:hAnsiTheme="majorHAnsi" w:cstheme="majorHAnsi"/>
                <w:b/>
                <w:bCs/>
                <w:sz w:val="28"/>
                <w:szCs w:val="28"/>
              </w:rPr>
              <w:t>Topic</w:t>
            </w:r>
          </w:p>
        </w:tc>
        <w:tc>
          <w:tcPr>
            <w:tcW w:w="1553" w:type="dxa"/>
          </w:tcPr>
          <w:p w14:paraId="61474469" w14:textId="77777777" w:rsidR="009E7A56" w:rsidRPr="00816D8B" w:rsidRDefault="009E7A56" w:rsidP="00F46F89">
            <w:pPr>
              <w:spacing w:line="480" w:lineRule="auto"/>
              <w:jc w:val="center"/>
              <w:rPr>
                <w:rFonts w:asciiTheme="majorHAnsi" w:hAnsiTheme="majorHAnsi" w:cstheme="majorHAnsi"/>
                <w:b/>
                <w:bCs/>
                <w:sz w:val="28"/>
                <w:szCs w:val="28"/>
              </w:rPr>
            </w:pPr>
            <w:r w:rsidRPr="00816D8B">
              <w:rPr>
                <w:rFonts w:asciiTheme="majorHAnsi" w:hAnsiTheme="majorHAnsi" w:cstheme="majorHAnsi"/>
                <w:b/>
                <w:bCs/>
                <w:sz w:val="28"/>
                <w:szCs w:val="28"/>
              </w:rPr>
              <w:t>Page No.</w:t>
            </w:r>
          </w:p>
        </w:tc>
      </w:tr>
      <w:tr w:rsidR="009E7A56" w:rsidRPr="00816D8B" w14:paraId="7D34B3BA" w14:textId="77777777" w:rsidTr="00F46F89">
        <w:tc>
          <w:tcPr>
            <w:tcW w:w="988" w:type="dxa"/>
          </w:tcPr>
          <w:p w14:paraId="6C87BDF7"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w:t>
            </w:r>
          </w:p>
        </w:tc>
        <w:tc>
          <w:tcPr>
            <w:tcW w:w="6809" w:type="dxa"/>
          </w:tcPr>
          <w:p w14:paraId="2E8FB0E8"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Comparison of Major Information Security Frameworks</w:t>
            </w:r>
          </w:p>
        </w:tc>
        <w:tc>
          <w:tcPr>
            <w:tcW w:w="1553" w:type="dxa"/>
          </w:tcPr>
          <w:p w14:paraId="598277A4" w14:textId="0DF4286C" w:rsidR="009E7A56" w:rsidRPr="00816D8B" w:rsidRDefault="009E7A56" w:rsidP="00F46F89">
            <w:pPr>
              <w:jc w:val="center"/>
              <w:rPr>
                <w:rFonts w:asciiTheme="majorHAnsi" w:hAnsiTheme="majorHAnsi" w:cstheme="majorHAnsi"/>
              </w:rPr>
            </w:pPr>
            <w:r w:rsidRPr="00816D8B">
              <w:rPr>
                <w:rFonts w:asciiTheme="majorHAnsi" w:hAnsiTheme="majorHAnsi" w:cstheme="majorHAnsi"/>
              </w:rPr>
              <w:t>0</w:t>
            </w:r>
            <w:r w:rsidR="00D15E65">
              <w:rPr>
                <w:rFonts w:asciiTheme="majorHAnsi" w:hAnsiTheme="majorHAnsi" w:cstheme="majorHAnsi"/>
              </w:rPr>
              <w:t>8</w:t>
            </w:r>
          </w:p>
        </w:tc>
      </w:tr>
      <w:tr w:rsidR="009E7A56" w:rsidRPr="00816D8B" w14:paraId="2A1A4DAA" w14:textId="77777777" w:rsidTr="00F46F89">
        <w:tc>
          <w:tcPr>
            <w:tcW w:w="988" w:type="dxa"/>
          </w:tcPr>
          <w:p w14:paraId="69DFEF03"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2</w:t>
            </w:r>
          </w:p>
        </w:tc>
        <w:tc>
          <w:tcPr>
            <w:tcW w:w="6809" w:type="dxa"/>
          </w:tcPr>
          <w:p w14:paraId="4EE13D73"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Risk Assessment for FinSure Bank</w:t>
            </w:r>
          </w:p>
        </w:tc>
        <w:tc>
          <w:tcPr>
            <w:tcW w:w="1553" w:type="dxa"/>
          </w:tcPr>
          <w:p w14:paraId="31FF4C2E" w14:textId="4A8AAF84"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w:t>
            </w:r>
            <w:r w:rsidR="00D15E65">
              <w:rPr>
                <w:rFonts w:asciiTheme="majorHAnsi" w:hAnsiTheme="majorHAnsi" w:cstheme="majorHAnsi"/>
              </w:rPr>
              <w:t>1</w:t>
            </w:r>
          </w:p>
        </w:tc>
      </w:tr>
      <w:tr w:rsidR="009E7A56" w:rsidRPr="00816D8B" w14:paraId="76564357" w14:textId="77777777" w:rsidTr="00F46F89">
        <w:tc>
          <w:tcPr>
            <w:tcW w:w="988" w:type="dxa"/>
          </w:tcPr>
          <w:p w14:paraId="4E223B23"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3</w:t>
            </w:r>
          </w:p>
        </w:tc>
        <w:tc>
          <w:tcPr>
            <w:tcW w:w="6809" w:type="dxa"/>
          </w:tcPr>
          <w:p w14:paraId="12439964"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Security Governance Roles Proposed</w:t>
            </w:r>
          </w:p>
        </w:tc>
        <w:tc>
          <w:tcPr>
            <w:tcW w:w="1553" w:type="dxa"/>
          </w:tcPr>
          <w:p w14:paraId="4660457A" w14:textId="4935DF1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w:t>
            </w:r>
            <w:r w:rsidR="00D15E65">
              <w:rPr>
                <w:rFonts w:asciiTheme="majorHAnsi" w:hAnsiTheme="majorHAnsi" w:cstheme="majorHAnsi"/>
              </w:rPr>
              <w:t>3</w:t>
            </w:r>
          </w:p>
        </w:tc>
      </w:tr>
      <w:tr w:rsidR="009E7A56" w:rsidRPr="00816D8B" w14:paraId="312C1DA8" w14:textId="77777777" w:rsidTr="00F46F89">
        <w:tc>
          <w:tcPr>
            <w:tcW w:w="988" w:type="dxa"/>
          </w:tcPr>
          <w:p w14:paraId="666261A1"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4</w:t>
            </w:r>
          </w:p>
        </w:tc>
        <w:tc>
          <w:tcPr>
            <w:tcW w:w="6809" w:type="dxa"/>
          </w:tcPr>
          <w:p w14:paraId="67485599"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Integrated Security Framework Strategy</w:t>
            </w:r>
          </w:p>
        </w:tc>
        <w:tc>
          <w:tcPr>
            <w:tcW w:w="1553" w:type="dxa"/>
          </w:tcPr>
          <w:p w14:paraId="5D08AEF0" w14:textId="7D877F36"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w:t>
            </w:r>
            <w:r w:rsidR="00D15E65">
              <w:rPr>
                <w:rFonts w:asciiTheme="majorHAnsi" w:hAnsiTheme="majorHAnsi" w:cstheme="majorHAnsi"/>
              </w:rPr>
              <w:t>3</w:t>
            </w:r>
          </w:p>
        </w:tc>
      </w:tr>
      <w:tr w:rsidR="009E7A56" w:rsidRPr="00816D8B" w14:paraId="5A37EDFF" w14:textId="77777777" w:rsidTr="00F46F89">
        <w:tc>
          <w:tcPr>
            <w:tcW w:w="988" w:type="dxa"/>
          </w:tcPr>
          <w:p w14:paraId="047A822A"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5</w:t>
            </w:r>
          </w:p>
        </w:tc>
        <w:tc>
          <w:tcPr>
            <w:tcW w:w="6809" w:type="dxa"/>
          </w:tcPr>
          <w:p w14:paraId="6AE02759"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Recommended Data Protection Controls</w:t>
            </w:r>
          </w:p>
        </w:tc>
        <w:tc>
          <w:tcPr>
            <w:tcW w:w="1553" w:type="dxa"/>
          </w:tcPr>
          <w:p w14:paraId="345273F9" w14:textId="6C489D54"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w:t>
            </w:r>
            <w:r w:rsidR="00D15E65">
              <w:rPr>
                <w:rFonts w:asciiTheme="majorHAnsi" w:hAnsiTheme="majorHAnsi" w:cstheme="majorHAnsi"/>
              </w:rPr>
              <w:t>4</w:t>
            </w:r>
          </w:p>
        </w:tc>
      </w:tr>
    </w:tbl>
    <w:p w14:paraId="2EB247F9" w14:textId="77777777" w:rsidR="009E7A56" w:rsidRPr="00816D8B" w:rsidRDefault="009E7A56" w:rsidP="009E7A56">
      <w:pPr>
        <w:rPr>
          <w:rFonts w:asciiTheme="majorHAnsi" w:hAnsiTheme="majorHAnsi" w:cstheme="majorHAnsi"/>
        </w:rPr>
      </w:pPr>
    </w:p>
    <w:p w14:paraId="087FEA5C" w14:textId="77777777" w:rsidR="009E7A56" w:rsidRPr="00816D8B" w:rsidRDefault="009E7A56" w:rsidP="009E7A56">
      <w:pPr>
        <w:rPr>
          <w:rFonts w:asciiTheme="majorHAnsi" w:hAnsiTheme="majorHAnsi" w:cstheme="majorHAnsi"/>
        </w:rPr>
      </w:pPr>
    </w:p>
    <w:p w14:paraId="2E4E892A" w14:textId="77777777" w:rsidR="009E7A56" w:rsidRPr="00816D8B" w:rsidRDefault="009E7A56" w:rsidP="009E7A56">
      <w:pPr>
        <w:pStyle w:val="Heading1"/>
        <w:jc w:val="center"/>
        <w:rPr>
          <w:rFonts w:cstheme="majorHAnsi"/>
          <w:b/>
          <w:bCs/>
          <w:color w:val="auto"/>
        </w:rPr>
      </w:pPr>
      <w:r w:rsidRPr="00816D8B">
        <w:rPr>
          <w:rFonts w:cstheme="majorHAnsi"/>
          <w:b/>
          <w:bCs/>
          <w:color w:val="auto"/>
        </w:rPr>
        <w:t>Figure Content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6804"/>
        <w:gridCol w:w="1553"/>
      </w:tblGrid>
      <w:tr w:rsidR="009E7A56" w:rsidRPr="00816D8B" w14:paraId="6F4BB405" w14:textId="77777777" w:rsidTr="00F46F89">
        <w:tc>
          <w:tcPr>
            <w:tcW w:w="993" w:type="dxa"/>
          </w:tcPr>
          <w:p w14:paraId="15F0DD83" w14:textId="77777777" w:rsidR="009E7A56" w:rsidRPr="00816D8B" w:rsidRDefault="009E7A56" w:rsidP="00F46F89">
            <w:pPr>
              <w:spacing w:line="480" w:lineRule="auto"/>
              <w:jc w:val="center"/>
              <w:rPr>
                <w:rFonts w:asciiTheme="majorHAnsi" w:hAnsiTheme="majorHAnsi" w:cstheme="majorHAnsi"/>
                <w:b/>
                <w:bCs/>
                <w:sz w:val="28"/>
                <w:szCs w:val="28"/>
              </w:rPr>
            </w:pPr>
            <w:r w:rsidRPr="00816D8B">
              <w:rPr>
                <w:rFonts w:asciiTheme="majorHAnsi" w:hAnsiTheme="majorHAnsi" w:cstheme="majorHAnsi"/>
                <w:b/>
                <w:bCs/>
                <w:sz w:val="28"/>
                <w:szCs w:val="28"/>
              </w:rPr>
              <w:t>Sr. No</w:t>
            </w:r>
          </w:p>
        </w:tc>
        <w:tc>
          <w:tcPr>
            <w:tcW w:w="6804" w:type="dxa"/>
          </w:tcPr>
          <w:p w14:paraId="546EA87B" w14:textId="77777777" w:rsidR="009E7A56" w:rsidRPr="00816D8B" w:rsidRDefault="009E7A56" w:rsidP="00F46F89">
            <w:pPr>
              <w:spacing w:line="480" w:lineRule="auto"/>
              <w:jc w:val="center"/>
              <w:rPr>
                <w:rFonts w:asciiTheme="majorHAnsi" w:hAnsiTheme="majorHAnsi" w:cstheme="majorHAnsi"/>
                <w:b/>
                <w:bCs/>
                <w:sz w:val="28"/>
                <w:szCs w:val="28"/>
              </w:rPr>
            </w:pPr>
            <w:r w:rsidRPr="00816D8B">
              <w:rPr>
                <w:rFonts w:asciiTheme="majorHAnsi" w:hAnsiTheme="majorHAnsi" w:cstheme="majorHAnsi"/>
                <w:b/>
                <w:bCs/>
                <w:sz w:val="28"/>
                <w:szCs w:val="28"/>
              </w:rPr>
              <w:t>Topic</w:t>
            </w:r>
          </w:p>
        </w:tc>
        <w:tc>
          <w:tcPr>
            <w:tcW w:w="1553" w:type="dxa"/>
          </w:tcPr>
          <w:p w14:paraId="344251DF" w14:textId="77777777" w:rsidR="009E7A56" w:rsidRPr="00816D8B" w:rsidRDefault="009E7A56" w:rsidP="00F46F89">
            <w:pPr>
              <w:spacing w:line="480" w:lineRule="auto"/>
              <w:jc w:val="center"/>
              <w:rPr>
                <w:rFonts w:asciiTheme="majorHAnsi" w:hAnsiTheme="majorHAnsi" w:cstheme="majorHAnsi"/>
                <w:b/>
                <w:bCs/>
                <w:sz w:val="28"/>
                <w:szCs w:val="28"/>
              </w:rPr>
            </w:pPr>
            <w:r w:rsidRPr="00816D8B">
              <w:rPr>
                <w:rFonts w:asciiTheme="majorHAnsi" w:hAnsiTheme="majorHAnsi" w:cstheme="majorHAnsi"/>
                <w:b/>
                <w:bCs/>
                <w:sz w:val="28"/>
                <w:szCs w:val="28"/>
              </w:rPr>
              <w:t>Page No.</w:t>
            </w:r>
          </w:p>
        </w:tc>
      </w:tr>
      <w:tr w:rsidR="009E7A56" w:rsidRPr="00816D8B" w14:paraId="386E0744" w14:textId="77777777" w:rsidTr="00F46F89">
        <w:tc>
          <w:tcPr>
            <w:tcW w:w="993" w:type="dxa"/>
          </w:tcPr>
          <w:p w14:paraId="4646261E"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w:t>
            </w:r>
          </w:p>
        </w:tc>
        <w:tc>
          <w:tcPr>
            <w:tcW w:w="6804" w:type="dxa"/>
          </w:tcPr>
          <w:p w14:paraId="0C3121F2"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Key Components of ISO/IEC 27001 ISMS</w:t>
            </w:r>
          </w:p>
        </w:tc>
        <w:tc>
          <w:tcPr>
            <w:tcW w:w="1553" w:type="dxa"/>
          </w:tcPr>
          <w:p w14:paraId="53EFFA9C" w14:textId="7F4BB990" w:rsidR="009E7A56" w:rsidRPr="00816D8B" w:rsidRDefault="009E7A56" w:rsidP="00F46F89">
            <w:pPr>
              <w:jc w:val="center"/>
              <w:rPr>
                <w:rFonts w:asciiTheme="majorHAnsi" w:hAnsiTheme="majorHAnsi" w:cstheme="majorHAnsi"/>
              </w:rPr>
            </w:pPr>
            <w:r w:rsidRPr="00816D8B">
              <w:rPr>
                <w:rFonts w:asciiTheme="majorHAnsi" w:hAnsiTheme="majorHAnsi" w:cstheme="majorHAnsi"/>
              </w:rPr>
              <w:t>0</w:t>
            </w:r>
            <w:r w:rsidR="00D15E65">
              <w:rPr>
                <w:rFonts w:asciiTheme="majorHAnsi" w:hAnsiTheme="majorHAnsi" w:cstheme="majorHAnsi"/>
              </w:rPr>
              <w:t>9</w:t>
            </w:r>
          </w:p>
        </w:tc>
      </w:tr>
      <w:tr w:rsidR="009E7A56" w:rsidRPr="00816D8B" w14:paraId="431D36B0" w14:textId="77777777" w:rsidTr="00F46F89">
        <w:tc>
          <w:tcPr>
            <w:tcW w:w="993" w:type="dxa"/>
          </w:tcPr>
          <w:p w14:paraId="70199850"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2</w:t>
            </w:r>
          </w:p>
        </w:tc>
        <w:tc>
          <w:tcPr>
            <w:tcW w:w="6804" w:type="dxa"/>
          </w:tcPr>
          <w:p w14:paraId="20F52263"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The Cybersecurity Framework of NIST</w:t>
            </w:r>
          </w:p>
        </w:tc>
        <w:tc>
          <w:tcPr>
            <w:tcW w:w="1553" w:type="dxa"/>
          </w:tcPr>
          <w:p w14:paraId="7734E409" w14:textId="7568A17C" w:rsidR="009E7A56" w:rsidRPr="00816D8B" w:rsidRDefault="00D15E65" w:rsidP="00F46F89">
            <w:pPr>
              <w:jc w:val="center"/>
              <w:rPr>
                <w:rFonts w:asciiTheme="majorHAnsi" w:hAnsiTheme="majorHAnsi" w:cstheme="majorHAnsi"/>
              </w:rPr>
            </w:pPr>
            <w:r>
              <w:rPr>
                <w:rFonts w:asciiTheme="majorHAnsi" w:hAnsiTheme="majorHAnsi" w:cstheme="majorHAnsi"/>
              </w:rPr>
              <w:t>10</w:t>
            </w:r>
          </w:p>
        </w:tc>
      </w:tr>
      <w:tr w:rsidR="009E7A56" w:rsidRPr="00816D8B" w14:paraId="21F23847" w14:textId="77777777" w:rsidTr="00F46F89">
        <w:tc>
          <w:tcPr>
            <w:tcW w:w="993" w:type="dxa"/>
          </w:tcPr>
          <w:p w14:paraId="52C7DCDF"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3</w:t>
            </w:r>
          </w:p>
        </w:tc>
        <w:tc>
          <w:tcPr>
            <w:tcW w:w="6804" w:type="dxa"/>
          </w:tcPr>
          <w:p w14:paraId="5871362B"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Risk Assessment and Mitigation Lifecycle</w:t>
            </w:r>
          </w:p>
        </w:tc>
        <w:tc>
          <w:tcPr>
            <w:tcW w:w="1553" w:type="dxa"/>
          </w:tcPr>
          <w:p w14:paraId="0A3803B0" w14:textId="30CB28EE"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w:t>
            </w:r>
            <w:r w:rsidR="00D15E65">
              <w:rPr>
                <w:rFonts w:asciiTheme="majorHAnsi" w:hAnsiTheme="majorHAnsi" w:cstheme="majorHAnsi"/>
              </w:rPr>
              <w:t>2</w:t>
            </w:r>
          </w:p>
        </w:tc>
      </w:tr>
      <w:tr w:rsidR="009E7A56" w:rsidRPr="00816D8B" w14:paraId="02953881" w14:textId="77777777" w:rsidTr="00F46F89">
        <w:tc>
          <w:tcPr>
            <w:tcW w:w="993" w:type="dxa"/>
          </w:tcPr>
          <w:p w14:paraId="6465BE41"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4</w:t>
            </w:r>
          </w:p>
        </w:tc>
        <w:tc>
          <w:tcPr>
            <w:tcW w:w="6804" w:type="dxa"/>
          </w:tcPr>
          <w:p w14:paraId="2E40A1E0"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Layered Network Security Architecture</w:t>
            </w:r>
          </w:p>
        </w:tc>
        <w:tc>
          <w:tcPr>
            <w:tcW w:w="1553" w:type="dxa"/>
          </w:tcPr>
          <w:p w14:paraId="008ED530" w14:textId="5083785D"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w:t>
            </w:r>
            <w:r w:rsidR="00D15E65">
              <w:rPr>
                <w:rFonts w:asciiTheme="majorHAnsi" w:hAnsiTheme="majorHAnsi" w:cstheme="majorHAnsi"/>
              </w:rPr>
              <w:t>5</w:t>
            </w:r>
          </w:p>
        </w:tc>
      </w:tr>
      <w:tr w:rsidR="009E7A56" w:rsidRPr="00816D8B" w14:paraId="66E2F79B" w14:textId="77777777" w:rsidTr="00F46F89">
        <w:tc>
          <w:tcPr>
            <w:tcW w:w="993" w:type="dxa"/>
          </w:tcPr>
          <w:p w14:paraId="31A56AD5" w14:textId="77777777" w:rsidR="009E7A56" w:rsidRPr="00816D8B" w:rsidRDefault="009E7A56" w:rsidP="00F46F89">
            <w:pPr>
              <w:jc w:val="center"/>
              <w:rPr>
                <w:rFonts w:asciiTheme="majorHAnsi" w:hAnsiTheme="majorHAnsi" w:cstheme="majorHAnsi"/>
              </w:rPr>
            </w:pPr>
            <w:r w:rsidRPr="00816D8B">
              <w:rPr>
                <w:rFonts w:asciiTheme="majorHAnsi" w:hAnsiTheme="majorHAnsi" w:cstheme="majorHAnsi"/>
              </w:rPr>
              <w:t>5</w:t>
            </w:r>
          </w:p>
        </w:tc>
        <w:tc>
          <w:tcPr>
            <w:tcW w:w="6804" w:type="dxa"/>
          </w:tcPr>
          <w:p w14:paraId="320034AC" w14:textId="77777777" w:rsidR="009E7A56" w:rsidRPr="00816D8B" w:rsidRDefault="009E7A56" w:rsidP="00F46F89">
            <w:pPr>
              <w:rPr>
                <w:rFonts w:asciiTheme="majorHAnsi" w:hAnsiTheme="majorHAnsi" w:cstheme="majorHAnsi"/>
              </w:rPr>
            </w:pPr>
            <w:r w:rsidRPr="00816D8B">
              <w:rPr>
                <w:rFonts w:asciiTheme="majorHAnsi" w:hAnsiTheme="majorHAnsi" w:cstheme="majorHAnsi"/>
              </w:rPr>
              <w:t>Zero Trust architectures</w:t>
            </w:r>
          </w:p>
        </w:tc>
        <w:tc>
          <w:tcPr>
            <w:tcW w:w="1553" w:type="dxa"/>
          </w:tcPr>
          <w:p w14:paraId="4CF17A05" w14:textId="3D7E3DAD" w:rsidR="009E7A56" w:rsidRPr="00816D8B" w:rsidRDefault="009E7A56" w:rsidP="00F46F89">
            <w:pPr>
              <w:jc w:val="center"/>
              <w:rPr>
                <w:rFonts w:asciiTheme="majorHAnsi" w:hAnsiTheme="majorHAnsi" w:cstheme="majorHAnsi"/>
              </w:rPr>
            </w:pPr>
            <w:r w:rsidRPr="00816D8B">
              <w:rPr>
                <w:rFonts w:asciiTheme="majorHAnsi" w:hAnsiTheme="majorHAnsi" w:cstheme="majorHAnsi"/>
              </w:rPr>
              <w:t>1</w:t>
            </w:r>
            <w:r w:rsidR="00D15E65">
              <w:rPr>
                <w:rFonts w:asciiTheme="majorHAnsi" w:hAnsiTheme="majorHAnsi" w:cstheme="majorHAnsi"/>
              </w:rPr>
              <w:t>6</w:t>
            </w:r>
          </w:p>
        </w:tc>
      </w:tr>
    </w:tbl>
    <w:p w14:paraId="2C41D91D" w14:textId="77777777" w:rsidR="009E7A56" w:rsidRPr="00816D8B" w:rsidRDefault="009E7A56" w:rsidP="009E7A56">
      <w:pPr>
        <w:rPr>
          <w:rFonts w:asciiTheme="majorHAnsi" w:hAnsiTheme="majorHAnsi" w:cstheme="majorHAnsi"/>
        </w:rPr>
      </w:pPr>
      <w:r w:rsidRPr="00816D8B">
        <w:rPr>
          <w:rFonts w:asciiTheme="majorHAnsi" w:hAnsiTheme="majorHAnsi" w:cstheme="majorHAnsi"/>
        </w:rPr>
        <w:br w:type="page"/>
      </w:r>
    </w:p>
    <w:p w14:paraId="1EC83605" w14:textId="6BACC503" w:rsidR="00D13EB1" w:rsidRPr="00816D8B" w:rsidRDefault="00D13EB1" w:rsidP="00D13EB1">
      <w:pPr>
        <w:pStyle w:val="Heading1"/>
        <w:jc w:val="center"/>
        <w:rPr>
          <w:rFonts w:cstheme="majorHAnsi"/>
          <w:b/>
          <w:bCs/>
          <w:color w:val="auto"/>
        </w:rPr>
      </w:pPr>
      <w:r w:rsidRPr="00816D8B">
        <w:rPr>
          <w:rFonts w:cstheme="majorHAnsi"/>
          <w:b/>
          <w:bCs/>
          <w:color w:val="auto"/>
        </w:rPr>
        <w:lastRenderedPageBreak/>
        <w:t xml:space="preserve">Overview </w:t>
      </w:r>
      <w:r w:rsidR="00816D8B" w:rsidRPr="00816D8B">
        <w:rPr>
          <w:rFonts w:cstheme="majorHAnsi"/>
          <w:b/>
          <w:bCs/>
          <w:color w:val="auto"/>
        </w:rPr>
        <w:t>Course Work Task</w:t>
      </w:r>
    </w:p>
    <w:p w14:paraId="545511C2" w14:textId="7A71168A" w:rsidR="00D13EB1" w:rsidRPr="00816D8B" w:rsidRDefault="00816D8B" w:rsidP="00816D8B">
      <w:pPr>
        <w:jc w:val="both"/>
        <w:rPr>
          <w:rFonts w:asciiTheme="majorHAnsi" w:eastAsiaTheme="majorEastAsia" w:hAnsiTheme="majorHAnsi" w:cstheme="majorHAnsi"/>
          <w:b/>
          <w:bCs/>
          <w:sz w:val="40"/>
          <w:szCs w:val="40"/>
        </w:rPr>
      </w:pPr>
      <w:r w:rsidRPr="00816D8B">
        <w:rPr>
          <w:rFonts w:asciiTheme="majorHAnsi" w:hAnsiTheme="majorHAnsi" w:cstheme="majorHAnsi"/>
        </w:rPr>
        <w:t>The present coursework develops a strong Governance, Risk, and Compliance (GRC) model that the FinSure Bank can adopt to ensure its digital-first operations. It considers such industry standards as ISO/IEC 27001, NIST CSF, ITIL, and COBIT to deal with vulnerabilities of cloud infrastructure, BYOD, and mobile banking. To alleviate fraud and insider threats, the report outlines an integrated security framework, such as a well-designed hierarchy of governance, Zero Trust networking, and data controls in line with GDPR, as solutions. Lastly it critiques the need to constantly develop higher regulatory standards to ensure organizational resilience in the face of a more complex cyber-threat environment.</w:t>
      </w:r>
      <w:r w:rsidR="00D13EB1" w:rsidRPr="00816D8B">
        <w:rPr>
          <w:rFonts w:asciiTheme="majorHAnsi" w:hAnsiTheme="majorHAnsi" w:cstheme="majorHAnsi"/>
          <w:b/>
          <w:bCs/>
        </w:rPr>
        <w:br w:type="page"/>
      </w:r>
    </w:p>
    <w:p w14:paraId="75330546" w14:textId="75A19EC6" w:rsidR="009E7A56" w:rsidRPr="00816D8B" w:rsidRDefault="009E7A56" w:rsidP="009E7A56">
      <w:pPr>
        <w:pStyle w:val="Heading1"/>
        <w:jc w:val="center"/>
        <w:rPr>
          <w:rFonts w:cstheme="majorHAnsi"/>
          <w:b/>
          <w:bCs/>
          <w:color w:val="auto"/>
        </w:rPr>
      </w:pPr>
      <w:r w:rsidRPr="00816D8B">
        <w:rPr>
          <w:rFonts w:cstheme="majorHAnsi"/>
          <w:b/>
          <w:bCs/>
          <w:color w:val="auto"/>
        </w:rPr>
        <w:lastRenderedPageBreak/>
        <w:t>Abstract</w:t>
      </w:r>
    </w:p>
    <w:p w14:paraId="433C7D01" w14:textId="77777777" w:rsidR="00CF13B2" w:rsidRPr="00CF13B2" w:rsidRDefault="00CF13B2" w:rsidP="00CF13B2">
      <w:pPr>
        <w:jc w:val="both"/>
        <w:rPr>
          <w:rFonts w:asciiTheme="majorHAnsi" w:hAnsiTheme="majorHAnsi" w:cstheme="majorHAnsi"/>
        </w:rPr>
      </w:pPr>
      <w:r w:rsidRPr="00CF13B2">
        <w:rPr>
          <w:rFonts w:asciiTheme="majorHAnsi" w:hAnsiTheme="majorHAnsi" w:cstheme="majorHAnsi"/>
        </w:rPr>
        <w:t>The finance sector is witnessing the revolution of cloud-based technologies enabling online banking to be scaled and efficient. Nonetheless, they also present additional cyber vulnerabilities to sensitive financial, transactional and PII data. To counteract this, good governance, enterprise risk management, and compliance models are needed on the financial side to make sure that their critical information is secured by the confidentiality, integrity, and availability (CIA triad) model.</w:t>
      </w:r>
    </w:p>
    <w:p w14:paraId="02946490" w14:textId="77777777" w:rsidR="00CF13B2" w:rsidRPr="00CF13B2" w:rsidRDefault="00CF13B2" w:rsidP="00CF13B2">
      <w:pPr>
        <w:jc w:val="both"/>
        <w:rPr>
          <w:rFonts w:asciiTheme="majorHAnsi" w:hAnsiTheme="majorHAnsi" w:cstheme="majorHAnsi"/>
        </w:rPr>
      </w:pPr>
      <w:r w:rsidRPr="00CF13B2">
        <w:rPr>
          <w:rFonts w:asciiTheme="majorHAnsi" w:hAnsiTheme="majorHAnsi" w:cstheme="majorHAnsi"/>
        </w:rPr>
        <w:t>This paper applies the case of the FinSure Bank to investigate the ways in which the risks in online banking can be mitigated by having well-structured cybersecurity governance. It considers well-known frameworks like COBIT, ISO/IEC 27001, NIST Cybersecurity Framework and ITIL that facilitate risk analysis, compliance requirements, and the adoption of Information Security Management Systems (ISMS).</w:t>
      </w:r>
    </w:p>
    <w:p w14:paraId="15EA3986" w14:textId="11E28995" w:rsidR="009E7A56" w:rsidRPr="00816D8B" w:rsidRDefault="00CF13B2" w:rsidP="00CF13B2">
      <w:pPr>
        <w:jc w:val="both"/>
        <w:rPr>
          <w:rFonts w:asciiTheme="majorHAnsi" w:hAnsiTheme="majorHAnsi" w:cstheme="majorHAnsi"/>
        </w:rPr>
      </w:pPr>
      <w:r w:rsidRPr="00CF13B2">
        <w:rPr>
          <w:rFonts w:asciiTheme="majorHAnsi" w:hAnsiTheme="majorHAnsi" w:cstheme="majorHAnsi"/>
        </w:rPr>
        <w:t>The analysis shows that the environment in FinSure Bank has major threats such as cloud service threats, BYOD policies, mobile banking threats, and absence of governance structure. To mitigate such problems, this research suggests a combined Governance, Risk, Compliance (GRC) framework to provide resilience of cyber activities, regulatory adherence, and security to the contemporary digital banking.</w:t>
      </w:r>
      <w:r w:rsidR="009E7A56" w:rsidRPr="00816D8B">
        <w:rPr>
          <w:rFonts w:asciiTheme="majorHAnsi" w:hAnsiTheme="majorHAnsi" w:cstheme="majorHAnsi"/>
        </w:rPr>
        <w:br w:type="page"/>
      </w:r>
    </w:p>
    <w:p w14:paraId="55AD97E7" w14:textId="77777777" w:rsidR="009E7A56" w:rsidRPr="00816D8B" w:rsidRDefault="009E7A56" w:rsidP="009E7A56">
      <w:pPr>
        <w:pStyle w:val="Heading1"/>
        <w:numPr>
          <w:ilvl w:val="0"/>
          <w:numId w:val="1"/>
        </w:numPr>
        <w:jc w:val="center"/>
        <w:rPr>
          <w:rFonts w:cstheme="majorHAnsi"/>
          <w:b/>
          <w:bCs/>
          <w:color w:val="auto"/>
        </w:rPr>
      </w:pPr>
      <w:r w:rsidRPr="00816D8B">
        <w:rPr>
          <w:rFonts w:cstheme="majorHAnsi"/>
          <w:b/>
          <w:bCs/>
          <w:color w:val="auto"/>
        </w:rPr>
        <w:lastRenderedPageBreak/>
        <w:t>Introduction</w:t>
      </w:r>
    </w:p>
    <w:p w14:paraId="1E9BC3AD" w14:textId="77777777" w:rsidR="00DE7D5C" w:rsidRPr="00DE7D5C" w:rsidRDefault="00DE7D5C" w:rsidP="00DE7D5C">
      <w:pPr>
        <w:jc w:val="both"/>
        <w:rPr>
          <w:rFonts w:asciiTheme="majorHAnsi" w:eastAsia="Times New Roman" w:hAnsiTheme="majorHAnsi" w:cstheme="majorHAnsi"/>
          <w:kern w:val="0"/>
          <w14:ligatures w14:val="none"/>
        </w:rPr>
      </w:pPr>
      <w:r w:rsidRPr="00DE7D5C">
        <w:rPr>
          <w:rFonts w:asciiTheme="majorHAnsi" w:eastAsia="Times New Roman" w:hAnsiTheme="majorHAnsi" w:cstheme="majorHAnsi"/>
          <w:kern w:val="0"/>
          <w14:ligatures w14:val="none"/>
        </w:rPr>
        <w:t>It has transformed financial institutions because of the rapid growth of digital technologies and services with internet usage. Digital banking, though efficient, becomes accessible and offers better delivery of services, is also a characteristic of high rates of cyber and data security threats. This means that the threat of data leakage and unauthorized access to sensitive financial and personal information increases as more and more people are using cloud networks, mobile technology, and making their systems interdependent increasing the attack surface [1].</w:t>
      </w:r>
    </w:p>
    <w:p w14:paraId="58AE821D" w14:textId="77777777" w:rsidR="00DE7D5C" w:rsidRPr="00DE7D5C" w:rsidRDefault="00DE7D5C" w:rsidP="00DE7D5C">
      <w:pPr>
        <w:jc w:val="both"/>
        <w:rPr>
          <w:rFonts w:asciiTheme="majorHAnsi" w:eastAsia="Times New Roman" w:hAnsiTheme="majorHAnsi" w:cstheme="majorHAnsi"/>
          <w:kern w:val="0"/>
          <w14:ligatures w14:val="none"/>
        </w:rPr>
      </w:pPr>
      <w:r w:rsidRPr="00DE7D5C">
        <w:rPr>
          <w:rFonts w:asciiTheme="majorHAnsi" w:eastAsia="Times New Roman" w:hAnsiTheme="majorHAnsi" w:cstheme="majorHAnsi"/>
          <w:kern w:val="0"/>
          <w14:ligatures w14:val="none"/>
        </w:rPr>
        <w:t>Risk management is essential in corporate governance through the incorporation of the information security. Cybersecurity plans need to assure CIA (Confidentiality, Integrity, Availability) of information assets, backed by well-established governance plans [2].</w:t>
      </w:r>
    </w:p>
    <w:p w14:paraId="2DBBC5EC" w14:textId="39C26A34" w:rsidR="009E7A56" w:rsidRPr="00816D8B" w:rsidRDefault="00DE7D5C" w:rsidP="00DE7D5C">
      <w:pPr>
        <w:jc w:val="both"/>
        <w:rPr>
          <w:rFonts w:asciiTheme="majorHAnsi" w:eastAsia="Times New Roman" w:hAnsiTheme="majorHAnsi" w:cstheme="majorHAnsi"/>
          <w:kern w:val="0"/>
          <w14:ligatures w14:val="none"/>
        </w:rPr>
      </w:pPr>
      <w:r w:rsidRPr="00DE7D5C">
        <w:rPr>
          <w:rFonts w:asciiTheme="majorHAnsi" w:eastAsia="Times New Roman" w:hAnsiTheme="majorHAnsi" w:cstheme="majorHAnsi"/>
          <w:kern w:val="0"/>
          <w14:ligatures w14:val="none"/>
        </w:rPr>
        <w:t>To minimize such risks and encourage continuous enhancement of Information Security Management Systems (ISMS), organizations employ such standards as ISO/IEC 27001, ITIL, and COBIT [3]. The case with FinSure Bank reveals the complexity of cybersecurity concerns in BYOD, cloud computing, and work-at-home environments, as they lead to such threats as fraud, identity theft, and insider threats [4].</w:t>
      </w:r>
      <w:r w:rsidR="009E7A56" w:rsidRPr="00816D8B">
        <w:rPr>
          <w:rFonts w:asciiTheme="majorHAnsi" w:hAnsiTheme="majorHAnsi" w:cstheme="majorHAnsi"/>
        </w:rPr>
        <w:br w:type="page"/>
      </w:r>
    </w:p>
    <w:p w14:paraId="17A4AAD4" w14:textId="77777777" w:rsidR="009E7A56" w:rsidRPr="00816D8B" w:rsidRDefault="009E7A56" w:rsidP="009E7A56">
      <w:pPr>
        <w:pStyle w:val="Heading1"/>
        <w:numPr>
          <w:ilvl w:val="0"/>
          <w:numId w:val="1"/>
        </w:numPr>
        <w:spacing w:after="0"/>
        <w:jc w:val="center"/>
        <w:rPr>
          <w:rFonts w:cstheme="majorHAnsi"/>
          <w:b/>
          <w:bCs/>
          <w:color w:val="auto"/>
        </w:rPr>
      </w:pPr>
      <w:r w:rsidRPr="00816D8B">
        <w:rPr>
          <w:rFonts w:cstheme="majorHAnsi"/>
          <w:b/>
          <w:bCs/>
          <w:color w:val="auto"/>
        </w:rPr>
        <w:lastRenderedPageBreak/>
        <w:t>Literature Review: Frameworks and Models for Information Security</w:t>
      </w:r>
    </w:p>
    <w:p w14:paraId="14DB08BA" w14:textId="77777777" w:rsidR="00DE7D5C" w:rsidRDefault="00DE7D5C" w:rsidP="00DE7D5C">
      <w:pPr>
        <w:jc w:val="both"/>
      </w:pPr>
      <w:r w:rsidRPr="00DE7D5C">
        <w:t>The quick development of digital infrastructures and the appearance of regulation demands that organizations have structured information protection structures and governance processes. These frameworks offer formal ways to identify, analyze, and track cybersecurity risks and establish technological and governing controls. It has been found out that firms having formal security governance are more resistant to cyberattacks and their risk management is greater especially in highly regulated industries such as financial services [5].</w:t>
      </w:r>
    </w:p>
    <w:p w14:paraId="0FC558B4" w14:textId="6958F5D0" w:rsidR="009E7A56" w:rsidRPr="00816D8B" w:rsidRDefault="009E7A56" w:rsidP="00816D8B">
      <w:pPr>
        <w:pStyle w:val="Heading3"/>
        <w:rPr>
          <w:rStyle w:val="Strong"/>
          <w:rFonts w:asciiTheme="majorHAnsi" w:hAnsiTheme="majorHAnsi" w:cstheme="majorHAnsi"/>
          <w:color w:val="auto"/>
        </w:rPr>
      </w:pPr>
      <w:r w:rsidRPr="00816D8B">
        <w:rPr>
          <w:rStyle w:val="Strong"/>
          <w:rFonts w:asciiTheme="majorHAnsi" w:hAnsiTheme="majorHAnsi" w:cstheme="majorHAnsi"/>
          <w:color w:val="auto"/>
        </w:rPr>
        <w:t>2.1 Information Security Frameworks Overview</w:t>
      </w:r>
    </w:p>
    <w:p w14:paraId="20E89DFA" w14:textId="710F377F" w:rsidR="009E7A56" w:rsidRPr="00816D8B" w:rsidRDefault="00DE7D5C" w:rsidP="009E7A56">
      <w:pPr>
        <w:pStyle w:val="NormalWeb"/>
        <w:jc w:val="both"/>
        <w:rPr>
          <w:rFonts w:asciiTheme="majorHAnsi" w:hAnsiTheme="majorHAnsi" w:cstheme="majorHAnsi"/>
        </w:rPr>
      </w:pPr>
      <w:r w:rsidRPr="00DE7D5C">
        <w:rPr>
          <w:rFonts w:asciiTheme="majorHAnsi" w:hAnsiTheme="majorHAnsi" w:cstheme="majorHAnsi"/>
        </w:rPr>
        <w:t>An organizational governance structure designed to protect organizational information systems is called an information security framework. They manage the use of technological and administrative controls, best practices, regulations, and standards. Research shows that these frameworks can assist organizations in defining areas of weakness, implementing risk-based controls, and performing security operations at a steady level in dynamic environments [6].</w:t>
      </w:r>
    </w:p>
    <w:tbl>
      <w:tblPr>
        <w:tblStyle w:val="GridTable1Light"/>
        <w:tblW w:w="0" w:type="auto"/>
        <w:tblLook w:val="04A0" w:firstRow="1" w:lastRow="0" w:firstColumn="1" w:lastColumn="0" w:noHBand="0" w:noVBand="1"/>
      </w:tblPr>
      <w:tblGrid>
        <w:gridCol w:w="1696"/>
        <w:gridCol w:w="1985"/>
        <w:gridCol w:w="2835"/>
        <w:gridCol w:w="2834"/>
      </w:tblGrid>
      <w:tr w:rsidR="009E7A56" w:rsidRPr="00816D8B" w14:paraId="15F39323" w14:textId="77777777" w:rsidTr="00F46F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hideMark/>
          </w:tcPr>
          <w:p w14:paraId="17013639"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Framework</w:t>
            </w:r>
          </w:p>
        </w:tc>
        <w:tc>
          <w:tcPr>
            <w:tcW w:w="1985" w:type="dxa"/>
            <w:hideMark/>
          </w:tcPr>
          <w:p w14:paraId="2489D73D" w14:textId="77777777" w:rsidR="009E7A56" w:rsidRPr="00816D8B" w:rsidRDefault="009E7A56" w:rsidP="00F46F89">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 xml:space="preserve">Main Focus </w:t>
            </w:r>
          </w:p>
        </w:tc>
        <w:tc>
          <w:tcPr>
            <w:tcW w:w="2835" w:type="dxa"/>
            <w:hideMark/>
          </w:tcPr>
          <w:p w14:paraId="57131148" w14:textId="77777777" w:rsidR="009E7A56" w:rsidRPr="00816D8B" w:rsidRDefault="009E7A56" w:rsidP="00F46F89">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Characteristic Features</w:t>
            </w:r>
          </w:p>
        </w:tc>
        <w:tc>
          <w:tcPr>
            <w:tcW w:w="2834" w:type="dxa"/>
            <w:hideMark/>
          </w:tcPr>
          <w:p w14:paraId="118AD3FF" w14:textId="77777777" w:rsidR="009E7A56" w:rsidRPr="00816D8B" w:rsidRDefault="009E7A56" w:rsidP="00F46F89">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Organisational Benefits</w:t>
            </w:r>
          </w:p>
        </w:tc>
      </w:tr>
      <w:tr w:rsidR="009E7A56" w:rsidRPr="00816D8B" w14:paraId="2FE9A754" w14:textId="77777777" w:rsidTr="00F46F89">
        <w:trPr>
          <w:trHeight w:val="1161"/>
        </w:trPr>
        <w:tc>
          <w:tcPr>
            <w:cnfStyle w:val="001000000000" w:firstRow="0" w:lastRow="0" w:firstColumn="1" w:lastColumn="0" w:oddVBand="0" w:evenVBand="0" w:oddHBand="0" w:evenHBand="0" w:firstRowFirstColumn="0" w:firstRowLastColumn="0" w:lastRowFirstColumn="0" w:lastRowLastColumn="0"/>
            <w:tcW w:w="1696" w:type="dxa"/>
            <w:hideMark/>
          </w:tcPr>
          <w:p w14:paraId="3C6073B7"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ISO/IEC 27001</w:t>
            </w:r>
          </w:p>
        </w:tc>
        <w:tc>
          <w:tcPr>
            <w:tcW w:w="1985" w:type="dxa"/>
            <w:hideMark/>
          </w:tcPr>
          <w:p w14:paraId="5B4410B1"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Information security management</w:t>
            </w:r>
          </w:p>
        </w:tc>
        <w:tc>
          <w:tcPr>
            <w:tcW w:w="2835" w:type="dxa"/>
            <w:hideMark/>
          </w:tcPr>
          <w:p w14:paraId="5D412EA4"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Security controls, risk assessment, and implementation of ISMS.</w:t>
            </w:r>
          </w:p>
        </w:tc>
        <w:tc>
          <w:tcPr>
            <w:tcW w:w="2834" w:type="dxa"/>
            <w:hideMark/>
          </w:tcPr>
          <w:p w14:paraId="28A72957"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Secures and safeguards information resources and maintains regulatory control.</w:t>
            </w:r>
          </w:p>
        </w:tc>
      </w:tr>
      <w:tr w:rsidR="009E7A56" w:rsidRPr="00816D8B" w14:paraId="16F079A4" w14:textId="77777777" w:rsidTr="00F46F89">
        <w:tc>
          <w:tcPr>
            <w:cnfStyle w:val="001000000000" w:firstRow="0" w:lastRow="0" w:firstColumn="1" w:lastColumn="0" w:oddVBand="0" w:evenVBand="0" w:oddHBand="0" w:evenHBand="0" w:firstRowFirstColumn="0" w:firstRowLastColumn="0" w:lastRowFirstColumn="0" w:lastRowLastColumn="0"/>
            <w:tcW w:w="1696" w:type="dxa"/>
            <w:hideMark/>
          </w:tcPr>
          <w:p w14:paraId="31C50840"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ITIL</w:t>
            </w:r>
          </w:p>
        </w:tc>
        <w:tc>
          <w:tcPr>
            <w:tcW w:w="1985" w:type="dxa"/>
            <w:hideMark/>
          </w:tcPr>
          <w:p w14:paraId="6EDA44B5"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IT service management</w:t>
            </w:r>
          </w:p>
        </w:tc>
        <w:tc>
          <w:tcPr>
            <w:tcW w:w="2835" w:type="dxa"/>
            <w:hideMark/>
          </w:tcPr>
          <w:p w14:paraId="468ABC34"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Lifecycle management and process optimization of services.</w:t>
            </w:r>
          </w:p>
        </w:tc>
        <w:tc>
          <w:tcPr>
            <w:tcW w:w="2834" w:type="dxa"/>
            <w:hideMark/>
          </w:tcPr>
          <w:p w14:paraId="5362F8D2"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Enhances reliability of service and adopts security as an operations concern.</w:t>
            </w:r>
          </w:p>
        </w:tc>
      </w:tr>
      <w:tr w:rsidR="009E7A56" w:rsidRPr="00816D8B" w14:paraId="35FC8B31" w14:textId="77777777" w:rsidTr="00F46F89">
        <w:tc>
          <w:tcPr>
            <w:cnfStyle w:val="001000000000" w:firstRow="0" w:lastRow="0" w:firstColumn="1" w:lastColumn="0" w:oddVBand="0" w:evenVBand="0" w:oddHBand="0" w:evenHBand="0" w:firstRowFirstColumn="0" w:firstRowLastColumn="0" w:lastRowFirstColumn="0" w:lastRowLastColumn="0"/>
            <w:tcW w:w="1696" w:type="dxa"/>
            <w:hideMark/>
          </w:tcPr>
          <w:p w14:paraId="22774AE4"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COBIT</w:t>
            </w:r>
          </w:p>
        </w:tc>
        <w:tc>
          <w:tcPr>
            <w:tcW w:w="1985" w:type="dxa"/>
            <w:hideMark/>
          </w:tcPr>
          <w:p w14:paraId="5580DD26"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IT governance</w:t>
            </w:r>
          </w:p>
        </w:tc>
        <w:tc>
          <w:tcPr>
            <w:tcW w:w="2835" w:type="dxa"/>
            <w:hideMark/>
          </w:tcPr>
          <w:p w14:paraId="4BB0F038"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Alignment of IT with business objectives</w:t>
            </w:r>
          </w:p>
        </w:tc>
        <w:tc>
          <w:tcPr>
            <w:tcW w:w="2834" w:type="dxa"/>
            <w:hideMark/>
          </w:tcPr>
          <w:p w14:paraId="5DFC6005"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Strengthens governance and accountability</w:t>
            </w:r>
          </w:p>
        </w:tc>
      </w:tr>
      <w:tr w:rsidR="009E7A56" w:rsidRPr="00816D8B" w14:paraId="471EDD62" w14:textId="77777777" w:rsidTr="00F46F89">
        <w:trPr>
          <w:trHeight w:val="983"/>
        </w:trPr>
        <w:tc>
          <w:tcPr>
            <w:cnfStyle w:val="001000000000" w:firstRow="0" w:lastRow="0" w:firstColumn="1" w:lastColumn="0" w:oddVBand="0" w:evenVBand="0" w:oddHBand="0" w:evenHBand="0" w:firstRowFirstColumn="0" w:firstRowLastColumn="0" w:lastRowFirstColumn="0" w:lastRowLastColumn="0"/>
            <w:tcW w:w="1696" w:type="dxa"/>
            <w:hideMark/>
          </w:tcPr>
          <w:p w14:paraId="34749571"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NIST Cybersecurity Framework</w:t>
            </w:r>
          </w:p>
        </w:tc>
        <w:tc>
          <w:tcPr>
            <w:tcW w:w="1985" w:type="dxa"/>
            <w:hideMark/>
          </w:tcPr>
          <w:p w14:paraId="7795E431"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Cybersecurity risk management</w:t>
            </w:r>
          </w:p>
        </w:tc>
        <w:tc>
          <w:tcPr>
            <w:tcW w:w="2835" w:type="dxa"/>
            <w:hideMark/>
          </w:tcPr>
          <w:p w14:paraId="4C602B54"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Identify, Protect, Detect, Respond, Recover functions</w:t>
            </w:r>
          </w:p>
        </w:tc>
        <w:tc>
          <w:tcPr>
            <w:tcW w:w="2834" w:type="dxa"/>
            <w:hideMark/>
          </w:tcPr>
          <w:p w14:paraId="206B155A"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Provides structured cybersecurity risk management</w:t>
            </w:r>
          </w:p>
        </w:tc>
      </w:tr>
    </w:tbl>
    <w:p w14:paraId="061FE194" w14:textId="77777777" w:rsidR="009E7A56" w:rsidRPr="00816D8B" w:rsidRDefault="009E7A56" w:rsidP="009E7A56">
      <w:pPr>
        <w:jc w:val="center"/>
        <w:rPr>
          <w:rFonts w:asciiTheme="majorHAnsi" w:hAnsiTheme="majorHAnsi" w:cstheme="majorHAnsi"/>
        </w:rPr>
      </w:pPr>
      <w:r w:rsidRPr="00816D8B">
        <w:rPr>
          <w:rFonts w:asciiTheme="majorHAnsi" w:hAnsiTheme="majorHAnsi" w:cstheme="majorHAnsi"/>
          <w:b/>
          <w:bCs/>
        </w:rPr>
        <w:t>Table 1:</w:t>
      </w:r>
      <w:r w:rsidRPr="00816D8B">
        <w:rPr>
          <w:rFonts w:asciiTheme="majorHAnsi" w:hAnsiTheme="majorHAnsi" w:cstheme="majorHAnsi"/>
        </w:rPr>
        <w:t xml:space="preserve"> Comparison of Major Information Security Frameworks</w:t>
      </w:r>
    </w:p>
    <w:p w14:paraId="101DB09A" w14:textId="77777777" w:rsidR="009E7A56" w:rsidRPr="00816D8B" w:rsidRDefault="009E7A56" w:rsidP="00816D8B">
      <w:pPr>
        <w:pStyle w:val="Heading3"/>
        <w:rPr>
          <w:rStyle w:val="Strong"/>
          <w:rFonts w:asciiTheme="majorHAnsi" w:hAnsiTheme="majorHAnsi" w:cstheme="majorHAnsi"/>
          <w:color w:val="auto"/>
        </w:rPr>
      </w:pPr>
      <w:r w:rsidRPr="00816D8B">
        <w:rPr>
          <w:rStyle w:val="Strong"/>
          <w:rFonts w:asciiTheme="majorHAnsi" w:hAnsiTheme="majorHAnsi" w:cstheme="majorHAnsi"/>
          <w:color w:val="auto"/>
        </w:rPr>
        <w:t>2.2 ISO/IEC 27001 Standard</w:t>
      </w:r>
    </w:p>
    <w:p w14:paraId="5E0CC282" w14:textId="4330E480" w:rsidR="009E7A56" w:rsidRPr="00816D8B" w:rsidRDefault="009E7A56" w:rsidP="009E7A56">
      <w:pPr>
        <w:jc w:val="both"/>
        <w:rPr>
          <w:rFonts w:asciiTheme="majorHAnsi" w:eastAsia="Times New Roman" w:hAnsiTheme="majorHAnsi" w:cstheme="majorHAnsi"/>
          <w:kern w:val="0"/>
          <w14:ligatures w14:val="none"/>
        </w:rPr>
      </w:pPr>
      <w:r w:rsidRPr="00816D8B">
        <w:rPr>
          <w:rFonts w:asciiTheme="majorHAnsi" w:eastAsia="Times New Roman" w:hAnsiTheme="majorHAnsi" w:cstheme="majorHAnsi"/>
          <w:kern w:val="0"/>
          <w14:ligatures w14:val="none"/>
        </w:rPr>
        <w:t xml:space="preserve">The rapid evolution of infrastructures and distant facilities and increasing regulation strain require organisations to transition to the methodized information protection system, governance models. </w:t>
      </w:r>
      <w:r w:rsidRPr="00816D8B">
        <w:rPr>
          <w:rFonts w:asciiTheme="majorHAnsi" w:eastAsia="Times New Roman" w:hAnsiTheme="majorHAnsi" w:cstheme="majorHAnsi"/>
          <w:kern w:val="0"/>
          <w14:ligatures w14:val="none"/>
        </w:rPr>
        <w:lastRenderedPageBreak/>
        <w:t>These frameworks provide procedural orientation towards cybersecurity risk first identification, analysis and management and provide governance and technical guardianship establishment. Literature also evidences increased resilience of properly functioning organisations with formal security governance to cyberattacks and more resilience to manage the risk particularly in highly regulated industries like the financial services [</w:t>
      </w:r>
      <w:r w:rsidR="007B0E74" w:rsidRPr="00816D8B">
        <w:rPr>
          <w:rFonts w:asciiTheme="majorHAnsi" w:eastAsia="Times New Roman" w:hAnsiTheme="majorHAnsi" w:cstheme="majorHAnsi"/>
          <w:kern w:val="0"/>
          <w14:ligatures w14:val="none"/>
        </w:rPr>
        <w:t>7</w:t>
      </w:r>
      <w:r w:rsidRPr="00816D8B">
        <w:rPr>
          <w:rFonts w:asciiTheme="majorHAnsi" w:eastAsia="Times New Roman" w:hAnsiTheme="majorHAnsi" w:cstheme="majorHAnsi"/>
          <w:kern w:val="0"/>
          <w14:ligatures w14:val="none"/>
        </w:rPr>
        <w:t>].</w:t>
      </w:r>
    </w:p>
    <w:p w14:paraId="2A8EE8C5" w14:textId="77777777" w:rsidR="009E7A56" w:rsidRPr="00816D8B" w:rsidRDefault="009E7A56" w:rsidP="009E7A56">
      <w:pPr>
        <w:jc w:val="both"/>
        <w:rPr>
          <w:rFonts w:asciiTheme="majorHAnsi" w:eastAsia="Times New Roman" w:hAnsiTheme="majorHAnsi" w:cstheme="majorHAnsi"/>
          <w:kern w:val="0"/>
          <w14:ligatures w14:val="none"/>
        </w:rPr>
      </w:pPr>
    </w:p>
    <w:p w14:paraId="4784847D" w14:textId="77777777" w:rsidR="009E7A56" w:rsidRPr="00816D8B" w:rsidRDefault="009E7A56" w:rsidP="009E7A56">
      <w:pPr>
        <w:jc w:val="center"/>
        <w:rPr>
          <w:rFonts w:asciiTheme="majorHAnsi" w:hAnsiTheme="majorHAnsi" w:cstheme="majorHAnsi"/>
          <w:b/>
          <w:bCs/>
        </w:rPr>
      </w:pPr>
      <w:r w:rsidRPr="00816D8B">
        <w:rPr>
          <w:rFonts w:asciiTheme="majorHAnsi" w:hAnsiTheme="majorHAnsi" w:cstheme="majorHAnsi"/>
          <w:noProof/>
        </w:rPr>
        <w:drawing>
          <wp:inline distT="0" distB="0" distL="0" distR="0" wp14:anchorId="36AB0987" wp14:editId="5A99589B">
            <wp:extent cx="5105970" cy="2778826"/>
            <wp:effectExtent l="0" t="0" r="0" b="2540"/>
            <wp:docPr id="12709044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24920" cy="2789139"/>
                    </a:xfrm>
                    <a:prstGeom prst="rect">
                      <a:avLst/>
                    </a:prstGeom>
                    <a:noFill/>
                    <a:ln>
                      <a:noFill/>
                    </a:ln>
                  </pic:spPr>
                </pic:pic>
              </a:graphicData>
            </a:graphic>
          </wp:inline>
        </w:drawing>
      </w:r>
    </w:p>
    <w:p w14:paraId="41DB8EB8" w14:textId="77777777" w:rsidR="009E7A56" w:rsidRPr="00816D8B" w:rsidRDefault="009E7A56" w:rsidP="009E7A56">
      <w:pPr>
        <w:jc w:val="center"/>
        <w:rPr>
          <w:rFonts w:asciiTheme="majorHAnsi" w:hAnsiTheme="majorHAnsi" w:cstheme="majorHAnsi"/>
        </w:rPr>
      </w:pPr>
      <w:r w:rsidRPr="00816D8B">
        <w:rPr>
          <w:rFonts w:asciiTheme="majorHAnsi" w:hAnsiTheme="majorHAnsi" w:cstheme="majorHAnsi"/>
          <w:b/>
          <w:bCs/>
        </w:rPr>
        <w:t>Figure 1:</w:t>
      </w:r>
      <w:r w:rsidRPr="00816D8B">
        <w:rPr>
          <w:rFonts w:asciiTheme="majorHAnsi" w:hAnsiTheme="majorHAnsi" w:cstheme="majorHAnsi"/>
        </w:rPr>
        <w:t xml:space="preserve"> Key Components of ISO/IEC 27001 ISMS</w:t>
      </w:r>
    </w:p>
    <w:p w14:paraId="1EFF047C" w14:textId="77777777" w:rsidR="009E7A56" w:rsidRPr="00816D8B" w:rsidRDefault="009E7A56" w:rsidP="00816D8B">
      <w:pPr>
        <w:pStyle w:val="Heading3"/>
        <w:rPr>
          <w:rStyle w:val="Heading2Char"/>
          <w:rFonts w:cstheme="majorHAnsi"/>
          <w:b/>
          <w:bCs/>
          <w:color w:val="auto"/>
          <w:sz w:val="28"/>
          <w:szCs w:val="28"/>
        </w:rPr>
      </w:pPr>
      <w:r w:rsidRPr="00816D8B">
        <w:rPr>
          <w:rStyle w:val="Heading2Char"/>
          <w:rFonts w:cstheme="majorHAnsi"/>
          <w:b/>
          <w:bCs/>
          <w:color w:val="auto"/>
          <w:sz w:val="28"/>
          <w:szCs w:val="28"/>
        </w:rPr>
        <w:t xml:space="preserve">2.3 </w:t>
      </w:r>
      <w:r w:rsidRPr="00816D8B">
        <w:rPr>
          <w:b/>
          <w:bCs/>
          <w:color w:val="auto"/>
        </w:rPr>
        <w:t>Infrastructure Library for Information Technology</w:t>
      </w:r>
    </w:p>
    <w:p w14:paraId="385BC225" w14:textId="65587599" w:rsidR="009E7A56" w:rsidRPr="00816D8B" w:rsidRDefault="009E7A56" w:rsidP="00816D8B">
      <w:pPr>
        <w:jc w:val="both"/>
      </w:pPr>
      <w:r w:rsidRPr="00816D8B">
        <w:t>ITIL is a time related framework of managing and delivering IT services. Although it mainly deals with information technology service management (ITSM), it is significant to incorporate information security into organisational processes. ITIL enhances the reliability, efficiency and risk management of its services because it organizes the process of service and governance practices. Research indicates that organisations that implement ITIL have superior incident reactance, enhanced service execution as well as control in IT risks [</w:t>
      </w:r>
      <w:r w:rsidR="007B0E74" w:rsidRPr="00816D8B">
        <w:t>8</w:t>
      </w:r>
      <w:r w:rsidRPr="00816D8B">
        <w:t>]. ITIL Service Lifecycle model (strategy, design, transition, operation and continual improvement) guarantees the controlled and efficient delivery of the services. It also instills security measures like data security, accessibility and risk management throughout the process and information security becomes a reality of IT governance and operation.</w:t>
      </w:r>
    </w:p>
    <w:p w14:paraId="3333C8A7" w14:textId="77777777" w:rsidR="009E7A56" w:rsidRPr="00816D8B" w:rsidRDefault="009E7A56" w:rsidP="00816D8B">
      <w:pPr>
        <w:pStyle w:val="Heading3"/>
        <w:rPr>
          <w:b/>
          <w:bCs/>
          <w:color w:val="auto"/>
        </w:rPr>
      </w:pPr>
      <w:r w:rsidRPr="00816D8B">
        <w:rPr>
          <w:rStyle w:val="Heading2Char"/>
          <w:rFonts w:asciiTheme="minorHAnsi" w:hAnsiTheme="minorHAnsi"/>
          <w:b/>
          <w:bCs/>
          <w:color w:val="auto"/>
          <w:sz w:val="28"/>
          <w:szCs w:val="28"/>
        </w:rPr>
        <w:t>2.4 NIST Framework for Cybersecurity</w:t>
      </w:r>
      <w:r w:rsidRPr="00816D8B">
        <w:rPr>
          <w:b/>
          <w:bCs/>
          <w:color w:val="auto"/>
        </w:rPr>
        <w:t xml:space="preserve"> </w:t>
      </w:r>
    </w:p>
    <w:p w14:paraId="4B3F92DB" w14:textId="08694468" w:rsidR="0050036D" w:rsidRPr="0050036D" w:rsidRDefault="0050036D" w:rsidP="0050036D">
      <w:pPr>
        <w:jc w:val="both"/>
        <w:rPr>
          <w:rFonts w:asciiTheme="majorHAnsi" w:hAnsiTheme="majorHAnsi" w:cstheme="majorHAnsi"/>
        </w:rPr>
      </w:pPr>
      <w:r w:rsidRPr="0050036D">
        <w:rPr>
          <w:rFonts w:asciiTheme="majorHAnsi" w:hAnsiTheme="majorHAnsi" w:cstheme="majorHAnsi"/>
        </w:rPr>
        <w:t xml:space="preserve">The National Institute of Standards and Technology developed the NIST Cybersecurity Framework (CSF), a risk-based framework that is widely used to address cybersecurity threats. Its five main </w:t>
      </w:r>
      <w:r w:rsidRPr="0050036D">
        <w:rPr>
          <w:rFonts w:asciiTheme="majorHAnsi" w:hAnsiTheme="majorHAnsi" w:cstheme="majorHAnsi"/>
        </w:rPr>
        <w:lastRenderedPageBreak/>
        <w:t>functions—Identify Protect Detect Respond Recover—help organizations improve their risk awareness, asset protection, incident detection, response, recovery, and system resilience [</w:t>
      </w:r>
      <w:r w:rsidR="007B0E74" w:rsidRPr="00816D8B">
        <w:rPr>
          <w:rFonts w:asciiTheme="majorHAnsi" w:hAnsiTheme="majorHAnsi" w:cstheme="majorHAnsi"/>
        </w:rPr>
        <w:t>9</w:t>
      </w:r>
      <w:r w:rsidRPr="0050036D">
        <w:rPr>
          <w:rFonts w:asciiTheme="majorHAnsi" w:hAnsiTheme="majorHAnsi" w:cstheme="majorHAnsi"/>
        </w:rPr>
        <w:t>], [1</w:t>
      </w:r>
      <w:r w:rsidR="007B0E74" w:rsidRPr="00816D8B">
        <w:rPr>
          <w:rFonts w:asciiTheme="majorHAnsi" w:hAnsiTheme="majorHAnsi" w:cstheme="majorHAnsi"/>
        </w:rPr>
        <w:t>0</w:t>
      </w:r>
      <w:r w:rsidRPr="0050036D">
        <w:rPr>
          <w:rFonts w:asciiTheme="majorHAnsi" w:hAnsiTheme="majorHAnsi" w:cstheme="majorHAnsi"/>
        </w:rPr>
        <w:t>].</w:t>
      </w:r>
    </w:p>
    <w:p w14:paraId="3D0E196D" w14:textId="77777777" w:rsidR="009E7A56" w:rsidRPr="00816D8B" w:rsidRDefault="009E7A56" w:rsidP="009E7A56">
      <w:pPr>
        <w:jc w:val="both"/>
        <w:rPr>
          <w:rFonts w:asciiTheme="majorHAnsi" w:hAnsiTheme="majorHAnsi" w:cstheme="majorHAnsi"/>
        </w:rPr>
      </w:pPr>
      <w:r w:rsidRPr="00816D8B">
        <w:rPr>
          <w:rFonts w:asciiTheme="majorHAnsi" w:hAnsiTheme="majorHAnsi" w:cstheme="majorHAnsi"/>
          <w:noProof/>
        </w:rPr>
        <w:drawing>
          <wp:inline distT="0" distB="0" distL="0" distR="0" wp14:anchorId="47E926F9" wp14:editId="5688F12D">
            <wp:extent cx="5943600" cy="603885"/>
            <wp:effectExtent l="0" t="0" r="0" b="5715"/>
            <wp:docPr id="1046877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603885"/>
                    </a:xfrm>
                    <a:prstGeom prst="rect">
                      <a:avLst/>
                    </a:prstGeom>
                    <a:noFill/>
                    <a:ln>
                      <a:noFill/>
                    </a:ln>
                  </pic:spPr>
                </pic:pic>
              </a:graphicData>
            </a:graphic>
          </wp:inline>
        </w:drawing>
      </w:r>
    </w:p>
    <w:p w14:paraId="60F23AC5" w14:textId="77777777" w:rsidR="009E7A56" w:rsidRPr="00816D8B" w:rsidRDefault="009E7A56" w:rsidP="009E7A56">
      <w:pPr>
        <w:jc w:val="center"/>
        <w:rPr>
          <w:rFonts w:asciiTheme="majorHAnsi" w:hAnsiTheme="majorHAnsi" w:cstheme="majorHAnsi"/>
        </w:rPr>
      </w:pPr>
      <w:r w:rsidRPr="00816D8B">
        <w:rPr>
          <w:rFonts w:asciiTheme="majorHAnsi" w:hAnsiTheme="majorHAnsi" w:cstheme="majorHAnsi"/>
          <w:b/>
          <w:bCs/>
        </w:rPr>
        <w:t>Figure 2:</w:t>
      </w:r>
      <w:r w:rsidRPr="00816D8B">
        <w:rPr>
          <w:rFonts w:asciiTheme="majorHAnsi" w:hAnsiTheme="majorHAnsi" w:cstheme="majorHAnsi"/>
        </w:rPr>
        <w:t xml:space="preserve"> The Cybersecurity Framework of NIST</w:t>
      </w:r>
    </w:p>
    <w:p w14:paraId="7EA79CEA" w14:textId="77777777" w:rsidR="009E7A56" w:rsidRPr="00816D8B" w:rsidRDefault="009E7A56" w:rsidP="00816D8B">
      <w:pPr>
        <w:pStyle w:val="Heading3"/>
        <w:rPr>
          <w:b/>
          <w:bCs/>
          <w:color w:val="auto"/>
        </w:rPr>
      </w:pPr>
      <w:r w:rsidRPr="00816D8B">
        <w:rPr>
          <w:b/>
          <w:bCs/>
          <w:color w:val="auto"/>
        </w:rPr>
        <w:t xml:space="preserve">2.5 Ethical Dilemmas in Information Security </w:t>
      </w:r>
    </w:p>
    <w:p w14:paraId="579AF19B" w14:textId="4CD2C38B" w:rsidR="009E7A56" w:rsidRPr="00816D8B" w:rsidRDefault="0050036D" w:rsidP="009E7A56">
      <w:pPr>
        <w:jc w:val="both"/>
        <w:rPr>
          <w:rFonts w:asciiTheme="majorHAnsi" w:hAnsiTheme="majorHAnsi" w:cstheme="majorHAnsi"/>
        </w:rPr>
      </w:pPr>
      <w:r w:rsidRPr="0050036D">
        <w:rPr>
          <w:rFonts w:asciiTheme="majorHAnsi" w:hAnsiTheme="majorHAnsi" w:cstheme="majorHAnsi"/>
        </w:rPr>
        <w:t>Financial institutions must protect sensitive data and operate in regulated environments, yet a strong cybersecurity plan may create conflicts between privacy and security. Customers' and employees' rights should be balanced with monitoring, especially in BYOD settings. It is crucial to use open policies and handle data responsibly. Data are managed securely by following the General Data Protection Regulation (GDPR) because of accountability, encryption, and access limits, maintaining confidence [1</w:t>
      </w:r>
      <w:r w:rsidR="007B0E74" w:rsidRPr="00816D8B">
        <w:rPr>
          <w:rFonts w:asciiTheme="majorHAnsi" w:hAnsiTheme="majorHAnsi" w:cstheme="majorHAnsi"/>
        </w:rPr>
        <w:t>1</w:t>
      </w:r>
      <w:r w:rsidRPr="0050036D">
        <w:rPr>
          <w:rFonts w:asciiTheme="majorHAnsi" w:hAnsiTheme="majorHAnsi" w:cstheme="majorHAnsi"/>
        </w:rPr>
        <w:t>], [1</w:t>
      </w:r>
      <w:r w:rsidR="007B0E74" w:rsidRPr="00816D8B">
        <w:rPr>
          <w:rFonts w:asciiTheme="majorHAnsi" w:hAnsiTheme="majorHAnsi" w:cstheme="majorHAnsi"/>
        </w:rPr>
        <w:t>2</w:t>
      </w:r>
      <w:r w:rsidRPr="0050036D">
        <w:rPr>
          <w:rFonts w:asciiTheme="majorHAnsi" w:hAnsiTheme="majorHAnsi" w:cstheme="majorHAnsi"/>
        </w:rPr>
        <w:t>].</w:t>
      </w:r>
    </w:p>
    <w:p w14:paraId="2FCC5BF4" w14:textId="77777777" w:rsidR="0050036D" w:rsidRPr="00816D8B" w:rsidRDefault="0050036D">
      <w:pPr>
        <w:rPr>
          <w:rStyle w:val="Heading1Char"/>
          <w:rFonts w:cstheme="majorHAnsi"/>
          <w:b/>
          <w:bCs/>
          <w:color w:val="auto"/>
        </w:rPr>
      </w:pPr>
      <w:r w:rsidRPr="00816D8B">
        <w:rPr>
          <w:rStyle w:val="Heading1Char"/>
          <w:rFonts w:cstheme="majorHAnsi"/>
          <w:b/>
          <w:bCs/>
          <w:color w:val="auto"/>
        </w:rPr>
        <w:br w:type="page"/>
      </w:r>
    </w:p>
    <w:p w14:paraId="6E33B603" w14:textId="3FEADA7A" w:rsidR="009E7A56" w:rsidRPr="00816D8B" w:rsidRDefault="009E7A56" w:rsidP="009E7A56">
      <w:pPr>
        <w:pStyle w:val="Heading1"/>
        <w:numPr>
          <w:ilvl w:val="0"/>
          <w:numId w:val="1"/>
        </w:numPr>
        <w:jc w:val="center"/>
        <w:rPr>
          <w:rStyle w:val="Heading1Char"/>
          <w:rFonts w:cstheme="majorHAnsi"/>
          <w:b/>
          <w:bCs/>
          <w:color w:val="auto"/>
        </w:rPr>
      </w:pPr>
      <w:r w:rsidRPr="00816D8B">
        <w:rPr>
          <w:rStyle w:val="Heading1Char"/>
          <w:rFonts w:cstheme="majorHAnsi"/>
          <w:b/>
          <w:bCs/>
          <w:color w:val="auto"/>
        </w:rPr>
        <w:lastRenderedPageBreak/>
        <w:t>FinSure Bank's Security Issues</w:t>
      </w:r>
    </w:p>
    <w:p w14:paraId="2634A488" w14:textId="77777777" w:rsidR="007B0E74" w:rsidRPr="00816D8B" w:rsidRDefault="007B0E74" w:rsidP="009E7A56">
      <w:pPr>
        <w:pStyle w:val="NormalWeb"/>
        <w:jc w:val="both"/>
        <w:rPr>
          <w:rFonts w:asciiTheme="majorHAnsi" w:hAnsiTheme="majorHAnsi" w:cstheme="majorHAnsi"/>
        </w:rPr>
      </w:pPr>
      <w:r w:rsidRPr="00816D8B">
        <w:rPr>
          <w:rFonts w:asciiTheme="majorHAnsi" w:hAnsiTheme="majorHAnsi" w:cstheme="majorHAnsi"/>
        </w:rPr>
        <w:t>The speed of digital expansion of FinSure Bank has augmented cybersecurity and governance-related issues. Over dependence on cloud solution, BYOD and mobile banking leaves the organisation vulnerable to data breach, fraud and lack of regulatory compliance.</w:t>
      </w:r>
    </w:p>
    <w:p w14:paraId="6B49E479" w14:textId="0738B998" w:rsidR="009E7A56" w:rsidRPr="00816D8B" w:rsidRDefault="009E7A56" w:rsidP="00816D8B">
      <w:pPr>
        <w:pStyle w:val="Heading3"/>
        <w:rPr>
          <w:rStyle w:val="Strong"/>
          <w:rFonts w:asciiTheme="majorHAnsi" w:hAnsiTheme="majorHAnsi" w:cstheme="majorHAnsi"/>
          <w:color w:val="auto"/>
        </w:rPr>
      </w:pPr>
      <w:r w:rsidRPr="00816D8B">
        <w:rPr>
          <w:rStyle w:val="Strong"/>
          <w:rFonts w:asciiTheme="majorHAnsi" w:hAnsiTheme="majorHAnsi" w:cstheme="majorHAnsi"/>
          <w:color w:val="auto"/>
        </w:rPr>
        <w:t>3.1 Cloud Infrastructure Risks</w:t>
      </w:r>
    </w:p>
    <w:p w14:paraId="0CCEDC9D" w14:textId="5F56DD82" w:rsidR="009E7A56" w:rsidRPr="00816D8B" w:rsidRDefault="007B0E74" w:rsidP="009E7A56">
      <w:pPr>
        <w:pStyle w:val="NormalWeb"/>
        <w:jc w:val="both"/>
        <w:rPr>
          <w:rFonts w:asciiTheme="majorHAnsi" w:eastAsiaTheme="majorEastAsia" w:hAnsiTheme="majorHAnsi" w:cstheme="majorHAnsi"/>
          <w:b/>
          <w:bCs/>
        </w:rPr>
      </w:pPr>
      <w:r w:rsidRPr="00816D8B">
        <w:rPr>
          <w:rFonts w:asciiTheme="majorHAnsi" w:hAnsiTheme="majorHAnsi" w:cstheme="majorHAnsi"/>
        </w:rPr>
        <w:t>More than 90% of FSB systems make use of third-party cloud services. Although it can be scaled, threats like maladjustments, lax access controls, and poor monitoring may result in data breaches and losses [1</w:t>
      </w:r>
      <w:r w:rsidRPr="00816D8B">
        <w:rPr>
          <w:rFonts w:asciiTheme="majorHAnsi" w:hAnsiTheme="majorHAnsi" w:cstheme="majorHAnsi"/>
        </w:rPr>
        <w:t>3</w:t>
      </w:r>
      <w:r w:rsidRPr="00816D8B">
        <w:rPr>
          <w:rFonts w:asciiTheme="majorHAnsi" w:hAnsiTheme="majorHAnsi" w:cstheme="majorHAnsi"/>
        </w:rPr>
        <w:t>].</w:t>
      </w:r>
    </w:p>
    <w:p w14:paraId="76F220D0" w14:textId="77777777" w:rsidR="009E7A56" w:rsidRPr="00816D8B" w:rsidRDefault="009E7A56" w:rsidP="00816D8B">
      <w:pPr>
        <w:pStyle w:val="Heading3"/>
        <w:rPr>
          <w:rStyle w:val="Strong"/>
          <w:rFonts w:asciiTheme="majorHAnsi" w:hAnsiTheme="majorHAnsi" w:cstheme="majorHAnsi"/>
          <w:color w:val="auto"/>
        </w:rPr>
      </w:pPr>
      <w:r w:rsidRPr="00816D8B">
        <w:rPr>
          <w:rStyle w:val="Strong"/>
          <w:rFonts w:asciiTheme="majorHAnsi" w:hAnsiTheme="majorHAnsi" w:cstheme="majorHAnsi"/>
          <w:color w:val="auto"/>
        </w:rPr>
        <w:t>3.2 BYOD Security Risks</w:t>
      </w:r>
    </w:p>
    <w:p w14:paraId="1E3D0BD7" w14:textId="77777777" w:rsidR="00351C78" w:rsidRDefault="00351C78" w:rsidP="00816D8B">
      <w:pPr>
        <w:pStyle w:val="Heading3"/>
        <w:rPr>
          <w:rFonts w:asciiTheme="majorHAnsi" w:eastAsia="Times New Roman" w:hAnsiTheme="majorHAnsi" w:cstheme="majorHAnsi"/>
          <w:color w:val="auto"/>
          <w:kern w:val="0"/>
          <w:sz w:val="24"/>
          <w:szCs w:val="24"/>
          <w14:ligatures w14:val="none"/>
        </w:rPr>
      </w:pPr>
      <w:r w:rsidRPr="00351C78">
        <w:rPr>
          <w:rFonts w:asciiTheme="majorHAnsi" w:eastAsia="Times New Roman" w:hAnsiTheme="majorHAnsi" w:cstheme="majorHAnsi"/>
          <w:color w:val="auto"/>
          <w:kern w:val="0"/>
          <w:sz w:val="24"/>
          <w:szCs w:val="24"/>
          <w14:ligatures w14:val="none"/>
        </w:rPr>
        <w:t>BYOD increases flexibility, but creates certain vulnerabilities, with personal devices not as high-quality as those offered by enterprise vendors. Lack of these controls MDM, encryption and strong authentication increases a threat of malware and data leakage [14].</w:t>
      </w:r>
    </w:p>
    <w:p w14:paraId="0E391131" w14:textId="5F71725C" w:rsidR="009E7A56" w:rsidRPr="00816D8B" w:rsidRDefault="009E7A56" w:rsidP="00816D8B">
      <w:pPr>
        <w:pStyle w:val="Heading3"/>
        <w:rPr>
          <w:rStyle w:val="Strong"/>
          <w:rFonts w:asciiTheme="majorHAnsi" w:hAnsiTheme="majorHAnsi" w:cstheme="majorHAnsi"/>
          <w:color w:val="auto"/>
        </w:rPr>
      </w:pPr>
      <w:r w:rsidRPr="00816D8B">
        <w:rPr>
          <w:rStyle w:val="Strong"/>
          <w:rFonts w:asciiTheme="majorHAnsi" w:hAnsiTheme="majorHAnsi" w:cstheme="majorHAnsi"/>
          <w:color w:val="auto"/>
        </w:rPr>
        <w:t>3.3 Mobile Banking Risks</w:t>
      </w:r>
    </w:p>
    <w:p w14:paraId="5C3B3CCB" w14:textId="77777777" w:rsidR="00351C78" w:rsidRDefault="00351C78" w:rsidP="00816D8B">
      <w:pPr>
        <w:pStyle w:val="Heading3"/>
        <w:rPr>
          <w:rFonts w:asciiTheme="majorHAnsi" w:eastAsia="Times New Roman" w:hAnsiTheme="majorHAnsi" w:cstheme="majorHAnsi"/>
          <w:color w:val="auto"/>
          <w:kern w:val="0"/>
          <w:sz w:val="24"/>
          <w:szCs w:val="24"/>
          <w14:ligatures w14:val="none"/>
        </w:rPr>
      </w:pPr>
      <w:r w:rsidRPr="00351C78">
        <w:rPr>
          <w:rFonts w:asciiTheme="majorHAnsi" w:eastAsia="Times New Roman" w:hAnsiTheme="majorHAnsi" w:cstheme="majorHAnsi"/>
          <w:color w:val="auto"/>
          <w:kern w:val="0"/>
          <w:sz w:val="24"/>
          <w:szCs w:val="24"/>
          <w14:ligatures w14:val="none"/>
        </w:rPr>
        <w:t>The use of mobile platforms increases the attack surface, putting systems at risk of phishing, malware, and identity theft. Strong authentication (MFA) and secure development, as well as real-time monitoring, should be used to reduce the risks [15].</w:t>
      </w:r>
    </w:p>
    <w:p w14:paraId="68315862" w14:textId="48F438FE" w:rsidR="009E7A56" w:rsidRPr="00816D8B" w:rsidRDefault="009E7A56" w:rsidP="00816D8B">
      <w:pPr>
        <w:pStyle w:val="Heading3"/>
        <w:rPr>
          <w:rStyle w:val="Strong"/>
          <w:rFonts w:asciiTheme="majorHAnsi" w:hAnsiTheme="majorHAnsi" w:cstheme="majorHAnsi"/>
          <w:color w:val="auto"/>
        </w:rPr>
      </w:pPr>
      <w:r w:rsidRPr="00816D8B">
        <w:rPr>
          <w:rStyle w:val="Strong"/>
          <w:rFonts w:asciiTheme="majorHAnsi" w:hAnsiTheme="majorHAnsi" w:cstheme="majorHAnsi"/>
          <w:color w:val="auto"/>
        </w:rPr>
        <w:t>3.4 Governance and Compliance Gaps</w:t>
      </w:r>
    </w:p>
    <w:p w14:paraId="481893CC" w14:textId="3F97113A" w:rsidR="009E7A56" w:rsidRPr="00816D8B" w:rsidRDefault="00351C78" w:rsidP="009E7A56">
      <w:pPr>
        <w:pStyle w:val="NormalWeb"/>
        <w:jc w:val="both"/>
        <w:rPr>
          <w:rFonts w:asciiTheme="majorHAnsi" w:hAnsiTheme="majorHAnsi" w:cstheme="majorHAnsi"/>
        </w:rPr>
      </w:pPr>
      <w:r w:rsidRPr="00351C78">
        <w:rPr>
          <w:rFonts w:asciiTheme="majorHAnsi" w:hAnsiTheme="majorHAnsi" w:cstheme="majorHAnsi"/>
        </w:rPr>
        <w:t xml:space="preserve">Lack of a systematic governance structure undermines risk management and implementation of policies exposing them to </w:t>
      </w:r>
      <w:r w:rsidRPr="00351C78">
        <w:rPr>
          <w:rFonts w:asciiTheme="majorHAnsi" w:hAnsiTheme="majorHAnsi" w:cstheme="majorHAnsi"/>
        </w:rPr>
        <w:t>cyber-attacks</w:t>
      </w:r>
      <w:r w:rsidRPr="00351C78">
        <w:rPr>
          <w:rFonts w:asciiTheme="majorHAnsi" w:hAnsiTheme="majorHAnsi" w:cstheme="majorHAnsi"/>
        </w:rPr>
        <w:t xml:space="preserve"> and regulatory fines [16].</w:t>
      </w:r>
    </w:p>
    <w:tbl>
      <w:tblPr>
        <w:tblStyle w:val="GridTable1Light"/>
        <w:tblW w:w="0" w:type="auto"/>
        <w:tblLook w:val="04A0" w:firstRow="1" w:lastRow="0" w:firstColumn="1" w:lastColumn="0" w:noHBand="0" w:noVBand="1"/>
      </w:tblPr>
      <w:tblGrid>
        <w:gridCol w:w="1696"/>
        <w:gridCol w:w="3969"/>
        <w:gridCol w:w="2322"/>
        <w:gridCol w:w="1363"/>
      </w:tblGrid>
      <w:tr w:rsidR="009E7A56" w:rsidRPr="00816D8B" w14:paraId="3C8D0287" w14:textId="77777777" w:rsidTr="00F46F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hideMark/>
          </w:tcPr>
          <w:p w14:paraId="5A54F2CF"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Threat Category</w:t>
            </w:r>
          </w:p>
        </w:tc>
        <w:tc>
          <w:tcPr>
            <w:tcW w:w="3969" w:type="dxa"/>
            <w:hideMark/>
          </w:tcPr>
          <w:p w14:paraId="07F3CCA3" w14:textId="77777777" w:rsidR="009E7A56" w:rsidRPr="00816D8B" w:rsidRDefault="009E7A56" w:rsidP="00F46F89">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Description</w:t>
            </w:r>
          </w:p>
        </w:tc>
        <w:tc>
          <w:tcPr>
            <w:tcW w:w="2322" w:type="dxa"/>
            <w:hideMark/>
          </w:tcPr>
          <w:p w14:paraId="2EFE5019" w14:textId="77777777" w:rsidR="009E7A56" w:rsidRPr="00816D8B" w:rsidRDefault="009E7A56" w:rsidP="00F46F89">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Potential Impact</w:t>
            </w:r>
          </w:p>
        </w:tc>
        <w:tc>
          <w:tcPr>
            <w:tcW w:w="0" w:type="auto"/>
            <w:hideMark/>
          </w:tcPr>
          <w:p w14:paraId="6D53A27A" w14:textId="77777777" w:rsidR="009E7A56" w:rsidRPr="00816D8B" w:rsidRDefault="009E7A56" w:rsidP="00F46F89">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Risk Level</w:t>
            </w:r>
          </w:p>
        </w:tc>
      </w:tr>
      <w:tr w:rsidR="009E7A56" w:rsidRPr="00816D8B" w14:paraId="4BE1BA02" w14:textId="77777777" w:rsidTr="00F46F89">
        <w:tc>
          <w:tcPr>
            <w:cnfStyle w:val="001000000000" w:firstRow="0" w:lastRow="0" w:firstColumn="1" w:lastColumn="0" w:oddVBand="0" w:evenVBand="0" w:oddHBand="0" w:evenHBand="0" w:firstRowFirstColumn="0" w:firstRowLastColumn="0" w:lastRowFirstColumn="0" w:lastRowLastColumn="0"/>
            <w:tcW w:w="1696" w:type="dxa"/>
            <w:hideMark/>
          </w:tcPr>
          <w:p w14:paraId="08A6D794"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Cloud Security Breaches</w:t>
            </w:r>
          </w:p>
        </w:tc>
        <w:tc>
          <w:tcPr>
            <w:tcW w:w="3969" w:type="dxa"/>
            <w:hideMark/>
          </w:tcPr>
          <w:p w14:paraId="03A8F6C7"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Misconfigured cloud systems or weak access control</w:t>
            </w:r>
          </w:p>
        </w:tc>
        <w:tc>
          <w:tcPr>
            <w:tcW w:w="2322" w:type="dxa"/>
            <w:hideMark/>
          </w:tcPr>
          <w:p w14:paraId="040FD1A4"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Exposure of financial data</w:t>
            </w:r>
          </w:p>
        </w:tc>
        <w:tc>
          <w:tcPr>
            <w:tcW w:w="0" w:type="auto"/>
            <w:hideMark/>
          </w:tcPr>
          <w:p w14:paraId="6DEA2D88"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High</w:t>
            </w:r>
          </w:p>
        </w:tc>
      </w:tr>
      <w:tr w:rsidR="009E7A56" w:rsidRPr="00816D8B" w14:paraId="17D7078C" w14:textId="77777777" w:rsidTr="00F46F89">
        <w:tc>
          <w:tcPr>
            <w:cnfStyle w:val="001000000000" w:firstRow="0" w:lastRow="0" w:firstColumn="1" w:lastColumn="0" w:oddVBand="0" w:evenVBand="0" w:oddHBand="0" w:evenHBand="0" w:firstRowFirstColumn="0" w:firstRowLastColumn="0" w:lastRowFirstColumn="0" w:lastRowLastColumn="0"/>
            <w:tcW w:w="1696" w:type="dxa"/>
            <w:hideMark/>
          </w:tcPr>
          <w:p w14:paraId="2DA9C574"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BYOD Vulnerabilities</w:t>
            </w:r>
          </w:p>
        </w:tc>
        <w:tc>
          <w:tcPr>
            <w:tcW w:w="3969" w:type="dxa"/>
            <w:hideMark/>
          </w:tcPr>
          <w:p w14:paraId="6508CE1A"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Unsecured personal devices accessing corporate systems</w:t>
            </w:r>
          </w:p>
        </w:tc>
        <w:tc>
          <w:tcPr>
            <w:tcW w:w="2322" w:type="dxa"/>
            <w:hideMark/>
          </w:tcPr>
          <w:p w14:paraId="1DD7A8EB"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Data leakage or malware infection</w:t>
            </w:r>
          </w:p>
        </w:tc>
        <w:tc>
          <w:tcPr>
            <w:tcW w:w="0" w:type="auto"/>
            <w:hideMark/>
          </w:tcPr>
          <w:p w14:paraId="7578014E"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High</w:t>
            </w:r>
          </w:p>
        </w:tc>
      </w:tr>
      <w:tr w:rsidR="009E7A56" w:rsidRPr="00816D8B" w14:paraId="01DCC49F" w14:textId="77777777" w:rsidTr="00F46F89">
        <w:tc>
          <w:tcPr>
            <w:cnfStyle w:val="001000000000" w:firstRow="0" w:lastRow="0" w:firstColumn="1" w:lastColumn="0" w:oddVBand="0" w:evenVBand="0" w:oddHBand="0" w:evenHBand="0" w:firstRowFirstColumn="0" w:firstRowLastColumn="0" w:lastRowFirstColumn="0" w:lastRowLastColumn="0"/>
            <w:tcW w:w="1696" w:type="dxa"/>
            <w:hideMark/>
          </w:tcPr>
          <w:p w14:paraId="2F49433A"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Mobile Banking Attacks</w:t>
            </w:r>
          </w:p>
        </w:tc>
        <w:tc>
          <w:tcPr>
            <w:tcW w:w="3969" w:type="dxa"/>
            <w:hideMark/>
          </w:tcPr>
          <w:p w14:paraId="28A4D8D8"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Phishing, malware, and fraudulent mobile applications</w:t>
            </w:r>
          </w:p>
        </w:tc>
        <w:tc>
          <w:tcPr>
            <w:tcW w:w="2322" w:type="dxa"/>
            <w:hideMark/>
          </w:tcPr>
          <w:p w14:paraId="571FA8F7"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Customer account compromise</w:t>
            </w:r>
          </w:p>
        </w:tc>
        <w:tc>
          <w:tcPr>
            <w:tcW w:w="0" w:type="auto"/>
            <w:hideMark/>
          </w:tcPr>
          <w:p w14:paraId="74A1E50B"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High</w:t>
            </w:r>
          </w:p>
        </w:tc>
      </w:tr>
      <w:tr w:rsidR="009E7A56" w:rsidRPr="00816D8B" w14:paraId="1E83A63A" w14:textId="77777777" w:rsidTr="00F46F89">
        <w:tc>
          <w:tcPr>
            <w:cnfStyle w:val="001000000000" w:firstRow="0" w:lastRow="0" w:firstColumn="1" w:lastColumn="0" w:oddVBand="0" w:evenVBand="0" w:oddHBand="0" w:evenHBand="0" w:firstRowFirstColumn="0" w:firstRowLastColumn="0" w:lastRowFirstColumn="0" w:lastRowLastColumn="0"/>
            <w:tcW w:w="1696" w:type="dxa"/>
            <w:hideMark/>
          </w:tcPr>
          <w:p w14:paraId="0D6FB15A"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lastRenderedPageBreak/>
              <w:t>Insider Threats</w:t>
            </w:r>
          </w:p>
        </w:tc>
        <w:tc>
          <w:tcPr>
            <w:tcW w:w="3969" w:type="dxa"/>
            <w:hideMark/>
          </w:tcPr>
          <w:p w14:paraId="10F375E9" w14:textId="364864BD" w:rsidR="009E7A56" w:rsidRPr="00816D8B" w:rsidRDefault="00351C78"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1C78">
              <w:rPr>
                <w:rFonts w:asciiTheme="majorHAnsi" w:hAnsiTheme="majorHAnsi" w:cstheme="majorHAnsi"/>
              </w:rPr>
              <w:t>Workers or partners abusing access to the system</w:t>
            </w:r>
          </w:p>
        </w:tc>
        <w:tc>
          <w:tcPr>
            <w:tcW w:w="2322" w:type="dxa"/>
            <w:hideMark/>
          </w:tcPr>
          <w:p w14:paraId="66FF1634"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Financial fraud or data theft</w:t>
            </w:r>
          </w:p>
        </w:tc>
        <w:tc>
          <w:tcPr>
            <w:tcW w:w="0" w:type="auto"/>
            <w:hideMark/>
          </w:tcPr>
          <w:p w14:paraId="6303A952"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Medium–High</w:t>
            </w:r>
          </w:p>
        </w:tc>
      </w:tr>
      <w:tr w:rsidR="009E7A56" w:rsidRPr="00816D8B" w14:paraId="29AEEA40" w14:textId="77777777" w:rsidTr="00F46F89">
        <w:trPr>
          <w:trHeight w:val="853"/>
        </w:trPr>
        <w:tc>
          <w:tcPr>
            <w:cnfStyle w:val="001000000000" w:firstRow="0" w:lastRow="0" w:firstColumn="1" w:lastColumn="0" w:oddVBand="0" w:evenVBand="0" w:oddHBand="0" w:evenHBand="0" w:firstRowFirstColumn="0" w:firstRowLastColumn="0" w:lastRowFirstColumn="0" w:lastRowLastColumn="0"/>
            <w:tcW w:w="1696" w:type="dxa"/>
            <w:hideMark/>
          </w:tcPr>
          <w:p w14:paraId="3B8CC714"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Lack of Governance</w:t>
            </w:r>
          </w:p>
        </w:tc>
        <w:tc>
          <w:tcPr>
            <w:tcW w:w="3969" w:type="dxa"/>
            <w:hideMark/>
          </w:tcPr>
          <w:p w14:paraId="22BE1319" w14:textId="0B9C9FFD" w:rsidR="009E7A56" w:rsidRPr="00816D8B" w:rsidRDefault="00351C78"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1C78">
              <w:rPr>
                <w:rFonts w:asciiTheme="majorHAnsi" w:hAnsiTheme="majorHAnsi" w:cstheme="majorHAnsi"/>
              </w:rPr>
              <w:t>Lack of audits and organized security policies</w:t>
            </w:r>
          </w:p>
        </w:tc>
        <w:tc>
          <w:tcPr>
            <w:tcW w:w="2322" w:type="dxa"/>
            <w:hideMark/>
          </w:tcPr>
          <w:p w14:paraId="70EF6ED6"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Regulatory non-compliance</w:t>
            </w:r>
          </w:p>
        </w:tc>
        <w:tc>
          <w:tcPr>
            <w:tcW w:w="0" w:type="auto"/>
            <w:hideMark/>
          </w:tcPr>
          <w:p w14:paraId="2C7BEFE5"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High</w:t>
            </w:r>
          </w:p>
        </w:tc>
      </w:tr>
    </w:tbl>
    <w:p w14:paraId="365D6CB9" w14:textId="77777777" w:rsidR="009E7A56" w:rsidRPr="00816D8B" w:rsidRDefault="009E7A56" w:rsidP="009E7A56">
      <w:pPr>
        <w:jc w:val="center"/>
        <w:rPr>
          <w:rFonts w:asciiTheme="majorHAnsi" w:hAnsiTheme="majorHAnsi" w:cstheme="majorHAnsi"/>
        </w:rPr>
      </w:pPr>
      <w:r w:rsidRPr="00816D8B">
        <w:rPr>
          <w:rFonts w:asciiTheme="majorHAnsi" w:hAnsiTheme="majorHAnsi" w:cstheme="majorHAnsi"/>
          <w:b/>
          <w:bCs/>
        </w:rPr>
        <w:t>Table 2</w:t>
      </w:r>
      <w:r w:rsidRPr="00816D8B">
        <w:rPr>
          <w:rFonts w:asciiTheme="majorHAnsi" w:hAnsiTheme="majorHAnsi" w:cstheme="majorHAnsi"/>
        </w:rPr>
        <w:t>: Risk Assessment for FinSure Bank</w:t>
      </w:r>
    </w:p>
    <w:p w14:paraId="3920B605" w14:textId="77777777" w:rsidR="009E7A56" w:rsidRPr="00816D8B" w:rsidRDefault="009E7A56" w:rsidP="00816D8B">
      <w:pPr>
        <w:pStyle w:val="Heading3"/>
        <w:rPr>
          <w:rStyle w:val="Strong"/>
          <w:rFonts w:asciiTheme="majorHAnsi" w:hAnsiTheme="majorHAnsi" w:cstheme="majorHAnsi"/>
          <w:color w:val="auto"/>
        </w:rPr>
      </w:pPr>
      <w:r w:rsidRPr="00816D8B">
        <w:rPr>
          <w:rStyle w:val="Strong"/>
          <w:rFonts w:asciiTheme="majorHAnsi" w:hAnsiTheme="majorHAnsi" w:cstheme="majorHAnsi"/>
          <w:color w:val="auto"/>
        </w:rPr>
        <w:t>3.5 Risk Assessment Methodology</w:t>
      </w:r>
    </w:p>
    <w:p w14:paraId="36F3BC3A" w14:textId="7E2FE876" w:rsidR="009E7A56" w:rsidRPr="00816D8B" w:rsidRDefault="00351C78" w:rsidP="009E7A56">
      <w:pPr>
        <w:jc w:val="both"/>
        <w:rPr>
          <w:rFonts w:asciiTheme="majorHAnsi" w:eastAsia="Times New Roman" w:hAnsiTheme="majorHAnsi" w:cstheme="majorHAnsi"/>
          <w:kern w:val="0"/>
          <w14:ligatures w14:val="none"/>
        </w:rPr>
      </w:pPr>
      <w:r w:rsidRPr="00351C78">
        <w:rPr>
          <w:rFonts w:asciiTheme="majorHAnsi" w:eastAsia="Times New Roman" w:hAnsiTheme="majorHAnsi" w:cstheme="majorHAnsi"/>
          <w:kern w:val="0"/>
          <w14:ligatures w14:val="none"/>
        </w:rPr>
        <w:t>Any financial institutions harnessed in sophisticated online settings need to take a formalized method to cybersecurity danger evaluation. Since FinSure Bank operates in large volumes of sensitive information, in cloud systems, mobile banking, and distributed systems, it is highly prone to risks of loss of information, fraud and breach of regulations.</w:t>
      </w:r>
      <w:r>
        <w:rPr>
          <w:rFonts w:asciiTheme="majorHAnsi" w:eastAsia="Times New Roman" w:hAnsiTheme="majorHAnsi" w:cstheme="majorHAnsi"/>
          <w:kern w:val="0"/>
          <w14:ligatures w14:val="none"/>
        </w:rPr>
        <w:t xml:space="preserve"> </w:t>
      </w:r>
      <w:r w:rsidR="009E7A56" w:rsidRPr="00816D8B">
        <w:rPr>
          <w:rFonts w:asciiTheme="majorHAnsi" w:eastAsia="Times New Roman" w:hAnsiTheme="majorHAnsi" w:cstheme="majorHAnsi"/>
          <w:kern w:val="0"/>
          <w14:ligatures w14:val="none"/>
        </w:rPr>
        <w:t>Documents such as formal standards such as ISO/IEC 27005 and NIST Risk Management Frameworks give detailed instructions on how to identify, analyse and manage these risks [</w:t>
      </w:r>
      <w:r w:rsidR="007B0E74" w:rsidRPr="00816D8B">
        <w:rPr>
          <w:rFonts w:asciiTheme="majorHAnsi" w:eastAsia="Times New Roman" w:hAnsiTheme="majorHAnsi" w:cstheme="majorHAnsi"/>
          <w:kern w:val="0"/>
          <w14:ligatures w14:val="none"/>
        </w:rPr>
        <w:t>17</w:t>
      </w:r>
      <w:r w:rsidR="009E7A56" w:rsidRPr="00816D8B">
        <w:rPr>
          <w:rFonts w:asciiTheme="majorHAnsi" w:eastAsia="Times New Roman" w:hAnsiTheme="majorHAnsi" w:cstheme="majorHAnsi"/>
          <w:kern w:val="0"/>
          <w14:ligatures w14:val="none"/>
        </w:rPr>
        <w:t>]. Risk assessment is initiated by recognising critical assets and threats, then examines the vulnerabilities, phishing, malware, misconfigurations, and inadequate authentication systems [</w:t>
      </w:r>
      <w:r w:rsidR="007B0E74" w:rsidRPr="00816D8B">
        <w:rPr>
          <w:rFonts w:asciiTheme="majorHAnsi" w:eastAsia="Times New Roman" w:hAnsiTheme="majorHAnsi" w:cstheme="majorHAnsi"/>
          <w:kern w:val="0"/>
          <w14:ligatures w14:val="none"/>
        </w:rPr>
        <w:t>18</w:t>
      </w:r>
      <w:r w:rsidR="009E7A56" w:rsidRPr="00816D8B">
        <w:rPr>
          <w:rFonts w:asciiTheme="majorHAnsi" w:eastAsia="Times New Roman" w:hAnsiTheme="majorHAnsi" w:cstheme="majorHAnsi"/>
          <w:kern w:val="0"/>
          <w14:ligatures w14:val="none"/>
        </w:rPr>
        <w:t>].</w:t>
      </w:r>
    </w:p>
    <w:p w14:paraId="3F88D1D1" w14:textId="77777777" w:rsidR="009E7A56" w:rsidRPr="00816D8B" w:rsidRDefault="009E7A56" w:rsidP="009E7A56">
      <w:pPr>
        <w:jc w:val="both"/>
        <w:rPr>
          <w:rFonts w:asciiTheme="majorHAnsi" w:hAnsiTheme="majorHAnsi" w:cstheme="majorHAnsi"/>
          <w:highlight w:val="yellow"/>
        </w:rPr>
      </w:pPr>
      <w:r w:rsidRPr="00816D8B">
        <w:rPr>
          <w:rFonts w:asciiTheme="majorHAnsi" w:hAnsiTheme="majorHAnsi" w:cstheme="majorHAnsi"/>
          <w:noProof/>
        </w:rPr>
        <w:drawing>
          <wp:inline distT="0" distB="0" distL="0" distR="0" wp14:anchorId="5E993991" wp14:editId="374250EF">
            <wp:extent cx="5940384" cy="688332"/>
            <wp:effectExtent l="0" t="0" r="3810" b="0"/>
            <wp:docPr id="1145639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t="13150" b="10633"/>
                    <a:stretch>
                      <a:fillRect/>
                    </a:stretch>
                  </pic:blipFill>
                  <pic:spPr bwMode="auto">
                    <a:xfrm>
                      <a:off x="0" y="0"/>
                      <a:ext cx="5943600" cy="688705"/>
                    </a:xfrm>
                    <a:prstGeom prst="rect">
                      <a:avLst/>
                    </a:prstGeom>
                    <a:noFill/>
                    <a:ln>
                      <a:noFill/>
                    </a:ln>
                    <a:extLst>
                      <a:ext uri="{53640926-AAD7-44D8-BBD7-CCE9431645EC}">
                        <a14:shadowObscured xmlns:a14="http://schemas.microsoft.com/office/drawing/2010/main"/>
                      </a:ext>
                    </a:extLst>
                  </pic:spPr>
                </pic:pic>
              </a:graphicData>
            </a:graphic>
          </wp:inline>
        </w:drawing>
      </w:r>
    </w:p>
    <w:p w14:paraId="7EE6031B" w14:textId="77777777" w:rsidR="009E7A56" w:rsidRPr="00816D8B" w:rsidRDefault="009E7A56" w:rsidP="009E7A56">
      <w:pPr>
        <w:jc w:val="center"/>
        <w:rPr>
          <w:rFonts w:asciiTheme="majorHAnsi" w:hAnsiTheme="majorHAnsi" w:cstheme="majorHAnsi"/>
        </w:rPr>
      </w:pPr>
      <w:r w:rsidRPr="00816D8B">
        <w:rPr>
          <w:rFonts w:asciiTheme="majorHAnsi" w:hAnsiTheme="majorHAnsi" w:cstheme="majorHAnsi"/>
          <w:b/>
          <w:bCs/>
        </w:rPr>
        <w:t>Figure 3:</w:t>
      </w:r>
      <w:r w:rsidRPr="00816D8B">
        <w:rPr>
          <w:rFonts w:asciiTheme="majorHAnsi" w:hAnsiTheme="majorHAnsi" w:cstheme="majorHAnsi"/>
        </w:rPr>
        <w:t xml:space="preserve"> Risk Lifecycle of Assessment and Mitigation.</w:t>
      </w:r>
    </w:p>
    <w:p w14:paraId="4B21E11D" w14:textId="77777777" w:rsidR="00816D8B" w:rsidRDefault="00816D8B">
      <w:pPr>
        <w:rPr>
          <w:rFonts w:asciiTheme="majorHAnsi" w:eastAsiaTheme="majorEastAsia" w:hAnsiTheme="majorHAnsi" w:cstheme="majorHAnsi"/>
          <w:b/>
          <w:bCs/>
          <w:sz w:val="40"/>
          <w:szCs w:val="40"/>
        </w:rPr>
      </w:pPr>
      <w:r>
        <w:rPr>
          <w:rFonts w:cstheme="majorHAnsi"/>
          <w:b/>
          <w:bCs/>
        </w:rPr>
        <w:br w:type="page"/>
      </w:r>
    </w:p>
    <w:p w14:paraId="59122E40" w14:textId="0AC88EFB" w:rsidR="009E7A56" w:rsidRPr="00816D8B" w:rsidRDefault="009E7A56" w:rsidP="009E7A56">
      <w:pPr>
        <w:pStyle w:val="Heading1"/>
        <w:numPr>
          <w:ilvl w:val="0"/>
          <w:numId w:val="1"/>
        </w:numPr>
        <w:jc w:val="center"/>
        <w:rPr>
          <w:rFonts w:cstheme="majorHAnsi"/>
          <w:b/>
          <w:bCs/>
          <w:color w:val="auto"/>
        </w:rPr>
      </w:pPr>
      <w:r w:rsidRPr="00816D8B">
        <w:rPr>
          <w:rFonts w:cstheme="majorHAnsi"/>
          <w:b/>
          <w:bCs/>
          <w:color w:val="auto"/>
        </w:rPr>
        <w:lastRenderedPageBreak/>
        <w:t>The proposed security governance and compliance plan of FinSure Bank.</w:t>
      </w:r>
    </w:p>
    <w:p w14:paraId="71603F46" w14:textId="4519BC48" w:rsidR="00E64C28" w:rsidRPr="00816D8B" w:rsidRDefault="00E64C28" w:rsidP="009E7A56">
      <w:pPr>
        <w:pStyle w:val="NormalWeb"/>
        <w:jc w:val="both"/>
        <w:rPr>
          <w:rFonts w:asciiTheme="majorHAnsi" w:hAnsiTheme="majorHAnsi" w:cstheme="majorHAnsi"/>
        </w:rPr>
      </w:pPr>
      <w:r w:rsidRPr="00816D8B">
        <w:rPr>
          <w:rFonts w:asciiTheme="majorHAnsi" w:hAnsiTheme="majorHAnsi" w:cstheme="majorHAnsi"/>
        </w:rPr>
        <w:t>To reduce cybersecurity risks, FinSure Bank needs to put in place a thorough structure for information security governance and compliance. Formal governance structures help to continuously improve and regulate risks and guarantee that security policies, organizational objectives, and legal requirements are all consistent [</w:t>
      </w:r>
      <w:r w:rsidR="007B0E74" w:rsidRPr="00816D8B">
        <w:rPr>
          <w:rFonts w:asciiTheme="majorHAnsi" w:hAnsiTheme="majorHAnsi" w:cstheme="majorHAnsi"/>
        </w:rPr>
        <w:t>19</w:t>
      </w:r>
      <w:r w:rsidRPr="00816D8B">
        <w:rPr>
          <w:rFonts w:asciiTheme="majorHAnsi" w:hAnsiTheme="majorHAnsi" w:cstheme="majorHAnsi"/>
        </w:rPr>
        <w:t>].</w:t>
      </w:r>
    </w:p>
    <w:p w14:paraId="746D2CB2" w14:textId="1DF23ECF" w:rsidR="009E7A56" w:rsidRPr="00816D8B" w:rsidRDefault="009E7A56" w:rsidP="00816D8B">
      <w:pPr>
        <w:pStyle w:val="Heading3"/>
        <w:rPr>
          <w:rStyle w:val="Strong"/>
          <w:rFonts w:asciiTheme="majorHAnsi" w:hAnsiTheme="majorHAnsi" w:cstheme="majorHAnsi"/>
          <w:b w:val="0"/>
          <w:bCs w:val="0"/>
          <w:color w:val="auto"/>
        </w:rPr>
      </w:pPr>
      <w:r w:rsidRPr="00816D8B">
        <w:rPr>
          <w:rStyle w:val="Strong"/>
          <w:rFonts w:asciiTheme="majorHAnsi" w:hAnsiTheme="majorHAnsi" w:cstheme="majorHAnsi"/>
          <w:color w:val="auto"/>
        </w:rPr>
        <w:t>4.1</w:t>
      </w:r>
      <w:r w:rsidRPr="00816D8B">
        <w:rPr>
          <w:rStyle w:val="Strong"/>
          <w:rFonts w:asciiTheme="majorHAnsi" w:hAnsiTheme="majorHAnsi" w:cstheme="majorHAnsi"/>
          <w:b w:val="0"/>
          <w:bCs w:val="0"/>
          <w:color w:val="auto"/>
        </w:rPr>
        <w:t xml:space="preserve"> </w:t>
      </w:r>
      <w:r w:rsidRPr="00816D8B">
        <w:rPr>
          <w:b/>
          <w:bCs/>
          <w:color w:val="auto"/>
        </w:rPr>
        <w:t>Design of structure of security governance.</w:t>
      </w:r>
    </w:p>
    <w:p w14:paraId="1B58AAF8" w14:textId="091AA5FC" w:rsidR="009E7A56" w:rsidRPr="00816D8B" w:rsidRDefault="00E64C28" w:rsidP="009E7A56">
      <w:pPr>
        <w:pStyle w:val="NormalWeb"/>
        <w:jc w:val="both"/>
        <w:rPr>
          <w:rFonts w:asciiTheme="majorHAnsi" w:hAnsiTheme="majorHAnsi" w:cstheme="majorHAnsi"/>
        </w:rPr>
      </w:pPr>
      <w:r w:rsidRPr="00816D8B">
        <w:rPr>
          <w:rFonts w:asciiTheme="majorHAnsi" w:hAnsiTheme="majorHAnsi" w:cstheme="majorHAnsi"/>
        </w:rPr>
        <w:t>Through incorporating security into decision-making processes and clearly defining roles, responsibilities, and accountability, an organized governance architecture would improve cybersecurity [</w:t>
      </w:r>
      <w:r w:rsidR="007B0E74" w:rsidRPr="00816D8B">
        <w:rPr>
          <w:rFonts w:asciiTheme="majorHAnsi" w:hAnsiTheme="majorHAnsi" w:cstheme="majorHAnsi"/>
        </w:rPr>
        <w:t>20</w:t>
      </w:r>
      <w:r w:rsidRPr="00816D8B">
        <w:rPr>
          <w:rFonts w:asciiTheme="majorHAnsi" w:hAnsiTheme="majorHAnsi" w:cstheme="majorHAnsi"/>
        </w:rPr>
        <w:t>].</w:t>
      </w:r>
    </w:p>
    <w:tbl>
      <w:tblPr>
        <w:tblStyle w:val="GridTable1Light"/>
        <w:tblW w:w="0" w:type="auto"/>
        <w:tblLook w:val="04A0" w:firstRow="1" w:lastRow="0" w:firstColumn="1" w:lastColumn="0" w:noHBand="0" w:noVBand="1"/>
      </w:tblPr>
      <w:tblGrid>
        <w:gridCol w:w="2830"/>
        <w:gridCol w:w="6520"/>
      </w:tblGrid>
      <w:tr w:rsidR="009E7A56" w:rsidRPr="00816D8B" w14:paraId="046F2782" w14:textId="77777777" w:rsidTr="00F46F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hideMark/>
          </w:tcPr>
          <w:p w14:paraId="33A39AC6"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Role</w:t>
            </w:r>
          </w:p>
        </w:tc>
        <w:tc>
          <w:tcPr>
            <w:tcW w:w="6520" w:type="dxa"/>
            <w:hideMark/>
          </w:tcPr>
          <w:p w14:paraId="26757DFD" w14:textId="77777777" w:rsidR="009E7A56" w:rsidRPr="00816D8B" w:rsidRDefault="009E7A56" w:rsidP="00F46F89">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Responsibility</w:t>
            </w:r>
          </w:p>
        </w:tc>
      </w:tr>
      <w:tr w:rsidR="009E7A56" w:rsidRPr="00816D8B" w14:paraId="42B12D28" w14:textId="77777777" w:rsidTr="00F46F89">
        <w:tc>
          <w:tcPr>
            <w:cnfStyle w:val="001000000000" w:firstRow="0" w:lastRow="0" w:firstColumn="1" w:lastColumn="0" w:oddVBand="0" w:evenVBand="0" w:oddHBand="0" w:evenHBand="0" w:firstRowFirstColumn="0" w:firstRowLastColumn="0" w:lastRowFirstColumn="0" w:lastRowLastColumn="0"/>
            <w:tcW w:w="2830" w:type="dxa"/>
            <w:hideMark/>
          </w:tcPr>
          <w:p w14:paraId="374B5C7A"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Board of Directors</w:t>
            </w:r>
          </w:p>
        </w:tc>
        <w:tc>
          <w:tcPr>
            <w:tcW w:w="6520" w:type="dxa"/>
            <w:hideMark/>
          </w:tcPr>
          <w:p w14:paraId="61277B47"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Controls information security governance strategically.</w:t>
            </w:r>
          </w:p>
        </w:tc>
      </w:tr>
      <w:tr w:rsidR="009E7A56" w:rsidRPr="00816D8B" w14:paraId="071DDC30" w14:textId="77777777" w:rsidTr="00F46F89">
        <w:tc>
          <w:tcPr>
            <w:cnfStyle w:val="001000000000" w:firstRow="0" w:lastRow="0" w:firstColumn="1" w:lastColumn="0" w:oddVBand="0" w:evenVBand="0" w:oddHBand="0" w:evenHBand="0" w:firstRowFirstColumn="0" w:firstRowLastColumn="0" w:lastRowFirstColumn="0" w:lastRowLastColumn="0"/>
            <w:tcW w:w="2830" w:type="dxa"/>
            <w:hideMark/>
          </w:tcPr>
          <w:p w14:paraId="221E339F" w14:textId="2E00EC3C"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CISO, or chief information security officer</w:t>
            </w:r>
          </w:p>
        </w:tc>
        <w:tc>
          <w:tcPr>
            <w:tcW w:w="6520" w:type="dxa"/>
            <w:hideMark/>
          </w:tcPr>
          <w:p w14:paraId="7BAF174D"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Develops and manages security regulations and policies.</w:t>
            </w:r>
          </w:p>
        </w:tc>
      </w:tr>
      <w:tr w:rsidR="009E7A56" w:rsidRPr="00816D8B" w14:paraId="3765AF0A" w14:textId="77777777" w:rsidTr="00F46F89">
        <w:tc>
          <w:tcPr>
            <w:cnfStyle w:val="001000000000" w:firstRow="0" w:lastRow="0" w:firstColumn="1" w:lastColumn="0" w:oddVBand="0" w:evenVBand="0" w:oddHBand="0" w:evenHBand="0" w:firstRowFirstColumn="0" w:firstRowLastColumn="0" w:lastRowFirstColumn="0" w:lastRowLastColumn="0"/>
            <w:tcW w:w="2830" w:type="dxa"/>
            <w:hideMark/>
          </w:tcPr>
          <w:p w14:paraId="1F94D09E"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Committee on Security Governance</w:t>
            </w:r>
          </w:p>
        </w:tc>
        <w:tc>
          <w:tcPr>
            <w:tcW w:w="6520" w:type="dxa"/>
            <w:hideMark/>
          </w:tcPr>
          <w:p w14:paraId="2B13F333"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Verifies regulatory compliance and evaluates security procedures.</w:t>
            </w:r>
          </w:p>
        </w:tc>
      </w:tr>
      <w:tr w:rsidR="009E7A56" w:rsidRPr="00816D8B" w14:paraId="2B002A03" w14:textId="77777777" w:rsidTr="00F46F89">
        <w:tc>
          <w:tcPr>
            <w:cnfStyle w:val="001000000000" w:firstRow="0" w:lastRow="0" w:firstColumn="1" w:lastColumn="0" w:oddVBand="0" w:evenVBand="0" w:oddHBand="0" w:evenHBand="0" w:firstRowFirstColumn="0" w:firstRowLastColumn="0" w:lastRowFirstColumn="0" w:lastRowLastColumn="0"/>
            <w:tcW w:w="2830" w:type="dxa"/>
            <w:hideMark/>
          </w:tcPr>
          <w:p w14:paraId="52F8DF5C"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Team for IT Security</w:t>
            </w:r>
          </w:p>
        </w:tc>
        <w:tc>
          <w:tcPr>
            <w:tcW w:w="6520" w:type="dxa"/>
            <w:hideMark/>
          </w:tcPr>
          <w:p w14:paraId="309DA643"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Monitoring threats and puts security procedures in place.</w:t>
            </w:r>
          </w:p>
        </w:tc>
      </w:tr>
      <w:tr w:rsidR="009E7A56" w:rsidRPr="00816D8B" w14:paraId="70CE0065" w14:textId="77777777" w:rsidTr="00F46F89">
        <w:tc>
          <w:tcPr>
            <w:cnfStyle w:val="001000000000" w:firstRow="0" w:lastRow="0" w:firstColumn="1" w:lastColumn="0" w:oddVBand="0" w:evenVBand="0" w:oddHBand="0" w:evenHBand="0" w:firstRowFirstColumn="0" w:firstRowLastColumn="0" w:lastRowFirstColumn="0" w:lastRowLastColumn="0"/>
            <w:tcW w:w="2830" w:type="dxa"/>
            <w:hideMark/>
          </w:tcPr>
          <w:p w14:paraId="40588E7B"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Team for Compliance and Risk</w:t>
            </w:r>
          </w:p>
        </w:tc>
        <w:tc>
          <w:tcPr>
            <w:tcW w:w="6520" w:type="dxa"/>
            <w:hideMark/>
          </w:tcPr>
          <w:p w14:paraId="205ED2E9"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Task Force Audits and regulates.</w:t>
            </w:r>
          </w:p>
        </w:tc>
      </w:tr>
    </w:tbl>
    <w:p w14:paraId="29F21509" w14:textId="77777777" w:rsidR="009E7A56" w:rsidRPr="00816D8B" w:rsidRDefault="009E7A56" w:rsidP="009E7A56">
      <w:pPr>
        <w:jc w:val="center"/>
        <w:rPr>
          <w:rFonts w:asciiTheme="majorHAnsi" w:hAnsiTheme="majorHAnsi" w:cstheme="majorHAnsi"/>
          <w:b/>
          <w:bCs/>
        </w:rPr>
      </w:pPr>
      <w:r w:rsidRPr="00816D8B">
        <w:rPr>
          <w:rFonts w:asciiTheme="majorHAnsi" w:hAnsiTheme="majorHAnsi" w:cstheme="majorHAnsi"/>
          <w:b/>
          <w:bCs/>
        </w:rPr>
        <w:t xml:space="preserve">Table 3: </w:t>
      </w:r>
      <w:r w:rsidRPr="00816D8B">
        <w:rPr>
          <w:rFonts w:asciiTheme="majorHAnsi" w:hAnsiTheme="majorHAnsi" w:cstheme="majorHAnsi"/>
        </w:rPr>
        <w:t>Security Governance Roles Proposed.</w:t>
      </w:r>
    </w:p>
    <w:p w14:paraId="471DB4F0" w14:textId="6C66490A" w:rsidR="009E7A56" w:rsidRPr="00816D8B" w:rsidRDefault="00E64C28" w:rsidP="009E7A56">
      <w:pPr>
        <w:jc w:val="both"/>
        <w:rPr>
          <w:rFonts w:asciiTheme="majorHAnsi" w:hAnsiTheme="majorHAnsi" w:cstheme="majorHAnsi"/>
        </w:rPr>
      </w:pPr>
      <w:r w:rsidRPr="00816D8B">
        <w:rPr>
          <w:rFonts w:asciiTheme="majorHAnsi" w:hAnsiTheme="majorHAnsi" w:cstheme="majorHAnsi"/>
        </w:rPr>
        <w:t>This approach improves accountability and control by distributing security responsibilities among organizational levels.</w:t>
      </w:r>
    </w:p>
    <w:p w14:paraId="59B33DA4" w14:textId="1188DE83" w:rsidR="009E7A56" w:rsidRPr="00816D8B" w:rsidRDefault="009E7A56" w:rsidP="00816D8B">
      <w:pPr>
        <w:pStyle w:val="Heading3"/>
        <w:rPr>
          <w:b/>
          <w:bCs/>
          <w:color w:val="auto"/>
        </w:rPr>
      </w:pPr>
      <w:r w:rsidRPr="00816D8B">
        <w:rPr>
          <w:b/>
          <w:bCs/>
          <w:color w:val="auto"/>
        </w:rPr>
        <w:t xml:space="preserve">4.2 </w:t>
      </w:r>
      <w:r w:rsidR="00E64C28" w:rsidRPr="00816D8B">
        <w:rPr>
          <w:b/>
          <w:bCs/>
          <w:color w:val="auto"/>
        </w:rPr>
        <w:t>Framework for Integrated Security</w:t>
      </w:r>
    </w:p>
    <w:p w14:paraId="78A18B55" w14:textId="30DA072F" w:rsidR="00E64C28" w:rsidRPr="00E64C28" w:rsidRDefault="00E64C28" w:rsidP="00E64C28">
      <w:pPr>
        <w:jc w:val="both"/>
        <w:rPr>
          <w:rFonts w:asciiTheme="majorHAnsi" w:hAnsiTheme="majorHAnsi" w:cstheme="majorHAnsi"/>
        </w:rPr>
      </w:pPr>
      <w:r w:rsidRPr="00E64C28">
        <w:rPr>
          <w:rFonts w:asciiTheme="majorHAnsi" w:hAnsiTheme="majorHAnsi" w:cstheme="majorHAnsi"/>
        </w:rPr>
        <w:t>FinSure Bank must adopt a cohesive approach using on frameworks such as ISO/IEC 27001, NIST, ITIL, and COBIT, with ISO 27001 serving as the foundation for the ISMS [</w:t>
      </w:r>
      <w:r w:rsidR="007B0E74" w:rsidRPr="00816D8B">
        <w:rPr>
          <w:rFonts w:asciiTheme="majorHAnsi" w:hAnsiTheme="majorHAnsi" w:cstheme="majorHAnsi"/>
        </w:rPr>
        <w:t>21</w:t>
      </w:r>
      <w:r w:rsidRPr="00E64C28">
        <w:rPr>
          <w:rFonts w:asciiTheme="majorHAnsi" w:hAnsiTheme="majorHAnsi" w:cstheme="majorHAnsi"/>
        </w:rPr>
        <w:t>].</w:t>
      </w:r>
    </w:p>
    <w:tbl>
      <w:tblPr>
        <w:tblStyle w:val="GridTable1Light"/>
        <w:tblW w:w="0" w:type="auto"/>
        <w:tblLook w:val="04A0" w:firstRow="1" w:lastRow="0" w:firstColumn="1" w:lastColumn="0" w:noHBand="0" w:noVBand="1"/>
      </w:tblPr>
      <w:tblGrid>
        <w:gridCol w:w="2263"/>
        <w:gridCol w:w="7087"/>
      </w:tblGrid>
      <w:tr w:rsidR="009E7A56" w:rsidRPr="00816D8B" w14:paraId="3C9929D9" w14:textId="77777777" w:rsidTr="00F46F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4E89EBCC"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Framework</w:t>
            </w:r>
          </w:p>
        </w:tc>
        <w:tc>
          <w:tcPr>
            <w:tcW w:w="7087" w:type="dxa"/>
            <w:hideMark/>
          </w:tcPr>
          <w:p w14:paraId="1C27C40F" w14:textId="77777777" w:rsidR="009E7A56" w:rsidRPr="00816D8B" w:rsidRDefault="009E7A56" w:rsidP="00F46F89">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Role in Security Strategy</w:t>
            </w:r>
          </w:p>
        </w:tc>
      </w:tr>
      <w:tr w:rsidR="009E7A56" w:rsidRPr="00816D8B" w14:paraId="5D8B5E23" w14:textId="77777777" w:rsidTr="00F46F89">
        <w:tc>
          <w:tcPr>
            <w:cnfStyle w:val="001000000000" w:firstRow="0" w:lastRow="0" w:firstColumn="1" w:lastColumn="0" w:oddVBand="0" w:evenVBand="0" w:oddHBand="0" w:evenHBand="0" w:firstRowFirstColumn="0" w:firstRowLastColumn="0" w:lastRowFirstColumn="0" w:lastRowLastColumn="0"/>
            <w:tcW w:w="2263" w:type="dxa"/>
            <w:hideMark/>
          </w:tcPr>
          <w:p w14:paraId="5AE73EB9"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ISO/IEC 27001</w:t>
            </w:r>
          </w:p>
        </w:tc>
        <w:tc>
          <w:tcPr>
            <w:tcW w:w="7087" w:type="dxa"/>
            <w:hideMark/>
          </w:tcPr>
          <w:p w14:paraId="745E37B0"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Creates a system for managing information security</w:t>
            </w:r>
          </w:p>
        </w:tc>
      </w:tr>
      <w:tr w:rsidR="009E7A56" w:rsidRPr="00816D8B" w14:paraId="49F9154E" w14:textId="77777777" w:rsidTr="00F46F89">
        <w:tc>
          <w:tcPr>
            <w:cnfStyle w:val="001000000000" w:firstRow="0" w:lastRow="0" w:firstColumn="1" w:lastColumn="0" w:oddVBand="0" w:evenVBand="0" w:oddHBand="0" w:evenHBand="0" w:firstRowFirstColumn="0" w:firstRowLastColumn="0" w:lastRowFirstColumn="0" w:lastRowLastColumn="0"/>
            <w:tcW w:w="2263" w:type="dxa"/>
            <w:hideMark/>
          </w:tcPr>
          <w:p w14:paraId="46A740A7"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lastRenderedPageBreak/>
              <w:t>NIST Cybersecurity Framework</w:t>
            </w:r>
          </w:p>
        </w:tc>
        <w:tc>
          <w:tcPr>
            <w:tcW w:w="7087" w:type="dxa"/>
            <w:hideMark/>
          </w:tcPr>
          <w:p w14:paraId="19681BA4"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Strengthens cybersecurity risk management</w:t>
            </w:r>
          </w:p>
        </w:tc>
      </w:tr>
      <w:tr w:rsidR="009E7A56" w:rsidRPr="00816D8B" w14:paraId="15D477EC" w14:textId="77777777" w:rsidTr="00F46F89">
        <w:tc>
          <w:tcPr>
            <w:cnfStyle w:val="001000000000" w:firstRow="0" w:lastRow="0" w:firstColumn="1" w:lastColumn="0" w:oddVBand="0" w:evenVBand="0" w:oddHBand="0" w:evenHBand="0" w:firstRowFirstColumn="0" w:firstRowLastColumn="0" w:lastRowFirstColumn="0" w:lastRowLastColumn="0"/>
            <w:tcW w:w="2263" w:type="dxa"/>
            <w:hideMark/>
          </w:tcPr>
          <w:p w14:paraId="73B32A0C"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ITIL</w:t>
            </w:r>
          </w:p>
        </w:tc>
        <w:tc>
          <w:tcPr>
            <w:tcW w:w="7087" w:type="dxa"/>
            <w:hideMark/>
          </w:tcPr>
          <w:p w14:paraId="3B6110F6"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Integrates security within IT service lifecycle</w:t>
            </w:r>
          </w:p>
        </w:tc>
      </w:tr>
      <w:tr w:rsidR="009E7A56" w:rsidRPr="00816D8B" w14:paraId="18D45E46" w14:textId="77777777" w:rsidTr="00F46F89">
        <w:tc>
          <w:tcPr>
            <w:cnfStyle w:val="001000000000" w:firstRow="0" w:lastRow="0" w:firstColumn="1" w:lastColumn="0" w:oddVBand="0" w:evenVBand="0" w:oddHBand="0" w:evenHBand="0" w:firstRowFirstColumn="0" w:firstRowLastColumn="0" w:lastRowFirstColumn="0" w:lastRowLastColumn="0"/>
            <w:tcW w:w="2263" w:type="dxa"/>
            <w:hideMark/>
          </w:tcPr>
          <w:p w14:paraId="13096850"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COBIT</w:t>
            </w:r>
          </w:p>
        </w:tc>
        <w:tc>
          <w:tcPr>
            <w:tcW w:w="7087" w:type="dxa"/>
            <w:hideMark/>
          </w:tcPr>
          <w:p w14:paraId="6AF374CA"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Provides governance and alignment with business objectives</w:t>
            </w:r>
          </w:p>
        </w:tc>
      </w:tr>
    </w:tbl>
    <w:p w14:paraId="263164B2" w14:textId="77777777" w:rsidR="009E7A56" w:rsidRPr="00816D8B" w:rsidRDefault="009E7A56" w:rsidP="009E7A56">
      <w:pPr>
        <w:jc w:val="center"/>
        <w:rPr>
          <w:rFonts w:asciiTheme="majorHAnsi" w:hAnsiTheme="majorHAnsi" w:cstheme="majorHAnsi"/>
        </w:rPr>
      </w:pPr>
      <w:r w:rsidRPr="00816D8B">
        <w:rPr>
          <w:rFonts w:asciiTheme="majorHAnsi" w:hAnsiTheme="majorHAnsi" w:cstheme="majorHAnsi"/>
          <w:b/>
          <w:bCs/>
        </w:rPr>
        <w:t>Table 4:</w:t>
      </w:r>
      <w:r w:rsidRPr="00816D8B">
        <w:rPr>
          <w:rFonts w:asciiTheme="majorHAnsi" w:hAnsiTheme="majorHAnsi" w:cstheme="majorHAnsi"/>
        </w:rPr>
        <w:t xml:space="preserve"> Integrated Security Framework Strategy</w:t>
      </w:r>
    </w:p>
    <w:p w14:paraId="4FF0BC28" w14:textId="77777777" w:rsidR="009E7A56" w:rsidRPr="00816D8B" w:rsidRDefault="009E7A56" w:rsidP="009E7A56">
      <w:pPr>
        <w:jc w:val="both"/>
        <w:rPr>
          <w:rFonts w:asciiTheme="majorHAnsi" w:hAnsiTheme="majorHAnsi" w:cstheme="majorHAnsi"/>
          <w:highlight w:val="yellow"/>
        </w:rPr>
      </w:pPr>
      <w:r w:rsidRPr="00816D8B">
        <w:rPr>
          <w:rFonts w:asciiTheme="majorHAnsi" w:hAnsiTheme="majorHAnsi" w:cstheme="majorHAnsi"/>
        </w:rPr>
        <w:t>As a result, these frameworks can be unified to allow FinSure Bank to build a unified and scalable security architecture that can support the operational and strategic security challenges.</w:t>
      </w:r>
    </w:p>
    <w:p w14:paraId="616F2CE9" w14:textId="77777777" w:rsidR="009E7A56" w:rsidRPr="00816D8B" w:rsidRDefault="009E7A56" w:rsidP="00816D8B">
      <w:pPr>
        <w:pStyle w:val="Heading3"/>
        <w:rPr>
          <w:b/>
          <w:bCs/>
          <w:color w:val="auto"/>
        </w:rPr>
      </w:pPr>
      <w:r w:rsidRPr="00816D8B">
        <w:rPr>
          <w:b/>
          <w:bCs/>
          <w:color w:val="auto"/>
        </w:rPr>
        <w:t>4.3 GDPR Data Protection and Compliance</w:t>
      </w:r>
    </w:p>
    <w:p w14:paraId="011AD372" w14:textId="58A96897" w:rsidR="009E7A56" w:rsidRPr="00816D8B" w:rsidRDefault="00E64C28" w:rsidP="009E7A56">
      <w:pPr>
        <w:jc w:val="both"/>
        <w:rPr>
          <w:rFonts w:asciiTheme="majorHAnsi" w:hAnsiTheme="majorHAnsi" w:cstheme="majorHAnsi"/>
        </w:rPr>
      </w:pPr>
      <w:r w:rsidRPr="00816D8B">
        <w:rPr>
          <w:rFonts w:asciiTheme="majorHAnsi" w:hAnsiTheme="majorHAnsi" w:cstheme="majorHAnsi"/>
        </w:rPr>
        <w:t>To keep sensitive data, the General Data Protection Regulation (GDPR) requires strict adherence to regulations. The primary measures to reduce the risk of breaches and raise the degree of data security include RBAC, data classification, encryption, MFA, monitoring, and recurring audits [</w:t>
      </w:r>
      <w:r w:rsidR="007B0E74" w:rsidRPr="00816D8B">
        <w:rPr>
          <w:rFonts w:asciiTheme="majorHAnsi" w:hAnsiTheme="majorHAnsi" w:cstheme="majorHAnsi"/>
        </w:rPr>
        <w:t>22</w:t>
      </w:r>
      <w:r w:rsidRPr="00816D8B">
        <w:rPr>
          <w:rFonts w:asciiTheme="majorHAnsi" w:hAnsiTheme="majorHAnsi" w:cstheme="majorHAnsi"/>
        </w:rPr>
        <w:t>].</w:t>
      </w:r>
    </w:p>
    <w:tbl>
      <w:tblPr>
        <w:tblStyle w:val="GridTable1Light"/>
        <w:tblW w:w="9351" w:type="dxa"/>
        <w:tblLook w:val="04A0" w:firstRow="1" w:lastRow="0" w:firstColumn="1" w:lastColumn="0" w:noHBand="0" w:noVBand="1"/>
      </w:tblPr>
      <w:tblGrid>
        <w:gridCol w:w="3643"/>
        <w:gridCol w:w="5708"/>
      </w:tblGrid>
      <w:tr w:rsidR="009E7A56" w:rsidRPr="00816D8B" w14:paraId="7AB32CDC" w14:textId="77777777" w:rsidTr="00F46F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43" w:type="dxa"/>
            <w:hideMark/>
          </w:tcPr>
          <w:p w14:paraId="7D2E65FF"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Security Control</w:t>
            </w:r>
          </w:p>
        </w:tc>
        <w:tc>
          <w:tcPr>
            <w:tcW w:w="5708" w:type="dxa"/>
            <w:hideMark/>
          </w:tcPr>
          <w:p w14:paraId="780BE092" w14:textId="77777777" w:rsidR="009E7A56" w:rsidRPr="00816D8B" w:rsidRDefault="009E7A56" w:rsidP="00F46F89">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Purpose</w:t>
            </w:r>
          </w:p>
        </w:tc>
      </w:tr>
      <w:tr w:rsidR="009E7A56" w:rsidRPr="00816D8B" w14:paraId="61F4046B" w14:textId="77777777" w:rsidTr="00F46F89">
        <w:tc>
          <w:tcPr>
            <w:cnfStyle w:val="001000000000" w:firstRow="0" w:lastRow="0" w:firstColumn="1" w:lastColumn="0" w:oddVBand="0" w:evenVBand="0" w:oddHBand="0" w:evenHBand="0" w:firstRowFirstColumn="0" w:firstRowLastColumn="0" w:lastRowFirstColumn="0" w:lastRowLastColumn="0"/>
            <w:tcW w:w="3643" w:type="dxa"/>
            <w:hideMark/>
          </w:tcPr>
          <w:p w14:paraId="46CCDC72"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Data Encryption</w:t>
            </w:r>
          </w:p>
        </w:tc>
        <w:tc>
          <w:tcPr>
            <w:tcW w:w="5708" w:type="dxa"/>
            <w:hideMark/>
          </w:tcPr>
          <w:p w14:paraId="3C31EA3D"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Secures the financial and personal data.</w:t>
            </w:r>
          </w:p>
        </w:tc>
      </w:tr>
      <w:tr w:rsidR="009E7A56" w:rsidRPr="00816D8B" w14:paraId="2287B791" w14:textId="77777777" w:rsidTr="00F46F89">
        <w:tc>
          <w:tcPr>
            <w:cnfStyle w:val="001000000000" w:firstRow="0" w:lastRow="0" w:firstColumn="1" w:lastColumn="0" w:oddVBand="0" w:evenVBand="0" w:oddHBand="0" w:evenHBand="0" w:firstRowFirstColumn="0" w:firstRowLastColumn="0" w:lastRowFirstColumn="0" w:lastRowLastColumn="0"/>
            <w:tcW w:w="3643" w:type="dxa"/>
            <w:hideMark/>
          </w:tcPr>
          <w:p w14:paraId="695A6A0A"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Multi-Factor Authentication (MFA)</w:t>
            </w:r>
          </w:p>
        </w:tc>
        <w:tc>
          <w:tcPr>
            <w:tcW w:w="5708" w:type="dxa"/>
            <w:hideMark/>
          </w:tcPr>
          <w:p w14:paraId="4CA2F46C"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Prevents unauthorised access of the system.</w:t>
            </w:r>
          </w:p>
        </w:tc>
      </w:tr>
      <w:tr w:rsidR="009E7A56" w:rsidRPr="00816D8B" w14:paraId="5A6F515B" w14:textId="77777777" w:rsidTr="00F46F89">
        <w:tc>
          <w:tcPr>
            <w:cnfStyle w:val="001000000000" w:firstRow="0" w:lastRow="0" w:firstColumn="1" w:lastColumn="0" w:oddVBand="0" w:evenVBand="0" w:oddHBand="0" w:evenHBand="0" w:firstRowFirstColumn="0" w:firstRowLastColumn="0" w:lastRowFirstColumn="0" w:lastRowLastColumn="0"/>
            <w:tcW w:w="3643" w:type="dxa"/>
            <w:hideMark/>
          </w:tcPr>
          <w:p w14:paraId="4B99F178"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Data Classification</w:t>
            </w:r>
          </w:p>
        </w:tc>
        <w:tc>
          <w:tcPr>
            <w:tcW w:w="5708" w:type="dxa"/>
            <w:hideMark/>
          </w:tcPr>
          <w:p w14:paraId="6BD1607B"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Organizes data based on sensitivity levels</w:t>
            </w:r>
          </w:p>
        </w:tc>
      </w:tr>
      <w:tr w:rsidR="009E7A56" w:rsidRPr="00816D8B" w14:paraId="25EA74E0" w14:textId="77777777" w:rsidTr="00F46F89">
        <w:tc>
          <w:tcPr>
            <w:cnfStyle w:val="001000000000" w:firstRow="0" w:lastRow="0" w:firstColumn="1" w:lastColumn="0" w:oddVBand="0" w:evenVBand="0" w:oddHBand="0" w:evenHBand="0" w:firstRowFirstColumn="0" w:firstRowLastColumn="0" w:lastRowFirstColumn="0" w:lastRowLastColumn="0"/>
            <w:tcW w:w="3643" w:type="dxa"/>
            <w:hideMark/>
          </w:tcPr>
          <w:p w14:paraId="7B9107DE"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Security Monitoring systems.</w:t>
            </w:r>
          </w:p>
        </w:tc>
        <w:tc>
          <w:tcPr>
            <w:tcW w:w="5708" w:type="dxa"/>
            <w:hideMark/>
          </w:tcPr>
          <w:p w14:paraId="05E7BA80"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Identifies the suspicious activities on the fly.</w:t>
            </w:r>
          </w:p>
        </w:tc>
      </w:tr>
      <w:tr w:rsidR="009E7A56" w:rsidRPr="00816D8B" w14:paraId="34FE91EB" w14:textId="77777777" w:rsidTr="00F46F89">
        <w:tc>
          <w:tcPr>
            <w:cnfStyle w:val="001000000000" w:firstRow="0" w:lastRow="0" w:firstColumn="1" w:lastColumn="0" w:oddVBand="0" w:evenVBand="0" w:oddHBand="0" w:evenHBand="0" w:firstRowFirstColumn="0" w:firstRowLastColumn="0" w:lastRowFirstColumn="0" w:lastRowLastColumn="0"/>
            <w:tcW w:w="3643" w:type="dxa"/>
            <w:hideMark/>
          </w:tcPr>
          <w:p w14:paraId="2E928DF1"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Periodic Compliance Audit</w:t>
            </w:r>
          </w:p>
        </w:tc>
        <w:tc>
          <w:tcPr>
            <w:tcW w:w="5708" w:type="dxa"/>
            <w:hideMark/>
          </w:tcPr>
          <w:p w14:paraId="475C24DA"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Oversight that they are compliant with the rules.</w:t>
            </w:r>
          </w:p>
        </w:tc>
      </w:tr>
      <w:tr w:rsidR="009E7A56" w:rsidRPr="00816D8B" w14:paraId="1BCE7D84" w14:textId="77777777" w:rsidTr="00F46F89">
        <w:tc>
          <w:tcPr>
            <w:cnfStyle w:val="001000000000" w:firstRow="0" w:lastRow="0" w:firstColumn="1" w:lastColumn="0" w:oddVBand="0" w:evenVBand="0" w:oddHBand="0" w:evenHBand="0" w:firstRowFirstColumn="0" w:firstRowLastColumn="0" w:lastRowFirstColumn="0" w:lastRowLastColumn="0"/>
            <w:tcW w:w="3643" w:type="dxa"/>
            <w:hideMark/>
          </w:tcPr>
          <w:p w14:paraId="2530AC3B" w14:textId="77777777" w:rsidR="009E7A56" w:rsidRPr="00816D8B" w:rsidRDefault="009E7A56" w:rsidP="00F46F89">
            <w:pPr>
              <w:spacing w:after="160" w:line="278" w:lineRule="auto"/>
              <w:jc w:val="both"/>
              <w:rPr>
                <w:rFonts w:asciiTheme="majorHAnsi" w:hAnsiTheme="majorHAnsi" w:cstheme="majorHAnsi"/>
              </w:rPr>
            </w:pPr>
            <w:r w:rsidRPr="00816D8B">
              <w:rPr>
                <w:rFonts w:asciiTheme="majorHAnsi" w:hAnsiTheme="majorHAnsi" w:cstheme="majorHAnsi"/>
              </w:rPr>
              <w:t>Security Control</w:t>
            </w:r>
          </w:p>
        </w:tc>
        <w:tc>
          <w:tcPr>
            <w:tcW w:w="5708" w:type="dxa"/>
            <w:hideMark/>
          </w:tcPr>
          <w:p w14:paraId="574C0E53" w14:textId="77777777" w:rsidR="009E7A56" w:rsidRPr="00816D8B" w:rsidRDefault="009E7A56" w:rsidP="00F46F8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16D8B">
              <w:rPr>
                <w:rFonts w:asciiTheme="majorHAnsi" w:hAnsiTheme="majorHAnsi" w:cstheme="majorHAnsi"/>
              </w:rPr>
              <w:t>Purpose</w:t>
            </w:r>
          </w:p>
        </w:tc>
      </w:tr>
    </w:tbl>
    <w:p w14:paraId="049D92F3" w14:textId="77777777" w:rsidR="009E7A56" w:rsidRPr="00816D8B" w:rsidRDefault="009E7A56" w:rsidP="009E7A56">
      <w:pPr>
        <w:jc w:val="center"/>
        <w:rPr>
          <w:rFonts w:asciiTheme="majorHAnsi" w:hAnsiTheme="majorHAnsi" w:cstheme="majorHAnsi"/>
        </w:rPr>
      </w:pPr>
      <w:r w:rsidRPr="00816D8B">
        <w:rPr>
          <w:rFonts w:asciiTheme="majorHAnsi" w:hAnsiTheme="majorHAnsi" w:cstheme="majorHAnsi"/>
          <w:b/>
          <w:bCs/>
        </w:rPr>
        <w:t xml:space="preserve">Table 5: </w:t>
      </w:r>
      <w:r w:rsidRPr="00816D8B">
        <w:rPr>
          <w:rFonts w:asciiTheme="majorHAnsi" w:hAnsiTheme="majorHAnsi" w:cstheme="majorHAnsi"/>
        </w:rPr>
        <w:t>Recommended Data Protection Controls</w:t>
      </w:r>
    </w:p>
    <w:p w14:paraId="2C1B1F83" w14:textId="77777777" w:rsidR="009E7A56" w:rsidRPr="00816D8B" w:rsidRDefault="009E7A56" w:rsidP="009E7A56">
      <w:pPr>
        <w:jc w:val="both"/>
        <w:rPr>
          <w:rFonts w:asciiTheme="majorHAnsi" w:hAnsiTheme="majorHAnsi" w:cstheme="majorHAnsi"/>
        </w:rPr>
      </w:pPr>
      <w:r w:rsidRPr="00816D8B">
        <w:rPr>
          <w:rFonts w:asciiTheme="majorHAnsi" w:hAnsiTheme="majorHAnsi" w:cstheme="majorHAnsi"/>
        </w:rPr>
        <w:t>These measures should enable FinSure Bank to keep client’s information safe and at the same time incur data-protection regulations in the global sphere.</w:t>
      </w:r>
    </w:p>
    <w:p w14:paraId="2794B703" w14:textId="77777777" w:rsidR="009E7A56" w:rsidRPr="00816D8B" w:rsidRDefault="009E7A56" w:rsidP="009E7A56">
      <w:pPr>
        <w:pStyle w:val="Heading3"/>
        <w:rPr>
          <w:rStyle w:val="Strong"/>
          <w:rFonts w:asciiTheme="majorHAnsi" w:hAnsiTheme="majorHAnsi" w:cstheme="majorHAnsi"/>
          <w:color w:val="auto"/>
        </w:rPr>
      </w:pPr>
      <w:r w:rsidRPr="00816D8B">
        <w:rPr>
          <w:rStyle w:val="Strong"/>
          <w:rFonts w:asciiTheme="majorHAnsi" w:hAnsiTheme="majorHAnsi" w:cstheme="majorHAnsi"/>
          <w:color w:val="auto"/>
        </w:rPr>
        <w:t xml:space="preserve">4.4 </w:t>
      </w:r>
      <w:r w:rsidRPr="00816D8B">
        <w:rPr>
          <w:rFonts w:asciiTheme="majorHAnsi" w:hAnsiTheme="majorHAnsi" w:cstheme="majorHAnsi"/>
          <w:b/>
          <w:bCs/>
          <w:color w:val="auto"/>
        </w:rPr>
        <w:t>Ongoing Security supervision and Risk management.</w:t>
      </w:r>
    </w:p>
    <w:p w14:paraId="0F3DC070" w14:textId="036FC724" w:rsidR="009E7A56" w:rsidRPr="00816D8B" w:rsidRDefault="00E64C28" w:rsidP="00816D8B">
      <w:pPr>
        <w:jc w:val="both"/>
      </w:pPr>
      <w:r w:rsidRPr="00816D8B">
        <w:t>Automated vulnerability tests, regular audits, and continuous monitoring are helpful in identifying threats early on so that the incident response can be improved [2</w:t>
      </w:r>
      <w:r w:rsidR="007B0E74" w:rsidRPr="00816D8B">
        <w:t>3</w:t>
      </w:r>
      <w:r w:rsidRPr="00816D8B">
        <w:t>].</w:t>
      </w:r>
    </w:p>
    <w:p w14:paraId="4F0C5411" w14:textId="50080C4E" w:rsidR="009E7A56" w:rsidRPr="00816D8B" w:rsidRDefault="009E7A56" w:rsidP="00816D8B">
      <w:pPr>
        <w:pStyle w:val="Heading3"/>
        <w:jc w:val="both"/>
        <w:rPr>
          <w:rStyle w:val="Strong"/>
          <w:color w:val="auto"/>
        </w:rPr>
      </w:pPr>
      <w:r w:rsidRPr="00816D8B">
        <w:rPr>
          <w:rStyle w:val="Strong"/>
          <w:color w:val="auto"/>
        </w:rPr>
        <w:t xml:space="preserve">4.5 </w:t>
      </w:r>
      <w:r w:rsidR="00E64C28" w:rsidRPr="00816D8B">
        <w:rPr>
          <w:rStyle w:val="Strong"/>
          <w:color w:val="auto"/>
        </w:rPr>
        <w:t>Security guidelines and backup plans.</w:t>
      </w:r>
    </w:p>
    <w:p w14:paraId="47A9C171" w14:textId="5B4AA3F6" w:rsidR="00E64C28" w:rsidRPr="00816D8B" w:rsidRDefault="00E64C28" w:rsidP="00816D8B">
      <w:pPr>
        <w:jc w:val="both"/>
      </w:pPr>
      <w:r w:rsidRPr="00816D8B">
        <w:t>RBAC, MFA, encryption, BYOD, and cloud management are examples of best practices. Regulation compliance and operational continuity are ensured by response contingency, disaster recovery, and secure backups [</w:t>
      </w:r>
      <w:r w:rsidR="007B0E74" w:rsidRPr="00816D8B">
        <w:t>24</w:t>
      </w:r>
      <w:r w:rsidRPr="00816D8B">
        <w:t>]</w:t>
      </w:r>
      <w:r w:rsidRPr="00816D8B">
        <w:t xml:space="preserve"> </w:t>
      </w:r>
      <w:r w:rsidRPr="00816D8B">
        <w:t>[</w:t>
      </w:r>
      <w:r w:rsidR="007B0E74" w:rsidRPr="00816D8B">
        <w:t>25</w:t>
      </w:r>
      <w:r w:rsidRPr="00816D8B">
        <w:t>].</w:t>
      </w:r>
    </w:p>
    <w:p w14:paraId="0DEEBEFA" w14:textId="0D63C5D9" w:rsidR="009E7A56" w:rsidRPr="00816D8B" w:rsidRDefault="009E7A56" w:rsidP="00816D8B">
      <w:pPr>
        <w:pStyle w:val="Heading3"/>
        <w:rPr>
          <w:rStyle w:val="Strong"/>
          <w:color w:val="auto"/>
        </w:rPr>
      </w:pPr>
      <w:r w:rsidRPr="00816D8B">
        <w:rPr>
          <w:rStyle w:val="Strong"/>
          <w:color w:val="auto"/>
        </w:rPr>
        <w:lastRenderedPageBreak/>
        <w:t>4.6 Network and Perimeter Security</w:t>
      </w:r>
    </w:p>
    <w:p w14:paraId="1B21291B" w14:textId="087B2B81" w:rsidR="009E7A56" w:rsidRPr="00816D8B" w:rsidRDefault="009E7A56" w:rsidP="009E7A56">
      <w:pPr>
        <w:jc w:val="both"/>
        <w:rPr>
          <w:rFonts w:asciiTheme="majorHAnsi" w:eastAsia="Times New Roman" w:hAnsiTheme="majorHAnsi" w:cstheme="majorHAnsi"/>
          <w:kern w:val="0"/>
          <w:highlight w:val="yellow"/>
          <w14:ligatures w14:val="none"/>
        </w:rPr>
      </w:pPr>
      <w:r w:rsidRPr="00816D8B">
        <w:rPr>
          <w:rFonts w:asciiTheme="majorHAnsi" w:eastAsia="Times New Roman" w:hAnsiTheme="majorHAnsi" w:cstheme="majorHAnsi"/>
          <w:kern w:val="0"/>
          <w14:ligatures w14:val="none"/>
        </w:rPr>
        <w:t>In digital banking, networks progressively expose their systems to cyber threats. In order to secure internal networks and maintain operations security, effective network and perimeter security measures are required [</w:t>
      </w:r>
      <w:r w:rsidR="007B0E74" w:rsidRPr="00816D8B">
        <w:rPr>
          <w:rFonts w:asciiTheme="majorHAnsi" w:eastAsia="Times New Roman" w:hAnsiTheme="majorHAnsi" w:cstheme="majorHAnsi"/>
          <w:kern w:val="0"/>
          <w14:ligatures w14:val="none"/>
        </w:rPr>
        <w:t>26</w:t>
      </w:r>
      <w:r w:rsidRPr="00816D8B">
        <w:rPr>
          <w:rFonts w:asciiTheme="majorHAnsi" w:eastAsia="Times New Roman" w:hAnsiTheme="majorHAnsi" w:cstheme="majorHAnsi"/>
          <w:kern w:val="0"/>
          <w14:ligatures w14:val="none"/>
        </w:rPr>
        <w:t>]. Firewalls and Next-Generation Firewalls (NGFWs) offer more sophisticated filtering traffic and threat detection [</w:t>
      </w:r>
      <w:r w:rsidR="007B0E74" w:rsidRPr="00816D8B">
        <w:rPr>
          <w:rFonts w:asciiTheme="majorHAnsi" w:eastAsia="Times New Roman" w:hAnsiTheme="majorHAnsi" w:cstheme="majorHAnsi"/>
          <w:kern w:val="0"/>
          <w14:ligatures w14:val="none"/>
        </w:rPr>
        <w:t>27</w:t>
      </w:r>
      <w:r w:rsidRPr="00816D8B">
        <w:rPr>
          <w:rFonts w:asciiTheme="majorHAnsi" w:eastAsia="Times New Roman" w:hAnsiTheme="majorHAnsi" w:cstheme="majorHAnsi"/>
          <w:kern w:val="0"/>
          <w14:ligatures w14:val="none"/>
        </w:rPr>
        <w:t>]. IDS/IPS is used to detect and prevent malicious activity [</w:t>
      </w:r>
      <w:r w:rsidR="007B0E74" w:rsidRPr="00816D8B">
        <w:rPr>
          <w:rFonts w:asciiTheme="majorHAnsi" w:eastAsia="Times New Roman" w:hAnsiTheme="majorHAnsi" w:cstheme="majorHAnsi"/>
          <w:kern w:val="0"/>
          <w14:ligatures w14:val="none"/>
        </w:rPr>
        <w:t>28</w:t>
      </w:r>
      <w:r w:rsidRPr="00816D8B">
        <w:rPr>
          <w:rFonts w:asciiTheme="majorHAnsi" w:eastAsia="Times New Roman" w:hAnsiTheme="majorHAnsi" w:cstheme="majorHAnsi"/>
          <w:kern w:val="0"/>
          <w14:ligatures w14:val="none"/>
        </w:rPr>
        <w:t>], and network segmentation prevents the lateral attacks. Virtual Privacy Networks (VPNs) are used to secure remote communication with encryptions [</w:t>
      </w:r>
      <w:r w:rsidR="007B0E74" w:rsidRPr="00816D8B">
        <w:rPr>
          <w:rFonts w:asciiTheme="majorHAnsi" w:eastAsia="Times New Roman" w:hAnsiTheme="majorHAnsi" w:cstheme="majorHAnsi"/>
          <w:kern w:val="0"/>
          <w14:ligatures w14:val="none"/>
        </w:rPr>
        <w:t>29</w:t>
      </w:r>
      <w:r w:rsidRPr="00816D8B">
        <w:rPr>
          <w:rFonts w:asciiTheme="majorHAnsi" w:eastAsia="Times New Roman" w:hAnsiTheme="majorHAnsi" w:cstheme="majorHAnsi"/>
          <w:kern w:val="0"/>
          <w14:ligatures w14:val="none"/>
        </w:rPr>
        <w:t>].</w:t>
      </w:r>
    </w:p>
    <w:p w14:paraId="6232B1B2" w14:textId="77777777" w:rsidR="009E7A56" w:rsidRPr="00816D8B" w:rsidRDefault="009E7A56" w:rsidP="009E7A56">
      <w:pPr>
        <w:jc w:val="center"/>
        <w:rPr>
          <w:rFonts w:asciiTheme="majorHAnsi" w:hAnsiTheme="majorHAnsi" w:cstheme="majorHAnsi"/>
        </w:rPr>
      </w:pPr>
      <w:r w:rsidRPr="00816D8B">
        <w:rPr>
          <w:rFonts w:asciiTheme="majorHAnsi" w:hAnsiTheme="majorHAnsi" w:cstheme="majorHAnsi"/>
          <w:noProof/>
        </w:rPr>
        <w:drawing>
          <wp:inline distT="0" distB="0" distL="0" distR="0" wp14:anchorId="0627B1D3" wp14:editId="3BDDACB1">
            <wp:extent cx="5054916" cy="4750130"/>
            <wp:effectExtent l="0" t="0" r="0" b="0"/>
            <wp:docPr id="6613110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3371" cy="4776869"/>
                    </a:xfrm>
                    <a:prstGeom prst="rect">
                      <a:avLst/>
                    </a:prstGeom>
                    <a:noFill/>
                    <a:ln>
                      <a:noFill/>
                    </a:ln>
                  </pic:spPr>
                </pic:pic>
              </a:graphicData>
            </a:graphic>
          </wp:inline>
        </w:drawing>
      </w:r>
    </w:p>
    <w:p w14:paraId="4DD7DF0B" w14:textId="77777777" w:rsidR="009E7A56" w:rsidRPr="00816D8B" w:rsidRDefault="009E7A56" w:rsidP="009E7A56">
      <w:pPr>
        <w:jc w:val="center"/>
        <w:rPr>
          <w:rFonts w:asciiTheme="majorHAnsi" w:hAnsiTheme="majorHAnsi" w:cstheme="majorHAnsi"/>
        </w:rPr>
      </w:pPr>
      <w:r w:rsidRPr="00816D8B">
        <w:rPr>
          <w:rFonts w:asciiTheme="majorHAnsi" w:hAnsiTheme="majorHAnsi" w:cstheme="majorHAnsi"/>
          <w:b/>
          <w:bCs/>
        </w:rPr>
        <w:t xml:space="preserve">Figure 4: </w:t>
      </w:r>
      <w:r w:rsidRPr="00816D8B">
        <w:rPr>
          <w:rFonts w:asciiTheme="majorHAnsi" w:hAnsiTheme="majorHAnsi" w:cstheme="majorHAnsi"/>
        </w:rPr>
        <w:t>Layered Network Security Architecture</w:t>
      </w:r>
    </w:p>
    <w:p w14:paraId="6D94799E" w14:textId="77777777" w:rsidR="009E7A56" w:rsidRPr="00816D8B" w:rsidRDefault="009E7A56" w:rsidP="009E7A56">
      <w:pPr>
        <w:rPr>
          <w:rFonts w:asciiTheme="majorHAnsi" w:hAnsiTheme="majorHAnsi" w:cstheme="majorHAnsi"/>
        </w:rPr>
      </w:pPr>
      <w:r w:rsidRPr="00816D8B">
        <w:rPr>
          <w:rFonts w:asciiTheme="majorHAnsi" w:hAnsiTheme="majorHAnsi" w:cstheme="majorHAnsi"/>
        </w:rPr>
        <w:br w:type="page"/>
      </w:r>
    </w:p>
    <w:p w14:paraId="740A8D51" w14:textId="1BF95F6B" w:rsidR="009E7A56" w:rsidRPr="00816D8B" w:rsidRDefault="009E7A56" w:rsidP="009E7A56">
      <w:pPr>
        <w:jc w:val="both"/>
        <w:rPr>
          <w:rFonts w:asciiTheme="majorHAnsi" w:hAnsiTheme="majorHAnsi" w:cstheme="majorHAnsi"/>
        </w:rPr>
      </w:pPr>
      <w:r w:rsidRPr="00816D8B">
        <w:rPr>
          <w:rFonts w:asciiTheme="majorHAnsi" w:hAnsiTheme="majorHAnsi" w:cstheme="majorHAnsi"/>
        </w:rPr>
        <w:lastRenderedPageBreak/>
        <w:t>Additionally, contextual access control and continuous authentication are enforced by Zero Trust architectures, which significantly reduce insider threats and unauthorized access [</w:t>
      </w:r>
      <w:r w:rsidR="007B0E74" w:rsidRPr="00816D8B">
        <w:rPr>
          <w:rFonts w:asciiTheme="majorHAnsi" w:hAnsiTheme="majorHAnsi" w:cstheme="majorHAnsi"/>
        </w:rPr>
        <w:t>30</w:t>
      </w:r>
      <w:r w:rsidRPr="00816D8B">
        <w:rPr>
          <w:rFonts w:asciiTheme="majorHAnsi" w:hAnsiTheme="majorHAnsi" w:cstheme="majorHAnsi"/>
        </w:rPr>
        <w:t>].</w:t>
      </w:r>
    </w:p>
    <w:p w14:paraId="53DC646B" w14:textId="77777777" w:rsidR="009E7A56" w:rsidRPr="00816D8B" w:rsidRDefault="009E7A56" w:rsidP="009E7A56">
      <w:pPr>
        <w:spacing w:after="0"/>
        <w:jc w:val="center"/>
        <w:rPr>
          <w:rFonts w:asciiTheme="majorHAnsi" w:hAnsiTheme="majorHAnsi" w:cstheme="majorHAnsi"/>
        </w:rPr>
      </w:pPr>
      <w:r w:rsidRPr="00816D8B">
        <w:rPr>
          <w:rFonts w:asciiTheme="majorHAnsi" w:hAnsiTheme="majorHAnsi" w:cstheme="majorHAnsi"/>
          <w:noProof/>
        </w:rPr>
        <w:drawing>
          <wp:inline distT="0" distB="0" distL="0" distR="0" wp14:anchorId="4236CF41" wp14:editId="4BB9B8FE">
            <wp:extent cx="4964567" cy="5094514"/>
            <wp:effectExtent l="0" t="0" r="7620" b="0"/>
            <wp:docPr id="21282716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11259" cy="5142428"/>
                    </a:xfrm>
                    <a:prstGeom prst="rect">
                      <a:avLst/>
                    </a:prstGeom>
                    <a:noFill/>
                    <a:ln>
                      <a:noFill/>
                    </a:ln>
                  </pic:spPr>
                </pic:pic>
              </a:graphicData>
            </a:graphic>
          </wp:inline>
        </w:drawing>
      </w:r>
    </w:p>
    <w:p w14:paraId="490550C9" w14:textId="77777777" w:rsidR="009E7A56" w:rsidRPr="00816D8B" w:rsidRDefault="009E7A56" w:rsidP="009E7A56">
      <w:pPr>
        <w:jc w:val="center"/>
        <w:rPr>
          <w:rFonts w:asciiTheme="majorHAnsi" w:hAnsiTheme="majorHAnsi" w:cstheme="majorHAnsi"/>
        </w:rPr>
      </w:pPr>
      <w:r w:rsidRPr="00816D8B">
        <w:rPr>
          <w:rFonts w:asciiTheme="majorHAnsi" w:hAnsiTheme="majorHAnsi" w:cstheme="majorHAnsi"/>
          <w:b/>
          <w:bCs/>
        </w:rPr>
        <w:t>Figure 5</w:t>
      </w:r>
      <w:r w:rsidRPr="00816D8B">
        <w:rPr>
          <w:rFonts w:asciiTheme="majorHAnsi" w:hAnsiTheme="majorHAnsi" w:cstheme="majorHAnsi"/>
        </w:rPr>
        <w:t>: Zero Trust architectures</w:t>
      </w:r>
    </w:p>
    <w:p w14:paraId="6BF908C8" w14:textId="77777777" w:rsidR="009E7A56" w:rsidRPr="00816D8B" w:rsidRDefault="009E7A56" w:rsidP="009E7A56">
      <w:pPr>
        <w:rPr>
          <w:rFonts w:asciiTheme="majorHAnsi" w:hAnsiTheme="majorHAnsi" w:cstheme="majorHAnsi"/>
        </w:rPr>
      </w:pPr>
      <w:r w:rsidRPr="00816D8B">
        <w:rPr>
          <w:rFonts w:asciiTheme="majorHAnsi" w:hAnsiTheme="majorHAnsi" w:cstheme="majorHAnsi"/>
        </w:rPr>
        <w:br w:type="page"/>
      </w:r>
    </w:p>
    <w:p w14:paraId="4BD2D1B9" w14:textId="77777777" w:rsidR="009E7A56" w:rsidRPr="00816D8B" w:rsidRDefault="009E7A56" w:rsidP="009E7A56">
      <w:pPr>
        <w:pStyle w:val="Heading1"/>
        <w:numPr>
          <w:ilvl w:val="0"/>
          <w:numId w:val="1"/>
        </w:numPr>
        <w:jc w:val="center"/>
        <w:rPr>
          <w:rStyle w:val="Heading1Char"/>
          <w:rFonts w:cstheme="majorHAnsi"/>
          <w:b/>
          <w:bCs/>
          <w:color w:val="auto"/>
        </w:rPr>
      </w:pPr>
      <w:r w:rsidRPr="00816D8B">
        <w:rPr>
          <w:rStyle w:val="Heading1Char"/>
          <w:rFonts w:cstheme="majorHAnsi"/>
          <w:b/>
          <w:bCs/>
          <w:color w:val="auto"/>
        </w:rPr>
        <w:lastRenderedPageBreak/>
        <w:t>The Resurgence of Information Security Rules and Standards Implication.</w:t>
      </w:r>
    </w:p>
    <w:p w14:paraId="16C51C75" w14:textId="77777777" w:rsidR="001A5C56" w:rsidRPr="00816D8B" w:rsidRDefault="001A5C56" w:rsidP="00816D8B">
      <w:pPr>
        <w:jc w:val="both"/>
      </w:pPr>
      <w:r w:rsidRPr="00816D8B">
        <w:t>The rushed digitalisation and changing cyber threats demand the dynamic changes in the security regulations and standards. Armed with powerful risk management measures, the use of contemporary controls and compliance are essential because of the sensitivity of the information undertaken by the financial institutions and operational safety.</w:t>
      </w:r>
    </w:p>
    <w:p w14:paraId="5750E87C" w14:textId="31FCA3A8" w:rsidR="001A5C56" w:rsidRPr="00816D8B" w:rsidRDefault="009E7A56" w:rsidP="00816D8B">
      <w:pPr>
        <w:pStyle w:val="Heading3"/>
        <w:jc w:val="both"/>
        <w:rPr>
          <w:rFonts w:asciiTheme="majorHAnsi" w:eastAsia="Times New Roman" w:hAnsiTheme="majorHAnsi" w:cstheme="majorHAnsi"/>
          <w:b/>
          <w:bCs/>
          <w:color w:val="auto"/>
        </w:rPr>
      </w:pPr>
      <w:r w:rsidRPr="00816D8B">
        <w:rPr>
          <w:rFonts w:asciiTheme="majorHAnsi" w:eastAsia="Times New Roman" w:hAnsiTheme="majorHAnsi" w:cstheme="majorHAnsi"/>
          <w:b/>
          <w:bCs/>
          <w:color w:val="auto"/>
        </w:rPr>
        <w:t>5.1 Discussion of New Cybersecurity Threats.</w:t>
      </w:r>
    </w:p>
    <w:p w14:paraId="0E74CD82" w14:textId="2B3E8C8F" w:rsidR="001A5C56" w:rsidRPr="00816D8B" w:rsidRDefault="001A5C56" w:rsidP="00816D8B">
      <w:pPr>
        <w:jc w:val="both"/>
      </w:pPr>
      <w:r w:rsidRPr="00816D8B">
        <w:t>Phishing is at scale, AI-driven attacks, malware, and other advanced threats are examples that create organisational risk. Old systems are still susceptible and frequent upgrades of security systems and technologies are needed to avoid data breaches and identity thieves [</w:t>
      </w:r>
      <w:r w:rsidR="007B0E74" w:rsidRPr="00816D8B">
        <w:t>31</w:t>
      </w:r>
      <w:r w:rsidRPr="00816D8B">
        <w:t>].</w:t>
      </w:r>
    </w:p>
    <w:p w14:paraId="51D8C5F9" w14:textId="0442B70B" w:rsidR="009E7A56" w:rsidRPr="00816D8B" w:rsidRDefault="009E7A56" w:rsidP="00816D8B">
      <w:pPr>
        <w:pStyle w:val="Heading3"/>
        <w:jc w:val="both"/>
        <w:rPr>
          <w:rFonts w:asciiTheme="majorHAnsi" w:eastAsia="Times New Roman" w:hAnsiTheme="majorHAnsi" w:cstheme="majorHAnsi"/>
          <w:b/>
          <w:bCs/>
          <w:color w:val="auto"/>
        </w:rPr>
      </w:pPr>
      <w:r w:rsidRPr="00816D8B">
        <w:rPr>
          <w:rFonts w:asciiTheme="majorHAnsi" w:eastAsia="Times New Roman" w:hAnsiTheme="majorHAnsi" w:cstheme="majorHAnsi"/>
          <w:b/>
          <w:bCs/>
          <w:color w:val="auto"/>
        </w:rPr>
        <w:t>5.2 Ensuring Legal and Regulatory Compliance</w:t>
      </w:r>
    </w:p>
    <w:p w14:paraId="176EC47F" w14:textId="1E793DE8" w:rsidR="001A5C56" w:rsidRPr="00816D8B" w:rsidRDefault="001A5C56" w:rsidP="00816D8B">
      <w:pPr>
        <w:jc w:val="both"/>
      </w:pPr>
      <w:r w:rsidRPr="00816D8B">
        <w:t>The rules like the General Data Protection Regulation (GDPR) enhance data protection and reporting of breaches. The non-compliance can lead to financial fines and reputational losses and it is imperative to ensure that it is constantly done [</w:t>
      </w:r>
      <w:r w:rsidR="007B0E74" w:rsidRPr="00816D8B">
        <w:t>32</w:t>
      </w:r>
      <w:r w:rsidRPr="00816D8B">
        <w:t>].</w:t>
      </w:r>
    </w:p>
    <w:p w14:paraId="36706170" w14:textId="7C8BBA15" w:rsidR="009E7A56" w:rsidRPr="00816D8B" w:rsidRDefault="009E7A56" w:rsidP="00816D8B">
      <w:pPr>
        <w:pStyle w:val="Heading3"/>
        <w:jc w:val="both"/>
        <w:rPr>
          <w:rFonts w:asciiTheme="majorHAnsi" w:eastAsia="Times New Roman" w:hAnsiTheme="majorHAnsi" w:cstheme="majorHAnsi"/>
          <w:b/>
          <w:bCs/>
          <w:color w:val="auto"/>
        </w:rPr>
      </w:pPr>
      <w:r w:rsidRPr="00816D8B">
        <w:rPr>
          <w:rFonts w:asciiTheme="majorHAnsi" w:eastAsia="Times New Roman" w:hAnsiTheme="majorHAnsi" w:cstheme="majorHAnsi"/>
          <w:b/>
          <w:bCs/>
          <w:color w:val="auto"/>
        </w:rPr>
        <w:t>5.3 Legal/Regulatory Compliance.</w:t>
      </w:r>
    </w:p>
    <w:p w14:paraId="6DA2288B" w14:textId="6F70F7A0" w:rsidR="009E7A56" w:rsidRPr="00816D8B" w:rsidRDefault="001A5C56" w:rsidP="00816D8B">
      <w:pPr>
        <w:jc w:val="both"/>
        <w:rPr>
          <w:rStyle w:val="Heading1Char"/>
          <w:rFonts w:cstheme="majorHAnsi"/>
          <w:b/>
          <w:bCs/>
          <w:color w:val="auto"/>
        </w:rPr>
      </w:pPr>
      <w:r w:rsidRPr="00816D8B">
        <w:t>The adaptable governance of security and active risk management also enhance the resilience of organisations and promote safe digital activities.</w:t>
      </w:r>
      <w:r w:rsidR="009E7A56" w:rsidRPr="00816D8B">
        <w:rPr>
          <w:rStyle w:val="Heading1Char"/>
          <w:rFonts w:cstheme="majorHAnsi"/>
          <w:b/>
          <w:bCs/>
          <w:color w:val="auto"/>
        </w:rPr>
        <w:br w:type="page"/>
      </w:r>
    </w:p>
    <w:p w14:paraId="00FA4DDE" w14:textId="77777777" w:rsidR="009E7A56" w:rsidRPr="00816D8B" w:rsidRDefault="009E7A56" w:rsidP="00D13EB1">
      <w:pPr>
        <w:pStyle w:val="Heading1"/>
        <w:numPr>
          <w:ilvl w:val="0"/>
          <w:numId w:val="2"/>
        </w:numPr>
        <w:jc w:val="center"/>
        <w:rPr>
          <w:rFonts w:cstheme="majorHAnsi"/>
          <w:b/>
          <w:bCs/>
          <w:color w:val="auto"/>
        </w:rPr>
      </w:pPr>
      <w:r w:rsidRPr="00816D8B">
        <w:rPr>
          <w:rStyle w:val="Heading1Char"/>
          <w:rFonts w:cstheme="majorHAnsi"/>
          <w:b/>
          <w:bCs/>
          <w:color w:val="auto"/>
        </w:rPr>
        <w:lastRenderedPageBreak/>
        <w:t>Conclusion</w:t>
      </w:r>
    </w:p>
    <w:p w14:paraId="3349C4AD" w14:textId="77777777" w:rsidR="00816D8B" w:rsidRDefault="001A5C56" w:rsidP="00816D8B">
      <w:pPr>
        <w:rPr>
          <w:rFonts w:asciiTheme="majorHAnsi" w:hAnsiTheme="majorHAnsi" w:cstheme="majorHAnsi"/>
        </w:rPr>
      </w:pPr>
      <w:r w:rsidRPr="00816D8B">
        <w:rPr>
          <w:rFonts w:asciiTheme="majorHAnsi" w:hAnsiTheme="majorHAnsi" w:cstheme="majorHAnsi"/>
        </w:rPr>
        <w:t xml:space="preserve">To mitigate such a challenge, a robust Governance, Risk, and Compliance (GRC) framework should be embraced at FinSure Bank to tackle the emerging cybersecurity challenges. The introduction of structured security governance with the aid of risk management and continuous monitoring greatly improves the resilience of organisations. Access management, data protection and incident response are the key controls that guarantee the security of vital financial systems. Implementing the security practices according to the regulatory requirements, the bank is able to secure sensitive data and safeguard the trust of customers as well as the </w:t>
      </w:r>
      <w:r w:rsidRPr="00816D8B">
        <w:rPr>
          <w:rFonts w:asciiTheme="majorHAnsi" w:hAnsiTheme="majorHAnsi" w:cstheme="majorHAnsi"/>
        </w:rPr>
        <w:t>long-term</w:t>
      </w:r>
      <w:r w:rsidRPr="00816D8B">
        <w:rPr>
          <w:rFonts w:asciiTheme="majorHAnsi" w:hAnsiTheme="majorHAnsi" w:cstheme="majorHAnsi"/>
        </w:rPr>
        <w:t xml:space="preserve"> operational stability of the bank in a </w:t>
      </w:r>
      <w:r w:rsidRPr="00816D8B">
        <w:rPr>
          <w:rFonts w:asciiTheme="majorHAnsi" w:hAnsiTheme="majorHAnsi" w:cstheme="majorHAnsi"/>
        </w:rPr>
        <w:t>fast-evolving</w:t>
      </w:r>
      <w:r w:rsidRPr="00816D8B">
        <w:rPr>
          <w:rFonts w:asciiTheme="majorHAnsi" w:hAnsiTheme="majorHAnsi" w:cstheme="majorHAnsi"/>
        </w:rPr>
        <w:t xml:space="preserve"> digital landscape.</w:t>
      </w:r>
    </w:p>
    <w:p w14:paraId="20465058" w14:textId="5788B9B9" w:rsidR="009E7A56" w:rsidRPr="00744439" w:rsidRDefault="009E7A56" w:rsidP="00744439">
      <w:pPr>
        <w:pStyle w:val="Heading1"/>
        <w:jc w:val="center"/>
        <w:rPr>
          <w:b/>
          <w:bCs/>
        </w:rPr>
      </w:pPr>
      <w:r w:rsidRPr="00744439">
        <w:rPr>
          <w:b/>
          <w:bCs/>
        </w:rPr>
        <w:br w:type="page"/>
      </w:r>
      <w:r w:rsidRPr="00744439">
        <w:rPr>
          <w:rStyle w:val="Heading1Char"/>
          <w:rFonts w:cstheme="majorHAnsi"/>
          <w:b/>
          <w:bCs/>
          <w:color w:val="auto"/>
        </w:rPr>
        <w:lastRenderedPageBreak/>
        <w:t>7. References</w:t>
      </w:r>
    </w:p>
    <w:p w14:paraId="0CE4BB8C"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[1] M. E. Whitman and H. J. Mattord, </w:t>
      </w:r>
      <w:r w:rsidRPr="00D13EB1">
        <w:rPr>
          <w:rFonts w:asciiTheme="majorHAnsi" w:hAnsiTheme="majorHAnsi" w:cstheme="majorHAnsi"/>
          <w:i/>
          <w:iCs/>
        </w:rPr>
        <w:t>Principles of Information Security</w:t>
      </w:r>
      <w:r w:rsidRPr="00D13EB1">
        <w:rPr>
          <w:rFonts w:asciiTheme="majorHAnsi" w:hAnsiTheme="majorHAnsi" w:cstheme="majorHAnsi"/>
        </w:rPr>
        <w:t>, 7th ed. Boston, MA, USA: Cengage Learning, 2021.</w:t>
      </w:r>
    </w:p>
    <w:p w14:paraId="3DFB8F2D"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[2] B. von Solms and J. van Niekerk, "From information security to cyber security," </w:t>
      </w:r>
      <w:r w:rsidRPr="00D13EB1">
        <w:rPr>
          <w:rFonts w:asciiTheme="majorHAnsi" w:hAnsiTheme="majorHAnsi" w:cstheme="majorHAnsi"/>
          <w:i/>
          <w:iCs/>
        </w:rPr>
        <w:t>Computers &amp; Security</w:t>
      </w:r>
      <w:r w:rsidRPr="00D13EB1">
        <w:rPr>
          <w:rFonts w:asciiTheme="majorHAnsi" w:hAnsiTheme="majorHAnsi" w:cstheme="majorHAnsi"/>
        </w:rPr>
        <w:t>, vol. 38, pp. 97–102, 2013.</w:t>
      </w:r>
    </w:p>
    <w:p w14:paraId="76B0765B"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[3] AXELOS, </w:t>
      </w:r>
      <w:r w:rsidRPr="00D13EB1">
        <w:rPr>
          <w:rFonts w:asciiTheme="majorHAnsi" w:hAnsiTheme="majorHAnsi" w:cstheme="majorHAnsi"/>
          <w:i/>
          <w:iCs/>
        </w:rPr>
        <w:t>ITIL Foundation: ITIL 4 Edition</w:t>
      </w:r>
      <w:r w:rsidRPr="00D13EB1">
        <w:rPr>
          <w:rFonts w:asciiTheme="majorHAnsi" w:hAnsiTheme="majorHAnsi" w:cstheme="majorHAnsi"/>
        </w:rPr>
        <w:t>. London, UK: TSO (The Stationery Office), 2019.</w:t>
      </w:r>
    </w:p>
    <w:p w14:paraId="6AB9660F"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[4] T. Grance and W. Jansen, "Guidelines on Security and Privacy in Public Cloud Computing," NIST Special Publication 800-144, National Institute of Standards and Technology, Gaithersburg, MD, USA, 2011.</w:t>
      </w:r>
    </w:p>
    <w:p w14:paraId="658D47F4"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[5] R. von Solms, "Information security governance: COBIT or ISO 17799 or both?," </w:t>
      </w:r>
      <w:r w:rsidRPr="00D13EB1">
        <w:rPr>
          <w:rFonts w:asciiTheme="majorHAnsi" w:hAnsiTheme="majorHAnsi" w:cstheme="majorHAnsi"/>
          <w:i/>
          <w:iCs/>
        </w:rPr>
        <w:t>Computers &amp; Security</w:t>
      </w:r>
      <w:r w:rsidRPr="00D13EB1">
        <w:rPr>
          <w:rFonts w:asciiTheme="majorHAnsi" w:hAnsiTheme="majorHAnsi" w:cstheme="majorHAnsi"/>
        </w:rPr>
        <w:t>, vol. 24, no. 2, pp. 99–104, 2005.</w:t>
      </w:r>
    </w:p>
    <w:p w14:paraId="780E5B2A"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[6] P. Bowen, J. Hash, and M. Wilson, "Information Security Handbook: A Guide for Managers," NIST Special Publication 800-100, Gaithersburg, MD, USA, 2006.</w:t>
      </w:r>
    </w:p>
    <w:p w14:paraId="59CC604E"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[7] A. Calder and S. Watkins, </w:t>
      </w:r>
      <w:r w:rsidRPr="00D13EB1">
        <w:rPr>
          <w:rFonts w:asciiTheme="majorHAnsi" w:hAnsiTheme="majorHAnsi" w:cstheme="majorHAnsi"/>
          <w:i/>
          <w:iCs/>
        </w:rPr>
        <w:t>IT Governance: An International Guide to Data Security and ISO27001/ISO27002</w:t>
      </w:r>
      <w:r w:rsidRPr="00D13EB1">
        <w:rPr>
          <w:rFonts w:asciiTheme="majorHAnsi" w:hAnsiTheme="majorHAnsi" w:cstheme="majorHAnsi"/>
        </w:rPr>
        <w:t>, London, UK: Kogan Page, 2015.</w:t>
      </w:r>
    </w:p>
    <w:p w14:paraId="10976888"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[8] E. Humphreys, "Information security management standards: Compliance, governance and risk management," </w:t>
      </w:r>
      <w:r w:rsidRPr="00D13EB1">
        <w:rPr>
          <w:rFonts w:asciiTheme="majorHAnsi" w:hAnsiTheme="majorHAnsi" w:cstheme="majorHAnsi"/>
          <w:i/>
          <w:iCs/>
        </w:rPr>
        <w:t>Information Security Technical Report</w:t>
      </w:r>
      <w:r w:rsidRPr="00D13EB1">
        <w:rPr>
          <w:rFonts w:asciiTheme="majorHAnsi" w:hAnsiTheme="majorHAnsi" w:cstheme="majorHAnsi"/>
        </w:rPr>
        <w:t>, vol. 13, no. 4, pp. 247–255, 2008.</w:t>
      </w:r>
    </w:p>
    <w:p w14:paraId="1B91D4DE"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[9] M. Marrone and M. Kolbe, "Uncovering ITIL claims: IT executives’ perception on benefits and business impact," </w:t>
      </w:r>
      <w:r w:rsidRPr="00D13EB1">
        <w:rPr>
          <w:rFonts w:asciiTheme="majorHAnsi" w:hAnsiTheme="majorHAnsi" w:cstheme="majorHAnsi"/>
          <w:i/>
          <w:iCs/>
        </w:rPr>
        <w:t>Information Systems and e-Business Management</w:t>
      </w:r>
      <w:r w:rsidRPr="00D13EB1">
        <w:rPr>
          <w:rFonts w:asciiTheme="majorHAnsi" w:hAnsiTheme="majorHAnsi" w:cstheme="majorHAnsi"/>
        </w:rPr>
        <w:t>, vol. 9, no. 3, pp. 363–380, 2011.</w:t>
      </w:r>
    </w:p>
    <w:p w14:paraId="44A0099C"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[10] National Institute of Standards and Technology, "Framework for Improving Critical Infrastructure Cybersecurity," NIST, Gaithersburg, MD, USA, 2018.</w:t>
      </w:r>
    </w:p>
    <w:p w14:paraId="4A9D9205"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[11] K. Stine, S. Quinn, D. Witte, and M. Gardner, "Guide for Cybersecurity Event Recovery," NIST Special Publication 800-184, 2016.</w:t>
      </w:r>
    </w:p>
    <w:p w14:paraId="19F79652"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[12] K. Siponen and A. Vance, "Neutralization: New insights into the problem of employee information systems security policy violations," </w:t>
      </w:r>
      <w:r w:rsidRPr="00D13EB1">
        <w:rPr>
          <w:rFonts w:asciiTheme="majorHAnsi" w:hAnsiTheme="majorHAnsi" w:cstheme="majorHAnsi"/>
          <w:i/>
          <w:iCs/>
        </w:rPr>
        <w:t>MIS Quarterly</w:t>
      </w:r>
      <w:r w:rsidRPr="00D13EB1">
        <w:rPr>
          <w:rFonts w:asciiTheme="majorHAnsi" w:hAnsiTheme="majorHAnsi" w:cstheme="majorHAnsi"/>
        </w:rPr>
        <w:t>, vol. 34, no. 3, pp. 487–502, 2010.</w:t>
      </w:r>
    </w:p>
    <w:p w14:paraId="4A4E8CB9"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[13] S. Subashini and V. Kavitha, "A survey on security issues in service delivery models of cloud computing," </w:t>
      </w:r>
      <w:r w:rsidRPr="00D13EB1">
        <w:rPr>
          <w:rFonts w:asciiTheme="majorHAnsi" w:hAnsiTheme="majorHAnsi" w:cstheme="majorHAnsi"/>
          <w:i/>
          <w:iCs/>
        </w:rPr>
        <w:t>Journal of Network and Computer Applications</w:t>
      </w:r>
      <w:r w:rsidRPr="00D13EB1">
        <w:rPr>
          <w:rFonts w:asciiTheme="majorHAnsi" w:hAnsiTheme="majorHAnsi" w:cstheme="majorHAnsi"/>
        </w:rPr>
        <w:t>, vol. 34, no. 1, pp. 1–11, 2011.</w:t>
      </w:r>
    </w:p>
    <w:p w14:paraId="4279733E"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[14] M. Morrow, "BYOD security challenges: Control and protect your most sensitive data," </w:t>
      </w:r>
      <w:r w:rsidRPr="00D13EB1">
        <w:rPr>
          <w:rFonts w:asciiTheme="majorHAnsi" w:hAnsiTheme="majorHAnsi" w:cstheme="majorHAnsi"/>
          <w:i/>
          <w:iCs/>
        </w:rPr>
        <w:t>Network Security</w:t>
      </w:r>
      <w:r w:rsidRPr="00D13EB1">
        <w:rPr>
          <w:rFonts w:asciiTheme="majorHAnsi" w:hAnsiTheme="majorHAnsi" w:cstheme="majorHAnsi"/>
        </w:rPr>
        <w:t>, vol. 2012, no. 12, pp. 5–8, 2012.</w:t>
      </w:r>
    </w:p>
    <w:p w14:paraId="4846E9CA"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lastRenderedPageBreak/>
        <w:t xml:space="preserve">[15] A. A. Alqahtani and H. H. Alqahtani, "Cybersecurity risks in mobile banking applications: Threats and countermeasures," </w:t>
      </w:r>
      <w:r w:rsidRPr="00D13EB1">
        <w:rPr>
          <w:rFonts w:asciiTheme="majorHAnsi" w:hAnsiTheme="majorHAnsi" w:cstheme="majorHAnsi"/>
          <w:i/>
          <w:iCs/>
        </w:rPr>
        <w:t>Int. Journal of Advanced Computer Science and Applications</w:t>
      </w:r>
      <w:r w:rsidRPr="00D13EB1">
        <w:rPr>
          <w:rFonts w:asciiTheme="majorHAnsi" w:hAnsiTheme="majorHAnsi" w:cstheme="majorHAnsi"/>
        </w:rPr>
        <w:t>, vol. 11, no. 6, pp. 455–462, 2020.</w:t>
      </w:r>
    </w:p>
    <w:p w14:paraId="6383C32C"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[16] </w:t>
      </w:r>
      <w:r w:rsidRPr="00D13EB1">
        <w:rPr>
          <w:rFonts w:asciiTheme="majorHAnsi" w:hAnsiTheme="majorHAnsi" w:cstheme="majorHAnsi"/>
          <w:i/>
          <w:iCs/>
        </w:rPr>
        <w:t>Information security, cybersecurity and privacy protection — Guidance on managing information security risks</w:t>
      </w:r>
      <w:r w:rsidRPr="00D13EB1">
        <w:rPr>
          <w:rFonts w:asciiTheme="majorHAnsi" w:hAnsiTheme="majorHAnsi" w:cstheme="majorHAnsi"/>
        </w:rPr>
        <w:t>, ISO/IEC 27005:2022, 2022.</w:t>
      </w:r>
    </w:p>
    <w:p w14:paraId="50E35230"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[17] H. A. Shey, J. M. Corman, and J. P. Nunes, "Managing enterprise information security risk," </w:t>
      </w:r>
      <w:r w:rsidRPr="00D13EB1">
        <w:rPr>
          <w:rFonts w:asciiTheme="majorHAnsi" w:hAnsiTheme="majorHAnsi" w:cstheme="majorHAnsi"/>
          <w:i/>
          <w:iCs/>
        </w:rPr>
        <w:t>IEEE Security &amp; Privacy</w:t>
      </w:r>
      <w:r w:rsidRPr="00D13EB1">
        <w:rPr>
          <w:rFonts w:asciiTheme="majorHAnsi" w:hAnsiTheme="majorHAnsi" w:cstheme="majorHAnsi"/>
        </w:rPr>
        <w:t>, vol. 8, no. 4, pp. 30–36, 2010.</w:t>
      </w:r>
    </w:p>
    <w:p w14:paraId="3BD4E829"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[18] National Institute of Standards and Technology, "Risk Management Framework for Information Systems and Organizations," NIST Special Publication 800-37, 2018.</w:t>
      </w:r>
    </w:p>
    <w:p w14:paraId="71DB35DF"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[19] A. Da Veiga and J. H. P. Eloff, "A framework and assessment instrument for information security culture," </w:t>
      </w:r>
      <w:r w:rsidRPr="00D13EB1">
        <w:rPr>
          <w:rFonts w:asciiTheme="majorHAnsi" w:hAnsiTheme="majorHAnsi" w:cstheme="majorHAnsi"/>
          <w:i/>
          <w:iCs/>
        </w:rPr>
        <w:t>Computers &amp; Security</w:t>
      </w:r>
      <w:r w:rsidRPr="00D13EB1">
        <w:rPr>
          <w:rFonts w:asciiTheme="majorHAnsi" w:hAnsiTheme="majorHAnsi" w:cstheme="majorHAnsi"/>
        </w:rPr>
        <w:t>, vol. 29, no. 2, pp. 196–207, 2010.</w:t>
      </w:r>
    </w:p>
    <w:p w14:paraId="01AEA912"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[20] S. De Haes and W. Van Grembergen, </w:t>
      </w:r>
      <w:r w:rsidRPr="00D13EB1">
        <w:rPr>
          <w:rFonts w:asciiTheme="majorHAnsi" w:hAnsiTheme="majorHAnsi" w:cstheme="majorHAnsi"/>
          <w:i/>
          <w:iCs/>
        </w:rPr>
        <w:t>Enterprise Governance of Information Technology</w:t>
      </w:r>
      <w:r w:rsidRPr="00D13EB1">
        <w:rPr>
          <w:rFonts w:asciiTheme="majorHAnsi" w:hAnsiTheme="majorHAnsi" w:cstheme="majorHAnsi"/>
        </w:rPr>
        <w:t>. New York, NY, USA: Springer, 2015.</w:t>
      </w:r>
    </w:p>
    <w:p w14:paraId="2498D129"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[21] S. AlHogail, "Improving IoT Readiness of Organizations Based on the Information Security Culture," </w:t>
      </w:r>
      <w:r w:rsidRPr="00D13EB1">
        <w:rPr>
          <w:rFonts w:asciiTheme="majorHAnsi" w:hAnsiTheme="majorHAnsi" w:cstheme="majorHAnsi"/>
          <w:i/>
          <w:iCs/>
        </w:rPr>
        <w:t>IEEE Access</w:t>
      </w:r>
      <w:r w:rsidRPr="00D13EB1">
        <w:rPr>
          <w:rFonts w:asciiTheme="majorHAnsi" w:hAnsiTheme="majorHAnsi" w:cstheme="majorHAnsi"/>
        </w:rPr>
        <w:t>, vol. 6, pp. 22259–22269, 2018.</w:t>
      </w:r>
    </w:p>
    <w:p w14:paraId="159CDF87"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[22] D. Bhalavat, A. Doshi, N. Keni, and P. R. Shah, "Automated Compliance: A Privacy-Focused Solution for GDPR and DPDPA Adherence," in </w:t>
      </w:r>
      <w:r w:rsidRPr="00D13EB1">
        <w:rPr>
          <w:rFonts w:asciiTheme="majorHAnsi" w:hAnsiTheme="majorHAnsi" w:cstheme="majorHAnsi"/>
          <w:i/>
          <w:iCs/>
        </w:rPr>
        <w:t>2024 13th Int. Conf. on System Modeling &amp; Advancement in Research Trends (SMART)</w:t>
      </w:r>
      <w:r w:rsidRPr="00D13EB1">
        <w:rPr>
          <w:rFonts w:asciiTheme="majorHAnsi" w:hAnsiTheme="majorHAnsi" w:cstheme="majorHAnsi"/>
        </w:rPr>
        <w:t>, 2024, pp. 831–837.</w:t>
      </w:r>
    </w:p>
    <w:p w14:paraId="3E37E90D"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[23] S. Noel, E. Harley, K. Tam, M. Limiero, and D. Sharevski, "Measuring and visualizing the quality of cyber security risk management," </w:t>
      </w:r>
      <w:r w:rsidRPr="00D13EB1">
        <w:rPr>
          <w:rFonts w:asciiTheme="majorHAnsi" w:hAnsiTheme="majorHAnsi" w:cstheme="majorHAnsi"/>
          <w:i/>
          <w:iCs/>
        </w:rPr>
        <w:t>IEEE Security &amp; Privacy</w:t>
      </w:r>
      <w:r w:rsidRPr="00D13EB1">
        <w:rPr>
          <w:rFonts w:asciiTheme="majorHAnsi" w:hAnsiTheme="majorHAnsi" w:cstheme="majorHAnsi"/>
        </w:rPr>
        <w:t>, vol. 15, no. 5, pp. 68–75, 2017.</w:t>
      </w:r>
    </w:p>
    <w:p w14:paraId="01F47B9B"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[24] R. Sandhu, E. Coyne, H. Feinstein, and C. Youman, "Role-based access control models," </w:t>
      </w:r>
      <w:r w:rsidRPr="00D13EB1">
        <w:rPr>
          <w:rFonts w:asciiTheme="majorHAnsi" w:hAnsiTheme="majorHAnsi" w:cstheme="majorHAnsi"/>
          <w:i/>
          <w:iCs/>
        </w:rPr>
        <w:t>IEEE Computer</w:t>
      </w:r>
      <w:r w:rsidRPr="00D13EB1">
        <w:rPr>
          <w:rFonts w:asciiTheme="majorHAnsi" w:hAnsiTheme="majorHAnsi" w:cstheme="majorHAnsi"/>
        </w:rPr>
        <w:t>, vol. 29, no. 2, pp. 38–47, 1996.</w:t>
      </w:r>
    </w:p>
    <w:p w14:paraId="1B36A1A8"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[25] K. Killcrece et al., "Computer Security Incident Handling Guide," NIST Special Publication 800-61, 2012.</w:t>
      </w:r>
    </w:p>
    <w:p w14:paraId="19E4744A"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[26] W. Stallings, </w:t>
      </w:r>
      <w:r w:rsidRPr="00D13EB1">
        <w:rPr>
          <w:rFonts w:asciiTheme="majorHAnsi" w:hAnsiTheme="majorHAnsi" w:cstheme="majorHAnsi"/>
          <w:i/>
          <w:iCs/>
        </w:rPr>
        <w:t>Network Security Essentials: Applications and Standards</w:t>
      </w:r>
      <w:r w:rsidRPr="00D13EB1">
        <w:rPr>
          <w:rFonts w:asciiTheme="majorHAnsi" w:hAnsiTheme="majorHAnsi" w:cstheme="majorHAnsi"/>
        </w:rPr>
        <w:t>, 6th ed. Boston, MA, USA: Pearson, 2017.</w:t>
      </w:r>
    </w:p>
    <w:p w14:paraId="6C4E0595"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[27] S. Northcutt and J. Novak, </w:t>
      </w:r>
      <w:r w:rsidRPr="00D13EB1">
        <w:rPr>
          <w:rFonts w:asciiTheme="majorHAnsi" w:hAnsiTheme="majorHAnsi" w:cstheme="majorHAnsi"/>
          <w:i/>
          <w:iCs/>
        </w:rPr>
        <w:t>Network Intrusion Detection</w:t>
      </w:r>
      <w:r w:rsidRPr="00D13EB1">
        <w:rPr>
          <w:rFonts w:asciiTheme="majorHAnsi" w:hAnsiTheme="majorHAnsi" w:cstheme="majorHAnsi"/>
        </w:rPr>
        <w:t>, 3rd ed. Indianapolis, IN, USA: New Riders, 2003.</w:t>
      </w:r>
    </w:p>
    <w:p w14:paraId="08392902"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[28] K. Scarfone and P. Mell, "Guide to Intrusion Detection and Prevention Systems (IDPS)," NIST Special Publication 800-94, 2007.</w:t>
      </w:r>
    </w:p>
    <w:p w14:paraId="13E6D937"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[29] S. Kent and K. Seo, "Security architecture for the Internet Protocol," IETF RFC 4301, 2005.</w:t>
      </w:r>
    </w:p>
    <w:p w14:paraId="1A27E242"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lastRenderedPageBreak/>
        <w:t>[30] S. Rose, O. Borchert, S. Mitchell, and S. Connelly, "Zero Trust Architecture," NIST Special Publication 800-207, 2020.</w:t>
      </w:r>
    </w:p>
    <w:p w14:paraId="071FB833"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[31] S. Romanosky, "Examining the costs and causes of cyber incidents," </w:t>
      </w:r>
      <w:r w:rsidRPr="00D13EB1">
        <w:rPr>
          <w:rFonts w:asciiTheme="majorHAnsi" w:hAnsiTheme="majorHAnsi" w:cstheme="majorHAnsi"/>
          <w:i/>
          <w:iCs/>
        </w:rPr>
        <w:t>Journal of Cybersecurity</w:t>
      </w:r>
      <w:r w:rsidRPr="00D13EB1">
        <w:rPr>
          <w:rFonts w:asciiTheme="majorHAnsi" w:hAnsiTheme="majorHAnsi" w:cstheme="majorHAnsi"/>
        </w:rPr>
        <w:t>, vol. 2, no. 2, pp. 121–135, 2016.</w:t>
      </w:r>
    </w:p>
    <w:p w14:paraId="66EA352C" w14:textId="77777777" w:rsidR="00D13EB1" w:rsidRPr="00D13EB1" w:rsidRDefault="00D13EB1" w:rsidP="00D13EB1">
      <w:pPr>
        <w:jc w:val="both"/>
        <w:rPr>
          <w:rFonts w:asciiTheme="majorHAnsi" w:hAnsiTheme="majorHAnsi" w:cstheme="majorHAnsi"/>
        </w:rPr>
      </w:pPr>
      <w:r w:rsidRPr="00D13EB1">
        <w:rPr>
          <w:rFonts w:asciiTheme="majorHAnsi" w:hAnsiTheme="majorHAnsi" w:cstheme="majorHAnsi"/>
        </w:rPr>
        <w:t xml:space="preserve">[32] R. Renaud and K. Goucher, "The curious incidence of security breaches by knowledgeable employees and the pivotal role a good security culture can play," </w:t>
      </w:r>
      <w:r w:rsidRPr="00D13EB1">
        <w:rPr>
          <w:rFonts w:asciiTheme="majorHAnsi" w:hAnsiTheme="majorHAnsi" w:cstheme="majorHAnsi"/>
          <w:i/>
          <w:iCs/>
        </w:rPr>
        <w:t>Information Management &amp; Computer Security</w:t>
      </w:r>
      <w:r w:rsidRPr="00D13EB1">
        <w:rPr>
          <w:rFonts w:asciiTheme="majorHAnsi" w:hAnsiTheme="majorHAnsi" w:cstheme="majorHAnsi"/>
        </w:rPr>
        <w:t>, vol. 20, no. 2, pp. 92–101, 2012.</w:t>
      </w:r>
    </w:p>
    <w:p w14:paraId="5A363EDF" w14:textId="77777777" w:rsidR="009E7A56" w:rsidRPr="00816D8B" w:rsidRDefault="009E7A56" w:rsidP="009E7A56">
      <w:pPr>
        <w:jc w:val="both"/>
        <w:rPr>
          <w:rFonts w:asciiTheme="majorHAnsi" w:hAnsiTheme="majorHAnsi" w:cstheme="majorHAnsi"/>
        </w:rPr>
      </w:pPr>
    </w:p>
    <w:p w14:paraId="6E16D39D" w14:textId="77777777" w:rsidR="009E7A56" w:rsidRPr="00816D8B" w:rsidRDefault="009E7A56" w:rsidP="009E7A56">
      <w:pPr>
        <w:jc w:val="both"/>
        <w:rPr>
          <w:rFonts w:asciiTheme="majorHAnsi" w:hAnsiTheme="majorHAnsi" w:cstheme="majorHAnsi"/>
        </w:rPr>
      </w:pPr>
    </w:p>
    <w:p w14:paraId="72D09BB7" w14:textId="77777777" w:rsidR="009E7A56" w:rsidRPr="00816D8B" w:rsidRDefault="009E7A56">
      <w:pPr>
        <w:rPr>
          <w:rFonts w:asciiTheme="majorHAnsi" w:hAnsiTheme="majorHAnsi" w:cstheme="majorHAnsi"/>
        </w:rPr>
      </w:pPr>
    </w:p>
    <w:sectPr w:rsidR="009E7A56" w:rsidRPr="00816D8B" w:rsidSect="009E7A56">
      <w:headerReference w:type="default" r:id="rId12"/>
      <w:footerReference w:type="default" r:id="rId13"/>
      <w:pgSz w:w="12240" w:h="15840"/>
      <w:pgMar w:top="1440" w:right="1440" w:bottom="1440" w:left="144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pgNumType w:start="2"/>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54943"/>
      <w:docPartObj>
        <w:docPartGallery w:val="Page Numbers (Bottom of Page)"/>
        <w:docPartUnique/>
      </w:docPartObj>
    </w:sdtPr>
    <w:sdtEndPr>
      <w:rPr>
        <w:color w:val="7F7F7F" w:themeColor="background1" w:themeShade="7F"/>
        <w:spacing w:val="60"/>
      </w:rPr>
    </w:sdtEndPr>
    <w:sdtContent>
      <w:p w14:paraId="441FD09F" w14:textId="77777777" w:rsidR="009E7A56" w:rsidRDefault="009E7A5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w:t>
        </w:r>
      </w:p>
    </w:sdtContent>
  </w:sdt>
  <w:p w14:paraId="13933E6E" w14:textId="77777777" w:rsidR="009E7A56" w:rsidRDefault="009E7A56">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AD3F2" w14:textId="77777777" w:rsidR="009E7A56" w:rsidRDefault="009E7A56">
    <w:pPr>
      <w:pStyle w:val="Header"/>
    </w:pPr>
    <w:r>
      <w:t>Raj Bhatia</w:t>
    </w:r>
    <w:r>
      <w:tab/>
    </w:r>
    <w:r>
      <w:tab/>
    </w:r>
    <w:r w:rsidRPr="00846278">
      <w:t>2522682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E0AED"/>
    <w:multiLevelType w:val="hybridMultilevel"/>
    <w:tmpl w:val="B518CD42"/>
    <w:lvl w:ilvl="0" w:tplc="0409000F">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6D2853E7"/>
    <w:multiLevelType w:val="multilevel"/>
    <w:tmpl w:val="4CBAD4D2"/>
    <w:lvl w:ilvl="0">
      <w:start w:val="1"/>
      <w:numFmt w:val="decimal"/>
      <w:lvlText w:val="%1."/>
      <w:lvlJc w:val="left"/>
      <w:pPr>
        <w:ind w:left="720" w:hanging="360"/>
      </w:pPr>
      <w:rPr>
        <w:rFonts w:hint="default"/>
        <w:color w:val="auto"/>
      </w:rPr>
    </w:lvl>
    <w:lvl w:ilvl="1">
      <w:start w:val="1"/>
      <w:numFmt w:val="decimal"/>
      <w:isLgl/>
      <w:lvlText w:val="%1.%2"/>
      <w:lvlJc w:val="left"/>
      <w:pPr>
        <w:ind w:left="840" w:hanging="480"/>
      </w:pPr>
      <w:rPr>
        <w:rFonts w:asciiTheme="majorHAnsi" w:eastAsiaTheme="majorEastAsia" w:hAnsiTheme="majorHAnsi" w:cstheme="majorBidi" w:hint="default"/>
        <w:sz w:val="32"/>
      </w:rPr>
    </w:lvl>
    <w:lvl w:ilvl="2">
      <w:start w:val="1"/>
      <w:numFmt w:val="decimal"/>
      <w:isLgl/>
      <w:lvlText w:val="%1.%2.%3"/>
      <w:lvlJc w:val="left"/>
      <w:pPr>
        <w:ind w:left="1080" w:hanging="720"/>
      </w:pPr>
      <w:rPr>
        <w:rFonts w:asciiTheme="majorHAnsi" w:eastAsiaTheme="majorEastAsia" w:hAnsiTheme="majorHAnsi" w:cstheme="majorBidi" w:hint="default"/>
        <w:sz w:val="32"/>
      </w:rPr>
    </w:lvl>
    <w:lvl w:ilvl="3">
      <w:start w:val="1"/>
      <w:numFmt w:val="decimal"/>
      <w:isLgl/>
      <w:lvlText w:val="%1.%2.%3.%4"/>
      <w:lvlJc w:val="left"/>
      <w:pPr>
        <w:ind w:left="1080" w:hanging="720"/>
      </w:pPr>
      <w:rPr>
        <w:rFonts w:asciiTheme="majorHAnsi" w:eastAsiaTheme="majorEastAsia" w:hAnsiTheme="majorHAnsi" w:cstheme="majorBidi" w:hint="default"/>
        <w:sz w:val="32"/>
      </w:rPr>
    </w:lvl>
    <w:lvl w:ilvl="4">
      <w:start w:val="1"/>
      <w:numFmt w:val="decimal"/>
      <w:isLgl/>
      <w:lvlText w:val="%1.%2.%3.%4.%5"/>
      <w:lvlJc w:val="left"/>
      <w:pPr>
        <w:ind w:left="1440" w:hanging="1080"/>
      </w:pPr>
      <w:rPr>
        <w:rFonts w:asciiTheme="majorHAnsi" w:eastAsiaTheme="majorEastAsia" w:hAnsiTheme="majorHAnsi" w:cstheme="majorBidi" w:hint="default"/>
        <w:sz w:val="32"/>
      </w:rPr>
    </w:lvl>
    <w:lvl w:ilvl="5">
      <w:start w:val="1"/>
      <w:numFmt w:val="decimal"/>
      <w:isLgl/>
      <w:lvlText w:val="%1.%2.%3.%4.%5.%6"/>
      <w:lvlJc w:val="left"/>
      <w:pPr>
        <w:ind w:left="1440" w:hanging="1080"/>
      </w:pPr>
      <w:rPr>
        <w:rFonts w:asciiTheme="majorHAnsi" w:eastAsiaTheme="majorEastAsia" w:hAnsiTheme="majorHAnsi" w:cstheme="majorBidi" w:hint="default"/>
        <w:sz w:val="32"/>
      </w:rPr>
    </w:lvl>
    <w:lvl w:ilvl="6">
      <w:start w:val="1"/>
      <w:numFmt w:val="decimal"/>
      <w:isLgl/>
      <w:lvlText w:val="%1.%2.%3.%4.%5.%6.%7"/>
      <w:lvlJc w:val="left"/>
      <w:pPr>
        <w:ind w:left="1800" w:hanging="1440"/>
      </w:pPr>
      <w:rPr>
        <w:rFonts w:asciiTheme="majorHAnsi" w:eastAsiaTheme="majorEastAsia" w:hAnsiTheme="majorHAnsi" w:cstheme="majorBidi" w:hint="default"/>
        <w:sz w:val="32"/>
      </w:rPr>
    </w:lvl>
    <w:lvl w:ilvl="7">
      <w:start w:val="1"/>
      <w:numFmt w:val="decimal"/>
      <w:isLgl/>
      <w:lvlText w:val="%1.%2.%3.%4.%5.%6.%7.%8"/>
      <w:lvlJc w:val="left"/>
      <w:pPr>
        <w:ind w:left="1800" w:hanging="1440"/>
      </w:pPr>
      <w:rPr>
        <w:rFonts w:asciiTheme="majorHAnsi" w:eastAsiaTheme="majorEastAsia" w:hAnsiTheme="majorHAnsi" w:cstheme="majorBidi" w:hint="default"/>
        <w:sz w:val="32"/>
      </w:rPr>
    </w:lvl>
    <w:lvl w:ilvl="8">
      <w:start w:val="1"/>
      <w:numFmt w:val="decimal"/>
      <w:isLgl/>
      <w:lvlText w:val="%1.%2.%3.%4.%5.%6.%7.%8.%9"/>
      <w:lvlJc w:val="left"/>
      <w:pPr>
        <w:ind w:left="2160" w:hanging="1800"/>
      </w:pPr>
      <w:rPr>
        <w:rFonts w:asciiTheme="majorHAnsi" w:eastAsiaTheme="majorEastAsia" w:hAnsiTheme="majorHAnsi" w:cstheme="majorBidi" w:hint="default"/>
        <w:sz w:val="32"/>
      </w:rPr>
    </w:lvl>
  </w:abstractNum>
  <w:num w:numId="1" w16cid:durableId="771899330">
    <w:abstractNumId w:val="1"/>
  </w:num>
  <w:num w:numId="2" w16cid:durableId="20283654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A56"/>
    <w:rsid w:val="000F223A"/>
    <w:rsid w:val="001A5C56"/>
    <w:rsid w:val="00351C78"/>
    <w:rsid w:val="0050036D"/>
    <w:rsid w:val="00744439"/>
    <w:rsid w:val="007B0E74"/>
    <w:rsid w:val="00816D8B"/>
    <w:rsid w:val="009E7A56"/>
    <w:rsid w:val="00AA1F42"/>
    <w:rsid w:val="00CA69EF"/>
    <w:rsid w:val="00CF13B2"/>
    <w:rsid w:val="00D13EB1"/>
    <w:rsid w:val="00D15E65"/>
    <w:rsid w:val="00DE7D5C"/>
    <w:rsid w:val="00E64C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3555B"/>
  <w15:chartTrackingRefBased/>
  <w15:docId w15:val="{44A85D5F-3486-49F1-88D7-2125F6A23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7A56"/>
  </w:style>
  <w:style w:type="paragraph" w:styleId="Heading1">
    <w:name w:val="heading 1"/>
    <w:basedOn w:val="Normal"/>
    <w:next w:val="Normal"/>
    <w:link w:val="Heading1Char"/>
    <w:uiPriority w:val="9"/>
    <w:qFormat/>
    <w:rsid w:val="009E7A5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E7A5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E7A5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E7A5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E7A5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E7A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7A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7A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7A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A5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E7A5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E7A5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E7A5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E7A5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E7A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7A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7A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7A56"/>
    <w:rPr>
      <w:rFonts w:eastAsiaTheme="majorEastAsia" w:cstheme="majorBidi"/>
      <w:color w:val="272727" w:themeColor="text1" w:themeTint="D8"/>
    </w:rPr>
  </w:style>
  <w:style w:type="paragraph" w:styleId="Title">
    <w:name w:val="Title"/>
    <w:basedOn w:val="Normal"/>
    <w:next w:val="Normal"/>
    <w:link w:val="TitleChar"/>
    <w:uiPriority w:val="10"/>
    <w:qFormat/>
    <w:rsid w:val="009E7A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7A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7A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7A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7A56"/>
    <w:pPr>
      <w:spacing w:before="160"/>
      <w:jc w:val="center"/>
    </w:pPr>
    <w:rPr>
      <w:i/>
      <w:iCs/>
      <w:color w:val="404040" w:themeColor="text1" w:themeTint="BF"/>
    </w:rPr>
  </w:style>
  <w:style w:type="character" w:customStyle="1" w:styleId="QuoteChar">
    <w:name w:val="Quote Char"/>
    <w:basedOn w:val="DefaultParagraphFont"/>
    <w:link w:val="Quote"/>
    <w:uiPriority w:val="29"/>
    <w:rsid w:val="009E7A56"/>
    <w:rPr>
      <w:i/>
      <w:iCs/>
      <w:color w:val="404040" w:themeColor="text1" w:themeTint="BF"/>
    </w:rPr>
  </w:style>
  <w:style w:type="paragraph" w:styleId="ListParagraph">
    <w:name w:val="List Paragraph"/>
    <w:basedOn w:val="Normal"/>
    <w:uiPriority w:val="34"/>
    <w:qFormat/>
    <w:rsid w:val="009E7A56"/>
    <w:pPr>
      <w:ind w:left="720"/>
      <w:contextualSpacing/>
    </w:pPr>
  </w:style>
  <w:style w:type="character" w:styleId="IntenseEmphasis">
    <w:name w:val="Intense Emphasis"/>
    <w:basedOn w:val="DefaultParagraphFont"/>
    <w:uiPriority w:val="21"/>
    <w:qFormat/>
    <w:rsid w:val="009E7A56"/>
    <w:rPr>
      <w:i/>
      <w:iCs/>
      <w:color w:val="2F5496" w:themeColor="accent1" w:themeShade="BF"/>
    </w:rPr>
  </w:style>
  <w:style w:type="paragraph" w:styleId="IntenseQuote">
    <w:name w:val="Intense Quote"/>
    <w:basedOn w:val="Normal"/>
    <w:next w:val="Normal"/>
    <w:link w:val="IntenseQuoteChar"/>
    <w:uiPriority w:val="30"/>
    <w:qFormat/>
    <w:rsid w:val="009E7A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7A56"/>
    <w:rPr>
      <w:i/>
      <w:iCs/>
      <w:color w:val="2F5496" w:themeColor="accent1" w:themeShade="BF"/>
    </w:rPr>
  </w:style>
  <w:style w:type="character" w:styleId="IntenseReference">
    <w:name w:val="Intense Reference"/>
    <w:basedOn w:val="DefaultParagraphFont"/>
    <w:uiPriority w:val="32"/>
    <w:qFormat/>
    <w:rsid w:val="009E7A56"/>
    <w:rPr>
      <w:b/>
      <w:bCs/>
      <w:smallCaps/>
      <w:color w:val="2F5496" w:themeColor="accent1" w:themeShade="BF"/>
      <w:spacing w:val="5"/>
    </w:rPr>
  </w:style>
  <w:style w:type="paragraph" w:styleId="Header">
    <w:name w:val="header"/>
    <w:basedOn w:val="Normal"/>
    <w:link w:val="HeaderChar"/>
    <w:uiPriority w:val="99"/>
    <w:unhideWhenUsed/>
    <w:rsid w:val="009E7A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7A56"/>
  </w:style>
  <w:style w:type="paragraph" w:styleId="Footer">
    <w:name w:val="footer"/>
    <w:basedOn w:val="Normal"/>
    <w:link w:val="FooterChar"/>
    <w:uiPriority w:val="99"/>
    <w:unhideWhenUsed/>
    <w:rsid w:val="009E7A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7A56"/>
  </w:style>
  <w:style w:type="character" w:styleId="Hyperlink">
    <w:name w:val="Hyperlink"/>
    <w:basedOn w:val="DefaultParagraphFont"/>
    <w:uiPriority w:val="99"/>
    <w:unhideWhenUsed/>
    <w:rsid w:val="009E7A56"/>
    <w:rPr>
      <w:color w:val="0563C1" w:themeColor="hyperlink"/>
      <w:u w:val="single"/>
    </w:rPr>
  </w:style>
  <w:style w:type="table" w:styleId="GridTable1Light">
    <w:name w:val="Grid Table 1 Light"/>
    <w:basedOn w:val="TableNormal"/>
    <w:uiPriority w:val="46"/>
    <w:rsid w:val="009E7A5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9E7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E7A5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E7A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64E9B-BB2E-44C7-B1A8-B9CD78517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20</Pages>
  <Words>3327</Words>
  <Characters>20531</Characters>
  <Application>Microsoft Office Word</Application>
  <DocSecurity>0</DocSecurity>
  <Lines>500</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 Bhatia</dc:creator>
  <cp:keywords/>
  <dc:description/>
  <cp:lastModifiedBy>Raj Bhatia</cp:lastModifiedBy>
  <cp:revision>5</cp:revision>
  <dcterms:created xsi:type="dcterms:W3CDTF">2026-04-18T12:01:00Z</dcterms:created>
  <dcterms:modified xsi:type="dcterms:W3CDTF">2026-04-18T14:16:00Z</dcterms:modified>
</cp:coreProperties>
</file>