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709EC" w14:textId="77777777" w:rsidR="00D54ABF" w:rsidRDefault="006813B5">
      <w:pPr>
        <w:jc w:val="center"/>
        <w:rPr>
          <w:b/>
          <w:sz w:val="40"/>
          <w:szCs w:val="40"/>
        </w:rPr>
      </w:pPr>
      <w:r>
        <w:rPr>
          <w:b/>
          <w:sz w:val="40"/>
          <w:szCs w:val="40"/>
        </w:rPr>
        <w:t>Consulting on Corporate Governance and Compliance Department of Mariott in Poland</w:t>
      </w:r>
    </w:p>
    <w:p w14:paraId="68848231" w14:textId="5E31766D" w:rsidR="00D54ABF" w:rsidRDefault="006813B5">
      <w:pPr>
        <w:jc w:val="center"/>
        <w:rPr>
          <w:b/>
          <w:sz w:val="40"/>
          <w:szCs w:val="40"/>
        </w:rPr>
      </w:pPr>
      <w:r>
        <w:rPr>
          <w:b/>
          <w:sz w:val="40"/>
          <w:szCs w:val="40"/>
        </w:rPr>
        <w:t>Student Name:</w:t>
      </w:r>
      <w:r w:rsidR="00D66198">
        <w:rPr>
          <w:b/>
          <w:sz w:val="40"/>
          <w:szCs w:val="40"/>
        </w:rPr>
        <w:t>Ayesha Siddiqua</w:t>
      </w:r>
    </w:p>
    <w:p w14:paraId="3E837B60" w14:textId="26C09467" w:rsidR="00D54ABF" w:rsidRDefault="006813B5">
      <w:pPr>
        <w:jc w:val="center"/>
        <w:rPr>
          <w:b/>
          <w:sz w:val="40"/>
          <w:szCs w:val="40"/>
        </w:rPr>
      </w:pPr>
      <w:r>
        <w:rPr>
          <w:b/>
          <w:sz w:val="40"/>
          <w:szCs w:val="40"/>
        </w:rPr>
        <w:t>Student ID:</w:t>
      </w:r>
      <w:r w:rsidR="00D66198">
        <w:rPr>
          <w:b/>
          <w:sz w:val="40"/>
          <w:szCs w:val="40"/>
        </w:rPr>
        <w:t xml:space="preserve"> 2233548</w:t>
      </w:r>
    </w:p>
    <w:p w14:paraId="29A37D14" w14:textId="0E3C023B" w:rsidR="00D66198" w:rsidRDefault="00D66198">
      <w:pPr>
        <w:jc w:val="center"/>
        <w:rPr>
          <w:b/>
          <w:sz w:val="40"/>
          <w:szCs w:val="40"/>
        </w:rPr>
      </w:pPr>
      <w:r>
        <w:rPr>
          <w:b/>
          <w:sz w:val="40"/>
          <w:szCs w:val="40"/>
        </w:rPr>
        <w:t>Lecturer’s Name: Jaliya De Silva</w:t>
      </w:r>
    </w:p>
    <w:p w14:paraId="679D5B36" w14:textId="108E59B3" w:rsidR="006E3936" w:rsidRDefault="006E3936">
      <w:pPr>
        <w:jc w:val="center"/>
        <w:rPr>
          <w:b/>
          <w:sz w:val="40"/>
          <w:szCs w:val="40"/>
        </w:rPr>
      </w:pPr>
      <w:r>
        <w:rPr>
          <w:b/>
          <w:sz w:val="40"/>
          <w:szCs w:val="40"/>
        </w:rPr>
        <w:t>Word Count: 6</w:t>
      </w:r>
      <w:r w:rsidR="002408BA">
        <w:rPr>
          <w:b/>
          <w:sz w:val="40"/>
          <w:szCs w:val="40"/>
        </w:rPr>
        <w:t>236</w:t>
      </w:r>
    </w:p>
    <w:p w14:paraId="5520E917" w14:textId="77777777" w:rsidR="00D54ABF" w:rsidRDefault="006813B5">
      <w:pPr>
        <w:jc w:val="center"/>
        <w:rPr>
          <w:b/>
          <w:sz w:val="40"/>
          <w:szCs w:val="40"/>
        </w:rPr>
      </w:pPr>
      <w:r>
        <w:rPr>
          <w:b/>
          <w:sz w:val="40"/>
          <w:szCs w:val="40"/>
        </w:rPr>
        <w:t>Name of the Company: PA Consulting Group</w:t>
      </w:r>
    </w:p>
    <w:p w14:paraId="6A9B01AD" w14:textId="77777777" w:rsidR="00D54ABF" w:rsidRDefault="006813B5">
      <w:pPr>
        <w:jc w:val="center"/>
        <w:rPr>
          <w:b/>
          <w:sz w:val="40"/>
          <w:szCs w:val="40"/>
        </w:rPr>
      </w:pPr>
      <w:r>
        <w:rPr>
          <w:b/>
          <w:noProof/>
          <w:sz w:val="40"/>
          <w:szCs w:val="40"/>
          <w:lang w:val="en-US" w:eastAsia="en-US"/>
        </w:rPr>
        <w:drawing>
          <wp:inline distT="114300" distB="114300" distL="114300" distR="114300" wp14:anchorId="227927B8" wp14:editId="1CF590CB">
            <wp:extent cx="1226975" cy="108307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226975" cy="1083071"/>
                    </a:xfrm>
                    <a:prstGeom prst="rect">
                      <a:avLst/>
                    </a:prstGeom>
                    <a:ln/>
                  </pic:spPr>
                </pic:pic>
              </a:graphicData>
            </a:graphic>
          </wp:inline>
        </w:drawing>
      </w:r>
    </w:p>
    <w:p w14:paraId="3E6BBD57" w14:textId="3D3B2F4B" w:rsidR="003E5E2A" w:rsidRDefault="003E5E2A">
      <w:pPr>
        <w:jc w:val="center"/>
        <w:rPr>
          <w:b/>
          <w:sz w:val="40"/>
          <w:szCs w:val="40"/>
        </w:rPr>
      </w:pPr>
    </w:p>
    <w:p w14:paraId="02A04DE8" w14:textId="77777777" w:rsidR="003E5E2A" w:rsidRDefault="003E5E2A">
      <w:pPr>
        <w:rPr>
          <w:b/>
          <w:sz w:val="40"/>
          <w:szCs w:val="40"/>
        </w:rPr>
      </w:pPr>
      <w:r>
        <w:rPr>
          <w:b/>
          <w:sz w:val="40"/>
          <w:szCs w:val="40"/>
        </w:rPr>
        <w:br w:type="page"/>
      </w:r>
    </w:p>
    <w:p w14:paraId="224AD5C5" w14:textId="77777777" w:rsidR="003E5E2A" w:rsidRDefault="003E5E2A" w:rsidP="003E5E2A">
      <w:pPr>
        <w:rPr>
          <w:rFonts w:asciiTheme="minorHAnsi" w:hAnsiTheme="minorHAnsi" w:cstheme="minorHAnsi"/>
          <w:b/>
          <w:sz w:val="28"/>
          <w:szCs w:val="18"/>
        </w:rPr>
      </w:pPr>
      <w:r>
        <w:rPr>
          <w:rFonts w:asciiTheme="minorHAnsi" w:hAnsiTheme="minorHAnsi" w:cstheme="minorHAnsi"/>
          <w:b/>
          <w:sz w:val="28"/>
          <w:szCs w:val="18"/>
        </w:rPr>
        <w:lastRenderedPageBreak/>
        <w:t>AI Declaration:</w:t>
      </w:r>
    </w:p>
    <w:p w14:paraId="579C4062" w14:textId="2BF7B2D8" w:rsidR="00D54ABF" w:rsidRPr="003E5E2A" w:rsidRDefault="003E5E2A" w:rsidP="003E5E2A">
      <w:pPr>
        <w:rPr>
          <w:rFonts w:asciiTheme="minorHAnsi" w:hAnsiTheme="minorHAnsi" w:cstheme="minorHAnsi"/>
          <w:b/>
          <w:sz w:val="28"/>
          <w:szCs w:val="18"/>
        </w:rPr>
      </w:pPr>
      <w:r w:rsidRPr="006C7251">
        <w:rPr>
          <w:bCs/>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r w:rsidR="006813B5">
        <w:br w:type="page"/>
      </w:r>
    </w:p>
    <w:p w14:paraId="205ED714" w14:textId="77777777" w:rsidR="00D54ABF" w:rsidRPr="007D2B01" w:rsidRDefault="006813B5">
      <w:pPr>
        <w:spacing w:after="0"/>
        <w:rPr>
          <w:b/>
          <w:sz w:val="28"/>
          <w:szCs w:val="28"/>
        </w:rPr>
      </w:pPr>
      <w:r w:rsidRPr="007D2B01">
        <w:rPr>
          <w:b/>
          <w:sz w:val="28"/>
          <w:szCs w:val="28"/>
        </w:rPr>
        <w:lastRenderedPageBreak/>
        <w:t xml:space="preserve">Executive Summary </w:t>
      </w:r>
    </w:p>
    <w:p w14:paraId="716DEE2F" w14:textId="77777777" w:rsidR="00D54ABF" w:rsidRDefault="006813B5">
      <w:pPr>
        <w:spacing w:after="0"/>
      </w:pPr>
      <w:r>
        <w:t>Marriott International, a major player in the global hospitality sector, is facing a severe ethical and financial crisis in Poland. Providing Marriott International in Warsaw, Poland, with a strategy to strategise legal and ethical challenges, this report, by PA Consulting Group UK, offers a solution-oriented approach to challenges. The report shows not only what solutions to business crisis management, corporate governance and restoration of stakeholder confidence will work from a theoretical perspective but also gives practical solutions for how Marriott will maintain their responsibility to corporate transparency and long-term operational sustainability at the same time that regulatory concerns arise. Accusations of financial malpractices, unethical business conduct, and regulatory non-compliance have sparked severe concerns about the company's operations, thus bringing reputational damage and possible legal consequences. This situation picked up during the COVID-19 pandemic when Marriott was accused of fraudulent actions, including improper classification of maintenance expenses transferred to Lim Company, thus violating contractual agreements. There were also claims of obstructing the leasing of rooms for frontline workers and engaging in anti-competitive advertising practices that involved demanding kickbacks from partners.</w:t>
      </w:r>
    </w:p>
    <w:p w14:paraId="21576BB3" w14:textId="77777777" w:rsidR="00D54ABF" w:rsidRDefault="006813B5">
      <w:pPr>
        <w:spacing w:after="0"/>
      </w:pPr>
      <w:r>
        <w:t>It may be said that this has not only attracted considerable legal scrutiny but also eroded investor confidence, damaged stakeholder relationships, and posed a severe threat to Marriott's broader ambitions in the European market. Against the backdrop of strict corporate governance and compliance regulations in Europe, the ongoing crisis is as much an indictment of the weaknesses within Marriott's governance framework, financial oversight mechanisms, and ethical business conduct.</w:t>
      </w:r>
    </w:p>
    <w:p w14:paraId="31CB77C9" w14:textId="77777777" w:rsidR="00D54ABF" w:rsidRDefault="006813B5">
      <w:pPr>
        <w:spacing w:after="0"/>
      </w:pPr>
      <w:r>
        <w:t>Detailed examination of Marriott's operations in Poland using strategic tools such as STEEPLED, SOAR, and TOWS, leads to a number of conclusions.</w:t>
      </w:r>
    </w:p>
    <w:p w14:paraId="65BF37FA" w14:textId="77777777" w:rsidR="00D54ABF" w:rsidRDefault="006813B5">
      <w:pPr>
        <w:spacing w:after="0"/>
      </w:pPr>
      <w:r>
        <w:t>First, the reputational fallout from the allegations has caused customer confidence to drop. Today, consumers want transparency and corporate accountability, with negative sentiment towards Marriott rising 30% over the past few months, as recorded by media reports and digital reputation analyses. Secondly, the financial implications are disastrous. Marriott's annual revenue growth of 5.2% year-over-year is being jeopardised because the potential fines and legal settlements, coupled with investor confidence erosion, may pose significant financial burdens on the company. The European regulatory bodies will probably impose serious financial penalties and operational restrictions on Marriott, thus limiting its flexibility to operate in the region even further.</w:t>
      </w:r>
    </w:p>
    <w:p w14:paraId="73D3697A" w14:textId="77777777" w:rsidR="00D54ABF" w:rsidRDefault="006813B5">
      <w:pPr>
        <w:spacing w:after="0"/>
      </w:pPr>
      <w:r>
        <w:lastRenderedPageBreak/>
        <w:t>Internal labour and governance issues have manifested as concerns regarding workforce morale and employee retention. Allegations of unfair labour practices, wage theft, and non-compliance with labour laws are among the pressing issues that have surfaced. A lack of robust compliance mechanisms and insufficient financial transparency have exacerbated these challenges, exposing Marriott to the likelihood of prolonged legal battles and persistent regulatory scrutiny.</w:t>
      </w:r>
    </w:p>
    <w:p w14:paraId="10827099" w14:textId="77777777" w:rsidR="00D54ABF" w:rsidRDefault="006813B5">
      <w:pPr>
        <w:spacing w:after="0"/>
      </w:pPr>
      <w:r>
        <w:t>The need to restructure the corporate governance structure of Marriott now is paramount as it could cause further damage both financially and to its reputation if not reformed.</w:t>
      </w:r>
    </w:p>
    <w:p w14:paraId="77265A0C" w14:textId="77777777" w:rsidR="00D54ABF" w:rsidRDefault="006813B5">
      <w:pPr>
        <w:spacing w:after="0"/>
      </w:pPr>
      <w:r>
        <w:t>Based on the SOAR analysis, strengths that are already present and would be a plus for rebuilding Marriott's confidence in corporate governance are brand recognition, financial strength, and diversity of portfolio. However, the TOWS analysis has pointed out critical weaknesses: transparency deficits in financial reporting, poor communication with stakeholders, and ineffective compliance policies. Addressing these weaknesses is vital to mitigating future risks effectively. The STEEPLED framework has shed light on external pressures, indicating that regulatory demands and changing consumer expectations necessitate a proactive response to the crisis alongside necessary governance reforms. Legal investigations could potentially result in a 30% decline in confidence in the European market if not strategically addressed. Marriott must act expeditiously to restore credibility, fortify internal controls, and reaffirm its commitment to ethical business practices. Based on this thorough analysis, several strategic recommendations have been proposed to assist Marriott in navigating this crisis and reinforcing its corporate governance framework. First, the company should conduct an in-depth legal and regulatory audit. The company needs to order an independent audit that will indicate loopholes in the financial reporting of Marriott and its contractual associates.</w:t>
      </w:r>
    </w:p>
    <w:p w14:paraId="15596E9B" w14:textId="77777777" w:rsidR="00D54ABF" w:rsidRDefault="006813B5">
      <w:pPr>
        <w:spacing w:after="0"/>
      </w:pPr>
      <w:r>
        <w:t xml:space="preserve">Improving financial transparency is important to regain investor confidence. Marriott should update its financial reporting systems to enhance accountability and ensure that its financial reports adhere to international financial reporting standards. The company should also have routine financial audits and tighter budgetary controls to reduce the likelihood of fraudulent activities and regain stakeholder confidence. By implementing these recommendations strategically, Marriott can not only address the current crisis effectively but also fortify its corporate governance and compliance framework to prevent similar issues in the future. The road to recovery involves immediate action, reframing company values around transparency, ethics, and accountability, and an ongoing commitment to improving stakeholder relationships and corporate governance. </w:t>
      </w:r>
    </w:p>
    <w:p w14:paraId="6407CE60" w14:textId="77777777" w:rsidR="007D2B01" w:rsidRDefault="007D2B01">
      <w:pPr>
        <w:rPr>
          <w:b/>
        </w:rPr>
      </w:pPr>
      <w:r>
        <w:rPr>
          <w:b/>
        </w:rPr>
        <w:br w:type="page"/>
      </w:r>
    </w:p>
    <w:p w14:paraId="22F4E7AF" w14:textId="6ECDB0E2" w:rsidR="00D54ABF" w:rsidRDefault="006813B5">
      <w:pPr>
        <w:jc w:val="center"/>
        <w:rPr>
          <w:b/>
        </w:rPr>
      </w:pPr>
      <w:r>
        <w:rPr>
          <w:b/>
        </w:rPr>
        <w:lastRenderedPageBreak/>
        <w:t>Table of Content</w:t>
      </w:r>
    </w:p>
    <w:sdt>
      <w:sdtPr>
        <w:id w:val="613720636"/>
        <w:docPartObj>
          <w:docPartGallery w:val="Table of Contents"/>
          <w:docPartUnique/>
        </w:docPartObj>
      </w:sdtPr>
      <w:sdtEndPr/>
      <w:sdtContent>
        <w:p w14:paraId="3A280B30" w14:textId="65A50B90" w:rsidR="007D2B01" w:rsidRDefault="006813B5">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190280185" w:history="1">
            <w:r w:rsidR="007D2B01" w:rsidRPr="00150381">
              <w:rPr>
                <w:rStyle w:val="Hyperlink"/>
                <w:noProof/>
              </w:rPr>
              <w:t>1. Introduction</w:t>
            </w:r>
            <w:r w:rsidR="007D2B01">
              <w:rPr>
                <w:noProof/>
                <w:webHidden/>
              </w:rPr>
              <w:tab/>
            </w:r>
            <w:r w:rsidR="007D2B01">
              <w:rPr>
                <w:noProof/>
                <w:webHidden/>
              </w:rPr>
              <w:fldChar w:fldCharType="begin"/>
            </w:r>
            <w:r w:rsidR="007D2B01">
              <w:rPr>
                <w:noProof/>
                <w:webHidden/>
              </w:rPr>
              <w:instrText xml:space="preserve"> PAGEREF _Toc190280185 \h </w:instrText>
            </w:r>
            <w:r w:rsidR="007D2B01">
              <w:rPr>
                <w:noProof/>
                <w:webHidden/>
              </w:rPr>
            </w:r>
            <w:r w:rsidR="007D2B01">
              <w:rPr>
                <w:noProof/>
                <w:webHidden/>
              </w:rPr>
              <w:fldChar w:fldCharType="separate"/>
            </w:r>
            <w:r w:rsidR="007D2B01">
              <w:rPr>
                <w:noProof/>
                <w:webHidden/>
              </w:rPr>
              <w:t>5</w:t>
            </w:r>
            <w:r w:rsidR="007D2B01">
              <w:rPr>
                <w:noProof/>
                <w:webHidden/>
              </w:rPr>
              <w:fldChar w:fldCharType="end"/>
            </w:r>
          </w:hyperlink>
        </w:p>
        <w:p w14:paraId="2D41FBAB" w14:textId="6380A9BE" w:rsidR="007D2B01" w:rsidRDefault="007D2B01">
          <w:pPr>
            <w:pStyle w:val="TOC2"/>
            <w:tabs>
              <w:tab w:val="right" w:pos="9019"/>
            </w:tabs>
            <w:rPr>
              <w:noProof/>
            </w:rPr>
          </w:pPr>
          <w:hyperlink w:anchor="_Toc190280186" w:history="1">
            <w:r w:rsidRPr="00150381">
              <w:rPr>
                <w:rStyle w:val="Hyperlink"/>
                <w:noProof/>
              </w:rPr>
              <w:t>1.1 Background of Marriott International</w:t>
            </w:r>
            <w:r>
              <w:rPr>
                <w:noProof/>
                <w:webHidden/>
              </w:rPr>
              <w:tab/>
            </w:r>
            <w:r>
              <w:rPr>
                <w:noProof/>
                <w:webHidden/>
              </w:rPr>
              <w:fldChar w:fldCharType="begin"/>
            </w:r>
            <w:r>
              <w:rPr>
                <w:noProof/>
                <w:webHidden/>
              </w:rPr>
              <w:instrText xml:space="preserve"> PAGEREF _Toc190280186 \h </w:instrText>
            </w:r>
            <w:r>
              <w:rPr>
                <w:noProof/>
                <w:webHidden/>
              </w:rPr>
            </w:r>
            <w:r>
              <w:rPr>
                <w:noProof/>
                <w:webHidden/>
              </w:rPr>
              <w:fldChar w:fldCharType="separate"/>
            </w:r>
            <w:r>
              <w:rPr>
                <w:noProof/>
                <w:webHidden/>
              </w:rPr>
              <w:t>5</w:t>
            </w:r>
            <w:r>
              <w:rPr>
                <w:noProof/>
                <w:webHidden/>
              </w:rPr>
              <w:fldChar w:fldCharType="end"/>
            </w:r>
          </w:hyperlink>
        </w:p>
        <w:p w14:paraId="576090AF" w14:textId="3C5B3E81" w:rsidR="007D2B01" w:rsidRDefault="007D2B01">
          <w:pPr>
            <w:pStyle w:val="TOC2"/>
            <w:tabs>
              <w:tab w:val="right" w:pos="9019"/>
            </w:tabs>
            <w:rPr>
              <w:noProof/>
            </w:rPr>
          </w:pPr>
          <w:hyperlink w:anchor="_Toc190280187" w:history="1">
            <w:r w:rsidRPr="00150381">
              <w:rPr>
                <w:rStyle w:val="Hyperlink"/>
                <w:noProof/>
              </w:rPr>
              <w:t>1.2 The Issue at Hand: Ethical &amp; Financial Mismanagement in Poland</w:t>
            </w:r>
            <w:r>
              <w:rPr>
                <w:noProof/>
                <w:webHidden/>
              </w:rPr>
              <w:tab/>
            </w:r>
            <w:r>
              <w:rPr>
                <w:noProof/>
                <w:webHidden/>
              </w:rPr>
              <w:fldChar w:fldCharType="begin"/>
            </w:r>
            <w:r>
              <w:rPr>
                <w:noProof/>
                <w:webHidden/>
              </w:rPr>
              <w:instrText xml:space="preserve"> PAGEREF _Toc190280187 \h </w:instrText>
            </w:r>
            <w:r>
              <w:rPr>
                <w:noProof/>
                <w:webHidden/>
              </w:rPr>
            </w:r>
            <w:r>
              <w:rPr>
                <w:noProof/>
                <w:webHidden/>
              </w:rPr>
              <w:fldChar w:fldCharType="separate"/>
            </w:r>
            <w:r>
              <w:rPr>
                <w:noProof/>
                <w:webHidden/>
              </w:rPr>
              <w:t>5</w:t>
            </w:r>
            <w:r>
              <w:rPr>
                <w:noProof/>
                <w:webHidden/>
              </w:rPr>
              <w:fldChar w:fldCharType="end"/>
            </w:r>
          </w:hyperlink>
        </w:p>
        <w:p w14:paraId="2E9B60F1" w14:textId="3784F1A0" w:rsidR="007D2B01" w:rsidRDefault="007D2B01">
          <w:pPr>
            <w:pStyle w:val="TOC2"/>
            <w:tabs>
              <w:tab w:val="right" w:pos="9019"/>
            </w:tabs>
            <w:rPr>
              <w:noProof/>
            </w:rPr>
          </w:pPr>
          <w:hyperlink w:anchor="_Toc190280188" w:history="1">
            <w:r w:rsidRPr="00150381">
              <w:rPr>
                <w:rStyle w:val="Hyperlink"/>
                <w:noProof/>
              </w:rPr>
              <w:t>1.3 Why This Issue Matters</w:t>
            </w:r>
            <w:r>
              <w:rPr>
                <w:noProof/>
                <w:webHidden/>
              </w:rPr>
              <w:tab/>
            </w:r>
            <w:r>
              <w:rPr>
                <w:noProof/>
                <w:webHidden/>
              </w:rPr>
              <w:fldChar w:fldCharType="begin"/>
            </w:r>
            <w:r>
              <w:rPr>
                <w:noProof/>
                <w:webHidden/>
              </w:rPr>
              <w:instrText xml:space="preserve"> PAGEREF _Toc190280188 \h </w:instrText>
            </w:r>
            <w:r>
              <w:rPr>
                <w:noProof/>
                <w:webHidden/>
              </w:rPr>
            </w:r>
            <w:r>
              <w:rPr>
                <w:noProof/>
                <w:webHidden/>
              </w:rPr>
              <w:fldChar w:fldCharType="separate"/>
            </w:r>
            <w:r>
              <w:rPr>
                <w:noProof/>
                <w:webHidden/>
              </w:rPr>
              <w:t>6</w:t>
            </w:r>
            <w:r>
              <w:rPr>
                <w:noProof/>
                <w:webHidden/>
              </w:rPr>
              <w:fldChar w:fldCharType="end"/>
            </w:r>
          </w:hyperlink>
        </w:p>
        <w:p w14:paraId="19E2CF73" w14:textId="1EE309DE" w:rsidR="007D2B01" w:rsidRDefault="007D2B01">
          <w:pPr>
            <w:pStyle w:val="TOC2"/>
            <w:tabs>
              <w:tab w:val="right" w:pos="9019"/>
            </w:tabs>
            <w:rPr>
              <w:noProof/>
            </w:rPr>
          </w:pPr>
          <w:hyperlink w:anchor="_Toc190280189" w:history="1">
            <w:r w:rsidRPr="007D2B01">
              <w:rPr>
                <w:rStyle w:val="Hyperlink"/>
                <w:noProof/>
              </w:rPr>
              <w:t>1.4 About the Consultancy Firm</w:t>
            </w:r>
            <w:r w:rsidRPr="007D2B01">
              <w:rPr>
                <w:noProof/>
                <w:webHidden/>
              </w:rPr>
              <w:tab/>
            </w:r>
            <w:r w:rsidRPr="007D2B01">
              <w:rPr>
                <w:noProof/>
                <w:webHidden/>
              </w:rPr>
              <w:fldChar w:fldCharType="begin"/>
            </w:r>
            <w:r w:rsidRPr="007D2B01">
              <w:rPr>
                <w:noProof/>
                <w:webHidden/>
              </w:rPr>
              <w:instrText xml:space="preserve"> PAGEREF _Toc190280189 \h </w:instrText>
            </w:r>
            <w:r w:rsidRPr="007D2B01">
              <w:rPr>
                <w:noProof/>
                <w:webHidden/>
              </w:rPr>
            </w:r>
            <w:r w:rsidRPr="007D2B01">
              <w:rPr>
                <w:noProof/>
                <w:webHidden/>
              </w:rPr>
              <w:fldChar w:fldCharType="separate"/>
            </w:r>
            <w:r w:rsidRPr="007D2B01">
              <w:rPr>
                <w:noProof/>
                <w:webHidden/>
              </w:rPr>
              <w:t>6</w:t>
            </w:r>
            <w:r w:rsidRPr="007D2B01">
              <w:rPr>
                <w:noProof/>
                <w:webHidden/>
              </w:rPr>
              <w:fldChar w:fldCharType="end"/>
            </w:r>
          </w:hyperlink>
        </w:p>
        <w:p w14:paraId="2D3D36B6" w14:textId="7E5A9AB0" w:rsidR="007D2B01" w:rsidRDefault="007D2B01">
          <w:pPr>
            <w:pStyle w:val="TOC1"/>
            <w:tabs>
              <w:tab w:val="right" w:pos="9019"/>
            </w:tabs>
            <w:rPr>
              <w:noProof/>
            </w:rPr>
          </w:pPr>
          <w:hyperlink w:anchor="_Toc190280190" w:history="1">
            <w:r w:rsidRPr="00150381">
              <w:rPr>
                <w:rStyle w:val="Hyperlink"/>
                <w:noProof/>
              </w:rPr>
              <w:t>2. Analysis</w:t>
            </w:r>
            <w:r>
              <w:rPr>
                <w:noProof/>
                <w:webHidden/>
              </w:rPr>
              <w:tab/>
            </w:r>
            <w:r>
              <w:rPr>
                <w:noProof/>
                <w:webHidden/>
              </w:rPr>
              <w:fldChar w:fldCharType="begin"/>
            </w:r>
            <w:r>
              <w:rPr>
                <w:noProof/>
                <w:webHidden/>
              </w:rPr>
              <w:instrText xml:space="preserve"> PAGEREF _Toc190280190 \h </w:instrText>
            </w:r>
            <w:r>
              <w:rPr>
                <w:noProof/>
                <w:webHidden/>
              </w:rPr>
            </w:r>
            <w:r>
              <w:rPr>
                <w:noProof/>
                <w:webHidden/>
              </w:rPr>
              <w:fldChar w:fldCharType="separate"/>
            </w:r>
            <w:r>
              <w:rPr>
                <w:noProof/>
                <w:webHidden/>
              </w:rPr>
              <w:t>7</w:t>
            </w:r>
            <w:r>
              <w:rPr>
                <w:noProof/>
                <w:webHidden/>
              </w:rPr>
              <w:fldChar w:fldCharType="end"/>
            </w:r>
          </w:hyperlink>
        </w:p>
        <w:p w14:paraId="2068A5FB" w14:textId="35B9E898" w:rsidR="007D2B01" w:rsidRDefault="007D2B01">
          <w:pPr>
            <w:pStyle w:val="TOC2"/>
            <w:tabs>
              <w:tab w:val="right" w:pos="9019"/>
            </w:tabs>
            <w:rPr>
              <w:noProof/>
            </w:rPr>
          </w:pPr>
          <w:hyperlink w:anchor="_Toc190280191" w:history="1">
            <w:r w:rsidRPr="00150381">
              <w:rPr>
                <w:rStyle w:val="Hyperlink"/>
                <w:noProof/>
              </w:rPr>
              <w:t>2.1 Background of the Issue</w:t>
            </w:r>
            <w:r>
              <w:rPr>
                <w:noProof/>
                <w:webHidden/>
              </w:rPr>
              <w:tab/>
            </w:r>
            <w:r>
              <w:rPr>
                <w:noProof/>
                <w:webHidden/>
              </w:rPr>
              <w:fldChar w:fldCharType="begin"/>
            </w:r>
            <w:r>
              <w:rPr>
                <w:noProof/>
                <w:webHidden/>
              </w:rPr>
              <w:instrText xml:space="preserve"> PAGEREF _Toc190280191 \h </w:instrText>
            </w:r>
            <w:r>
              <w:rPr>
                <w:noProof/>
                <w:webHidden/>
              </w:rPr>
            </w:r>
            <w:r>
              <w:rPr>
                <w:noProof/>
                <w:webHidden/>
              </w:rPr>
              <w:fldChar w:fldCharType="separate"/>
            </w:r>
            <w:r>
              <w:rPr>
                <w:noProof/>
                <w:webHidden/>
              </w:rPr>
              <w:t>7</w:t>
            </w:r>
            <w:r>
              <w:rPr>
                <w:noProof/>
                <w:webHidden/>
              </w:rPr>
              <w:fldChar w:fldCharType="end"/>
            </w:r>
          </w:hyperlink>
        </w:p>
        <w:p w14:paraId="69B45B0F" w14:textId="3682BE63" w:rsidR="007D2B01" w:rsidRDefault="007D2B01">
          <w:pPr>
            <w:pStyle w:val="TOC2"/>
            <w:tabs>
              <w:tab w:val="right" w:pos="9019"/>
            </w:tabs>
            <w:rPr>
              <w:noProof/>
            </w:rPr>
          </w:pPr>
          <w:hyperlink w:anchor="_Toc190280192" w:history="1">
            <w:r w:rsidRPr="00150381">
              <w:rPr>
                <w:rStyle w:val="Hyperlink"/>
                <w:noProof/>
              </w:rPr>
              <w:t>2.2 STEEPLED Analysis</w:t>
            </w:r>
            <w:r>
              <w:rPr>
                <w:noProof/>
                <w:webHidden/>
              </w:rPr>
              <w:tab/>
            </w:r>
            <w:r>
              <w:rPr>
                <w:noProof/>
                <w:webHidden/>
              </w:rPr>
              <w:fldChar w:fldCharType="begin"/>
            </w:r>
            <w:r>
              <w:rPr>
                <w:noProof/>
                <w:webHidden/>
              </w:rPr>
              <w:instrText xml:space="preserve"> PAGEREF _Toc190280192 \h </w:instrText>
            </w:r>
            <w:r>
              <w:rPr>
                <w:noProof/>
                <w:webHidden/>
              </w:rPr>
            </w:r>
            <w:r>
              <w:rPr>
                <w:noProof/>
                <w:webHidden/>
              </w:rPr>
              <w:fldChar w:fldCharType="separate"/>
            </w:r>
            <w:r>
              <w:rPr>
                <w:noProof/>
                <w:webHidden/>
              </w:rPr>
              <w:t>8</w:t>
            </w:r>
            <w:r>
              <w:rPr>
                <w:noProof/>
                <w:webHidden/>
              </w:rPr>
              <w:fldChar w:fldCharType="end"/>
            </w:r>
          </w:hyperlink>
        </w:p>
        <w:p w14:paraId="4716363A" w14:textId="4A0CED3E" w:rsidR="007D2B01" w:rsidRDefault="007D2B01">
          <w:pPr>
            <w:pStyle w:val="TOC2"/>
            <w:tabs>
              <w:tab w:val="right" w:pos="9019"/>
            </w:tabs>
            <w:rPr>
              <w:noProof/>
            </w:rPr>
          </w:pPr>
          <w:hyperlink w:anchor="_Toc190280193" w:history="1">
            <w:r w:rsidRPr="00150381">
              <w:rPr>
                <w:rStyle w:val="Hyperlink"/>
                <w:noProof/>
              </w:rPr>
              <w:t>2.3 SOAR Analysis</w:t>
            </w:r>
            <w:r>
              <w:rPr>
                <w:noProof/>
                <w:webHidden/>
              </w:rPr>
              <w:tab/>
            </w:r>
            <w:r>
              <w:rPr>
                <w:noProof/>
                <w:webHidden/>
              </w:rPr>
              <w:fldChar w:fldCharType="begin"/>
            </w:r>
            <w:r>
              <w:rPr>
                <w:noProof/>
                <w:webHidden/>
              </w:rPr>
              <w:instrText xml:space="preserve"> PAGEREF _Toc190280193 \h </w:instrText>
            </w:r>
            <w:r>
              <w:rPr>
                <w:noProof/>
                <w:webHidden/>
              </w:rPr>
            </w:r>
            <w:r>
              <w:rPr>
                <w:noProof/>
                <w:webHidden/>
              </w:rPr>
              <w:fldChar w:fldCharType="separate"/>
            </w:r>
            <w:r>
              <w:rPr>
                <w:noProof/>
                <w:webHidden/>
              </w:rPr>
              <w:t>10</w:t>
            </w:r>
            <w:r>
              <w:rPr>
                <w:noProof/>
                <w:webHidden/>
              </w:rPr>
              <w:fldChar w:fldCharType="end"/>
            </w:r>
          </w:hyperlink>
        </w:p>
        <w:p w14:paraId="3A2B1880" w14:textId="2A3C010D" w:rsidR="007D2B01" w:rsidRDefault="007D2B01">
          <w:pPr>
            <w:pStyle w:val="TOC2"/>
            <w:tabs>
              <w:tab w:val="right" w:pos="9019"/>
            </w:tabs>
            <w:rPr>
              <w:noProof/>
            </w:rPr>
          </w:pPr>
          <w:hyperlink w:anchor="_Toc190280194" w:history="1">
            <w:r w:rsidRPr="00150381">
              <w:rPr>
                <w:rStyle w:val="Hyperlink"/>
                <w:noProof/>
              </w:rPr>
              <w:t>2.4 TOWS Analysis</w:t>
            </w:r>
            <w:r>
              <w:rPr>
                <w:noProof/>
                <w:webHidden/>
              </w:rPr>
              <w:tab/>
            </w:r>
            <w:r>
              <w:rPr>
                <w:noProof/>
                <w:webHidden/>
              </w:rPr>
              <w:fldChar w:fldCharType="begin"/>
            </w:r>
            <w:r>
              <w:rPr>
                <w:noProof/>
                <w:webHidden/>
              </w:rPr>
              <w:instrText xml:space="preserve"> PAGEREF _Toc190280194 \h </w:instrText>
            </w:r>
            <w:r>
              <w:rPr>
                <w:noProof/>
                <w:webHidden/>
              </w:rPr>
            </w:r>
            <w:r>
              <w:rPr>
                <w:noProof/>
                <w:webHidden/>
              </w:rPr>
              <w:fldChar w:fldCharType="separate"/>
            </w:r>
            <w:r>
              <w:rPr>
                <w:noProof/>
                <w:webHidden/>
              </w:rPr>
              <w:t>12</w:t>
            </w:r>
            <w:r>
              <w:rPr>
                <w:noProof/>
                <w:webHidden/>
              </w:rPr>
              <w:fldChar w:fldCharType="end"/>
            </w:r>
          </w:hyperlink>
        </w:p>
        <w:p w14:paraId="2257C0A4" w14:textId="21DF2319" w:rsidR="007D2B01" w:rsidRDefault="007D2B01">
          <w:pPr>
            <w:pStyle w:val="TOC2"/>
            <w:tabs>
              <w:tab w:val="right" w:pos="9019"/>
            </w:tabs>
            <w:rPr>
              <w:noProof/>
            </w:rPr>
          </w:pPr>
          <w:hyperlink w:anchor="_Toc190280195" w:history="1">
            <w:r w:rsidRPr="00150381">
              <w:rPr>
                <w:rStyle w:val="Hyperlink"/>
                <w:noProof/>
              </w:rPr>
              <w:t>2.5 Key Findings from Analysis</w:t>
            </w:r>
            <w:r>
              <w:rPr>
                <w:noProof/>
                <w:webHidden/>
              </w:rPr>
              <w:tab/>
            </w:r>
            <w:r>
              <w:rPr>
                <w:noProof/>
                <w:webHidden/>
              </w:rPr>
              <w:fldChar w:fldCharType="begin"/>
            </w:r>
            <w:r>
              <w:rPr>
                <w:noProof/>
                <w:webHidden/>
              </w:rPr>
              <w:instrText xml:space="preserve"> PAGEREF _Toc190280195 \h </w:instrText>
            </w:r>
            <w:r>
              <w:rPr>
                <w:noProof/>
                <w:webHidden/>
              </w:rPr>
            </w:r>
            <w:r>
              <w:rPr>
                <w:noProof/>
                <w:webHidden/>
              </w:rPr>
              <w:fldChar w:fldCharType="separate"/>
            </w:r>
            <w:r>
              <w:rPr>
                <w:noProof/>
                <w:webHidden/>
              </w:rPr>
              <w:t>13</w:t>
            </w:r>
            <w:r>
              <w:rPr>
                <w:noProof/>
                <w:webHidden/>
              </w:rPr>
              <w:fldChar w:fldCharType="end"/>
            </w:r>
          </w:hyperlink>
        </w:p>
        <w:p w14:paraId="1B861AC3" w14:textId="146BF8F9" w:rsidR="007D2B01" w:rsidRDefault="007D2B01">
          <w:pPr>
            <w:pStyle w:val="TOC1"/>
            <w:tabs>
              <w:tab w:val="right" w:pos="9019"/>
            </w:tabs>
            <w:rPr>
              <w:noProof/>
            </w:rPr>
          </w:pPr>
          <w:hyperlink w:anchor="_Toc190280196" w:history="1">
            <w:r w:rsidRPr="00150381">
              <w:rPr>
                <w:rStyle w:val="Hyperlink"/>
                <w:noProof/>
              </w:rPr>
              <w:t>3. Recommendations &amp; Change Management</w:t>
            </w:r>
            <w:r>
              <w:rPr>
                <w:noProof/>
                <w:webHidden/>
              </w:rPr>
              <w:tab/>
            </w:r>
            <w:r>
              <w:rPr>
                <w:noProof/>
                <w:webHidden/>
              </w:rPr>
              <w:fldChar w:fldCharType="begin"/>
            </w:r>
            <w:r>
              <w:rPr>
                <w:noProof/>
                <w:webHidden/>
              </w:rPr>
              <w:instrText xml:space="preserve"> PAGEREF _Toc190280196 \h </w:instrText>
            </w:r>
            <w:r>
              <w:rPr>
                <w:noProof/>
                <w:webHidden/>
              </w:rPr>
            </w:r>
            <w:r>
              <w:rPr>
                <w:noProof/>
                <w:webHidden/>
              </w:rPr>
              <w:fldChar w:fldCharType="separate"/>
            </w:r>
            <w:r>
              <w:rPr>
                <w:noProof/>
                <w:webHidden/>
              </w:rPr>
              <w:t>14</w:t>
            </w:r>
            <w:r>
              <w:rPr>
                <w:noProof/>
                <w:webHidden/>
              </w:rPr>
              <w:fldChar w:fldCharType="end"/>
            </w:r>
          </w:hyperlink>
        </w:p>
        <w:p w14:paraId="02BD73C0" w14:textId="5142208B" w:rsidR="007D2B01" w:rsidRDefault="007D2B01">
          <w:pPr>
            <w:pStyle w:val="TOC2"/>
            <w:tabs>
              <w:tab w:val="right" w:pos="9019"/>
            </w:tabs>
            <w:rPr>
              <w:noProof/>
            </w:rPr>
          </w:pPr>
          <w:hyperlink w:anchor="_Toc190280197" w:history="1">
            <w:r w:rsidRPr="00150381">
              <w:rPr>
                <w:rStyle w:val="Hyperlink"/>
                <w:noProof/>
              </w:rPr>
              <w:t>3.1 Strategic Recommendations</w:t>
            </w:r>
            <w:r>
              <w:rPr>
                <w:noProof/>
                <w:webHidden/>
              </w:rPr>
              <w:tab/>
            </w:r>
            <w:r>
              <w:rPr>
                <w:noProof/>
                <w:webHidden/>
              </w:rPr>
              <w:fldChar w:fldCharType="begin"/>
            </w:r>
            <w:r>
              <w:rPr>
                <w:noProof/>
                <w:webHidden/>
              </w:rPr>
              <w:instrText xml:space="preserve"> PAGEREF _Toc190280197 \h </w:instrText>
            </w:r>
            <w:r>
              <w:rPr>
                <w:noProof/>
                <w:webHidden/>
              </w:rPr>
            </w:r>
            <w:r>
              <w:rPr>
                <w:noProof/>
                <w:webHidden/>
              </w:rPr>
              <w:fldChar w:fldCharType="separate"/>
            </w:r>
            <w:r>
              <w:rPr>
                <w:noProof/>
                <w:webHidden/>
              </w:rPr>
              <w:t>14</w:t>
            </w:r>
            <w:r>
              <w:rPr>
                <w:noProof/>
                <w:webHidden/>
              </w:rPr>
              <w:fldChar w:fldCharType="end"/>
            </w:r>
          </w:hyperlink>
        </w:p>
        <w:p w14:paraId="390E361C" w14:textId="5633696F" w:rsidR="007D2B01" w:rsidRDefault="007D2B01">
          <w:pPr>
            <w:pStyle w:val="TOC3"/>
            <w:tabs>
              <w:tab w:val="right" w:pos="9019"/>
            </w:tabs>
            <w:rPr>
              <w:noProof/>
            </w:rPr>
          </w:pPr>
          <w:hyperlink w:anchor="_Toc190280198" w:history="1">
            <w:r w:rsidRPr="00150381">
              <w:rPr>
                <w:rStyle w:val="Hyperlink"/>
                <w:noProof/>
              </w:rPr>
              <w:t>3.1.1 Legal and Compliance Enhancements</w:t>
            </w:r>
            <w:r>
              <w:rPr>
                <w:noProof/>
                <w:webHidden/>
              </w:rPr>
              <w:tab/>
            </w:r>
            <w:r>
              <w:rPr>
                <w:noProof/>
                <w:webHidden/>
              </w:rPr>
              <w:fldChar w:fldCharType="begin"/>
            </w:r>
            <w:r>
              <w:rPr>
                <w:noProof/>
                <w:webHidden/>
              </w:rPr>
              <w:instrText xml:space="preserve"> PAGEREF _Toc190280198 \h </w:instrText>
            </w:r>
            <w:r>
              <w:rPr>
                <w:noProof/>
                <w:webHidden/>
              </w:rPr>
            </w:r>
            <w:r>
              <w:rPr>
                <w:noProof/>
                <w:webHidden/>
              </w:rPr>
              <w:fldChar w:fldCharType="separate"/>
            </w:r>
            <w:r>
              <w:rPr>
                <w:noProof/>
                <w:webHidden/>
              </w:rPr>
              <w:t>14</w:t>
            </w:r>
            <w:r>
              <w:rPr>
                <w:noProof/>
                <w:webHidden/>
              </w:rPr>
              <w:fldChar w:fldCharType="end"/>
            </w:r>
          </w:hyperlink>
        </w:p>
        <w:p w14:paraId="713EB433" w14:textId="27A3EEDE" w:rsidR="007D2B01" w:rsidRDefault="007D2B01">
          <w:pPr>
            <w:pStyle w:val="TOC3"/>
            <w:tabs>
              <w:tab w:val="right" w:pos="9019"/>
            </w:tabs>
            <w:rPr>
              <w:noProof/>
            </w:rPr>
          </w:pPr>
          <w:hyperlink w:anchor="_Toc190280199" w:history="1">
            <w:r w:rsidRPr="00150381">
              <w:rPr>
                <w:rStyle w:val="Hyperlink"/>
                <w:noProof/>
              </w:rPr>
              <w:t>3.1.2 Corporate Governance Reforms</w:t>
            </w:r>
            <w:r>
              <w:rPr>
                <w:noProof/>
                <w:webHidden/>
              </w:rPr>
              <w:tab/>
            </w:r>
            <w:r>
              <w:rPr>
                <w:noProof/>
                <w:webHidden/>
              </w:rPr>
              <w:fldChar w:fldCharType="begin"/>
            </w:r>
            <w:r>
              <w:rPr>
                <w:noProof/>
                <w:webHidden/>
              </w:rPr>
              <w:instrText xml:space="preserve"> PAGEREF _Toc190280199 \h </w:instrText>
            </w:r>
            <w:r>
              <w:rPr>
                <w:noProof/>
                <w:webHidden/>
              </w:rPr>
            </w:r>
            <w:r>
              <w:rPr>
                <w:noProof/>
                <w:webHidden/>
              </w:rPr>
              <w:fldChar w:fldCharType="separate"/>
            </w:r>
            <w:r>
              <w:rPr>
                <w:noProof/>
                <w:webHidden/>
              </w:rPr>
              <w:t>14</w:t>
            </w:r>
            <w:r>
              <w:rPr>
                <w:noProof/>
                <w:webHidden/>
              </w:rPr>
              <w:fldChar w:fldCharType="end"/>
            </w:r>
          </w:hyperlink>
        </w:p>
        <w:p w14:paraId="0D940C2E" w14:textId="041C5CF7" w:rsidR="007D2B01" w:rsidRDefault="007D2B01">
          <w:pPr>
            <w:pStyle w:val="TOC3"/>
            <w:tabs>
              <w:tab w:val="right" w:pos="9019"/>
            </w:tabs>
            <w:rPr>
              <w:noProof/>
            </w:rPr>
          </w:pPr>
          <w:hyperlink w:anchor="_Toc190280200" w:history="1">
            <w:r w:rsidRPr="00150381">
              <w:rPr>
                <w:rStyle w:val="Hyperlink"/>
                <w:noProof/>
              </w:rPr>
              <w:t>3.1.3 Financial Management Improvements</w:t>
            </w:r>
            <w:r>
              <w:rPr>
                <w:noProof/>
                <w:webHidden/>
              </w:rPr>
              <w:tab/>
            </w:r>
            <w:r>
              <w:rPr>
                <w:noProof/>
                <w:webHidden/>
              </w:rPr>
              <w:fldChar w:fldCharType="begin"/>
            </w:r>
            <w:r>
              <w:rPr>
                <w:noProof/>
                <w:webHidden/>
              </w:rPr>
              <w:instrText xml:space="preserve"> PAGEREF _Toc190280200 \h </w:instrText>
            </w:r>
            <w:r>
              <w:rPr>
                <w:noProof/>
                <w:webHidden/>
              </w:rPr>
            </w:r>
            <w:r>
              <w:rPr>
                <w:noProof/>
                <w:webHidden/>
              </w:rPr>
              <w:fldChar w:fldCharType="separate"/>
            </w:r>
            <w:r>
              <w:rPr>
                <w:noProof/>
                <w:webHidden/>
              </w:rPr>
              <w:t>15</w:t>
            </w:r>
            <w:r>
              <w:rPr>
                <w:noProof/>
                <w:webHidden/>
              </w:rPr>
              <w:fldChar w:fldCharType="end"/>
            </w:r>
          </w:hyperlink>
        </w:p>
        <w:p w14:paraId="03A3F9BC" w14:textId="08BE4235" w:rsidR="007D2B01" w:rsidRDefault="007D2B01">
          <w:pPr>
            <w:pStyle w:val="TOC3"/>
            <w:tabs>
              <w:tab w:val="right" w:pos="9019"/>
            </w:tabs>
            <w:rPr>
              <w:noProof/>
            </w:rPr>
          </w:pPr>
          <w:hyperlink w:anchor="_Toc190280201" w:history="1">
            <w:r w:rsidRPr="00150381">
              <w:rPr>
                <w:rStyle w:val="Hyperlink"/>
                <w:noProof/>
              </w:rPr>
              <w:t>3.1.4 Environmental and Social Responsibility Initiatives</w:t>
            </w:r>
            <w:r>
              <w:rPr>
                <w:noProof/>
                <w:webHidden/>
              </w:rPr>
              <w:tab/>
            </w:r>
            <w:r>
              <w:rPr>
                <w:noProof/>
                <w:webHidden/>
              </w:rPr>
              <w:fldChar w:fldCharType="begin"/>
            </w:r>
            <w:r>
              <w:rPr>
                <w:noProof/>
                <w:webHidden/>
              </w:rPr>
              <w:instrText xml:space="preserve"> PAGEREF _Toc190280201 \h </w:instrText>
            </w:r>
            <w:r>
              <w:rPr>
                <w:noProof/>
                <w:webHidden/>
              </w:rPr>
            </w:r>
            <w:r>
              <w:rPr>
                <w:noProof/>
                <w:webHidden/>
              </w:rPr>
              <w:fldChar w:fldCharType="separate"/>
            </w:r>
            <w:r>
              <w:rPr>
                <w:noProof/>
                <w:webHidden/>
              </w:rPr>
              <w:t>15</w:t>
            </w:r>
            <w:r>
              <w:rPr>
                <w:noProof/>
                <w:webHidden/>
              </w:rPr>
              <w:fldChar w:fldCharType="end"/>
            </w:r>
          </w:hyperlink>
        </w:p>
        <w:p w14:paraId="44B05D8A" w14:textId="27E39641" w:rsidR="007D2B01" w:rsidRDefault="007D2B01">
          <w:pPr>
            <w:pStyle w:val="TOC3"/>
            <w:tabs>
              <w:tab w:val="right" w:pos="9019"/>
            </w:tabs>
            <w:rPr>
              <w:noProof/>
            </w:rPr>
          </w:pPr>
          <w:hyperlink w:anchor="_Toc190280202" w:history="1">
            <w:r w:rsidRPr="00150381">
              <w:rPr>
                <w:rStyle w:val="Hyperlink"/>
                <w:noProof/>
              </w:rPr>
              <w:t>3.1.5 Employee Relations and Labour Practices</w:t>
            </w:r>
            <w:r>
              <w:rPr>
                <w:noProof/>
                <w:webHidden/>
              </w:rPr>
              <w:tab/>
            </w:r>
            <w:r>
              <w:rPr>
                <w:noProof/>
                <w:webHidden/>
              </w:rPr>
              <w:fldChar w:fldCharType="begin"/>
            </w:r>
            <w:r>
              <w:rPr>
                <w:noProof/>
                <w:webHidden/>
              </w:rPr>
              <w:instrText xml:space="preserve"> PAGEREF _Toc190280202 \h </w:instrText>
            </w:r>
            <w:r>
              <w:rPr>
                <w:noProof/>
                <w:webHidden/>
              </w:rPr>
            </w:r>
            <w:r>
              <w:rPr>
                <w:noProof/>
                <w:webHidden/>
              </w:rPr>
              <w:fldChar w:fldCharType="separate"/>
            </w:r>
            <w:r>
              <w:rPr>
                <w:noProof/>
                <w:webHidden/>
              </w:rPr>
              <w:t>16</w:t>
            </w:r>
            <w:r>
              <w:rPr>
                <w:noProof/>
                <w:webHidden/>
              </w:rPr>
              <w:fldChar w:fldCharType="end"/>
            </w:r>
          </w:hyperlink>
        </w:p>
        <w:p w14:paraId="3D015279" w14:textId="27731BA2" w:rsidR="007D2B01" w:rsidRDefault="007D2B01">
          <w:pPr>
            <w:pStyle w:val="TOC3"/>
            <w:tabs>
              <w:tab w:val="right" w:pos="9019"/>
            </w:tabs>
            <w:rPr>
              <w:noProof/>
            </w:rPr>
          </w:pPr>
          <w:hyperlink w:anchor="_Toc190280203" w:history="1">
            <w:r w:rsidRPr="00150381">
              <w:rPr>
                <w:rStyle w:val="Hyperlink"/>
                <w:noProof/>
              </w:rPr>
              <w:t>3.1.6 Crisis Management and Communication</w:t>
            </w:r>
            <w:r>
              <w:rPr>
                <w:noProof/>
                <w:webHidden/>
              </w:rPr>
              <w:tab/>
            </w:r>
            <w:r>
              <w:rPr>
                <w:noProof/>
                <w:webHidden/>
              </w:rPr>
              <w:fldChar w:fldCharType="begin"/>
            </w:r>
            <w:r>
              <w:rPr>
                <w:noProof/>
                <w:webHidden/>
              </w:rPr>
              <w:instrText xml:space="preserve"> PAGEREF _Toc190280203 \h </w:instrText>
            </w:r>
            <w:r>
              <w:rPr>
                <w:noProof/>
                <w:webHidden/>
              </w:rPr>
            </w:r>
            <w:r>
              <w:rPr>
                <w:noProof/>
                <w:webHidden/>
              </w:rPr>
              <w:fldChar w:fldCharType="separate"/>
            </w:r>
            <w:r>
              <w:rPr>
                <w:noProof/>
                <w:webHidden/>
              </w:rPr>
              <w:t>16</w:t>
            </w:r>
            <w:r>
              <w:rPr>
                <w:noProof/>
                <w:webHidden/>
              </w:rPr>
              <w:fldChar w:fldCharType="end"/>
            </w:r>
          </w:hyperlink>
        </w:p>
        <w:p w14:paraId="76C5AF8A" w14:textId="28F93C3A" w:rsidR="007D2B01" w:rsidRDefault="007D2B01">
          <w:pPr>
            <w:pStyle w:val="TOC3"/>
            <w:tabs>
              <w:tab w:val="right" w:pos="9019"/>
            </w:tabs>
            <w:rPr>
              <w:noProof/>
            </w:rPr>
          </w:pPr>
          <w:hyperlink w:anchor="_Toc190280204" w:history="1">
            <w:r w:rsidRPr="00150381">
              <w:rPr>
                <w:rStyle w:val="Hyperlink"/>
                <w:noProof/>
              </w:rPr>
              <w:t>3.1.7 Social Media &amp; Public Relations Campaigns to Rebuild Trust</w:t>
            </w:r>
            <w:r>
              <w:rPr>
                <w:noProof/>
                <w:webHidden/>
              </w:rPr>
              <w:tab/>
            </w:r>
            <w:r>
              <w:rPr>
                <w:noProof/>
                <w:webHidden/>
              </w:rPr>
              <w:fldChar w:fldCharType="begin"/>
            </w:r>
            <w:r>
              <w:rPr>
                <w:noProof/>
                <w:webHidden/>
              </w:rPr>
              <w:instrText xml:space="preserve"> PAGEREF _Toc190280204 \h </w:instrText>
            </w:r>
            <w:r>
              <w:rPr>
                <w:noProof/>
                <w:webHidden/>
              </w:rPr>
            </w:r>
            <w:r>
              <w:rPr>
                <w:noProof/>
                <w:webHidden/>
              </w:rPr>
              <w:fldChar w:fldCharType="separate"/>
            </w:r>
            <w:r>
              <w:rPr>
                <w:noProof/>
                <w:webHidden/>
              </w:rPr>
              <w:t>17</w:t>
            </w:r>
            <w:r>
              <w:rPr>
                <w:noProof/>
                <w:webHidden/>
              </w:rPr>
              <w:fldChar w:fldCharType="end"/>
            </w:r>
          </w:hyperlink>
        </w:p>
        <w:p w14:paraId="18EC3B32" w14:textId="48450845" w:rsidR="007D2B01" w:rsidRDefault="009C23E5">
          <w:pPr>
            <w:pStyle w:val="TOC2"/>
            <w:tabs>
              <w:tab w:val="right" w:pos="9019"/>
            </w:tabs>
            <w:rPr>
              <w:noProof/>
            </w:rPr>
          </w:pPr>
          <w:hyperlink w:anchor="_Toc190280205" w:history="1">
            <w:r>
              <w:rPr>
                <w:rStyle w:val="Hyperlink"/>
                <w:noProof/>
              </w:rPr>
              <w:t>3.3 Change Management Implementation using Kotter’s 8-step Model</w:t>
            </w:r>
            <w:r>
              <w:rPr>
                <w:rStyle w:val="Hyperlink"/>
                <w:noProof/>
              </w:rPr>
              <w:tab/>
              <w:t>17</w:t>
            </w:r>
          </w:hyperlink>
        </w:p>
        <w:p w14:paraId="39A79C98" w14:textId="3D5FC7B4" w:rsidR="007D2B01" w:rsidRDefault="007D2B01">
          <w:pPr>
            <w:pStyle w:val="TOC3"/>
            <w:tabs>
              <w:tab w:val="right" w:pos="9019"/>
            </w:tabs>
            <w:rPr>
              <w:noProof/>
            </w:rPr>
          </w:pPr>
          <w:hyperlink w:anchor="_Toc190280206" w:history="1">
            <w:r w:rsidRPr="00150381">
              <w:rPr>
                <w:rStyle w:val="Hyperlink"/>
                <w:noProof/>
              </w:rPr>
              <w:t>1. Create Urgency: Addressing Stakeholder Concerns</w:t>
            </w:r>
            <w:r>
              <w:rPr>
                <w:noProof/>
                <w:webHidden/>
              </w:rPr>
              <w:tab/>
            </w:r>
            <w:r>
              <w:rPr>
                <w:noProof/>
                <w:webHidden/>
              </w:rPr>
              <w:fldChar w:fldCharType="begin"/>
            </w:r>
            <w:r>
              <w:rPr>
                <w:noProof/>
                <w:webHidden/>
              </w:rPr>
              <w:instrText xml:space="preserve"> PAGEREF _Toc190280206 \h </w:instrText>
            </w:r>
            <w:r>
              <w:rPr>
                <w:noProof/>
                <w:webHidden/>
              </w:rPr>
            </w:r>
            <w:r>
              <w:rPr>
                <w:noProof/>
                <w:webHidden/>
              </w:rPr>
              <w:fldChar w:fldCharType="separate"/>
            </w:r>
            <w:r>
              <w:rPr>
                <w:noProof/>
                <w:webHidden/>
              </w:rPr>
              <w:t>17</w:t>
            </w:r>
            <w:r>
              <w:rPr>
                <w:noProof/>
                <w:webHidden/>
              </w:rPr>
              <w:fldChar w:fldCharType="end"/>
            </w:r>
          </w:hyperlink>
        </w:p>
        <w:p w14:paraId="6E2F4C3B" w14:textId="1F674C93" w:rsidR="007D2B01" w:rsidRDefault="007D2B01">
          <w:pPr>
            <w:pStyle w:val="TOC3"/>
            <w:tabs>
              <w:tab w:val="right" w:pos="9019"/>
            </w:tabs>
            <w:rPr>
              <w:noProof/>
            </w:rPr>
          </w:pPr>
          <w:hyperlink w:anchor="_Toc190280207" w:history="1">
            <w:r w:rsidRPr="00150381">
              <w:rPr>
                <w:rStyle w:val="Hyperlink"/>
                <w:noProof/>
              </w:rPr>
              <w:t>2. Form a Powerful Coalition: Internal Teams and External Auditors</w:t>
            </w:r>
            <w:r>
              <w:rPr>
                <w:noProof/>
                <w:webHidden/>
              </w:rPr>
              <w:tab/>
            </w:r>
            <w:r>
              <w:rPr>
                <w:noProof/>
                <w:webHidden/>
              </w:rPr>
              <w:fldChar w:fldCharType="begin"/>
            </w:r>
            <w:r>
              <w:rPr>
                <w:noProof/>
                <w:webHidden/>
              </w:rPr>
              <w:instrText xml:space="preserve"> PAGEREF _Toc190280207 \h </w:instrText>
            </w:r>
            <w:r>
              <w:rPr>
                <w:noProof/>
                <w:webHidden/>
              </w:rPr>
            </w:r>
            <w:r>
              <w:rPr>
                <w:noProof/>
                <w:webHidden/>
              </w:rPr>
              <w:fldChar w:fldCharType="separate"/>
            </w:r>
            <w:r>
              <w:rPr>
                <w:noProof/>
                <w:webHidden/>
              </w:rPr>
              <w:t>18</w:t>
            </w:r>
            <w:r>
              <w:rPr>
                <w:noProof/>
                <w:webHidden/>
              </w:rPr>
              <w:fldChar w:fldCharType="end"/>
            </w:r>
          </w:hyperlink>
        </w:p>
        <w:p w14:paraId="278C6B8C" w14:textId="3083D15F" w:rsidR="007D2B01" w:rsidRDefault="007D2B01">
          <w:pPr>
            <w:pStyle w:val="TOC3"/>
            <w:tabs>
              <w:tab w:val="right" w:pos="9019"/>
            </w:tabs>
            <w:rPr>
              <w:noProof/>
            </w:rPr>
          </w:pPr>
          <w:hyperlink w:anchor="_Toc190280208" w:history="1">
            <w:r w:rsidRPr="00150381">
              <w:rPr>
                <w:rStyle w:val="Hyperlink"/>
                <w:noProof/>
              </w:rPr>
              <w:t>3. Develop a Clear Vision: New Corporate Policies</w:t>
            </w:r>
            <w:r>
              <w:rPr>
                <w:noProof/>
                <w:webHidden/>
              </w:rPr>
              <w:tab/>
            </w:r>
            <w:r>
              <w:rPr>
                <w:noProof/>
                <w:webHidden/>
              </w:rPr>
              <w:fldChar w:fldCharType="begin"/>
            </w:r>
            <w:r>
              <w:rPr>
                <w:noProof/>
                <w:webHidden/>
              </w:rPr>
              <w:instrText xml:space="preserve"> PAGEREF _Toc190280208 \h </w:instrText>
            </w:r>
            <w:r>
              <w:rPr>
                <w:noProof/>
                <w:webHidden/>
              </w:rPr>
            </w:r>
            <w:r>
              <w:rPr>
                <w:noProof/>
                <w:webHidden/>
              </w:rPr>
              <w:fldChar w:fldCharType="separate"/>
            </w:r>
            <w:r>
              <w:rPr>
                <w:noProof/>
                <w:webHidden/>
              </w:rPr>
              <w:t>18</w:t>
            </w:r>
            <w:r>
              <w:rPr>
                <w:noProof/>
                <w:webHidden/>
              </w:rPr>
              <w:fldChar w:fldCharType="end"/>
            </w:r>
          </w:hyperlink>
        </w:p>
        <w:p w14:paraId="510693EE" w14:textId="053BA79F" w:rsidR="007D2B01" w:rsidRDefault="007D2B01">
          <w:pPr>
            <w:pStyle w:val="TOC3"/>
            <w:tabs>
              <w:tab w:val="right" w:pos="9019"/>
            </w:tabs>
            <w:rPr>
              <w:noProof/>
            </w:rPr>
          </w:pPr>
          <w:hyperlink w:anchor="_Toc190280209" w:history="1">
            <w:r w:rsidRPr="00150381">
              <w:rPr>
                <w:rStyle w:val="Hyperlink"/>
                <w:noProof/>
              </w:rPr>
              <w:t>4. Communicate the Vision: Employee Engagement and Training</w:t>
            </w:r>
            <w:r>
              <w:rPr>
                <w:noProof/>
                <w:webHidden/>
              </w:rPr>
              <w:tab/>
            </w:r>
            <w:r>
              <w:rPr>
                <w:noProof/>
                <w:webHidden/>
              </w:rPr>
              <w:fldChar w:fldCharType="begin"/>
            </w:r>
            <w:r>
              <w:rPr>
                <w:noProof/>
                <w:webHidden/>
              </w:rPr>
              <w:instrText xml:space="preserve"> PAGEREF _Toc190280209 \h </w:instrText>
            </w:r>
            <w:r>
              <w:rPr>
                <w:noProof/>
                <w:webHidden/>
              </w:rPr>
            </w:r>
            <w:r>
              <w:rPr>
                <w:noProof/>
                <w:webHidden/>
              </w:rPr>
              <w:fldChar w:fldCharType="separate"/>
            </w:r>
            <w:r>
              <w:rPr>
                <w:noProof/>
                <w:webHidden/>
              </w:rPr>
              <w:t>18</w:t>
            </w:r>
            <w:r>
              <w:rPr>
                <w:noProof/>
                <w:webHidden/>
              </w:rPr>
              <w:fldChar w:fldCharType="end"/>
            </w:r>
          </w:hyperlink>
        </w:p>
        <w:p w14:paraId="0465E28A" w14:textId="63522E2F" w:rsidR="007D2B01" w:rsidRDefault="007D2B01">
          <w:pPr>
            <w:pStyle w:val="TOC3"/>
            <w:tabs>
              <w:tab w:val="right" w:pos="9019"/>
            </w:tabs>
            <w:rPr>
              <w:noProof/>
            </w:rPr>
          </w:pPr>
          <w:hyperlink w:anchor="_Toc190280210" w:history="1">
            <w:r w:rsidRPr="00150381">
              <w:rPr>
                <w:rStyle w:val="Hyperlink"/>
                <w:noProof/>
              </w:rPr>
              <w:t>5. Remove Barriers: Ensuring Compliance across Operations</w:t>
            </w:r>
            <w:r>
              <w:rPr>
                <w:noProof/>
                <w:webHidden/>
              </w:rPr>
              <w:tab/>
            </w:r>
            <w:r>
              <w:rPr>
                <w:noProof/>
                <w:webHidden/>
              </w:rPr>
              <w:fldChar w:fldCharType="begin"/>
            </w:r>
            <w:r>
              <w:rPr>
                <w:noProof/>
                <w:webHidden/>
              </w:rPr>
              <w:instrText xml:space="preserve"> PAGEREF _Toc190280210 \h </w:instrText>
            </w:r>
            <w:r>
              <w:rPr>
                <w:noProof/>
                <w:webHidden/>
              </w:rPr>
            </w:r>
            <w:r>
              <w:rPr>
                <w:noProof/>
                <w:webHidden/>
              </w:rPr>
              <w:fldChar w:fldCharType="separate"/>
            </w:r>
            <w:r>
              <w:rPr>
                <w:noProof/>
                <w:webHidden/>
              </w:rPr>
              <w:t>19</w:t>
            </w:r>
            <w:r>
              <w:rPr>
                <w:noProof/>
                <w:webHidden/>
              </w:rPr>
              <w:fldChar w:fldCharType="end"/>
            </w:r>
          </w:hyperlink>
        </w:p>
        <w:p w14:paraId="53B069C6" w14:textId="30B523AF" w:rsidR="007D2B01" w:rsidRDefault="007D2B01">
          <w:pPr>
            <w:pStyle w:val="TOC3"/>
            <w:tabs>
              <w:tab w:val="right" w:pos="9019"/>
            </w:tabs>
            <w:rPr>
              <w:noProof/>
            </w:rPr>
          </w:pPr>
          <w:hyperlink w:anchor="_Toc190280211" w:history="1">
            <w:r w:rsidRPr="00150381">
              <w:rPr>
                <w:rStyle w:val="Hyperlink"/>
                <w:noProof/>
              </w:rPr>
              <w:t>6. Generate Short-Term Wins: Public Demonstrations of Commitment to Change</w:t>
            </w:r>
            <w:r>
              <w:rPr>
                <w:noProof/>
                <w:webHidden/>
              </w:rPr>
              <w:tab/>
            </w:r>
            <w:r>
              <w:rPr>
                <w:noProof/>
                <w:webHidden/>
              </w:rPr>
              <w:fldChar w:fldCharType="begin"/>
            </w:r>
            <w:r>
              <w:rPr>
                <w:noProof/>
                <w:webHidden/>
              </w:rPr>
              <w:instrText xml:space="preserve"> PAGEREF _Toc190280211 \h </w:instrText>
            </w:r>
            <w:r>
              <w:rPr>
                <w:noProof/>
                <w:webHidden/>
              </w:rPr>
            </w:r>
            <w:r>
              <w:rPr>
                <w:noProof/>
                <w:webHidden/>
              </w:rPr>
              <w:fldChar w:fldCharType="separate"/>
            </w:r>
            <w:r>
              <w:rPr>
                <w:noProof/>
                <w:webHidden/>
              </w:rPr>
              <w:t>19</w:t>
            </w:r>
            <w:r>
              <w:rPr>
                <w:noProof/>
                <w:webHidden/>
              </w:rPr>
              <w:fldChar w:fldCharType="end"/>
            </w:r>
          </w:hyperlink>
        </w:p>
        <w:p w14:paraId="31D6C020" w14:textId="4BABB65B" w:rsidR="007D2B01" w:rsidRDefault="007D2B01">
          <w:pPr>
            <w:pStyle w:val="TOC3"/>
            <w:tabs>
              <w:tab w:val="right" w:pos="9019"/>
            </w:tabs>
            <w:rPr>
              <w:noProof/>
            </w:rPr>
          </w:pPr>
          <w:hyperlink w:anchor="_Toc190280212" w:history="1">
            <w:r w:rsidRPr="00150381">
              <w:rPr>
                <w:rStyle w:val="Hyperlink"/>
                <w:noProof/>
              </w:rPr>
              <w:t>7. Build on the Change: Continuous Improvement Strategies</w:t>
            </w:r>
            <w:r>
              <w:rPr>
                <w:noProof/>
                <w:webHidden/>
              </w:rPr>
              <w:tab/>
            </w:r>
            <w:r>
              <w:rPr>
                <w:noProof/>
                <w:webHidden/>
              </w:rPr>
              <w:fldChar w:fldCharType="begin"/>
            </w:r>
            <w:r>
              <w:rPr>
                <w:noProof/>
                <w:webHidden/>
              </w:rPr>
              <w:instrText xml:space="preserve"> PAGEREF _Toc190280212 \h </w:instrText>
            </w:r>
            <w:r>
              <w:rPr>
                <w:noProof/>
                <w:webHidden/>
              </w:rPr>
            </w:r>
            <w:r>
              <w:rPr>
                <w:noProof/>
                <w:webHidden/>
              </w:rPr>
              <w:fldChar w:fldCharType="separate"/>
            </w:r>
            <w:r>
              <w:rPr>
                <w:noProof/>
                <w:webHidden/>
              </w:rPr>
              <w:t>19</w:t>
            </w:r>
            <w:r>
              <w:rPr>
                <w:noProof/>
                <w:webHidden/>
              </w:rPr>
              <w:fldChar w:fldCharType="end"/>
            </w:r>
          </w:hyperlink>
        </w:p>
        <w:p w14:paraId="16955462" w14:textId="7E2017BC" w:rsidR="007D2B01" w:rsidRDefault="007D2B01">
          <w:pPr>
            <w:pStyle w:val="TOC3"/>
            <w:tabs>
              <w:tab w:val="right" w:pos="9019"/>
            </w:tabs>
            <w:rPr>
              <w:noProof/>
            </w:rPr>
          </w:pPr>
          <w:hyperlink w:anchor="_Toc190280213" w:history="1">
            <w:r w:rsidRPr="00150381">
              <w:rPr>
                <w:rStyle w:val="Hyperlink"/>
                <w:noProof/>
              </w:rPr>
              <w:t>8. Anchor the Changes in Corporate Culture: Embedding Ethics into Marriott’s DNA</w:t>
            </w:r>
            <w:r>
              <w:rPr>
                <w:noProof/>
                <w:webHidden/>
              </w:rPr>
              <w:tab/>
            </w:r>
            <w:r>
              <w:rPr>
                <w:noProof/>
                <w:webHidden/>
              </w:rPr>
              <w:fldChar w:fldCharType="begin"/>
            </w:r>
            <w:r>
              <w:rPr>
                <w:noProof/>
                <w:webHidden/>
              </w:rPr>
              <w:instrText xml:space="preserve"> PAGEREF _Toc190280213 \h </w:instrText>
            </w:r>
            <w:r>
              <w:rPr>
                <w:noProof/>
                <w:webHidden/>
              </w:rPr>
            </w:r>
            <w:r>
              <w:rPr>
                <w:noProof/>
                <w:webHidden/>
              </w:rPr>
              <w:fldChar w:fldCharType="separate"/>
            </w:r>
            <w:r>
              <w:rPr>
                <w:noProof/>
                <w:webHidden/>
              </w:rPr>
              <w:t>19</w:t>
            </w:r>
            <w:r>
              <w:rPr>
                <w:noProof/>
                <w:webHidden/>
              </w:rPr>
              <w:fldChar w:fldCharType="end"/>
            </w:r>
          </w:hyperlink>
        </w:p>
        <w:p w14:paraId="79D2F563" w14:textId="130C7279" w:rsidR="007D2B01" w:rsidRDefault="007D2B01">
          <w:pPr>
            <w:pStyle w:val="TOC2"/>
            <w:tabs>
              <w:tab w:val="right" w:pos="9019"/>
            </w:tabs>
            <w:rPr>
              <w:noProof/>
            </w:rPr>
          </w:pPr>
          <w:hyperlink w:anchor="_Toc190280214" w:history="1">
            <w:r w:rsidRPr="00150381">
              <w:rPr>
                <w:rStyle w:val="Hyperlink"/>
                <w:noProof/>
              </w:rPr>
              <w:t>3.4 Implementing Lewin's Change Management Theory to Address Marriott’s Ethical and Financial Issues.</w:t>
            </w:r>
            <w:r>
              <w:rPr>
                <w:noProof/>
                <w:webHidden/>
              </w:rPr>
              <w:tab/>
            </w:r>
            <w:r>
              <w:rPr>
                <w:noProof/>
                <w:webHidden/>
              </w:rPr>
              <w:fldChar w:fldCharType="begin"/>
            </w:r>
            <w:r>
              <w:rPr>
                <w:noProof/>
                <w:webHidden/>
              </w:rPr>
              <w:instrText xml:space="preserve"> PAGEREF _Toc190280214 \h </w:instrText>
            </w:r>
            <w:r>
              <w:rPr>
                <w:noProof/>
                <w:webHidden/>
              </w:rPr>
            </w:r>
            <w:r>
              <w:rPr>
                <w:noProof/>
                <w:webHidden/>
              </w:rPr>
              <w:fldChar w:fldCharType="separate"/>
            </w:r>
            <w:r>
              <w:rPr>
                <w:noProof/>
                <w:webHidden/>
              </w:rPr>
              <w:t>20</w:t>
            </w:r>
            <w:r>
              <w:rPr>
                <w:noProof/>
                <w:webHidden/>
              </w:rPr>
              <w:fldChar w:fldCharType="end"/>
            </w:r>
          </w:hyperlink>
        </w:p>
        <w:p w14:paraId="2D1CC33D" w14:textId="49A56099" w:rsidR="007D2B01" w:rsidRDefault="007D2B01">
          <w:pPr>
            <w:pStyle w:val="TOC2"/>
            <w:tabs>
              <w:tab w:val="right" w:pos="9019"/>
            </w:tabs>
            <w:rPr>
              <w:noProof/>
            </w:rPr>
          </w:pPr>
          <w:hyperlink w:anchor="_Toc190280215" w:history="1">
            <w:r w:rsidRPr="00150381">
              <w:rPr>
                <w:rStyle w:val="Hyperlink"/>
                <w:noProof/>
              </w:rPr>
              <w:t>3.5 Measuring Success</w:t>
            </w:r>
            <w:r>
              <w:rPr>
                <w:noProof/>
                <w:webHidden/>
              </w:rPr>
              <w:tab/>
            </w:r>
            <w:r>
              <w:rPr>
                <w:noProof/>
                <w:webHidden/>
              </w:rPr>
              <w:fldChar w:fldCharType="begin"/>
            </w:r>
            <w:r>
              <w:rPr>
                <w:noProof/>
                <w:webHidden/>
              </w:rPr>
              <w:instrText xml:space="preserve"> PAGEREF _Toc190280215 \h </w:instrText>
            </w:r>
            <w:r>
              <w:rPr>
                <w:noProof/>
                <w:webHidden/>
              </w:rPr>
            </w:r>
            <w:r>
              <w:rPr>
                <w:noProof/>
                <w:webHidden/>
              </w:rPr>
              <w:fldChar w:fldCharType="separate"/>
            </w:r>
            <w:r>
              <w:rPr>
                <w:noProof/>
                <w:webHidden/>
              </w:rPr>
              <w:t>21</w:t>
            </w:r>
            <w:r>
              <w:rPr>
                <w:noProof/>
                <w:webHidden/>
              </w:rPr>
              <w:fldChar w:fldCharType="end"/>
            </w:r>
          </w:hyperlink>
        </w:p>
        <w:p w14:paraId="437AC0C5" w14:textId="7F396C6D" w:rsidR="007D2B01" w:rsidRDefault="007D2B01">
          <w:pPr>
            <w:pStyle w:val="TOC2"/>
            <w:tabs>
              <w:tab w:val="right" w:pos="9019"/>
            </w:tabs>
            <w:rPr>
              <w:noProof/>
            </w:rPr>
          </w:pPr>
          <w:hyperlink w:anchor="_Toc190280216" w:history="1">
            <w:r w:rsidRPr="00150381">
              <w:rPr>
                <w:rStyle w:val="Hyperlink"/>
                <w:noProof/>
              </w:rPr>
              <w:t>3.6 Financial Feasibility</w:t>
            </w:r>
            <w:r>
              <w:rPr>
                <w:noProof/>
                <w:webHidden/>
              </w:rPr>
              <w:tab/>
            </w:r>
            <w:r>
              <w:rPr>
                <w:noProof/>
                <w:webHidden/>
              </w:rPr>
              <w:fldChar w:fldCharType="begin"/>
            </w:r>
            <w:r>
              <w:rPr>
                <w:noProof/>
                <w:webHidden/>
              </w:rPr>
              <w:instrText xml:space="preserve"> PAGEREF _Toc190280216 \h </w:instrText>
            </w:r>
            <w:r>
              <w:rPr>
                <w:noProof/>
                <w:webHidden/>
              </w:rPr>
            </w:r>
            <w:r>
              <w:rPr>
                <w:noProof/>
                <w:webHidden/>
              </w:rPr>
              <w:fldChar w:fldCharType="separate"/>
            </w:r>
            <w:r>
              <w:rPr>
                <w:noProof/>
                <w:webHidden/>
              </w:rPr>
              <w:t>22</w:t>
            </w:r>
            <w:r>
              <w:rPr>
                <w:noProof/>
                <w:webHidden/>
              </w:rPr>
              <w:fldChar w:fldCharType="end"/>
            </w:r>
          </w:hyperlink>
        </w:p>
        <w:p w14:paraId="57421597" w14:textId="6302217A" w:rsidR="007D2B01" w:rsidRDefault="007D2B01">
          <w:pPr>
            <w:pStyle w:val="TOC1"/>
            <w:tabs>
              <w:tab w:val="right" w:pos="9019"/>
            </w:tabs>
            <w:rPr>
              <w:noProof/>
            </w:rPr>
          </w:pPr>
          <w:hyperlink w:anchor="_Toc190280217" w:history="1">
            <w:r w:rsidRPr="00150381">
              <w:rPr>
                <w:rStyle w:val="Hyperlink"/>
                <w:noProof/>
              </w:rPr>
              <w:t>4. Action Plan</w:t>
            </w:r>
            <w:r>
              <w:rPr>
                <w:noProof/>
                <w:webHidden/>
              </w:rPr>
              <w:tab/>
            </w:r>
            <w:r>
              <w:rPr>
                <w:noProof/>
                <w:webHidden/>
              </w:rPr>
              <w:fldChar w:fldCharType="begin"/>
            </w:r>
            <w:r>
              <w:rPr>
                <w:noProof/>
                <w:webHidden/>
              </w:rPr>
              <w:instrText xml:space="preserve"> PAGEREF _Toc190280217 \h </w:instrText>
            </w:r>
            <w:r>
              <w:rPr>
                <w:noProof/>
                <w:webHidden/>
              </w:rPr>
            </w:r>
            <w:r>
              <w:rPr>
                <w:noProof/>
                <w:webHidden/>
              </w:rPr>
              <w:fldChar w:fldCharType="separate"/>
            </w:r>
            <w:r>
              <w:rPr>
                <w:noProof/>
                <w:webHidden/>
              </w:rPr>
              <w:t>24</w:t>
            </w:r>
            <w:r>
              <w:rPr>
                <w:noProof/>
                <w:webHidden/>
              </w:rPr>
              <w:fldChar w:fldCharType="end"/>
            </w:r>
          </w:hyperlink>
        </w:p>
        <w:p w14:paraId="1D431B66" w14:textId="758464F2" w:rsidR="007D2B01" w:rsidRDefault="007D2B01">
          <w:pPr>
            <w:pStyle w:val="TOC1"/>
            <w:tabs>
              <w:tab w:val="right" w:pos="9019"/>
            </w:tabs>
            <w:rPr>
              <w:noProof/>
            </w:rPr>
          </w:pPr>
          <w:hyperlink w:anchor="_Toc190280218" w:history="1">
            <w:r w:rsidRPr="00150381">
              <w:rPr>
                <w:rStyle w:val="Hyperlink"/>
                <w:noProof/>
              </w:rPr>
              <w:t>5. Conclusion</w:t>
            </w:r>
            <w:r>
              <w:rPr>
                <w:noProof/>
                <w:webHidden/>
              </w:rPr>
              <w:tab/>
            </w:r>
            <w:r>
              <w:rPr>
                <w:noProof/>
                <w:webHidden/>
              </w:rPr>
              <w:fldChar w:fldCharType="begin"/>
            </w:r>
            <w:r>
              <w:rPr>
                <w:noProof/>
                <w:webHidden/>
              </w:rPr>
              <w:instrText xml:space="preserve"> PAGEREF _Toc190280218 \h </w:instrText>
            </w:r>
            <w:r>
              <w:rPr>
                <w:noProof/>
                <w:webHidden/>
              </w:rPr>
            </w:r>
            <w:r>
              <w:rPr>
                <w:noProof/>
                <w:webHidden/>
              </w:rPr>
              <w:fldChar w:fldCharType="separate"/>
            </w:r>
            <w:r>
              <w:rPr>
                <w:noProof/>
                <w:webHidden/>
              </w:rPr>
              <w:t>26</w:t>
            </w:r>
            <w:r>
              <w:rPr>
                <w:noProof/>
                <w:webHidden/>
              </w:rPr>
              <w:fldChar w:fldCharType="end"/>
            </w:r>
          </w:hyperlink>
        </w:p>
        <w:p w14:paraId="327ECDDB" w14:textId="0BA800D3" w:rsidR="007D2B01" w:rsidRDefault="007D2B01">
          <w:pPr>
            <w:pStyle w:val="TOC1"/>
            <w:tabs>
              <w:tab w:val="right" w:pos="9019"/>
            </w:tabs>
            <w:rPr>
              <w:noProof/>
            </w:rPr>
          </w:pPr>
          <w:hyperlink w:anchor="_Toc190280219" w:history="1">
            <w:r w:rsidRPr="00150381">
              <w:rPr>
                <w:rStyle w:val="Hyperlink"/>
                <w:noProof/>
              </w:rPr>
              <w:t>Reference</w:t>
            </w:r>
            <w:r>
              <w:rPr>
                <w:noProof/>
                <w:webHidden/>
              </w:rPr>
              <w:tab/>
            </w:r>
            <w:r>
              <w:rPr>
                <w:noProof/>
                <w:webHidden/>
              </w:rPr>
              <w:fldChar w:fldCharType="begin"/>
            </w:r>
            <w:r>
              <w:rPr>
                <w:noProof/>
                <w:webHidden/>
              </w:rPr>
              <w:instrText xml:space="preserve"> PAGEREF _Toc190280219 \h </w:instrText>
            </w:r>
            <w:r>
              <w:rPr>
                <w:noProof/>
                <w:webHidden/>
              </w:rPr>
            </w:r>
            <w:r>
              <w:rPr>
                <w:noProof/>
                <w:webHidden/>
              </w:rPr>
              <w:fldChar w:fldCharType="separate"/>
            </w:r>
            <w:r>
              <w:rPr>
                <w:noProof/>
                <w:webHidden/>
              </w:rPr>
              <w:t>29</w:t>
            </w:r>
            <w:r>
              <w:rPr>
                <w:noProof/>
                <w:webHidden/>
              </w:rPr>
              <w:fldChar w:fldCharType="end"/>
            </w:r>
          </w:hyperlink>
        </w:p>
        <w:p w14:paraId="1D55E062" w14:textId="45AC0E12" w:rsidR="00D54ABF" w:rsidRDefault="006813B5">
          <w:pPr>
            <w:widowControl w:val="0"/>
            <w:tabs>
              <w:tab w:val="right" w:pos="12000"/>
            </w:tabs>
            <w:jc w:val="left"/>
            <w:rPr>
              <w:rFonts w:ascii="Arial" w:eastAsia="Arial" w:hAnsi="Arial" w:cs="Arial"/>
              <w:b/>
              <w:color w:val="000000"/>
              <w:sz w:val="22"/>
              <w:szCs w:val="22"/>
            </w:rPr>
          </w:pPr>
          <w:r>
            <w:fldChar w:fldCharType="end"/>
          </w:r>
        </w:p>
      </w:sdtContent>
    </w:sdt>
    <w:p w14:paraId="028DCE8C" w14:textId="77777777" w:rsidR="00D54ABF" w:rsidRDefault="006813B5">
      <w:pPr>
        <w:jc w:val="left"/>
      </w:pPr>
      <w:r>
        <w:br w:type="page"/>
      </w:r>
    </w:p>
    <w:p w14:paraId="15397427" w14:textId="77777777" w:rsidR="00D54ABF" w:rsidRDefault="006813B5">
      <w:pPr>
        <w:pStyle w:val="Heading1"/>
      </w:pPr>
      <w:bookmarkStart w:id="0" w:name="_Toc190280185"/>
      <w:r>
        <w:lastRenderedPageBreak/>
        <w:t>1. Introduction</w:t>
      </w:r>
      <w:bookmarkEnd w:id="0"/>
    </w:p>
    <w:p w14:paraId="5829C4D9" w14:textId="77777777" w:rsidR="00D54ABF" w:rsidRDefault="006813B5">
      <w:pPr>
        <w:pStyle w:val="Heading2"/>
      </w:pPr>
      <w:bookmarkStart w:id="1" w:name="_Toc190280186"/>
      <w:r>
        <w:t>1.1 Background of Marriott International</w:t>
      </w:r>
      <w:bookmarkEnd w:id="1"/>
    </w:p>
    <w:p w14:paraId="5571B104" w14:textId="77777777" w:rsidR="00D54ABF" w:rsidRDefault="006813B5">
      <w:r>
        <w:t>Marriott is one of the largest hotel chain companies, with 8,700+ hotels in 139 countries across the globe (Marriott International, 2024). Originally established in 1927, the company has evolved to be recognised as an obliging, luxurious innovator and a leader in customer service. This massive multinational company offers hotel services across various brands such as The Ritz-Carlton, Sheraton, Westin, and St. Regis across the world to different markets (Marriott, 2024). It has employed franchise, acquisitions, and strategic partnerships over the years, and it has grown to become one of the largest chains of hotels in the world. On the other hand, being one of the largest international hotel chains, Marriott has great operational and managerial pressures, such as legal, regulatory, ethical and power relations issues (Nicolaides, 2019).</w:t>
      </w:r>
    </w:p>
    <w:p w14:paraId="05A0CDC8" w14:textId="77777777" w:rsidR="00D54ABF" w:rsidRDefault="006813B5">
      <w:r>
        <w:t>Recently, Marriott International has faced several controversies involving itself, including cyberattacks on its guests’ data and contractual disputes regarding franchises (Binns and Kempf, 2021). Another relevant problem at the present day is the criminal case in Poland concerning the fraudulent actions of Marriott’s company in dishonesty and unethical business performance. Several areas within corporate governance, financial reporting, and ethical practices in the hospitality industry are evidenced critically through this case. Taking into consideration the reputational and financial consequences necessary to prevent such problems, Marriott needs to solve these questions ahead of time (Sanvitale, 2020).</w:t>
      </w:r>
    </w:p>
    <w:p w14:paraId="050337A5" w14:textId="77777777" w:rsidR="00D54ABF" w:rsidRDefault="006813B5">
      <w:pPr>
        <w:pStyle w:val="Heading2"/>
      </w:pPr>
      <w:bookmarkStart w:id="2" w:name="_Toc190280187"/>
      <w:r>
        <w:t>1.2 The Issue at Hand: Ethical &amp; Financial Mismanagement in Poland</w:t>
      </w:r>
      <w:bookmarkEnd w:id="2"/>
    </w:p>
    <w:p w14:paraId="677A5B14" w14:textId="77777777" w:rsidR="00D54ABF" w:rsidRDefault="006813B5">
      <w:r>
        <w:t>The criminal case in Poland is based on the accusations of Marriott’s unethical business operations during the COVID-19 situation (Leff, 2024). Sleaze's allegations accuse Marriott of passing maintenance expenses to Lim Company contrary to the terms of the agreement signed between the two of them by absolving all such responsibilities. In addition, it is also claimed that Marriott prevented the hotel from leasing rooms to the Polish National Health Fund to accommodate frontline workers and interfered with advertising deals unless unwarranted kickbacks were offered (Spencer, 2023).</w:t>
      </w:r>
    </w:p>
    <w:p w14:paraId="5C04F990" w14:textId="77777777" w:rsidR="00D54ABF" w:rsidRDefault="006813B5">
      <w:r>
        <w:t xml:space="preserve">This case poses a reputational and potential financial loss concern to Marriott International Company. The target is inherently based on trust, effective communication and close cooperation with the property owners (Wamsler </w:t>
      </w:r>
      <w:r>
        <w:rPr>
          <w:i/>
        </w:rPr>
        <w:t>et al</w:t>
      </w:r>
      <w:r>
        <w:t xml:space="preserve">., 2020). If the allegations are proven, </w:t>
      </w:r>
      <w:r>
        <w:lastRenderedPageBreak/>
        <w:t>Marriott could face legal penalties, investor distrust, and brand damage, particularly in Europe, where corporate governance and ethical business conduct are strictly regulated.</w:t>
      </w:r>
    </w:p>
    <w:p w14:paraId="45E6E759" w14:textId="77777777" w:rsidR="00D54ABF" w:rsidRDefault="006813B5">
      <w:pPr>
        <w:pStyle w:val="Heading2"/>
      </w:pPr>
      <w:bookmarkStart w:id="3" w:name="_Toc190280188"/>
      <w:r>
        <w:t>1.3 Why This Issue Matters</w:t>
      </w:r>
      <w:bookmarkEnd w:id="3"/>
    </w:p>
    <w:p w14:paraId="46461999" w14:textId="77777777" w:rsidR="00D54ABF" w:rsidRDefault="006813B5">
      <w:r>
        <w:t xml:space="preserve">The hospitality industry is stabilising after the setbacks that it incurred due to the COVID-19 financial impacts (Matejić </w:t>
      </w:r>
      <w:r>
        <w:rPr>
          <w:i/>
        </w:rPr>
        <w:t>et al</w:t>
      </w:r>
      <w:r>
        <w:t>., 2022). As COVID-19 restrictions get lifted companies like Marriott must focus on sustainable business practices, productivity and stakeholder relationships. However, this case can be problematic for Marriott should the company be unable to institute ethical business relations with the franchise owners. If left unaddressed, the issue could:</w:t>
      </w:r>
    </w:p>
    <w:p w14:paraId="0A50DB60" w14:textId="77777777" w:rsidR="00D54ABF" w:rsidRDefault="006813B5">
      <w:pPr>
        <w:numPr>
          <w:ilvl w:val="0"/>
          <w:numId w:val="10"/>
        </w:numPr>
        <w:spacing w:after="0"/>
      </w:pPr>
      <w:r>
        <w:t>Hurt Marriott’s Expansion in Europe: Business people and property owners can be reluctant to engage a company with legal problems.</w:t>
      </w:r>
    </w:p>
    <w:p w14:paraId="5AFCAEB7" w14:textId="77777777" w:rsidR="00D54ABF" w:rsidRDefault="006813B5">
      <w:pPr>
        <w:numPr>
          <w:ilvl w:val="0"/>
          <w:numId w:val="10"/>
        </w:numPr>
        <w:spacing w:after="0"/>
      </w:pPr>
      <w:r>
        <w:t>Damage Brand Trust: Consumers and shareholders demand that business organisations be transparent and accountable (Brand and Blok, 2019). Any of the said misconduct could result in what is referred to as adverse publicity.</w:t>
      </w:r>
    </w:p>
    <w:p w14:paraId="2AC78F34" w14:textId="77777777" w:rsidR="00D54ABF" w:rsidRDefault="006813B5">
      <w:pPr>
        <w:numPr>
          <w:ilvl w:val="0"/>
          <w:numId w:val="10"/>
        </w:numPr>
        <w:spacing w:after="0"/>
      </w:pPr>
      <w:r>
        <w:t>Financial Losses: Existing and emerging legal claims, penalties or finally fines, together with compensations that may end up being charged to Marriott, could demoralise shareholders, as well as cut down its income.</w:t>
      </w:r>
    </w:p>
    <w:p w14:paraId="44CD86DF" w14:textId="77777777" w:rsidR="00D54ABF" w:rsidRDefault="006813B5">
      <w:pPr>
        <w:numPr>
          <w:ilvl w:val="0"/>
          <w:numId w:val="10"/>
        </w:numPr>
      </w:pPr>
      <w:r>
        <w:t>Regulatory Consequences: It could also expose Marriott to further operational restrictions from the European authorities, hence reducing the firm's operational flexibility within the market (Haddara, Salazar and Langseth, 2023).</w:t>
      </w:r>
    </w:p>
    <w:p w14:paraId="1BBBEFB5" w14:textId="77777777" w:rsidR="00D54ABF" w:rsidRDefault="006813B5">
      <w:r>
        <w:t>The identified risks thus require a strategic plan that will ensure that the organisation adopts sound objectives that arrest the risks of crises, financial regulations, stakeholder communications, and reporting.</w:t>
      </w:r>
    </w:p>
    <w:p w14:paraId="13E7AC4D" w14:textId="77777777" w:rsidR="00D54ABF" w:rsidRDefault="006813B5">
      <w:pPr>
        <w:pStyle w:val="Heading2"/>
        <w:rPr>
          <w:highlight w:val="yellow"/>
        </w:rPr>
      </w:pPr>
      <w:bookmarkStart w:id="4" w:name="_Toc190280189"/>
      <w:r>
        <w:rPr>
          <w:highlight w:val="yellow"/>
        </w:rPr>
        <w:t>1.4 About the Consultancy Firm</w:t>
      </w:r>
      <w:bookmarkEnd w:id="4"/>
    </w:p>
    <w:p w14:paraId="39C9CCA1" w14:textId="77777777" w:rsidR="00D54ABF" w:rsidRDefault="006813B5">
      <w:pPr>
        <w:rPr>
          <w:highlight w:val="yellow"/>
        </w:rPr>
      </w:pPr>
      <w:r>
        <w:rPr>
          <w:highlight w:val="yellow"/>
        </w:rPr>
        <w:t xml:space="preserve">PA Consulting Group is a UK-based consultancy firm that helps corporations with corporate crisis communication, business ethics, corporate restructuring, and financial regulation. Founded in 1943, PA Consulting has likewise been known to offer strategic solutions to multinational corporations in the complex governance, compliance and risk management arena, focusing on the leading global hotel chains (PA Consulting Group, 2025). In addition, the firm possesses knowledge of hotelier operations, management and the responses of the </w:t>
      </w:r>
      <w:r>
        <w:rPr>
          <w:highlight w:val="yellow"/>
        </w:rPr>
        <w:lastRenderedPageBreak/>
        <w:t>multinational hotel groups to regulatory changes, stakeholder concerns and the reactions to its reputational crises. All of PA Consulting’s team members are industry specialists, quantitative analysts, and legal consultants who provide data-driven and practical solutions to ensure our clients are protected from financial and reputational risk. PA Consulting’s successful track record in stakeholder management and corporate transparency means that the company has worked with multinational hotel brands to develop stronger governance frameworks, mitigate crises and facilitate sustainable operational change (PA Consulting Group, 2024). Interestingly, by utilising its superior depth of industry knowledge and strategic expertise, PA Consulting will aid Marriott International in Warsaw, Poland, by offering tailored recommendations to handle their issues and, in turn, solidify Marriott with its corporate responsibility commitments and stakeholder trust.</w:t>
      </w:r>
    </w:p>
    <w:p w14:paraId="0DBC2158" w14:textId="77777777" w:rsidR="00D54ABF" w:rsidRDefault="006813B5">
      <w:pPr>
        <w:pStyle w:val="Heading1"/>
      </w:pPr>
      <w:bookmarkStart w:id="5" w:name="_Toc190280190"/>
      <w:r>
        <w:t>2. Analysis</w:t>
      </w:r>
      <w:bookmarkEnd w:id="5"/>
      <w:r>
        <w:t xml:space="preserve"> </w:t>
      </w:r>
    </w:p>
    <w:p w14:paraId="0557F32E" w14:textId="77777777" w:rsidR="00D54ABF" w:rsidRDefault="006813B5">
      <w:r>
        <w:t>In the present section, the subsequent overall examination of the existing threats to Marriott International will be provided with a focus on the criminal investigation in Poland. To analyse the internal and external factors of the given situation and to make strategic recommendations, we will be using four tools, namely STEEPLED, SOAR analysis and TOWS tools.</w:t>
      </w:r>
    </w:p>
    <w:p w14:paraId="1A18E6C2" w14:textId="77777777" w:rsidR="00D54ABF" w:rsidRDefault="006813B5">
      <w:pPr>
        <w:pStyle w:val="Heading2"/>
      </w:pPr>
      <w:bookmarkStart w:id="6" w:name="_Toc190280191"/>
      <w:r>
        <w:t>2.1 Background of the Issue</w:t>
      </w:r>
      <w:bookmarkEnd w:id="6"/>
    </w:p>
    <w:p w14:paraId="4859590C" w14:textId="77777777" w:rsidR="00D54ABF" w:rsidRDefault="006813B5">
      <w:r>
        <w:t>Marriott International is a giant player in the hospitality industry and has hotels running over 8,700 in 139 countries. Marriott was involved in a legal battle with Lim Company, which owns the building that hosts the Marriott Hotel in Poland, Warsaw. A tussle that started with the outbreak of the COVID-19 pandemic has resulted in a criminal probe (The Silicon Review, 2023). Concerning complaints against Marriott, the issues that have been raised are Child and women abuse, discrimination and retaliation, forced labour and human trafficking, harassment, disrespect of Workers’ freedom of association, violations of labour laws and wage theft, tax evasion, climate change and environmental violations.</w:t>
      </w:r>
    </w:p>
    <w:p w14:paraId="26BA0085" w14:textId="77777777" w:rsidR="00D54ABF" w:rsidRDefault="006813B5">
      <w:r>
        <w:t>It emerged from the debate in terms of monetary and productive disparities. In aggravating, self-serving allegations of financial misconduct and violations of information, Lim Company claimed that Marriott did those wrongs (Williams, 2023). It became worse and worse, and later, it caught the eye of the Polish government and authority, resulting in a criminal case.</w:t>
      </w:r>
    </w:p>
    <w:p w14:paraId="48B2BC04" w14:textId="77777777" w:rsidR="00D54ABF" w:rsidRDefault="006813B5">
      <w:r>
        <w:lastRenderedPageBreak/>
        <w:t>These threats are closely associated with critical business impacts for Marriott in Poland and may also affect other European countries. In case these allegations are true, legal consequences can ensue, possible monetary losses, and a damaged company reputation (The Baltic Times, 2024). In order that Marriott does not suffer from many of these problems or any adverse effects these issues must be dealt with before they become worse.</w:t>
      </w:r>
    </w:p>
    <w:p w14:paraId="0BE3CD28" w14:textId="77777777" w:rsidR="00D54ABF" w:rsidRDefault="006813B5">
      <w:pPr>
        <w:pStyle w:val="Heading2"/>
      </w:pPr>
      <w:bookmarkStart w:id="7" w:name="_Toc190280192"/>
      <w:r>
        <w:t>2.2 STEEPLED Analysis</w:t>
      </w:r>
      <w:bookmarkEnd w:id="7"/>
    </w:p>
    <w:p w14:paraId="3D4239FE" w14:textId="77777777" w:rsidR="00D54ABF" w:rsidRDefault="006813B5">
      <w:r>
        <w:t>It will be useful to use the STEEPLED framework to evaluate the external drivers in this case of analysing Marriott. Below is a detailed examination:</w:t>
      </w:r>
    </w:p>
    <w:p w14:paraId="30B7A389" w14:textId="77777777" w:rsidR="00D54ABF" w:rsidRDefault="006813B5">
      <w:pPr>
        <w:rPr>
          <w:b/>
          <w:i/>
        </w:rPr>
      </w:pPr>
      <w:r>
        <w:rPr>
          <w:b/>
          <w:i/>
        </w:rPr>
        <w:t>Social Factors:</w:t>
      </w:r>
    </w:p>
    <w:p w14:paraId="10098594" w14:textId="77777777" w:rsidR="00D54ABF" w:rsidRDefault="006813B5">
      <w:r>
        <w:rPr>
          <w:b/>
          <w:i/>
        </w:rPr>
        <w:t>Public Perception:</w:t>
      </w:r>
      <w:r>
        <w:t xml:space="preserve"> The above-listed allegations were actually revelations of unethical practices which the media is capable of portraying giving a raw deal to the Marriott brand with regard to public perception. In general, people choose a place to rest and spend their time, so in the hospitality industry, their reputation is very important, and such incidents can scare off clients (Ghani </w:t>
      </w:r>
      <w:r>
        <w:rPr>
          <w:i/>
        </w:rPr>
        <w:t>et al</w:t>
      </w:r>
      <w:r>
        <w:t>., 2022).</w:t>
      </w:r>
    </w:p>
    <w:p w14:paraId="58564B31" w14:textId="77777777" w:rsidR="00D54ABF" w:rsidRDefault="006813B5">
      <w:r>
        <w:rPr>
          <w:b/>
          <w:i/>
        </w:rPr>
        <w:t>Employee Morale:</w:t>
      </w:r>
      <w:r>
        <w:t xml:space="preserve"> A case of unfair labour practice brings organisational dissatisfaction and poor organisational culture, and this, in one way, de-motivates employees and makes them quit, thus affecting turnover (Mollel and Otieno, 2022).</w:t>
      </w:r>
    </w:p>
    <w:p w14:paraId="018F7B22" w14:textId="77777777" w:rsidR="00D54ABF" w:rsidRDefault="006813B5">
      <w:pPr>
        <w:rPr>
          <w:b/>
          <w:i/>
        </w:rPr>
      </w:pPr>
      <w:r>
        <w:rPr>
          <w:b/>
          <w:i/>
        </w:rPr>
        <w:t>Technological Factors:</w:t>
      </w:r>
    </w:p>
    <w:p w14:paraId="78738324" w14:textId="77777777" w:rsidR="00D54ABF" w:rsidRDefault="006813B5">
      <w:r>
        <w:rPr>
          <w:b/>
          <w:i/>
        </w:rPr>
        <w:t xml:space="preserve">Digital Reputation Management: </w:t>
      </w:r>
      <w:r>
        <w:t>Most activities take place in the digital age, so the news goes around very quickly. The negative publicity can be spread through social media, which is damaging to Marriott Company’s image across the world. Such measures create problems that can only be countered by efficient digital reputation management activities (Bellini, Iraqi and Damiani, 2020).</w:t>
      </w:r>
    </w:p>
    <w:p w14:paraId="027AFA56" w14:textId="77777777" w:rsidR="00D54ABF" w:rsidRDefault="006813B5">
      <w:r>
        <w:rPr>
          <w:b/>
          <w:i/>
        </w:rPr>
        <w:t xml:space="preserve">Operational Technology: </w:t>
      </w:r>
      <w:r>
        <w:t>Whenever accusations are made that there has been financial sycophancy in an organisation, it may reveal that Marriott has poor methods of monitoring its money matters, which may require technological advancement (McLaren, 2020).</w:t>
      </w:r>
    </w:p>
    <w:p w14:paraId="42E276CE" w14:textId="77777777" w:rsidR="00D54ABF" w:rsidRDefault="006813B5">
      <w:pPr>
        <w:rPr>
          <w:b/>
          <w:i/>
        </w:rPr>
      </w:pPr>
      <w:r>
        <w:rPr>
          <w:b/>
          <w:i/>
        </w:rPr>
        <w:t>Economic Factors:</w:t>
      </w:r>
    </w:p>
    <w:p w14:paraId="04F49435" w14:textId="77777777" w:rsidR="00D54ABF" w:rsidRDefault="006813B5">
      <w:r>
        <w:rPr>
          <w:b/>
          <w:i/>
        </w:rPr>
        <w:lastRenderedPageBreak/>
        <w:t>Financial Performance:</w:t>
      </w:r>
      <w:r>
        <w:t xml:space="preserve"> Marriott’s economic health is pretty good; it has a 5.2 % increase in annual revenue, and a total value of $24.766 billion was obtained for the 12 months that ended September 30, 2024 (Statista, 2024).</w:t>
      </w:r>
    </w:p>
    <w:p w14:paraId="35E677CB" w14:textId="77777777" w:rsidR="00D54ABF" w:rsidRDefault="006813B5">
      <w:r>
        <w:rPr>
          <w:b/>
          <w:i/>
        </w:rPr>
        <w:t>Market Confidence:</w:t>
      </w:r>
      <w:r>
        <w:t xml:space="preserve"> Some investors may consider the investigation as a social factor which will cause stocks in the company to lose value and get more attention from stakeholders (Qiu </w:t>
      </w:r>
      <w:r>
        <w:rPr>
          <w:i/>
        </w:rPr>
        <w:t>et al</w:t>
      </w:r>
      <w:r>
        <w:t>., 2020). But legal penalties or settlements might prove to be expensive affairs.</w:t>
      </w:r>
    </w:p>
    <w:p w14:paraId="658E659C" w14:textId="77777777" w:rsidR="00D54ABF" w:rsidRDefault="006813B5">
      <w:pPr>
        <w:rPr>
          <w:b/>
          <w:i/>
        </w:rPr>
      </w:pPr>
      <w:r>
        <w:rPr>
          <w:b/>
          <w:i/>
        </w:rPr>
        <w:t>Environmental Factors:</w:t>
      </w:r>
    </w:p>
    <w:p w14:paraId="22DCFAB9" w14:textId="77777777" w:rsidR="00D54ABF" w:rsidRDefault="006813B5">
      <w:r>
        <w:rPr>
          <w:b/>
          <w:i/>
        </w:rPr>
        <w:t xml:space="preserve">Sustainability Practices: </w:t>
      </w:r>
      <w:r>
        <w:t>Allegations of environmental violation may attract higher scrutiny from the authorities and capital outlay to meet the set ecological laws (Akerele, 2024).</w:t>
      </w:r>
    </w:p>
    <w:p w14:paraId="128B5803" w14:textId="77777777" w:rsidR="00D54ABF" w:rsidRDefault="006813B5">
      <w:r>
        <w:rPr>
          <w:b/>
          <w:i/>
        </w:rPr>
        <w:t>Regulatory Compliance:</w:t>
      </w:r>
      <w:r>
        <w:t xml:space="preserve"> Failure to follow environmental standards leads to legal penalties and loss of face in the market because it is against being dubbed a socially responsible corporate citizen (Fontana, Atif and Gull, 2021).</w:t>
      </w:r>
    </w:p>
    <w:p w14:paraId="06BC258A" w14:textId="77777777" w:rsidR="00D54ABF" w:rsidRDefault="006813B5">
      <w:pPr>
        <w:rPr>
          <w:b/>
          <w:i/>
        </w:rPr>
      </w:pPr>
      <w:r>
        <w:rPr>
          <w:b/>
          <w:i/>
        </w:rPr>
        <w:t>Political Factors:</w:t>
      </w:r>
    </w:p>
    <w:p w14:paraId="7AF8C651" w14:textId="77777777" w:rsidR="00D54ABF" w:rsidRDefault="006813B5">
      <w:r>
        <w:rPr>
          <w:b/>
          <w:i/>
        </w:rPr>
        <w:t>Government Relations:</w:t>
      </w:r>
      <w:r>
        <w:t xml:space="preserve"> The level of government participation in the investigation may imply turbulence in Marriott’s dealings with other arms of government in the future increases in operations and expansion (Griffin and Youm, 2023).</w:t>
      </w:r>
    </w:p>
    <w:p w14:paraId="34DD118E" w14:textId="77777777" w:rsidR="00D54ABF" w:rsidRDefault="006813B5">
      <w:r>
        <w:rPr>
          <w:b/>
          <w:i/>
        </w:rPr>
        <w:t xml:space="preserve">Regulatory Environment: </w:t>
      </w:r>
      <w:r>
        <w:t>In light of the regulatory investigation, the company may impose stricter compliance measures and, therefore restrict its operational freedom necessary for the business (Hoofnagle, Sloot and Borgesius, 2019).</w:t>
      </w:r>
    </w:p>
    <w:p w14:paraId="1FF73F71" w14:textId="77777777" w:rsidR="00D54ABF" w:rsidRDefault="006813B5">
      <w:pPr>
        <w:rPr>
          <w:b/>
          <w:i/>
        </w:rPr>
      </w:pPr>
      <w:r>
        <w:rPr>
          <w:b/>
          <w:i/>
        </w:rPr>
        <w:t>Legal Factors:</w:t>
      </w:r>
    </w:p>
    <w:p w14:paraId="6B499722" w14:textId="77777777" w:rsidR="00D54ABF" w:rsidRDefault="006813B5">
      <w:r>
        <w:rPr>
          <w:b/>
          <w:i/>
        </w:rPr>
        <w:t>Litigation Risks:</w:t>
      </w:r>
      <w:r>
        <w:t xml:space="preserve"> The criminal investigation makes Marriott face such legal consequences as fines and sanctions that may negatively impact its finances in the long run.</w:t>
      </w:r>
    </w:p>
    <w:p w14:paraId="0137DF54" w14:textId="77777777" w:rsidR="00D54ABF" w:rsidRDefault="006813B5">
      <w:r>
        <w:rPr>
          <w:b/>
          <w:i/>
        </w:rPr>
        <w:t xml:space="preserve">Compliance Obligations: </w:t>
      </w:r>
      <w:r>
        <w:t>Marriott will require firing up the content compliance programs to avoid similar legal litigations in the future, and extra efforts to prove its legal operations (Martinez, 2020).</w:t>
      </w:r>
    </w:p>
    <w:p w14:paraId="577F4340" w14:textId="77777777" w:rsidR="00D54ABF" w:rsidRDefault="006813B5">
      <w:pPr>
        <w:rPr>
          <w:b/>
          <w:i/>
        </w:rPr>
      </w:pPr>
      <w:r>
        <w:rPr>
          <w:b/>
          <w:i/>
        </w:rPr>
        <w:t>Ethical Factors:</w:t>
      </w:r>
    </w:p>
    <w:p w14:paraId="4843CEC2" w14:textId="77777777" w:rsidR="00D54ABF" w:rsidRDefault="006813B5">
      <w:r>
        <w:rPr>
          <w:b/>
          <w:i/>
        </w:rPr>
        <w:t xml:space="preserve">Corporate Governance: </w:t>
      </w:r>
      <w:r>
        <w:t>The allegations present potential problems in the sense that there are lapses in corporate governance structures, which require a change of its ethical standards.</w:t>
      </w:r>
    </w:p>
    <w:p w14:paraId="6C5FCBFB" w14:textId="77777777" w:rsidR="00D54ABF" w:rsidRDefault="006813B5">
      <w:r>
        <w:rPr>
          <w:b/>
          <w:i/>
        </w:rPr>
        <w:lastRenderedPageBreak/>
        <w:t xml:space="preserve">Stakeholder Trust: </w:t>
      </w:r>
      <w:r>
        <w:t>It is also important to keep customer, employee and partner trust, particularly when establishing new lines of business (Paparoidamis, Katsikeas and Chumpitaz, 2019). This yearning can be breached through leadership antecedents that constitute ethical calumny, resulting in long-haul reputation degradation.</w:t>
      </w:r>
    </w:p>
    <w:p w14:paraId="32213E6A" w14:textId="77777777" w:rsidR="00D54ABF" w:rsidRDefault="006813B5">
      <w:pPr>
        <w:rPr>
          <w:b/>
          <w:i/>
        </w:rPr>
      </w:pPr>
      <w:r>
        <w:rPr>
          <w:b/>
          <w:i/>
        </w:rPr>
        <w:t>Demographic Factors:</w:t>
      </w:r>
    </w:p>
    <w:p w14:paraId="40644771" w14:textId="77777777" w:rsidR="00D54ABF" w:rsidRDefault="006813B5">
      <w:r>
        <w:rPr>
          <w:b/>
          <w:i/>
        </w:rPr>
        <w:t xml:space="preserve">Customer Base: </w:t>
      </w:r>
      <w:r>
        <w:t>Its customer group might also respond differently to the scandal having many different customer groups that use Marriott services. Suppose the change is in perception towards a certain good or service solvent by the customer (Iliashenko and Mardenova, 2023). In that case, the usefulness of the communication effort to demography is useful in offering perceived by a certain demography.</w:t>
      </w:r>
    </w:p>
    <w:p w14:paraId="62159935" w14:textId="77777777" w:rsidR="00D54ABF" w:rsidRDefault="006813B5">
      <w:r>
        <w:rPr>
          <w:b/>
          <w:i/>
        </w:rPr>
        <w:t xml:space="preserve">Workforce Diversity: </w:t>
      </w:r>
      <w:r>
        <w:t>Matters touching on the unfair labour practices allegations may source of strength in great measures of the company’s capacity to acquire and maintain a skilled multinational workforce, crucial in today’s ever-competitive international marketplace.</w:t>
      </w:r>
    </w:p>
    <w:p w14:paraId="71A37A51" w14:textId="77777777" w:rsidR="00D54ABF" w:rsidRDefault="006813B5">
      <w:pPr>
        <w:pStyle w:val="Heading2"/>
      </w:pPr>
      <w:bookmarkStart w:id="8" w:name="_Toc190280193"/>
      <w:r>
        <w:t>2.3 SOAR Analysis</w:t>
      </w:r>
      <w:bookmarkEnd w:id="8"/>
    </w:p>
    <w:p w14:paraId="27985D21" w14:textId="77777777" w:rsidR="00D54ABF" w:rsidRDefault="006813B5">
      <w:r>
        <w:t>According to the analysis, the SOAR framework is centred on the internal aspects of Marriott, specifically its strengths and opportunities, as well as the aspirations and outcomes Marriott wants to attain.</w:t>
      </w:r>
    </w:p>
    <w:p w14:paraId="1B397D74" w14:textId="77777777" w:rsidR="00D54ABF" w:rsidRDefault="006813B5">
      <w:pPr>
        <w:rPr>
          <w:b/>
          <w:i/>
        </w:rPr>
      </w:pPr>
      <w:r>
        <w:rPr>
          <w:b/>
          <w:i/>
        </w:rPr>
        <w:t>Strengths:</w:t>
      </w:r>
    </w:p>
    <w:p w14:paraId="078E830A" w14:textId="77777777" w:rsidR="00D54ABF" w:rsidRDefault="006813B5">
      <w:pPr>
        <w:numPr>
          <w:ilvl w:val="0"/>
          <w:numId w:val="11"/>
        </w:numPr>
        <w:spacing w:after="0"/>
      </w:pPr>
      <w:r>
        <w:t xml:space="preserve">Global Brand Recognition: Global brand strength could be used by Marriott to regain the trust and confidence of consumers and stakeholders due to engaged ethical restoration strategies (Osman Ahmed El-Said </w:t>
      </w:r>
      <w:r>
        <w:rPr>
          <w:i/>
        </w:rPr>
        <w:t>et al</w:t>
      </w:r>
      <w:r>
        <w:t>., 2024).</w:t>
      </w:r>
    </w:p>
    <w:p w14:paraId="0145DD72" w14:textId="77777777" w:rsidR="00D54ABF" w:rsidRDefault="006813B5">
      <w:pPr>
        <w:numPr>
          <w:ilvl w:val="0"/>
          <w:numId w:val="11"/>
        </w:numPr>
        <w:spacing w:after="0"/>
      </w:pPr>
      <w:r>
        <w:t>Diverse Portfolio: Given that Marriott encompasses a diverse number of brands targeting radically different audiences, the organisation can offset the risks resulting from the scandal by focusing on the promotion of its overall benefits.</w:t>
      </w:r>
    </w:p>
    <w:p w14:paraId="704D047A" w14:textId="77777777" w:rsidR="00D54ABF" w:rsidRDefault="006813B5">
      <w:pPr>
        <w:numPr>
          <w:ilvl w:val="0"/>
          <w:numId w:val="11"/>
        </w:numPr>
      </w:pPr>
      <w:r>
        <w:t>Financial Resilience: However, despite recent setbacks, Marriott continues to report robust financials allowing the company to respond to legal matters and enforce changes.</w:t>
      </w:r>
    </w:p>
    <w:p w14:paraId="55B1A0A6" w14:textId="77777777" w:rsidR="00D54ABF" w:rsidRDefault="006813B5">
      <w:pPr>
        <w:rPr>
          <w:b/>
          <w:i/>
        </w:rPr>
      </w:pPr>
      <w:r>
        <w:rPr>
          <w:b/>
          <w:i/>
        </w:rPr>
        <w:t>Opportunities:</w:t>
      </w:r>
    </w:p>
    <w:p w14:paraId="1A6CEE14" w14:textId="77777777" w:rsidR="00D54ABF" w:rsidRDefault="006813B5">
      <w:pPr>
        <w:numPr>
          <w:ilvl w:val="0"/>
          <w:numId w:val="9"/>
        </w:numPr>
        <w:spacing w:after="0"/>
      </w:pPr>
      <w:r>
        <w:t>Corporate Social Responsibility (CSR): The idea is to reinforce CSR activities to ensure that Marriott acts with integrity and regains the favour of the consumer.</w:t>
      </w:r>
    </w:p>
    <w:p w14:paraId="5FF62CB6" w14:textId="77777777" w:rsidR="00D54ABF" w:rsidRDefault="006813B5">
      <w:pPr>
        <w:numPr>
          <w:ilvl w:val="0"/>
          <w:numId w:val="9"/>
        </w:numPr>
        <w:spacing w:after="0"/>
      </w:pPr>
      <w:r>
        <w:lastRenderedPageBreak/>
        <w:t>Operational Improvements: The current challenges can be viewed as positive because they allow the industry to reconsider all internal activities, including financial reporting and regulatory compliance (Krasodomska, Simnett and Street, 2021).</w:t>
      </w:r>
    </w:p>
    <w:p w14:paraId="021E2BD8" w14:textId="77777777" w:rsidR="00D54ABF" w:rsidRDefault="006813B5">
      <w:pPr>
        <w:numPr>
          <w:ilvl w:val="0"/>
          <w:numId w:val="9"/>
        </w:numPr>
      </w:pPr>
      <w:r>
        <w:t>Stakeholder Engagement: To do this, leaders at Marriott can listen and respond to all key stakeholders including the employees, customers, and investors.</w:t>
      </w:r>
    </w:p>
    <w:p w14:paraId="5A84BC42" w14:textId="77777777" w:rsidR="00D54ABF" w:rsidRDefault="006813B5">
      <w:pPr>
        <w:rPr>
          <w:b/>
          <w:i/>
        </w:rPr>
      </w:pPr>
      <w:r>
        <w:rPr>
          <w:b/>
          <w:i/>
        </w:rPr>
        <w:t>Aspirations:</w:t>
      </w:r>
    </w:p>
    <w:p w14:paraId="31371210" w14:textId="77777777" w:rsidR="00D54ABF" w:rsidRDefault="006813B5">
      <w:pPr>
        <w:numPr>
          <w:ilvl w:val="0"/>
          <w:numId w:val="12"/>
        </w:numPr>
        <w:spacing w:after="0"/>
      </w:pPr>
      <w:r>
        <w:t>Industry Leadership in Ethics: Marriott has strategic objectives of being among the best companies in ethical issues of governance, transparency and stewardship within the hospitality industry (Deng and Zhou, 2022).</w:t>
      </w:r>
    </w:p>
    <w:p w14:paraId="28BCB160" w14:textId="77777777" w:rsidR="00D54ABF" w:rsidRDefault="006813B5">
      <w:pPr>
        <w:numPr>
          <w:ilvl w:val="0"/>
          <w:numId w:val="12"/>
        </w:numPr>
        <w:spacing w:after="0"/>
      </w:pPr>
      <w:r>
        <w:t>Regaining Stakeholder Trust: Through quick actions, Marriott can manage to close and reinvent the organisational culture from a number of challenges, including leadership, by engaging in ethical practices.</w:t>
      </w:r>
    </w:p>
    <w:p w14:paraId="69ED873D" w14:textId="77777777" w:rsidR="00D54ABF" w:rsidRDefault="006813B5">
      <w:pPr>
        <w:numPr>
          <w:ilvl w:val="0"/>
          <w:numId w:val="12"/>
        </w:numPr>
      </w:pPr>
      <w:r>
        <w:t>Operational Excellence: Strengthening compliance initiatives and management structures will let Marriott better manage legal issues in the future and increase the overall performance of the company (Ertuna, Gu and Yu, 2022).</w:t>
      </w:r>
    </w:p>
    <w:p w14:paraId="586A276B" w14:textId="77777777" w:rsidR="00D54ABF" w:rsidRDefault="006813B5">
      <w:pPr>
        <w:rPr>
          <w:b/>
          <w:i/>
        </w:rPr>
      </w:pPr>
      <w:r>
        <w:rPr>
          <w:b/>
          <w:i/>
        </w:rPr>
        <w:t>Results:</w:t>
      </w:r>
    </w:p>
    <w:p w14:paraId="7B77222A" w14:textId="77777777" w:rsidR="00D54ABF" w:rsidRDefault="006813B5">
      <w:pPr>
        <w:numPr>
          <w:ilvl w:val="0"/>
          <w:numId w:val="16"/>
        </w:numPr>
        <w:spacing w:after="0"/>
      </w:pPr>
      <w:r>
        <w:t>Reputation Recovery: Marriott can restore the lost face and retain the reputation of the unambiguous hospitality industry leader.</w:t>
      </w:r>
    </w:p>
    <w:p w14:paraId="24668D7C" w14:textId="77777777" w:rsidR="00D54ABF" w:rsidRDefault="006813B5">
      <w:pPr>
        <w:numPr>
          <w:ilvl w:val="0"/>
          <w:numId w:val="16"/>
        </w:numPr>
        <w:spacing w:after="0"/>
      </w:pPr>
      <w:r>
        <w:t>Improved Financial Performance: Ethical business practices mean that business organisations can bring investors and franchise owners who are interested in running ethical businesses for the long term (Suttidharm and Leelasantitham, 2024).</w:t>
      </w:r>
    </w:p>
    <w:p w14:paraId="0D4E9B00" w14:textId="77777777" w:rsidR="00D54ABF" w:rsidRDefault="006813B5">
      <w:pPr>
        <w:numPr>
          <w:ilvl w:val="0"/>
          <w:numId w:val="16"/>
        </w:numPr>
      </w:pPr>
      <w:r>
        <w:t>Long-term Sustainability: Measures regarding compliance together with corporate governance improve sustainability and reduce the possible coming of similar frauds.</w:t>
      </w:r>
    </w:p>
    <w:p w14:paraId="1B9D1762" w14:textId="77777777" w:rsidR="00D54ABF" w:rsidRDefault="006813B5">
      <w:pPr>
        <w:pStyle w:val="Heading2"/>
      </w:pPr>
      <w:bookmarkStart w:id="9" w:name="_heading=h.2s8eyo1" w:colFirst="0" w:colLast="0"/>
      <w:bookmarkEnd w:id="9"/>
      <w:r>
        <w:br w:type="page"/>
      </w:r>
    </w:p>
    <w:p w14:paraId="7496CFE8" w14:textId="77777777" w:rsidR="00D54ABF" w:rsidRDefault="006813B5">
      <w:pPr>
        <w:pStyle w:val="Heading2"/>
      </w:pPr>
      <w:bookmarkStart w:id="10" w:name="_Toc190280194"/>
      <w:r>
        <w:lastRenderedPageBreak/>
        <w:t>2.4 TOWS Analysis</w:t>
      </w:r>
      <w:bookmarkEnd w:id="10"/>
    </w:p>
    <w:p w14:paraId="58B2F828" w14:textId="77777777" w:rsidR="00D54ABF" w:rsidRDefault="006813B5">
      <w:r>
        <w:t>The TOWS Matrix helps Marriott leverage its strengths and opportunities while addressing its weaknesses and threats.</w:t>
      </w:r>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1724"/>
        <w:gridCol w:w="3383"/>
        <w:gridCol w:w="3918"/>
      </w:tblGrid>
      <w:tr w:rsidR="00D54ABF" w14:paraId="152AD142" w14:textId="77777777">
        <w:trPr>
          <w:trHeight w:val="500"/>
        </w:trPr>
        <w:tc>
          <w:tcPr>
            <w:tcW w:w="17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E7008E" w14:textId="77777777" w:rsidR="00D54ABF" w:rsidRDefault="006813B5">
            <w:r>
              <w:t>TOWS Factors</w:t>
            </w:r>
          </w:p>
        </w:tc>
        <w:tc>
          <w:tcPr>
            <w:tcW w:w="33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0D2241" w14:textId="77777777" w:rsidR="00D54ABF" w:rsidRDefault="006813B5">
            <w:r>
              <w:t>Strengths (S)</w:t>
            </w:r>
          </w:p>
        </w:tc>
        <w:tc>
          <w:tcPr>
            <w:tcW w:w="39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E7C2D9" w14:textId="77777777" w:rsidR="00D54ABF" w:rsidRDefault="006813B5">
            <w:r>
              <w:t>Weaknesses (W)</w:t>
            </w:r>
          </w:p>
        </w:tc>
      </w:tr>
      <w:tr w:rsidR="00D54ABF" w14:paraId="2D8D7855" w14:textId="77777777">
        <w:trPr>
          <w:trHeight w:val="2390"/>
        </w:trPr>
        <w:tc>
          <w:tcPr>
            <w:tcW w:w="17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AA7CF6" w14:textId="77777777" w:rsidR="00D54ABF" w:rsidRDefault="006813B5">
            <w:r>
              <w:t>Opportunities (O)</w:t>
            </w:r>
          </w:p>
        </w:tc>
        <w:tc>
          <w:tcPr>
            <w:tcW w:w="33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88B4BE" w14:textId="77777777" w:rsidR="00D54ABF" w:rsidRDefault="006813B5">
            <w:r>
              <w:t>- Leverage global presence to reaffirm commitment to ethical business practices.</w:t>
            </w:r>
          </w:p>
          <w:p w14:paraId="188AD2E3" w14:textId="77777777" w:rsidR="00D54ABF" w:rsidRDefault="006813B5">
            <w:r>
              <w:t>- Use CSR programs to showcase responsible corporate behaviour.</w:t>
            </w:r>
          </w:p>
          <w:p w14:paraId="20C91DAB" w14:textId="77777777" w:rsidR="00D54ABF" w:rsidRDefault="006813B5">
            <w:r>
              <w:t>- Implement stronger financial oversight to prevent future allegations.</w:t>
            </w:r>
          </w:p>
        </w:tc>
        <w:tc>
          <w:tcPr>
            <w:tcW w:w="39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83DC5F" w14:textId="77777777" w:rsidR="00D54ABF" w:rsidRDefault="006813B5">
            <w:r>
              <w:t>- Address governance gaps by restructuring financial reporting and compliance mechanisms (Oberwallner, Pelger and Sellhorn, 2021).</w:t>
            </w:r>
          </w:p>
          <w:p w14:paraId="03AA0BA5" w14:textId="77777777" w:rsidR="00D54ABF" w:rsidRDefault="006813B5">
            <w:r>
              <w:t>- Strengthen franchise agreements to prevent future disputes.</w:t>
            </w:r>
          </w:p>
        </w:tc>
      </w:tr>
      <w:tr w:rsidR="00D54ABF" w14:paraId="7E7A5124" w14:textId="77777777">
        <w:trPr>
          <w:trHeight w:val="1850"/>
        </w:trPr>
        <w:tc>
          <w:tcPr>
            <w:tcW w:w="17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E21FB" w14:textId="77777777" w:rsidR="00D54ABF" w:rsidRDefault="006813B5">
            <w:r>
              <w:t>Threats (T)</w:t>
            </w:r>
          </w:p>
        </w:tc>
        <w:tc>
          <w:tcPr>
            <w:tcW w:w="33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7A707F" w14:textId="77777777" w:rsidR="00D54ABF" w:rsidRDefault="006813B5">
            <w:r>
              <w:t>- Maintain stakeholder confidence by proactively addressing legal concerns (Soundararajan, Brown and Wicks, 2019).</w:t>
            </w:r>
          </w:p>
          <w:p w14:paraId="233AC1EF" w14:textId="77777777" w:rsidR="00D54ABF" w:rsidRDefault="006813B5">
            <w:r>
              <w:t>- Implement a transparent communication strategy to counteract misinformation.</w:t>
            </w:r>
          </w:p>
        </w:tc>
        <w:tc>
          <w:tcPr>
            <w:tcW w:w="39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EA2CD" w14:textId="77777777" w:rsidR="00D54ABF" w:rsidRDefault="006813B5">
            <w:r>
              <w:t>- If left unaddressed, the controversy could lead to declining investor confidence and weakened partnerships.</w:t>
            </w:r>
          </w:p>
          <w:p w14:paraId="3828560F" w14:textId="77777777" w:rsidR="00D54ABF" w:rsidRDefault="006813B5">
            <w:r>
              <w:t>- Potential regulatory fines and operational restrictions could impact profitability.</w:t>
            </w:r>
          </w:p>
        </w:tc>
      </w:tr>
    </w:tbl>
    <w:p w14:paraId="3587CE29" w14:textId="77777777" w:rsidR="00D54ABF" w:rsidRDefault="006813B5">
      <w:pPr>
        <w:rPr>
          <w:b/>
          <w:i/>
        </w:rPr>
      </w:pPr>
      <w:r>
        <w:rPr>
          <w:b/>
          <w:i/>
        </w:rPr>
        <w:t>Strategic Insights from TOWS Analysis:</w:t>
      </w:r>
    </w:p>
    <w:p w14:paraId="35FCCCF1" w14:textId="77777777" w:rsidR="00D54ABF" w:rsidRDefault="006813B5">
      <w:pPr>
        <w:numPr>
          <w:ilvl w:val="0"/>
          <w:numId w:val="5"/>
        </w:numPr>
        <w:spacing w:after="0"/>
      </w:pPr>
      <w:r>
        <w:t>Marriott should leverage its good brand image (S) to create a message concerning its ethical stance besides embracing proactive media management.</w:t>
      </w:r>
    </w:p>
    <w:p w14:paraId="3E4F0F6B" w14:textId="77777777" w:rsidR="00D54ABF" w:rsidRDefault="006813B5">
      <w:pPr>
        <w:numPr>
          <w:ilvl w:val="0"/>
          <w:numId w:val="5"/>
        </w:numPr>
        <w:spacing w:after="0"/>
      </w:pPr>
      <w:r>
        <w:t xml:space="preserve">Every weakness or issue related to the company’s governance (W) must be changed into a strength through the implementation of improved compliance checks and better financial reporting solutions (Mbir </w:t>
      </w:r>
      <w:r>
        <w:rPr>
          <w:i/>
        </w:rPr>
        <w:t>et al</w:t>
      </w:r>
      <w:r>
        <w:t>., 2020).</w:t>
      </w:r>
    </w:p>
    <w:p w14:paraId="7A0F5BDA" w14:textId="77777777" w:rsidR="00D54ABF" w:rsidRDefault="006813B5">
      <w:pPr>
        <w:numPr>
          <w:ilvl w:val="0"/>
          <w:numId w:val="5"/>
        </w:numPr>
        <w:spacing w:after="0"/>
      </w:pPr>
      <w:r>
        <w:t>Marriott can use the money from the established corporate social responsibility programmes (O) to fight a damaged image and show good intentions.</w:t>
      </w:r>
    </w:p>
    <w:p w14:paraId="3A43AE2F" w14:textId="77777777" w:rsidR="00D54ABF" w:rsidRDefault="006813B5">
      <w:pPr>
        <w:numPr>
          <w:ilvl w:val="0"/>
          <w:numId w:val="5"/>
        </w:numPr>
      </w:pPr>
      <w:r>
        <w:lastRenderedPageBreak/>
        <w:t>It goes without saying that prompt legal reaction and proper coordination with the regulators (T) will be required in order to manage financial and operative consequences.</w:t>
      </w:r>
    </w:p>
    <w:p w14:paraId="517E21CE" w14:textId="77777777" w:rsidR="00D54ABF" w:rsidRDefault="006813B5">
      <w:pPr>
        <w:pStyle w:val="Heading2"/>
      </w:pPr>
      <w:bookmarkStart w:id="11" w:name="_Toc190280195"/>
      <w:r>
        <w:t>2.5 Key Findings from Analysis</w:t>
      </w:r>
      <w:bookmarkEnd w:id="11"/>
    </w:p>
    <w:p w14:paraId="6EE3C8C7" w14:textId="77777777" w:rsidR="00D54ABF" w:rsidRDefault="006813B5">
      <w:pPr>
        <w:rPr>
          <w:b/>
          <w:i/>
        </w:rPr>
      </w:pPr>
      <w:r>
        <w:rPr>
          <w:b/>
          <w:i/>
        </w:rPr>
        <w:t>Legal &amp; Ethical Issues</w:t>
      </w:r>
    </w:p>
    <w:p w14:paraId="339A7E8B" w14:textId="77777777" w:rsidR="00D54ABF" w:rsidRDefault="006813B5">
      <w:pPr>
        <w:numPr>
          <w:ilvl w:val="0"/>
          <w:numId w:val="6"/>
        </w:numPr>
        <w:spacing w:after="0"/>
      </w:pPr>
      <w:r>
        <w:t>Investigation in Poland has, therefore, led to questions on financial corruption and poor governance structures within the Marriott business model (</w:t>
      </w:r>
      <w:r>
        <w:rPr>
          <w:color w:val="222222"/>
        </w:rPr>
        <w:t>O’Mahoney, 2021)</w:t>
      </w:r>
      <w:r>
        <w:t>.</w:t>
      </w:r>
    </w:p>
    <w:p w14:paraId="48F564E6" w14:textId="77777777" w:rsidR="00D54ABF" w:rsidRDefault="006813B5">
      <w:pPr>
        <w:numPr>
          <w:ilvl w:val="0"/>
          <w:numId w:val="6"/>
        </w:numPr>
      </w:pPr>
      <w:r>
        <w:t>The inability to meet the above concerns may lead to legal repercussions, financial losses and goodwill deterioration.</w:t>
      </w:r>
    </w:p>
    <w:p w14:paraId="092CB38F" w14:textId="77777777" w:rsidR="00D54ABF" w:rsidRDefault="006813B5">
      <w:pPr>
        <w:rPr>
          <w:b/>
          <w:i/>
        </w:rPr>
      </w:pPr>
      <w:r>
        <w:rPr>
          <w:b/>
          <w:i/>
        </w:rPr>
        <w:t>Financial &amp; Business Risks</w:t>
      </w:r>
    </w:p>
    <w:p w14:paraId="12F12CEC" w14:textId="77777777" w:rsidR="00D54ABF" w:rsidRDefault="006813B5">
      <w:pPr>
        <w:numPr>
          <w:ilvl w:val="0"/>
          <w:numId w:val="15"/>
        </w:numPr>
        <w:spacing w:after="0"/>
      </w:pPr>
      <w:r>
        <w:t>It also shows that investor sentiments have been somehow damaged, and there has been a propensity for Merlin loss in Marriot Market Europe (</w:t>
      </w:r>
      <w:r>
        <w:rPr>
          <w:color w:val="222222"/>
        </w:rPr>
        <w:t>Kipping, and Clark, 2012)</w:t>
      </w:r>
      <w:r>
        <w:t>.</w:t>
      </w:r>
    </w:p>
    <w:p w14:paraId="49552782" w14:textId="77777777" w:rsidR="00D54ABF" w:rsidRDefault="006813B5">
      <w:pPr>
        <w:numPr>
          <w:ilvl w:val="0"/>
          <w:numId w:val="15"/>
        </w:numPr>
      </w:pPr>
      <w:r>
        <w:t>The conflict with Lim Company reveals certain weaknesses of Marriott’s franchise agreement management that may need reorganisation.</w:t>
      </w:r>
    </w:p>
    <w:p w14:paraId="62D994E5" w14:textId="77777777" w:rsidR="00D54ABF" w:rsidRDefault="006813B5">
      <w:pPr>
        <w:rPr>
          <w:b/>
          <w:i/>
        </w:rPr>
      </w:pPr>
      <w:r>
        <w:rPr>
          <w:b/>
          <w:i/>
        </w:rPr>
        <w:t>Operational Challenges</w:t>
      </w:r>
    </w:p>
    <w:p w14:paraId="5031F9E5" w14:textId="77777777" w:rsidR="00D54ABF" w:rsidRDefault="006813B5">
      <w:pPr>
        <w:numPr>
          <w:ilvl w:val="0"/>
          <w:numId w:val="18"/>
        </w:numPr>
        <w:spacing w:after="0"/>
      </w:pPr>
      <w:r>
        <w:t>The aspects, like business tense related to labour relations and governance, can also negatively influence employee morale (Piao, Xie and Managi, 2022).</w:t>
      </w:r>
    </w:p>
    <w:p w14:paraId="284CA4D4" w14:textId="77777777" w:rsidR="00D54ABF" w:rsidRDefault="006813B5">
      <w:pPr>
        <w:numPr>
          <w:ilvl w:val="0"/>
          <w:numId w:val="18"/>
        </w:numPr>
      </w:pPr>
      <w:r>
        <w:t>It will, therefore, require corporate governance reforms to avert such issues in the other global markets.</w:t>
      </w:r>
    </w:p>
    <w:p w14:paraId="1F5C1C4E" w14:textId="77777777" w:rsidR="00D54ABF" w:rsidRDefault="006813B5">
      <w:pPr>
        <w:rPr>
          <w:b/>
          <w:i/>
        </w:rPr>
      </w:pPr>
      <w:r>
        <w:rPr>
          <w:b/>
          <w:i/>
        </w:rPr>
        <w:t>Reputation &amp; Brand Value</w:t>
      </w:r>
    </w:p>
    <w:p w14:paraId="2BB69429" w14:textId="77777777" w:rsidR="00D54ABF" w:rsidRDefault="006813B5">
      <w:pPr>
        <w:numPr>
          <w:ilvl w:val="0"/>
          <w:numId w:val="19"/>
        </w:numPr>
        <w:spacing w:after="0"/>
      </w:pPr>
      <w:r>
        <w:t>Here, it can be noted that the coverage by digital media has had a great effect on Marriott’s branding image across the world.</w:t>
      </w:r>
    </w:p>
    <w:p w14:paraId="165EA8BC" w14:textId="77777777" w:rsidR="00D54ABF" w:rsidRDefault="006813B5">
      <w:pPr>
        <w:numPr>
          <w:ilvl w:val="0"/>
          <w:numId w:val="19"/>
        </w:numPr>
      </w:pPr>
      <w:r>
        <w:t>To avoid long-term negative outcomes of the crisis, the plan should include tactics to address the stakeholders as soon as the situation emerges.</w:t>
      </w:r>
    </w:p>
    <w:p w14:paraId="487C04D8" w14:textId="77777777" w:rsidR="00D54ABF" w:rsidRDefault="006813B5">
      <w:r>
        <w:t xml:space="preserve">Currently, Marriott International is crossing the threshold to the next level of legal and ethical risks that it needs to manage in Poland, as well as to enhance the company’s corporate governance and financial compliance mechanisms. From the STEEPLED analysis, SOAR and TOWS models, it is apparent that Marriott has all the requisite resources, image, and operating capacities to address the crisis. Some of the key risk mitigation strategies are: Although, to </w:t>
      </w:r>
      <w:r>
        <w:lastRenderedPageBreak/>
        <w:t>regain stakeholders’ confidence prompt corrective measures, better communication and regulatory coordination will be required.</w:t>
      </w:r>
    </w:p>
    <w:p w14:paraId="58D2B66C" w14:textId="77777777" w:rsidR="00D54ABF" w:rsidRDefault="006813B5">
      <w:pPr>
        <w:pStyle w:val="Heading1"/>
      </w:pPr>
      <w:bookmarkStart w:id="12" w:name="_Toc190280196"/>
      <w:r>
        <w:t>3. Recommendations &amp; Change Management</w:t>
      </w:r>
      <w:bookmarkEnd w:id="12"/>
    </w:p>
    <w:p w14:paraId="26AD32EA" w14:textId="77777777" w:rsidR="00D54ABF" w:rsidRDefault="006813B5">
      <w:r>
        <w:t>Taking into consideration the overview of the current problems facing Marriott International, especially the criminal investigation issue in Poland, there is a need to enact strategic recommendations together with the change management plan. This section provides specific strategies concerning the major areas of focus, and a framework for change management to enhance the likelihood of implementation and continuation of the changes.</w:t>
      </w:r>
    </w:p>
    <w:p w14:paraId="5D870124" w14:textId="77777777" w:rsidR="00D54ABF" w:rsidRDefault="006813B5">
      <w:pPr>
        <w:pStyle w:val="Heading2"/>
      </w:pPr>
      <w:bookmarkStart w:id="13" w:name="_Toc190280197"/>
      <w:r>
        <w:t>3.1 Strategic Recommendations</w:t>
      </w:r>
      <w:bookmarkEnd w:id="13"/>
    </w:p>
    <w:p w14:paraId="1F439C85" w14:textId="77777777" w:rsidR="00D54ABF" w:rsidRDefault="006813B5">
      <w:pPr>
        <w:pStyle w:val="Heading3"/>
      </w:pPr>
      <w:bookmarkStart w:id="14" w:name="_Toc190280198"/>
      <w:r>
        <w:t>3.1.1 Legal and Compliance Enhancements</w:t>
      </w:r>
      <w:bookmarkEnd w:id="14"/>
    </w:p>
    <w:p w14:paraId="7FD85701" w14:textId="77777777" w:rsidR="00D54ABF" w:rsidRDefault="006813B5">
      <w:pPr>
        <w:numPr>
          <w:ilvl w:val="0"/>
          <w:numId w:val="1"/>
        </w:numPr>
        <w:spacing w:after="0"/>
      </w:pPr>
      <w:r>
        <w:t>Objective: It is high time for businesses to recognise legal risks and enhance compliance to ensure the absence of future legal cases (Truby, 2020).</w:t>
      </w:r>
    </w:p>
    <w:p w14:paraId="298EC683" w14:textId="77777777" w:rsidR="00D54ABF" w:rsidRDefault="006813B5">
      <w:pPr>
        <w:numPr>
          <w:ilvl w:val="0"/>
          <w:numId w:val="1"/>
        </w:numPr>
        <w:spacing w:after="0"/>
      </w:pPr>
      <w:r>
        <w:t>Conduct a Comprehensive Legal Audit: Hire outside lawyers for an audit on how Marriott is run in Poland and other sensitive countries. This audit should reveal legal risks that may be contractual and related to labour relations, tax, and environmental legislation.</w:t>
      </w:r>
    </w:p>
    <w:p w14:paraId="656260E3" w14:textId="77777777" w:rsidR="00D54ABF" w:rsidRDefault="006813B5">
      <w:pPr>
        <w:numPr>
          <w:ilvl w:val="0"/>
          <w:numId w:val="1"/>
        </w:numPr>
        <w:spacing w:after="0"/>
      </w:pPr>
      <w:r>
        <w:t>Revise and Enforce Compliance Policies: Currently, the existing compliance policies have to be revised, especially to include compliance with the laws of the respective countries and the international laws. This means that every employee should undergo compulsory training sessions for familiarisation with as well as compliance with these policies.</w:t>
      </w:r>
    </w:p>
    <w:p w14:paraId="0A2BC161" w14:textId="77777777" w:rsidR="00D54ABF" w:rsidRDefault="006813B5">
      <w:pPr>
        <w:numPr>
          <w:ilvl w:val="0"/>
          <w:numId w:val="1"/>
        </w:numPr>
      </w:pPr>
      <w:r>
        <w:t>Establish a Compliance Monitoring System: The next procedure is the establishment of a single point of reference for the assessment of compliance within the company’s facilities. This system should comprise internal audits whereby the company conducts their assessments, live reporting and a program for whistle blowers who report unethical practices.</w:t>
      </w:r>
    </w:p>
    <w:p w14:paraId="4BA662B4" w14:textId="77777777" w:rsidR="00D54ABF" w:rsidRDefault="006813B5">
      <w:pPr>
        <w:pStyle w:val="Heading3"/>
      </w:pPr>
      <w:bookmarkStart w:id="15" w:name="_Toc190280199"/>
      <w:r>
        <w:t>3.1.2 Corporate Governance Reforms</w:t>
      </w:r>
      <w:bookmarkEnd w:id="15"/>
    </w:p>
    <w:p w14:paraId="492583A2" w14:textId="77777777" w:rsidR="00D54ABF" w:rsidRDefault="006813B5">
      <w:pPr>
        <w:numPr>
          <w:ilvl w:val="0"/>
          <w:numId w:val="20"/>
        </w:numPr>
        <w:spacing w:after="0"/>
      </w:pPr>
      <w:r>
        <w:t xml:space="preserve">Objective: Build up more sustainable corporate governance systems to increase the business’s impartiality in its operations and socialism (Zaman </w:t>
      </w:r>
      <w:r>
        <w:rPr>
          <w:i/>
        </w:rPr>
        <w:t>et al</w:t>
      </w:r>
      <w:r>
        <w:t>., 2020).</w:t>
      </w:r>
    </w:p>
    <w:p w14:paraId="3F37BB70" w14:textId="77777777" w:rsidR="00D54ABF" w:rsidRDefault="006813B5">
      <w:pPr>
        <w:numPr>
          <w:ilvl w:val="0"/>
          <w:numId w:val="20"/>
        </w:numPr>
        <w:spacing w:after="0"/>
      </w:pPr>
      <w:r>
        <w:lastRenderedPageBreak/>
        <w:t>Restructure the Board of Directors: The independent directors, particularly those with backgrounds in corporate ethics and or regulatory and compliance, should be proposed. This will also supply independent management responsibility on governance issues.</w:t>
      </w:r>
    </w:p>
    <w:p w14:paraId="581E8C81" w14:textId="77777777" w:rsidR="00D54ABF" w:rsidRDefault="006813B5">
      <w:pPr>
        <w:numPr>
          <w:ilvl w:val="0"/>
          <w:numId w:val="20"/>
        </w:numPr>
        <w:spacing w:after="0"/>
      </w:pPr>
      <w:r>
        <w:t>Implement a Risk Management Framework: 1. Establish a strong, informative risk management policy that will help the organisation assess the entire legal compliance, financial reporting, and operational risks encountered in the company.</w:t>
      </w:r>
    </w:p>
    <w:p w14:paraId="27012262" w14:textId="77777777" w:rsidR="00D54ABF" w:rsidRDefault="006813B5">
      <w:pPr>
        <w:numPr>
          <w:ilvl w:val="0"/>
          <w:numId w:val="20"/>
        </w:numPr>
      </w:pPr>
      <w:r>
        <w:t>Enhance Stakeholder Communication: Maintain reporting that enables dissemination of information to the investors, the employees and other partners concerning matters of governance practices and corporate performance.</w:t>
      </w:r>
    </w:p>
    <w:p w14:paraId="7190C431" w14:textId="77777777" w:rsidR="00D54ABF" w:rsidRDefault="006813B5">
      <w:pPr>
        <w:pStyle w:val="Heading3"/>
      </w:pPr>
      <w:bookmarkStart w:id="16" w:name="_Toc190280200"/>
      <w:r>
        <w:t>3.1.3 Financial Management Improvements</w:t>
      </w:r>
      <w:bookmarkEnd w:id="16"/>
    </w:p>
    <w:p w14:paraId="59C38DA6" w14:textId="77777777" w:rsidR="00D54ABF" w:rsidRDefault="006813B5">
      <w:pPr>
        <w:numPr>
          <w:ilvl w:val="0"/>
          <w:numId w:val="7"/>
        </w:numPr>
        <w:spacing w:after="0"/>
      </w:pPr>
      <w:r>
        <w:t>Objective: The external tension calls for improvement in firm financial controls and more disclosure to anticipate and mitigate cases of fraudulent financial reporting that erode stakeholders’ trust in the organisation (Sikka and Stittle, 2019).</w:t>
      </w:r>
    </w:p>
    <w:p w14:paraId="3E1E1144" w14:textId="77777777" w:rsidR="00D54ABF" w:rsidRDefault="006813B5">
      <w:pPr>
        <w:numPr>
          <w:ilvl w:val="0"/>
          <w:numId w:val="7"/>
        </w:numPr>
        <w:spacing w:after="0"/>
      </w:pPr>
      <w:r>
        <w:t>Upgrade Financial Reporting Systems: Translate financial innovations into production that enables a dependable, efficient and up-to-date method of reporting. It will also improve transparency and help improve conformance to guidelines that the company is subjected to by-laws and other statutes.</w:t>
      </w:r>
    </w:p>
    <w:p w14:paraId="22893020" w14:textId="77777777" w:rsidR="00D54ABF" w:rsidRDefault="006813B5">
      <w:pPr>
        <w:numPr>
          <w:ilvl w:val="0"/>
          <w:numId w:val="7"/>
        </w:numPr>
        <w:spacing w:after="0"/>
      </w:pPr>
      <w:r>
        <w:t>Conduct Regular Financial Audits: Externally, independent organisations should be hired to perform random audits so as to ensure credibility in the financial reports besides pulling out areas that may require overhauls (</w:t>
      </w:r>
      <w:r>
        <w:rPr>
          <w:color w:val="222222"/>
        </w:rPr>
        <w:t>Mavridopoulou and O’Mahoney, 2020)</w:t>
      </w:r>
      <w:r>
        <w:t>.</w:t>
      </w:r>
    </w:p>
    <w:p w14:paraId="04080DFA" w14:textId="77777777" w:rsidR="00D54ABF" w:rsidRDefault="006813B5">
      <w:pPr>
        <w:numPr>
          <w:ilvl w:val="0"/>
          <w:numId w:val="7"/>
        </w:numPr>
      </w:pPr>
      <w:r>
        <w:t>Enhance Budgetary Controls: Implement protection of cash and other assets through implementing strong measures on spending through the approval of a budget.</w:t>
      </w:r>
    </w:p>
    <w:p w14:paraId="440CD4D6" w14:textId="77777777" w:rsidR="00D54ABF" w:rsidRDefault="006813B5">
      <w:pPr>
        <w:pStyle w:val="Heading3"/>
      </w:pPr>
      <w:bookmarkStart w:id="17" w:name="_Toc190280201"/>
      <w:r>
        <w:t>3.1.4 Environmental and Social Responsibility Initiatives</w:t>
      </w:r>
      <w:bookmarkEnd w:id="17"/>
    </w:p>
    <w:p w14:paraId="3B4DE53E" w14:textId="77777777" w:rsidR="00D54ABF" w:rsidRDefault="006813B5">
      <w:pPr>
        <w:numPr>
          <w:ilvl w:val="0"/>
          <w:numId w:val="17"/>
        </w:numPr>
        <w:spacing w:after="0"/>
      </w:pPr>
      <w:r>
        <w:t>Objective: Perform a crackdown on environmentally violated corporations and improve corporate social responsibility (CCR) to salvage public confidence (Chigubu and Legwaila, 2021).</w:t>
      </w:r>
    </w:p>
    <w:p w14:paraId="36604AA6" w14:textId="77777777" w:rsidR="00D54ABF" w:rsidRDefault="006813B5">
      <w:pPr>
        <w:numPr>
          <w:ilvl w:val="0"/>
          <w:numId w:val="17"/>
        </w:numPr>
        <w:spacing w:after="0"/>
      </w:pPr>
      <w:r>
        <w:t>Implement Sustainable Practices: Implement sustainable initiatives to conserve the environment including the use of energy-efficient systems, effective waste management practices as well and the efficient utilisation of resources.</w:t>
      </w:r>
    </w:p>
    <w:p w14:paraId="271C94F4" w14:textId="77777777" w:rsidR="00D54ABF" w:rsidRDefault="006813B5">
      <w:pPr>
        <w:numPr>
          <w:ilvl w:val="0"/>
          <w:numId w:val="17"/>
        </w:numPr>
        <w:spacing w:after="0"/>
      </w:pPr>
      <w:r>
        <w:t>Launch Community Engagement Programs: Start programs which have an impact on the community; this can mean patronising and supporting local business people, getting involved in community projects, and providing hospitality training.</w:t>
      </w:r>
    </w:p>
    <w:p w14:paraId="0E8B1588" w14:textId="77777777" w:rsidR="00D54ABF" w:rsidRDefault="006813B5">
      <w:pPr>
        <w:numPr>
          <w:ilvl w:val="0"/>
          <w:numId w:val="17"/>
        </w:numPr>
      </w:pPr>
      <w:r>
        <w:lastRenderedPageBreak/>
        <w:t>Establish an Environmental Compliance Team: Hire employees for a sustainability committee which will be wholly responsible for observing the company’s compliance with environmental standards and for the coordination of sustainability measures (</w:t>
      </w:r>
      <w:r>
        <w:rPr>
          <w:color w:val="222222"/>
        </w:rPr>
        <w:t>Kotter, 2012)</w:t>
      </w:r>
      <w:r>
        <w:t>.</w:t>
      </w:r>
    </w:p>
    <w:p w14:paraId="08C5C16D" w14:textId="77777777" w:rsidR="00D54ABF" w:rsidRDefault="006813B5">
      <w:pPr>
        <w:pStyle w:val="Heading3"/>
      </w:pPr>
      <w:bookmarkStart w:id="18" w:name="_Toc190280202"/>
      <w:r>
        <w:t>3.1.5 Employee Relations and Labour Practices</w:t>
      </w:r>
      <w:bookmarkEnd w:id="18"/>
    </w:p>
    <w:p w14:paraId="259A1CDC" w14:textId="77777777" w:rsidR="00D54ABF" w:rsidRDefault="006813B5">
      <w:pPr>
        <w:numPr>
          <w:ilvl w:val="0"/>
          <w:numId w:val="8"/>
        </w:numPr>
        <w:spacing w:after="0"/>
      </w:pPr>
      <w:r>
        <w:t>Objective: Ensure better working conditions that will reflect better working conditions with regard to labour that will eliminate labour grievances (Henly, Lambert and Dresser, 2021).</w:t>
      </w:r>
    </w:p>
    <w:p w14:paraId="2451E87C" w14:textId="77777777" w:rsidR="00D54ABF" w:rsidRDefault="006813B5">
      <w:pPr>
        <w:numPr>
          <w:ilvl w:val="0"/>
          <w:numId w:val="8"/>
        </w:numPr>
        <w:spacing w:after="0"/>
      </w:pPr>
      <w:r>
        <w:t>Review and Revise Labour Policies: Make sure that labour policies accord with respective country laws and standards of the International Labour Organisation. Handle problems that may relate to terms of work, wages, salary, and employee relations.</w:t>
      </w:r>
    </w:p>
    <w:p w14:paraId="7550983D" w14:textId="77777777" w:rsidR="00D54ABF" w:rsidRDefault="006813B5">
      <w:pPr>
        <w:numPr>
          <w:ilvl w:val="0"/>
          <w:numId w:val="8"/>
        </w:numPr>
        <w:spacing w:after="0"/>
      </w:pPr>
      <w:r>
        <w:t>Enhance Employee Engagement: The action plan should include activities to enhance employee participation, including providing feedback, appreciation and professional growth initiatives (</w:t>
      </w:r>
      <w:r>
        <w:rPr>
          <w:color w:val="222222"/>
        </w:rPr>
        <w:t xml:space="preserve">Whittington </w:t>
      </w:r>
      <w:r>
        <w:rPr>
          <w:i/>
          <w:color w:val="222222"/>
        </w:rPr>
        <w:t>et al</w:t>
      </w:r>
      <w:r>
        <w:rPr>
          <w:color w:val="222222"/>
        </w:rPr>
        <w:t>. 2020)</w:t>
      </w:r>
      <w:r>
        <w:t>.</w:t>
      </w:r>
    </w:p>
    <w:p w14:paraId="2FED4908" w14:textId="77777777" w:rsidR="00D54ABF" w:rsidRDefault="006813B5">
      <w:pPr>
        <w:numPr>
          <w:ilvl w:val="0"/>
          <w:numId w:val="8"/>
        </w:numPr>
      </w:pPr>
      <w:r>
        <w:t>Establish a Grievance Redressed Mechanism: Write an effective procedure adopting an employee complaint procedure where employees can express their concerns and have their concerns addressed promptly.</w:t>
      </w:r>
    </w:p>
    <w:p w14:paraId="3D178EE6" w14:textId="77777777" w:rsidR="00D54ABF" w:rsidRDefault="006813B5">
      <w:pPr>
        <w:pStyle w:val="Heading3"/>
      </w:pPr>
      <w:bookmarkStart w:id="19" w:name="_Toc190280203"/>
      <w:r>
        <w:t>3.1.6 Crisis Management and Communication</w:t>
      </w:r>
      <w:bookmarkEnd w:id="19"/>
    </w:p>
    <w:p w14:paraId="4BD1E2F9" w14:textId="77777777" w:rsidR="00D54ABF" w:rsidRDefault="006813B5">
      <w:pPr>
        <w:numPr>
          <w:ilvl w:val="0"/>
          <w:numId w:val="13"/>
        </w:numPr>
        <w:spacing w:after="0"/>
      </w:pPr>
      <w:r>
        <w:t>Objective: The external tension calls for improvement in firm financial controls and more disclosure to anticipate and mitigate cases of fraudulent financial reporting that erode stakeholders’ trust in the organisation (Al-atrsh, 2023).</w:t>
      </w:r>
    </w:p>
    <w:p w14:paraId="4DFD46FE" w14:textId="77777777" w:rsidR="00D54ABF" w:rsidRDefault="006813B5">
      <w:pPr>
        <w:numPr>
          <w:ilvl w:val="0"/>
          <w:numId w:val="13"/>
        </w:numPr>
        <w:spacing w:after="0"/>
      </w:pPr>
      <w:r>
        <w:t>Upgrade Financial Reporting Systems: Translate financial innovations into production that enables a dependable, efficient and up-to-date method of reporting. It will also improve transparency and help improve conformance to guidelines that the company is subjected to by-laws and other statutes.</w:t>
      </w:r>
    </w:p>
    <w:p w14:paraId="089964A1" w14:textId="77777777" w:rsidR="00D54ABF" w:rsidRDefault="006813B5">
      <w:pPr>
        <w:numPr>
          <w:ilvl w:val="0"/>
          <w:numId w:val="13"/>
        </w:numPr>
        <w:spacing w:after="0"/>
      </w:pPr>
      <w:r>
        <w:t>Conduct Regular Financial Audits: Externally, independent organisations should be hired to perform random audits so as to ensure credibility in the financial reports besides pulling out areas that may require overhauls.</w:t>
      </w:r>
    </w:p>
    <w:p w14:paraId="7FB62C9B" w14:textId="77777777" w:rsidR="00D54ABF" w:rsidRDefault="006813B5">
      <w:pPr>
        <w:numPr>
          <w:ilvl w:val="0"/>
          <w:numId w:val="13"/>
        </w:numPr>
      </w:pPr>
      <w:r>
        <w:t>Enhance Budgetary Controls: Implement protection of cash and other assets through implementing strong measures on spending through the approval of a budget.</w:t>
      </w:r>
    </w:p>
    <w:p w14:paraId="0ADA3863" w14:textId="77777777" w:rsidR="00D54ABF" w:rsidRDefault="006813B5">
      <w:pPr>
        <w:pStyle w:val="Heading3"/>
      </w:pPr>
      <w:bookmarkStart w:id="20" w:name="_Toc190280204"/>
      <w:r>
        <w:lastRenderedPageBreak/>
        <w:t>3.1.7 Social Media &amp; Public Relations Campaigns to Rebuild Trust</w:t>
      </w:r>
      <w:bookmarkEnd w:id="20"/>
    </w:p>
    <w:p w14:paraId="70B1EE07" w14:textId="77777777" w:rsidR="00D54ABF" w:rsidRDefault="006813B5">
      <w:pPr>
        <w:numPr>
          <w:ilvl w:val="0"/>
          <w:numId w:val="14"/>
        </w:numPr>
        <w:spacing w:after="0"/>
      </w:pPr>
      <w:r>
        <w:t>Objective: Social media and other online technologies will remain instrumental for Marriott to communicate with its public domain, share appropriate messages and regain its customers’ trust.</w:t>
      </w:r>
    </w:p>
    <w:p w14:paraId="750567FE" w14:textId="77777777" w:rsidR="00D54ABF" w:rsidRDefault="006813B5">
      <w:pPr>
        <w:numPr>
          <w:ilvl w:val="0"/>
          <w:numId w:val="14"/>
        </w:numPr>
        <w:spacing w:after="0"/>
      </w:pPr>
      <w:r>
        <w:t xml:space="preserve">Content Strategy: Create a calendar of articles and posts that would cover Marriott’s community relations efforts, environmental policies, and successful employees. </w:t>
      </w:r>
    </w:p>
    <w:p w14:paraId="6B737960" w14:textId="77777777" w:rsidR="00D54ABF" w:rsidRDefault="006813B5">
      <w:pPr>
        <w:numPr>
          <w:ilvl w:val="0"/>
          <w:numId w:val="14"/>
        </w:numPr>
        <w:spacing w:after="0"/>
      </w:pPr>
      <w:r>
        <w:t>Interactive Engagement: Encourage the guests to participate in polls on social media, ask questions, or join live events and answer their questions, proving that the company care (Dolan, Seo and Kemper, 2019).</w:t>
      </w:r>
    </w:p>
    <w:p w14:paraId="48044CB0" w14:textId="77777777" w:rsidR="00D54ABF" w:rsidRDefault="006813B5">
      <w:pPr>
        <w:numPr>
          <w:ilvl w:val="0"/>
          <w:numId w:val="14"/>
        </w:numPr>
        <w:spacing w:after="0"/>
      </w:pPr>
      <w:r>
        <w:t>Influencer Partnerships: Use a clear call to action feature that encourages followers to Book now and write a review afterwards. This will work well with the help of travel bloggers whose word of mouth will help Marriot gain popularity and credibility with a new set of audiences.</w:t>
      </w:r>
    </w:p>
    <w:p w14:paraId="67FEDCAB" w14:textId="77777777" w:rsidR="00D54ABF" w:rsidRDefault="006813B5">
      <w:pPr>
        <w:numPr>
          <w:ilvl w:val="0"/>
          <w:numId w:val="14"/>
        </w:numPr>
        <w:spacing w:after="0"/>
      </w:pPr>
      <w:r>
        <w:t>Crisis Response Protocol: Hire a social media specialist to constantly scan the entire social media network to identify any negative comments that could harm the company’s image and misinformation in order to respond to all undesired public sentiments in a very efficient manner.</w:t>
      </w:r>
    </w:p>
    <w:p w14:paraId="37647911" w14:textId="77777777" w:rsidR="00D54ABF" w:rsidRDefault="006813B5">
      <w:pPr>
        <w:numPr>
          <w:ilvl w:val="0"/>
          <w:numId w:val="14"/>
        </w:numPr>
      </w:pPr>
      <w:r>
        <w:t>By adopting all of these strategies, Marriott can clearly understand its intention to make its action plan known to customers so that, jointly, they can work towards fixing the underlying issues that have in the past plagued the company’s supply chain.</w:t>
      </w:r>
    </w:p>
    <w:p w14:paraId="24855F10" w14:textId="77777777" w:rsidR="00D54ABF" w:rsidRDefault="006813B5">
      <w:pPr>
        <w:pStyle w:val="Heading2"/>
      </w:pPr>
      <w:bookmarkStart w:id="21" w:name="_Toc190280205"/>
      <w:r>
        <w:t>3.3 Change Management Implementation using Kotter’s 8 step Model</w:t>
      </w:r>
      <w:bookmarkEnd w:id="21"/>
    </w:p>
    <w:p w14:paraId="2B9CB325" w14:textId="77777777" w:rsidR="00D54ABF" w:rsidRDefault="006813B5">
      <w:r>
        <w:t>In light of the challenges posed by change, the following paper suggests the application of Kotter’s 8-Step Change Management Model for Marriott International. This model shows how change can be introduced and how such change would be made sustainable within the framework of the organisation.</w:t>
      </w:r>
    </w:p>
    <w:p w14:paraId="35914D1C" w14:textId="77777777" w:rsidR="00D54ABF" w:rsidRDefault="006813B5">
      <w:pPr>
        <w:pStyle w:val="Heading3"/>
      </w:pPr>
      <w:bookmarkStart w:id="22" w:name="_Toc190280206"/>
      <w:r>
        <w:t>1. Create Urgency: Addressing Stakeholder Concerns</w:t>
      </w:r>
      <w:bookmarkEnd w:id="22"/>
    </w:p>
    <w:p w14:paraId="22480DA1" w14:textId="77777777" w:rsidR="00D54ABF" w:rsidRDefault="006813B5">
      <w:r>
        <w:t>Creating awareness helps the stakeholders to make change by setting up a sense of urgency.</w:t>
      </w:r>
    </w:p>
    <w:p w14:paraId="413FA6E4" w14:textId="77777777" w:rsidR="00D54ABF" w:rsidRDefault="006813B5">
      <w:r>
        <w:t>Market Analysis: Perform analytical studies to convey the threats and opportunities that may exist and to provide necessary evidence to some parties to enable them to understand why change is essential.</w:t>
      </w:r>
    </w:p>
    <w:p w14:paraId="41F244A8" w14:textId="77777777" w:rsidR="00D54ABF" w:rsidRDefault="006813B5">
      <w:r>
        <w:lastRenderedPageBreak/>
        <w:t xml:space="preserve">Stakeholder Forums: Promote discussion platforms so that concerns can be aired or ideas about the need for change can be highlighted in a setting that formally recognises transformation as necessary (Waddell </w:t>
      </w:r>
      <w:r>
        <w:rPr>
          <w:i/>
        </w:rPr>
        <w:t>et al</w:t>
      </w:r>
      <w:r>
        <w:t>., 2024).</w:t>
      </w:r>
    </w:p>
    <w:p w14:paraId="0640B3FB" w14:textId="77777777" w:rsidR="00D54ABF" w:rsidRDefault="006813B5">
      <w:pPr>
        <w:pStyle w:val="Heading3"/>
      </w:pPr>
      <w:bookmarkStart w:id="23" w:name="_Toc190280207"/>
      <w:r>
        <w:t>2. Form a Powerful Coalition: Internal Teams and External Auditors</w:t>
      </w:r>
      <w:bookmarkEnd w:id="23"/>
    </w:p>
    <w:p w14:paraId="7B455A94" w14:textId="77777777" w:rsidR="00D54ABF" w:rsidRDefault="006813B5">
      <w:r>
        <w:t>Appoint a team with a working knowledge of change so as to lead it across the organisation.</w:t>
      </w:r>
    </w:p>
    <w:p w14:paraId="2EB0DB06" w14:textId="77777777" w:rsidR="00D54ABF" w:rsidRDefault="006813B5">
      <w:r>
        <w:t>Leadership Team: Senior management, department managers or key employees who are passionate about change (Jarvi and Khoreva, 2020).</w:t>
      </w:r>
    </w:p>
    <w:p w14:paraId="51CF4760" w14:textId="77777777" w:rsidR="00D54ABF" w:rsidRDefault="006813B5">
      <w:r>
        <w:t>External Advisors: Involve independent auditors and consultants to take external independent approaches to the work to make sure of covering all the ground (</w:t>
      </w:r>
      <w:r>
        <w:rPr>
          <w:color w:val="222222"/>
        </w:rPr>
        <w:t>Noordzife, 2014)</w:t>
      </w:r>
      <w:r>
        <w:t xml:space="preserve">. </w:t>
      </w:r>
    </w:p>
    <w:p w14:paraId="17F211AF" w14:textId="77777777" w:rsidR="00D54ABF" w:rsidRDefault="006813B5">
      <w:pPr>
        <w:pStyle w:val="Heading3"/>
      </w:pPr>
      <w:bookmarkStart w:id="24" w:name="_Toc190280208"/>
      <w:r>
        <w:t>3. Develop a Clear Vision: New Corporate Policies</w:t>
      </w:r>
      <w:bookmarkEnd w:id="24"/>
    </w:p>
    <w:p w14:paraId="3C9D17F4" w14:textId="77777777" w:rsidR="00D54ABF" w:rsidRDefault="006813B5">
      <w:r>
        <w:t>Ensuring that change efforts are very well-coordinated and well-planned requires leadership to develop a clear vision of what needs to be done.</w:t>
      </w:r>
    </w:p>
    <w:p w14:paraId="71ACBA03" w14:textId="77777777" w:rsidR="00D54ABF" w:rsidRDefault="006813B5">
      <w:r>
        <w:t>Policy Overhaul: Update business codes to support the company’s ethos of ethical and responsible operations, respect for diversity, and environmental responsibility (Babri, Davidson and Helin, 2019).</w:t>
      </w:r>
    </w:p>
    <w:p w14:paraId="0A690525" w14:textId="77777777" w:rsidR="00D54ABF" w:rsidRDefault="006813B5">
      <w:r>
        <w:t>Vision Statement: Develop a preference for a well-articulated vision statement that reflects the future organisation’s state and guides all change processes.</w:t>
      </w:r>
    </w:p>
    <w:p w14:paraId="79F72040" w14:textId="77777777" w:rsidR="00D54ABF" w:rsidRDefault="006813B5">
      <w:pPr>
        <w:pStyle w:val="Heading3"/>
      </w:pPr>
      <w:bookmarkStart w:id="25" w:name="_Toc190280209"/>
      <w:r>
        <w:t>4. Communicate the Vision: Employee Engagement and Training</w:t>
      </w:r>
      <w:bookmarkEnd w:id="25"/>
    </w:p>
    <w:p w14:paraId="189D1FDA" w14:textId="77777777" w:rsidR="00D54ABF" w:rsidRDefault="006813B5">
      <w:r>
        <w:t>Clear communication is crucial only to make sure all the employees in the organisation are on the same page with regard to the vision.</w:t>
      </w:r>
    </w:p>
    <w:p w14:paraId="5EDBB78C" w14:textId="77777777" w:rsidR="00D54ABF" w:rsidRDefault="006813B5">
      <w:r>
        <w:t>Town Hall Meetings: Schedule meetings for employees to align with the vision and to make progress reports, as well as hear from employees their questions and concerns (Newman and Ford, 2020).</w:t>
      </w:r>
    </w:p>
    <w:p w14:paraId="2E1D6F65" w14:textId="77777777" w:rsidR="00D54ABF" w:rsidRDefault="006813B5">
      <w:r>
        <w:t>Training Programs: Provide elaborate training that will familiarise the human resources to execute their new responsibilities within the emerging working framework.</w:t>
      </w:r>
    </w:p>
    <w:p w14:paraId="3A4740FF" w14:textId="77777777" w:rsidR="00D54ABF" w:rsidRDefault="006813B5">
      <w:pPr>
        <w:pStyle w:val="Heading3"/>
      </w:pPr>
      <w:bookmarkStart w:id="26" w:name="_Toc190280210"/>
      <w:r>
        <w:lastRenderedPageBreak/>
        <w:t>5. Remove Barriers: Ensuring Compliance across Operations</w:t>
      </w:r>
      <w:bookmarkEnd w:id="26"/>
    </w:p>
    <w:p w14:paraId="5A953F2A" w14:textId="77777777" w:rsidR="00D54ABF" w:rsidRDefault="006813B5">
      <w:r>
        <w:t>That is an enumeration of barriers in the change process that can prevent the advancement of the process.</w:t>
      </w:r>
    </w:p>
    <w:p w14:paraId="2AA527DE" w14:textId="77777777" w:rsidR="00D54ABF" w:rsidRDefault="006813B5">
      <w:r>
        <w:t xml:space="preserve">Resource Allocation: It is equally important to fully resource compliance activities throughout the organisation (Yong </w:t>
      </w:r>
      <w:r>
        <w:rPr>
          <w:i/>
        </w:rPr>
        <w:t>et al</w:t>
      </w:r>
      <w:r>
        <w:t>., 2019).</w:t>
      </w:r>
    </w:p>
    <w:p w14:paraId="1CF741EC" w14:textId="77777777" w:rsidR="00D54ABF" w:rsidRDefault="006813B5">
      <w:r>
        <w:t>Process Simplification: Simplify tasks since making several changes at once makes it hard for patients to embrace new rules and regulations.</w:t>
      </w:r>
    </w:p>
    <w:p w14:paraId="54A8BF25" w14:textId="77777777" w:rsidR="00D54ABF" w:rsidRDefault="006813B5">
      <w:pPr>
        <w:pStyle w:val="Heading3"/>
      </w:pPr>
      <w:bookmarkStart w:id="27" w:name="_Toc190280211"/>
      <w:r>
        <w:t>6. Generate Short-Term Wins: Public Demonstrations of Commitment to Change</w:t>
      </w:r>
      <w:bookmarkEnd w:id="27"/>
    </w:p>
    <w:p w14:paraId="68B9C20F" w14:textId="77777777" w:rsidR="00D54ABF" w:rsidRDefault="006813B5">
      <w:r>
        <w:t>Sustaining and attesting victory for small steps can create a good tempo.</w:t>
      </w:r>
    </w:p>
    <w:p w14:paraId="3956AE90" w14:textId="77777777" w:rsidR="00D54ABF" w:rsidRDefault="006813B5">
      <w:r>
        <w:t>Pilot Projects: Begin trials on implementation of the new policies, which should be well advertised to bring out the changes the company intends to make.</w:t>
      </w:r>
    </w:p>
    <w:p w14:paraId="4D73A07B" w14:textId="77777777" w:rsidR="00D54ABF" w:rsidRDefault="006813B5">
      <w:r>
        <w:t xml:space="preserve">Public Recognition: Publicise these successes through press releases and on social media to remind people of the good which comes out of the changes (Lorenz-Spreen </w:t>
      </w:r>
      <w:r>
        <w:rPr>
          <w:i/>
        </w:rPr>
        <w:t>et al.,</w:t>
      </w:r>
      <w:r>
        <w:t xml:space="preserve"> 2020).</w:t>
      </w:r>
    </w:p>
    <w:p w14:paraId="67E0642D" w14:textId="77777777" w:rsidR="00D54ABF" w:rsidRDefault="006813B5">
      <w:pPr>
        <w:pStyle w:val="Heading3"/>
      </w:pPr>
      <w:bookmarkStart w:id="28" w:name="_Toc190280212"/>
      <w:r>
        <w:t>7. Build on the Change: Continuous Improvement Strategies</w:t>
      </w:r>
      <w:bookmarkEnd w:id="28"/>
    </w:p>
    <w:p w14:paraId="266FF5DB" w14:textId="77777777" w:rsidR="00D54ABF" w:rsidRDefault="006813B5">
      <w:r>
        <w:t>To maintain the momentum in the change process, it is necessary to follow up on the initial successes.</w:t>
      </w:r>
    </w:p>
    <w:p w14:paraId="30378E6D" w14:textId="77777777" w:rsidR="00D54ABF" w:rsidRDefault="006813B5">
      <w:r>
        <w:t>Feedback Loops: The Company should put structures in place to periodically capture feedback from employees and customers to enhance future improvements.</w:t>
      </w:r>
    </w:p>
    <w:p w14:paraId="5E5FCA75" w14:textId="77777777" w:rsidR="00D54ABF" w:rsidRDefault="006813B5">
      <w:r>
        <w:t>Iterative Enhancements: Transform policies and processes with feedback and current market trends about their implementation.</w:t>
      </w:r>
    </w:p>
    <w:p w14:paraId="1BE6C2B2" w14:textId="77777777" w:rsidR="00D54ABF" w:rsidRDefault="006813B5">
      <w:pPr>
        <w:pStyle w:val="Heading3"/>
      </w:pPr>
      <w:bookmarkStart w:id="29" w:name="_Toc190280213"/>
      <w:r>
        <w:t>8. Anchor the Changes in Corporate Culture: Embedding Ethics into Marriott’s DNA</w:t>
      </w:r>
      <w:bookmarkEnd w:id="29"/>
    </w:p>
    <w:p w14:paraId="7EC7F87B" w14:textId="77777777" w:rsidR="00D54ABF" w:rsidRDefault="006813B5">
      <w:r>
        <w:t>To successfully implement organisational change, several key strategies can be adopted:</w:t>
      </w:r>
    </w:p>
    <w:p w14:paraId="5894945F" w14:textId="77777777" w:rsidR="00D54ABF" w:rsidRDefault="006813B5">
      <w:r>
        <w:t xml:space="preserve">Promotion of Change: Successful implementation of changes depends on meaningful promotions until new ideas achieve full cultural integration within organisations (Madi Odeh </w:t>
      </w:r>
      <w:r>
        <w:rPr>
          <w:i/>
        </w:rPr>
        <w:t>et al</w:t>
      </w:r>
      <w:r>
        <w:t xml:space="preserve">., 2021). A widespread communication initiative should connect workers to the changes through beneficial information about how these changes will modify operational procedures. </w:t>
      </w:r>
      <w:r>
        <w:lastRenderedPageBreak/>
        <w:t>The organisation deepens employee investment and commitment to its new direction when it visibly showcases changes together with employee contributions.</w:t>
      </w:r>
    </w:p>
    <w:p w14:paraId="570CECEF" w14:textId="77777777" w:rsidR="00D54ABF" w:rsidRDefault="006813B5">
      <w:r>
        <w:t>Cultural Integration: All domains of the organisation need to adopt new cultural values and norms strategically. Every work process, from employee selection through performance evaluations, needs review to guarantee compliance with new organisational values (</w:t>
      </w:r>
      <w:r>
        <w:rPr>
          <w:color w:val="222222"/>
        </w:rPr>
        <w:t>Buttrick, 2009)</w:t>
      </w:r>
      <w:r>
        <w:t>. The organisation must select candidates for employment opportunities because they demonstrate cultural characteristics that match company goals. Performance evaluations need to include assessments of an individual's artistic contributions to the organisation because doing so helps solidify desired behavioural patterns throughout the organisation.</w:t>
      </w:r>
    </w:p>
    <w:p w14:paraId="25EA604C" w14:textId="77777777" w:rsidR="00D54ABF" w:rsidRDefault="006813B5">
      <w:r>
        <w:t>Leadership Modelling: Organisations seeking change success depend on strong leadership to drive their transformation initiatives (</w:t>
      </w:r>
      <w:r>
        <w:rPr>
          <w:color w:val="222222"/>
        </w:rPr>
        <w:t>Burnes, 2014)</w:t>
      </w:r>
      <w:r>
        <w:t xml:space="preserve">. For successful behaviour change leaders need to demonstrate the new cultural standards while simultaneously motivating team members to adopt those standards. Leaders who demonstrate future campus changes to their teams will establish trusting relationships alongside responsible performance measures (Liu </w:t>
      </w:r>
      <w:r>
        <w:rPr>
          <w:i/>
        </w:rPr>
        <w:t>et al</w:t>
      </w:r>
      <w:r>
        <w:t>., 2021). Employee leaders must show active involvement with workers while demonstrating their change commitment through guidance programs.</w:t>
      </w:r>
    </w:p>
    <w:p w14:paraId="2B7D046D" w14:textId="77777777" w:rsidR="00D54ABF" w:rsidRDefault="006813B5">
      <w:pPr>
        <w:pStyle w:val="Heading2"/>
      </w:pPr>
      <w:bookmarkStart w:id="30" w:name="_Toc190280214"/>
      <w:r>
        <w:t>3.4 Implementing Lewin's Change Management Theory to Address Marriott’s Ethical and Financial Issues.</w:t>
      </w:r>
      <w:bookmarkEnd w:id="30"/>
    </w:p>
    <w:p w14:paraId="761F81A4" w14:textId="77777777" w:rsidR="00D54ABF" w:rsidRDefault="006813B5">
      <w:r>
        <w:t xml:space="preserve">According to Lewin's Change Management Theory, Marriott International's Polish ethical and financial mismanagement issues require the company to navigate three sequential phases between Unfreeze and Change and finish with Refreeze. As a beginning phase of the transformation Marriott must promptly detect all forms of ethical violations and non-compliance while immediately sharing vital information regarding legal risks and reputational hazards both to staff and shareholders. This stage requires both employee ethics education and changes to leadership teams to create responsible teams and CSR programs to regain public trust (Waldman, Siegel and Stahl, 2020). The hotel chain requires a specific strategic plan to address crises by providing prompt, honest responses during legal investigations. The final step for Marriott involves incorporating ethical standards into operational procedures and maintaining uninterrupted regulatory compliance while developing an organisation built on moral principles. The longevity of reform initiatives depends on regular audit processes combined with stakeholder connections and assessment of performance using KPIs </w:t>
      </w:r>
      <w:r>
        <w:lastRenderedPageBreak/>
        <w:t xml:space="preserve">(FRANCIS‐AUTON </w:t>
      </w:r>
      <w:r>
        <w:rPr>
          <w:i/>
        </w:rPr>
        <w:t>et al</w:t>
      </w:r>
      <w:r>
        <w:t>., 2023). Marriott needs to establish a public relations campaign which demonstrates their renewed ethical business agenda to preserve their positive brand identity. By using Lewin's model, Marriott can develop structured solutions for governance and compliance failures that will enhance stakeholder confidence, minimise legal exposure and ensure operational longevity.</w:t>
      </w:r>
    </w:p>
    <w:p w14:paraId="31BD6BB0" w14:textId="77777777" w:rsidR="00D54ABF" w:rsidRDefault="006813B5">
      <w:pPr>
        <w:pStyle w:val="Heading2"/>
      </w:pPr>
      <w:bookmarkStart w:id="31" w:name="_Toc190280215"/>
      <w:r>
        <w:t>3.5 Measuring Success</w:t>
      </w:r>
      <w:bookmarkEnd w:id="31"/>
    </w:p>
    <w:p w14:paraId="4AD90332" w14:textId="77777777" w:rsidR="00D54ABF" w:rsidRDefault="006813B5">
      <w:r>
        <w:t xml:space="preserve">For that reason, Marriott International needs to set the relevant Key Performance Indicators (KPIs) to guarantee the efficiency of the proposed measures (Angelakoglou </w:t>
      </w:r>
      <w:r>
        <w:rPr>
          <w:i/>
        </w:rPr>
        <w:t>et al</w:t>
      </w:r>
      <w:r>
        <w:t>., 2019). These will be useful in tracking implementation, evaluation of the effectiveness of strategies being applied and the overall determination of the right strategy to undertake in a bid to ensure long-term sustainability and brand replenishment.</w:t>
      </w:r>
    </w:p>
    <w:tbl>
      <w:tblPr>
        <w:tblStyle w:val="a4"/>
        <w:tblW w:w="9025" w:type="dxa"/>
        <w:tblBorders>
          <w:top w:val="nil"/>
          <w:left w:val="nil"/>
          <w:bottom w:val="nil"/>
          <w:right w:val="nil"/>
          <w:insideH w:val="nil"/>
          <w:insideV w:val="nil"/>
        </w:tblBorders>
        <w:tblLayout w:type="fixed"/>
        <w:tblLook w:val="0600" w:firstRow="0" w:lastRow="0" w:firstColumn="0" w:lastColumn="0" w:noHBand="1" w:noVBand="1"/>
      </w:tblPr>
      <w:tblGrid>
        <w:gridCol w:w="2147"/>
        <w:gridCol w:w="1990"/>
        <w:gridCol w:w="2458"/>
        <w:gridCol w:w="2430"/>
      </w:tblGrid>
      <w:tr w:rsidR="00D54ABF" w14:paraId="05333CA2" w14:textId="77777777">
        <w:trPr>
          <w:trHeight w:val="50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5C8137" w14:textId="77777777" w:rsidR="00D54ABF" w:rsidRDefault="006813B5">
            <w:r>
              <w:t>KPI Category</w:t>
            </w:r>
          </w:p>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D5CB9C" w14:textId="77777777" w:rsidR="00D54ABF" w:rsidRDefault="006813B5">
            <w:r>
              <w:t>Metric</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F0F517" w14:textId="77777777" w:rsidR="00D54ABF" w:rsidRDefault="006813B5">
            <w:r>
              <w:t>Measurement Method</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F766E5" w14:textId="77777777" w:rsidR="00D54ABF" w:rsidRDefault="006813B5">
            <w:r>
              <w:t>Target Outcome</w:t>
            </w:r>
          </w:p>
        </w:tc>
      </w:tr>
      <w:tr w:rsidR="00D54ABF" w14:paraId="2A462CFF"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9B360" w14:textId="77777777" w:rsidR="00D54ABF" w:rsidRDefault="006813B5">
            <w:r>
              <w:t>Customer &amp; Investor Sentiment</w:t>
            </w:r>
          </w:p>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5316E9" w14:textId="77777777" w:rsidR="00D54ABF" w:rsidRDefault="006813B5">
            <w:r>
              <w:t>Customer satisfaction scores</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A2A27C" w14:textId="77777777" w:rsidR="00D54ABF" w:rsidRDefault="006813B5">
            <w:r>
              <w:t>Online reviews, surveys, NPS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4077F1" w14:textId="77777777" w:rsidR="00D54ABF" w:rsidRDefault="006813B5">
            <w:r>
              <w:t>Increase by 20% in 12 months</w:t>
            </w:r>
          </w:p>
        </w:tc>
      </w:tr>
      <w:tr w:rsidR="00D54ABF" w14:paraId="548F3A51"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9014F" w14:textId="77777777" w:rsidR="00D54ABF" w:rsidRDefault="00D54ABF"/>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42943" w14:textId="77777777" w:rsidR="00D54ABF" w:rsidRDefault="006813B5">
            <w:r>
              <w:t>Investor confidence index</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DFC8F4" w14:textId="77777777" w:rsidR="00D54ABF" w:rsidRDefault="006813B5">
            <w:r>
              <w:t>Shareholder reports and stock performance (Barko, Cremers and Renneboog, 2021).</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2D1BC5" w14:textId="77777777" w:rsidR="00D54ABF" w:rsidRDefault="006813B5">
            <w:r>
              <w:t>10% improvement in investor confidence</w:t>
            </w:r>
          </w:p>
        </w:tc>
      </w:tr>
      <w:tr w:rsidR="00D54ABF" w14:paraId="3631D969" w14:textId="77777777">
        <w:trPr>
          <w:trHeight w:val="104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BD28E5" w14:textId="77777777" w:rsidR="00D54ABF" w:rsidRDefault="006813B5">
            <w:r>
              <w:t>Reduction in Legal Disputes</w:t>
            </w:r>
          </w:p>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68926" w14:textId="77777777" w:rsidR="00D54ABF" w:rsidRDefault="006813B5">
            <w:r>
              <w:t xml:space="preserve">Number of ongoing legal cases (Wörmann </w:t>
            </w:r>
            <w:r>
              <w:rPr>
                <w:i/>
              </w:rPr>
              <w:t>et al</w:t>
            </w:r>
            <w:r>
              <w:t>., 2021).</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5833E0" w14:textId="77777777" w:rsidR="00D54ABF" w:rsidRDefault="006813B5">
            <w:r>
              <w:t>Internal legal tracking</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CACD47" w14:textId="77777777" w:rsidR="00D54ABF" w:rsidRDefault="006813B5">
            <w:r>
              <w:t>Reduce by 30% within 18 months</w:t>
            </w:r>
          </w:p>
        </w:tc>
      </w:tr>
      <w:tr w:rsidR="00D54ABF" w14:paraId="33141336"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6E68F6" w14:textId="77777777" w:rsidR="00D54ABF" w:rsidRDefault="00D54ABF"/>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BD7AB5" w14:textId="77777777" w:rsidR="00D54ABF" w:rsidRDefault="006813B5">
            <w:r>
              <w:t>Compliance audit results</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196DAF" w14:textId="77777777" w:rsidR="00D54ABF" w:rsidRDefault="006813B5">
            <w:r>
              <w:t>Internal &amp; external compliance reviews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91BD33" w14:textId="77777777" w:rsidR="00D54ABF" w:rsidRDefault="006813B5">
            <w:r>
              <w:t>100% regulatory compliance</w:t>
            </w:r>
          </w:p>
        </w:tc>
      </w:tr>
      <w:tr w:rsidR="00D54ABF" w14:paraId="005D2159"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31D59C" w14:textId="77777777" w:rsidR="00D54ABF" w:rsidRDefault="006813B5">
            <w:r>
              <w:lastRenderedPageBreak/>
              <w:t>Brand Reputation</w:t>
            </w:r>
          </w:p>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C9718" w14:textId="77777777" w:rsidR="00D54ABF" w:rsidRDefault="006813B5">
            <w:r>
              <w:t>Media sentiment analysis (Drus and Khalid, 2019).</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9D29E4" w14:textId="77777777" w:rsidR="00D54ABF" w:rsidRDefault="006813B5">
            <w:r>
              <w:t>PR monitoring, sentiment analysis tools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CF62E" w14:textId="77777777" w:rsidR="00D54ABF" w:rsidRDefault="006813B5">
            <w:r>
              <w:t>25% increase in positive media coverage</w:t>
            </w:r>
          </w:p>
        </w:tc>
      </w:tr>
      <w:tr w:rsidR="00D54ABF" w14:paraId="7C2F11EC"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D5169F" w14:textId="77777777" w:rsidR="00D54ABF" w:rsidRDefault="00D54ABF"/>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D18995" w14:textId="77777777" w:rsidR="00D54ABF" w:rsidRDefault="006813B5">
            <w:r>
              <w:t>Social media engagement</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80DB4" w14:textId="77777777" w:rsidR="00D54ABF" w:rsidRDefault="006813B5">
            <w:r>
              <w:t>Follower growth, engagement rates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525FBA" w14:textId="77777777" w:rsidR="00D54ABF" w:rsidRDefault="006813B5">
            <w:r>
              <w:t>15% increase in engagement</w:t>
            </w:r>
          </w:p>
        </w:tc>
      </w:tr>
      <w:tr w:rsidR="00D54ABF" w14:paraId="66A01E76"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CF8325" w14:textId="77777777" w:rsidR="00D54ABF" w:rsidRDefault="006813B5">
            <w:r>
              <w:t>Operational Efficiency</w:t>
            </w:r>
          </w:p>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E6F863" w14:textId="77777777" w:rsidR="00D54ABF" w:rsidRDefault="006813B5">
            <w:r>
              <w:t>Employee turnover rate</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D3AE8E" w14:textId="77777777" w:rsidR="00D54ABF" w:rsidRDefault="006813B5">
            <w:r>
              <w:t xml:space="preserve">HR records, employee feedback surveys (Votto </w:t>
            </w:r>
            <w:r>
              <w:rPr>
                <w:i/>
              </w:rPr>
              <w:t>et al</w:t>
            </w:r>
            <w:r>
              <w:t>., 2021).</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DC4717" w14:textId="77777777" w:rsidR="00D54ABF" w:rsidRDefault="006813B5">
            <w:r>
              <w:t>Reduce turnover by 15%</w:t>
            </w:r>
          </w:p>
        </w:tc>
      </w:tr>
      <w:tr w:rsidR="00D54ABF" w14:paraId="55558038" w14:textId="77777777">
        <w:trPr>
          <w:trHeight w:val="770"/>
        </w:trPr>
        <w:tc>
          <w:tcPr>
            <w:tcW w:w="214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BD7E4B" w14:textId="77777777" w:rsidR="00D54ABF" w:rsidRDefault="00D54ABF"/>
        </w:tc>
        <w:tc>
          <w:tcPr>
            <w:tcW w:w="1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2CC87" w14:textId="77777777" w:rsidR="00D54ABF" w:rsidRDefault="006813B5">
            <w:r>
              <w:t>Guest retention rates</w:t>
            </w:r>
          </w:p>
        </w:tc>
        <w:tc>
          <w:tcPr>
            <w:tcW w:w="24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D233F" w14:textId="77777777" w:rsidR="00D54ABF" w:rsidRDefault="006813B5">
            <w:r>
              <w:t>Loyalty program analytics</w:t>
            </w:r>
          </w:p>
        </w:tc>
        <w:tc>
          <w:tcPr>
            <w:tcW w:w="2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8DF751" w14:textId="77777777" w:rsidR="00D54ABF" w:rsidRDefault="006813B5">
            <w:r>
              <w:t>10% increase in repeat guests</w:t>
            </w:r>
          </w:p>
        </w:tc>
      </w:tr>
    </w:tbl>
    <w:p w14:paraId="4C24BB1C" w14:textId="77777777" w:rsidR="00D54ABF" w:rsidRDefault="006813B5">
      <w:r>
        <w:t>Monitoring these KPIs will enable Marriott to assess the effectiveness of its governance reforms, crisis management strategies, and customer engagement efforts.</w:t>
      </w:r>
    </w:p>
    <w:p w14:paraId="382B080D" w14:textId="77777777" w:rsidR="00D54ABF" w:rsidRDefault="006813B5">
      <w:pPr>
        <w:pStyle w:val="Heading2"/>
      </w:pPr>
      <w:bookmarkStart w:id="32" w:name="_Toc190280216"/>
      <w:r>
        <w:t>3.6 Financial Feasibility</w:t>
      </w:r>
      <w:bookmarkEnd w:id="32"/>
    </w:p>
    <w:p w14:paraId="65E09D42" w14:textId="77777777" w:rsidR="00D54ABF" w:rsidRDefault="006813B5">
      <w:r>
        <w:t>Implementing the recommended strategies requires a well-structured financial plan. Below is an estimated breakdown of costs associated with legal fees, public relations (PR), and restructuring efforts:</w:t>
      </w:r>
    </w:p>
    <w:tbl>
      <w:tblPr>
        <w:tblStyle w:val="a5"/>
        <w:tblW w:w="9180" w:type="dxa"/>
        <w:tblBorders>
          <w:top w:val="nil"/>
          <w:left w:val="nil"/>
          <w:bottom w:val="nil"/>
          <w:right w:val="nil"/>
          <w:insideH w:val="nil"/>
          <w:insideV w:val="nil"/>
        </w:tblBorders>
        <w:tblLayout w:type="fixed"/>
        <w:tblLook w:val="0600" w:firstRow="0" w:lastRow="0" w:firstColumn="0" w:lastColumn="0" w:noHBand="1" w:noVBand="1"/>
      </w:tblPr>
      <w:tblGrid>
        <w:gridCol w:w="5001"/>
        <w:gridCol w:w="4179"/>
      </w:tblGrid>
      <w:tr w:rsidR="00D54ABF" w14:paraId="719BD380"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DD234" w14:textId="77777777" w:rsidR="00D54ABF" w:rsidRDefault="006813B5">
            <w:r>
              <w:t>Category</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75FDF1" w14:textId="77777777" w:rsidR="00D54ABF" w:rsidRDefault="006813B5">
            <w:r>
              <w:t>Estimated Cost (£)</w:t>
            </w:r>
          </w:p>
        </w:tc>
      </w:tr>
      <w:tr w:rsidR="00D54ABF" w14:paraId="40B29A6C"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0DC440" w14:textId="77777777" w:rsidR="00D54ABF" w:rsidRDefault="006813B5">
            <w:r>
              <w:t>Legal Fees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E6A58" w14:textId="77777777" w:rsidR="00D54ABF" w:rsidRDefault="006813B5">
            <w:r>
              <w:t>£2,000,000</w:t>
            </w:r>
          </w:p>
        </w:tc>
      </w:tr>
      <w:tr w:rsidR="00D54ABF" w14:paraId="4812C29E"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AF3A8" w14:textId="77777777" w:rsidR="00D54ABF" w:rsidRDefault="006813B5">
            <w:r>
              <w:t>Compliance Audits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C24660" w14:textId="77777777" w:rsidR="00D54ABF" w:rsidRDefault="006813B5">
            <w:r>
              <w:t>£500,000</w:t>
            </w:r>
          </w:p>
        </w:tc>
      </w:tr>
      <w:tr w:rsidR="00D54ABF" w14:paraId="38D679DC"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C0F6E7" w14:textId="77777777" w:rsidR="00D54ABF" w:rsidRDefault="006813B5">
            <w:r>
              <w:t>Settlements &amp; Penalties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CCA4AF" w14:textId="77777777" w:rsidR="00D54ABF" w:rsidRDefault="006813B5">
            <w:r>
              <w:t>£1,500,000</w:t>
            </w:r>
          </w:p>
        </w:tc>
      </w:tr>
      <w:tr w:rsidR="00D54ABF" w14:paraId="02D1C395" w14:textId="77777777">
        <w:trPr>
          <w:trHeight w:val="500"/>
        </w:trPr>
        <w:tc>
          <w:tcPr>
            <w:tcW w:w="918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0DADD0" w14:textId="77777777" w:rsidR="00D54ABF" w:rsidRDefault="006813B5">
            <w:r>
              <w:t>Public Relations &amp; Crisis Management</w:t>
            </w:r>
          </w:p>
        </w:tc>
      </w:tr>
      <w:tr w:rsidR="00D54ABF" w14:paraId="6033FA06"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8D563" w14:textId="77777777" w:rsidR="00D54ABF" w:rsidRDefault="006813B5">
            <w:r>
              <w:t>Reputation Recovery Campaigns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F21E4" w14:textId="77777777" w:rsidR="00D54ABF" w:rsidRDefault="006813B5">
            <w:r>
              <w:t>£750,000</w:t>
            </w:r>
          </w:p>
        </w:tc>
      </w:tr>
      <w:tr w:rsidR="00D54ABF" w14:paraId="6C07E741"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B9BFC" w14:textId="77777777" w:rsidR="00D54ABF" w:rsidRDefault="006813B5">
            <w:r>
              <w:lastRenderedPageBreak/>
              <w:t>Social Media &amp; Media Outreach</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BEA49" w14:textId="77777777" w:rsidR="00D54ABF" w:rsidRDefault="006813B5">
            <w:r>
              <w:t>£300,000</w:t>
            </w:r>
          </w:p>
        </w:tc>
      </w:tr>
      <w:tr w:rsidR="00D54ABF" w14:paraId="69D7720F"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FA8AB" w14:textId="77777777" w:rsidR="00D54ABF" w:rsidRDefault="006813B5">
            <w:r>
              <w:t>Stakeholder Engagement</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366BEE" w14:textId="77777777" w:rsidR="00D54ABF" w:rsidRDefault="006813B5">
            <w:r>
              <w:t>£200,000</w:t>
            </w:r>
          </w:p>
        </w:tc>
      </w:tr>
      <w:tr w:rsidR="00D54ABF" w14:paraId="67E3D9CA" w14:textId="77777777">
        <w:trPr>
          <w:trHeight w:val="500"/>
        </w:trPr>
        <w:tc>
          <w:tcPr>
            <w:tcW w:w="918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3F992C" w14:textId="77777777" w:rsidR="00D54ABF" w:rsidRDefault="006813B5">
            <w:r>
              <w:t>Restructuring Efforts</w:t>
            </w:r>
          </w:p>
        </w:tc>
      </w:tr>
      <w:tr w:rsidR="00D54ABF" w14:paraId="48B6EBDC"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270C0D" w14:textId="77777777" w:rsidR="00D54ABF" w:rsidRDefault="006813B5">
            <w:r>
              <w:t>Governance &amp; Compliance Upgrades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061742" w14:textId="77777777" w:rsidR="00D54ABF" w:rsidRDefault="006813B5">
            <w:r>
              <w:t>£1,200,000</w:t>
            </w:r>
          </w:p>
        </w:tc>
      </w:tr>
      <w:tr w:rsidR="00D54ABF" w14:paraId="528B0606"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832932" w14:textId="77777777" w:rsidR="00D54ABF" w:rsidRDefault="006813B5">
            <w:r>
              <w:t>Employee Training Programs</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D02793" w14:textId="77777777" w:rsidR="00D54ABF" w:rsidRDefault="006813B5">
            <w:r>
              <w:t>£600,000</w:t>
            </w:r>
          </w:p>
        </w:tc>
      </w:tr>
      <w:tr w:rsidR="00D54ABF" w14:paraId="01D0E7FC"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2E2EE" w14:textId="77777777" w:rsidR="00D54ABF" w:rsidRDefault="006813B5">
            <w:r>
              <w:t>IT &amp; Financial System Overhaul</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789AA0" w14:textId="77777777" w:rsidR="00D54ABF" w:rsidRDefault="006813B5">
            <w:r>
              <w:t>£800,000</w:t>
            </w:r>
          </w:p>
        </w:tc>
      </w:tr>
      <w:tr w:rsidR="00D54ABF" w14:paraId="11D5647D" w14:textId="77777777">
        <w:trPr>
          <w:trHeight w:val="500"/>
        </w:trPr>
        <w:tc>
          <w:tcPr>
            <w:tcW w:w="5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606BB0" w14:textId="77777777" w:rsidR="00D54ABF" w:rsidRDefault="006813B5">
            <w:r>
              <w:t>Total Estimated Cost</w:t>
            </w:r>
          </w:p>
        </w:tc>
        <w:tc>
          <w:tcPr>
            <w:tcW w:w="41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10212B" w14:textId="77777777" w:rsidR="00D54ABF" w:rsidRDefault="006813B5">
            <w:r>
              <w:t>£7,850,000</w:t>
            </w:r>
          </w:p>
        </w:tc>
      </w:tr>
    </w:tbl>
    <w:p w14:paraId="427CB83F" w14:textId="77777777" w:rsidR="00D54ABF" w:rsidRDefault="006813B5">
      <w:r>
        <w:t>This financial plan is justified on the basis of ROI-bearing attributes such as improved business brand image, increased investor confidence and sustainable legal and operational foundation. Marriott can reduce risks while improving its corporate governance and escalating customer trust by properly using resources in its activity (Fenwick, McCahery and Vermeulen, 2019).</w:t>
      </w:r>
    </w:p>
    <w:p w14:paraId="45B52280" w14:textId="77777777" w:rsidR="00D54ABF" w:rsidRDefault="006813B5">
      <w:pPr>
        <w:pStyle w:val="Heading1"/>
      </w:pPr>
      <w:bookmarkStart w:id="33" w:name="_heading=h.23ckvvd" w:colFirst="0" w:colLast="0"/>
      <w:bookmarkEnd w:id="33"/>
      <w:r>
        <w:br w:type="page"/>
      </w:r>
    </w:p>
    <w:p w14:paraId="50F96BA1" w14:textId="77777777" w:rsidR="00D54ABF" w:rsidRDefault="006813B5">
      <w:pPr>
        <w:pStyle w:val="Heading1"/>
      </w:pPr>
      <w:bookmarkStart w:id="34" w:name="_Toc190280217"/>
      <w:r>
        <w:lastRenderedPageBreak/>
        <w:t>4. Action Plan</w:t>
      </w:r>
      <w:bookmarkEnd w:id="34"/>
      <w:r>
        <w:t xml:space="preserve"> </w:t>
      </w:r>
    </w:p>
    <w:p w14:paraId="0BA2E53F" w14:textId="77777777" w:rsidR="00D54ABF" w:rsidRDefault="006813B5">
      <w:r>
        <w:t>In order to achieve this, an action plan has been drawn up to support the recommendations being made. In this plan, the following areas have been addressed: problem/situation, and goals and objectives; strategies and actions; anticipated results and deliverables; timeframes and resource requirements.</w:t>
      </w:r>
    </w:p>
    <w:tbl>
      <w:tblPr>
        <w:tblStyle w:val="a6"/>
        <w:tblW w:w="9025" w:type="dxa"/>
        <w:tblBorders>
          <w:top w:val="nil"/>
          <w:left w:val="nil"/>
          <w:bottom w:val="nil"/>
          <w:right w:val="nil"/>
          <w:insideH w:val="nil"/>
          <w:insideV w:val="nil"/>
        </w:tblBorders>
        <w:tblLayout w:type="fixed"/>
        <w:tblLook w:val="0600" w:firstRow="0" w:lastRow="0" w:firstColumn="0" w:lastColumn="0" w:noHBand="1" w:noVBand="1"/>
      </w:tblPr>
      <w:tblGrid>
        <w:gridCol w:w="538"/>
        <w:gridCol w:w="1854"/>
        <w:gridCol w:w="2292"/>
        <w:gridCol w:w="1964"/>
        <w:gridCol w:w="1072"/>
        <w:gridCol w:w="1305"/>
      </w:tblGrid>
      <w:tr w:rsidR="00D54ABF" w14:paraId="409D8252"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148A1" w14:textId="77777777" w:rsidR="00D54ABF" w:rsidRDefault="006813B5">
            <w:r>
              <w:t>No.</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8BF870" w14:textId="77777777" w:rsidR="00D54ABF" w:rsidRDefault="006813B5">
            <w:r>
              <w:t>Problem</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C6EA7B" w14:textId="77777777" w:rsidR="00D54ABF" w:rsidRDefault="006813B5">
            <w:r>
              <w:t>Solution</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1E62F2" w14:textId="77777777" w:rsidR="00D54ABF" w:rsidRDefault="006813B5">
            <w:r>
              <w:t>Outcome</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C6DE31" w14:textId="77777777" w:rsidR="00D54ABF" w:rsidRDefault="006813B5">
            <w:r>
              <w:t>Timeline</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6D671" w14:textId="77777777" w:rsidR="00D54ABF" w:rsidRDefault="006813B5">
            <w:r>
              <w:t>Budget (£)</w:t>
            </w:r>
          </w:p>
        </w:tc>
      </w:tr>
      <w:tr w:rsidR="00D54ABF" w14:paraId="56C065CC"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9D5263" w14:textId="77777777" w:rsidR="00D54ABF" w:rsidRDefault="006813B5">
            <w:r>
              <w:t>1</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6E8E8F" w14:textId="77777777" w:rsidR="00D54ABF" w:rsidRDefault="006813B5">
            <w:r>
              <w:t>Ethical issues in Poland</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FE1AF" w14:textId="77777777" w:rsidR="00D54ABF" w:rsidRDefault="006813B5">
            <w:r>
              <w:t>Introduce strict compliance audits</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61D954" w14:textId="77777777" w:rsidR="00D54ABF" w:rsidRDefault="006813B5">
            <w:r>
              <w:t>Improved brand trust</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DB54CB" w14:textId="77777777" w:rsidR="00D54ABF" w:rsidRDefault="006813B5">
            <w:r>
              <w:t>6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50AB16" w14:textId="77777777" w:rsidR="00D54ABF" w:rsidRDefault="006813B5">
            <w:r>
              <w:t>£1,000,000</w:t>
            </w:r>
          </w:p>
        </w:tc>
      </w:tr>
      <w:tr w:rsidR="00D54ABF" w14:paraId="5764C40B"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0E3826" w14:textId="77777777" w:rsidR="00D54ABF" w:rsidRDefault="006813B5">
            <w:r>
              <w:t>2</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8CD900" w14:textId="77777777" w:rsidR="00D54ABF" w:rsidRDefault="006813B5">
            <w:r>
              <w:t>Reputation damage</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6DD4FB" w14:textId="77777777" w:rsidR="00D54ABF" w:rsidRDefault="006813B5">
            <w:r>
              <w:t>PR &amp; crisis management campaign</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905DF4" w14:textId="77777777" w:rsidR="00D54ABF" w:rsidRDefault="006813B5">
            <w:r>
              <w:t>Positive media coverage</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711908" w14:textId="77777777" w:rsidR="00D54ABF" w:rsidRDefault="006813B5">
            <w:r>
              <w:t>3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DA1501" w14:textId="77777777" w:rsidR="00D54ABF" w:rsidRDefault="006813B5">
            <w:r>
              <w:t>£500,000</w:t>
            </w:r>
          </w:p>
        </w:tc>
      </w:tr>
      <w:tr w:rsidR="00D54ABF" w14:paraId="58698C10"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C1BD6D" w14:textId="77777777" w:rsidR="00D54ABF" w:rsidRDefault="006813B5">
            <w:r>
              <w:t>3</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8CD9DC" w14:textId="77777777" w:rsidR="00D54ABF" w:rsidRDefault="006813B5">
            <w:r>
              <w:t>Legal risks</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EAFE6" w14:textId="77777777" w:rsidR="00D54ABF" w:rsidRDefault="006813B5">
            <w:r>
              <w:t>Strengthen regulatory compliance</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FF08BC" w14:textId="77777777" w:rsidR="00D54ABF" w:rsidRDefault="006813B5">
            <w:r>
              <w:t>Fewer lawsuits</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FEE9A3" w14:textId="77777777" w:rsidR="00D54ABF" w:rsidRDefault="006813B5">
            <w:r>
              <w:t>1 year</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560E26" w14:textId="77777777" w:rsidR="00D54ABF" w:rsidRDefault="006813B5">
            <w:r>
              <w:t>£2,000,000</w:t>
            </w:r>
          </w:p>
        </w:tc>
      </w:tr>
      <w:tr w:rsidR="00D54ABF" w14:paraId="696F1A5B"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2F2DDB" w14:textId="77777777" w:rsidR="00D54ABF" w:rsidRDefault="006813B5">
            <w:r>
              <w:t>4</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FF27EB" w14:textId="77777777" w:rsidR="00D54ABF" w:rsidRDefault="006813B5">
            <w:r>
              <w:t>Employee dissatisfaction</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B116D" w14:textId="77777777" w:rsidR="00D54ABF" w:rsidRDefault="006813B5">
            <w:r>
              <w:t>Implement engagement &amp; training programs</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85F22" w14:textId="77777777" w:rsidR="00D54ABF" w:rsidRDefault="006813B5">
            <w:r>
              <w:t>Increased employee satisfaction</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F68D2C" w14:textId="77777777" w:rsidR="00D54ABF" w:rsidRDefault="006813B5">
            <w:r>
              <w:t>6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928117" w14:textId="77777777" w:rsidR="00D54ABF" w:rsidRDefault="006813B5">
            <w:r>
              <w:t>£600,000</w:t>
            </w:r>
          </w:p>
        </w:tc>
      </w:tr>
      <w:tr w:rsidR="00D54ABF" w14:paraId="48EBA7A0"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530E71" w14:textId="77777777" w:rsidR="00D54ABF" w:rsidRDefault="006813B5">
            <w:r>
              <w:t>5</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5DE8C8" w14:textId="77777777" w:rsidR="00D54ABF" w:rsidRDefault="006813B5">
            <w:r>
              <w:t>Weak governance structure</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B8116D" w14:textId="77777777" w:rsidR="00D54ABF" w:rsidRDefault="006813B5">
            <w:r>
              <w:t>Restructure board &amp; compliance policies</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817B75" w14:textId="77777777" w:rsidR="00D54ABF" w:rsidRDefault="006813B5">
            <w:r>
              <w:t>Transparent governance</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6A10E5" w14:textId="77777777" w:rsidR="00D54ABF" w:rsidRDefault="006813B5">
            <w:r>
              <w:t>9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16EF6A" w14:textId="77777777" w:rsidR="00D54ABF" w:rsidRDefault="006813B5">
            <w:r>
              <w:t>£1,200,000</w:t>
            </w:r>
          </w:p>
        </w:tc>
      </w:tr>
      <w:tr w:rsidR="00D54ABF" w14:paraId="73D641CA"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8A711B" w14:textId="77777777" w:rsidR="00D54ABF" w:rsidRDefault="006813B5">
            <w:r>
              <w:t>6</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1D354" w14:textId="77777777" w:rsidR="00D54ABF" w:rsidRDefault="006813B5">
            <w:r>
              <w:t>Investor concerns</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B51209" w14:textId="77777777" w:rsidR="00D54ABF" w:rsidRDefault="006813B5">
            <w:r>
              <w:t>Regular financial audits &amp; reporting</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81B8EA" w14:textId="77777777" w:rsidR="00D54ABF" w:rsidRDefault="006813B5">
            <w:r>
              <w:t>Increased investor confidence</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9FB417" w14:textId="77777777" w:rsidR="00D54ABF" w:rsidRDefault="006813B5">
            <w:r>
              <w:t>12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CC89FB" w14:textId="77777777" w:rsidR="00D54ABF" w:rsidRDefault="006813B5">
            <w:r>
              <w:t>£800,000</w:t>
            </w:r>
          </w:p>
        </w:tc>
      </w:tr>
      <w:tr w:rsidR="00D54ABF" w14:paraId="52C71140"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A6D9E4" w14:textId="77777777" w:rsidR="00D54ABF" w:rsidRDefault="006813B5">
            <w:r>
              <w:t>7</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01F53F" w14:textId="77777777" w:rsidR="00D54ABF" w:rsidRDefault="006813B5">
            <w:r>
              <w:t>Low customer retention</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2A1747" w14:textId="77777777" w:rsidR="00D54ABF" w:rsidRDefault="006813B5">
            <w:r>
              <w:t>Improve loyalty programs &amp; services</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CBCAC5" w14:textId="77777777" w:rsidR="00D54ABF" w:rsidRDefault="006813B5">
            <w:r>
              <w:t>10% increase in repeat customers</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EC872" w14:textId="77777777" w:rsidR="00D54ABF" w:rsidRDefault="006813B5">
            <w:r>
              <w:t>6 months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CCB84D" w14:textId="77777777" w:rsidR="00D54ABF" w:rsidRDefault="006813B5">
            <w:r>
              <w:t>£500,000</w:t>
            </w:r>
          </w:p>
        </w:tc>
      </w:tr>
      <w:tr w:rsidR="00D54ABF" w14:paraId="4CF59925" w14:textId="77777777">
        <w:trPr>
          <w:trHeight w:val="770"/>
        </w:trPr>
        <w:tc>
          <w:tcPr>
            <w:tcW w:w="5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EDB5B1" w14:textId="77777777" w:rsidR="00D54ABF" w:rsidRDefault="006813B5">
            <w:r>
              <w:lastRenderedPageBreak/>
              <w:t>8</w:t>
            </w:r>
          </w:p>
        </w:tc>
        <w:tc>
          <w:tcPr>
            <w:tcW w:w="1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602149" w14:textId="77777777" w:rsidR="00D54ABF" w:rsidRDefault="006813B5">
            <w:r>
              <w:t>Outdated financial systems</w:t>
            </w:r>
          </w:p>
        </w:tc>
        <w:tc>
          <w:tcPr>
            <w:tcW w:w="22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E9F37E" w14:textId="77777777" w:rsidR="00D54ABF" w:rsidRDefault="006813B5">
            <w:r>
              <w:t>Upgrade IT &amp; financial reporting systems</w:t>
            </w:r>
          </w:p>
        </w:tc>
        <w:tc>
          <w:tcPr>
            <w:tcW w:w="19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2EF9ED" w14:textId="77777777" w:rsidR="00D54ABF" w:rsidRDefault="006813B5">
            <w:r>
              <w:t>Enhanced financial transparency</w:t>
            </w:r>
          </w:p>
        </w:tc>
        <w:tc>
          <w:tcPr>
            <w:tcW w:w="10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36A1B6" w14:textId="77777777" w:rsidR="00D54ABF" w:rsidRDefault="006813B5">
            <w:r>
              <w:t>1 year</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E687D3" w14:textId="77777777" w:rsidR="00D54ABF" w:rsidRDefault="006813B5">
            <w:r>
              <w:t>£800,000</w:t>
            </w:r>
          </w:p>
        </w:tc>
      </w:tr>
    </w:tbl>
    <w:p w14:paraId="05010513" w14:textId="77777777" w:rsidR="00D54ABF" w:rsidRDefault="006813B5">
      <w:r>
        <w:t>This action plan means that there will be a proper and sequential approach to working on Marriott's current issues. Each intervention is considered with the aim of targeting a specific risk area and, at the same time, meeting long-term business goals.</w:t>
      </w:r>
    </w:p>
    <w:p w14:paraId="132C5B35" w14:textId="77777777" w:rsidR="00D54ABF" w:rsidRDefault="006813B5">
      <w:r>
        <w:t>Specifically, the timeline for implementation of each initiative depends on the level of difficulty involved. Public relations steps and compliance checks will be the first steps, while others, like governance restructuring and investment in IT infrastructure, will be implemented in stages (Al‐Dabbagh, 2020). Following the above action plan, Marriott International will build a stronger corporate character and retain the much-needed market standing among the brand’s stakeholders.</w:t>
      </w:r>
    </w:p>
    <w:p w14:paraId="27B3C7AA" w14:textId="77777777" w:rsidR="00D54ABF" w:rsidRDefault="006813B5">
      <w:r>
        <w:t xml:space="preserve">Marriott plans to establish consistent feedback channels involving both workforce members and clients so they can boost the execution of their action plan. The approach aims to keep interventions both applicable and adaptive to modern market trends. The company will create educational programs which teach personnel about necessary adaptation skills for new procedures and policies (Mian </w:t>
      </w:r>
      <w:r>
        <w:rPr>
          <w:i/>
        </w:rPr>
        <w:t>et al</w:t>
      </w:r>
      <w:r>
        <w:t xml:space="preserve">., 2020). </w:t>
      </w:r>
    </w:p>
    <w:p w14:paraId="36FF7C35" w14:textId="77777777" w:rsidR="00D54ABF" w:rsidRDefault="006813B5">
      <w:r>
        <w:t xml:space="preserve">The organisation plans to maintain an effective communication system that will disclose each program's step-by-step progress to all stakeholders as part of ensuring transparency and stakeholder trust (Felzmann </w:t>
      </w:r>
      <w:r>
        <w:rPr>
          <w:i/>
        </w:rPr>
        <w:t>et al</w:t>
      </w:r>
      <w:r>
        <w:t xml:space="preserve">., 2020). Strategic partnerships which support Marriott's future plans will be investigated to bring together advantages in expertise and resources. </w:t>
      </w:r>
    </w:p>
    <w:p w14:paraId="024CC09E" w14:textId="77777777" w:rsidR="00D54ABF" w:rsidRDefault="006813B5">
      <w:r>
        <w:t xml:space="preserve">The plan includes essential monitoring and evaluation processes which will enable rapid changes according to performance metrics (Su </w:t>
      </w:r>
      <w:r>
        <w:rPr>
          <w:i/>
        </w:rPr>
        <w:t>et al</w:t>
      </w:r>
      <w:r>
        <w:t>., 2020). With its focus on continuous improvement along with innovative solutions Marriott works to actively solve current difficulties as well as establish a path toward lasting business development. The complete framework creates stronger results which protect Marriott's brand image while fostering greater customer commitment.</w:t>
      </w:r>
    </w:p>
    <w:p w14:paraId="55862C30" w14:textId="77777777" w:rsidR="00D54ABF" w:rsidRDefault="006813B5">
      <w:pPr>
        <w:pStyle w:val="Heading1"/>
      </w:pPr>
      <w:bookmarkStart w:id="35" w:name="_Toc190280218"/>
      <w:r>
        <w:lastRenderedPageBreak/>
        <w:t>5. Conclusion</w:t>
      </w:r>
      <w:bookmarkEnd w:id="35"/>
      <w:r>
        <w:t xml:space="preserve"> </w:t>
      </w:r>
    </w:p>
    <w:p w14:paraId="175A0F86" w14:textId="77777777" w:rsidR="00D54ABF" w:rsidRDefault="006813B5">
      <w:r>
        <w:t>The following is a consultancy report containing ethical and financial analysis considering the Marriott International issues, particularly the legal crisis in Poland. Business risks within the case concerns involve; risks of monetary penalties, jeopardising the reputation of the hotel, risks of violation of laws on labour relations and regulations, and risks of disrupting the operations of the Marriott hotel through demonstrations. In the course of this report, with the help of STEEPLED, SOAR and TOWS methodologies, the major disadvantageous have been outlined, and some of the improvements have been suggested. Moreover, the recommendations and action plan proposed do give specific courses to Marriott on how to minimise these risks and develop effective corporate governance mechanisms.</w:t>
      </w:r>
    </w:p>
    <w:p w14:paraId="7512493D" w14:textId="77777777" w:rsidR="00D54ABF" w:rsidRDefault="006813B5">
      <w:pPr>
        <w:rPr>
          <w:b/>
          <w:i/>
        </w:rPr>
      </w:pPr>
      <w:r>
        <w:rPr>
          <w:b/>
          <w:i/>
        </w:rPr>
        <w:t>Summary of Key Findings</w:t>
      </w:r>
    </w:p>
    <w:p w14:paraId="5990A6E3" w14:textId="77777777" w:rsidR="00D54ABF" w:rsidRDefault="006813B5">
      <w:r>
        <w:t>The analysis highlighted several pressing issues affecting Marriott’s operations in Poland:</w:t>
      </w:r>
    </w:p>
    <w:p w14:paraId="1D5F4AE1" w14:textId="77777777" w:rsidR="00D54ABF" w:rsidRDefault="006813B5">
      <w:pPr>
        <w:numPr>
          <w:ilvl w:val="0"/>
          <w:numId w:val="3"/>
        </w:numPr>
        <w:spacing w:after="0"/>
      </w:pPr>
      <w:r>
        <w:t>Among the most important threats to reputation are ethical threats in the context of financial fraud and regulatory violations.</w:t>
      </w:r>
    </w:p>
    <w:p w14:paraId="6BC8493E" w14:textId="77777777" w:rsidR="00D54ABF" w:rsidRDefault="006813B5">
      <w:pPr>
        <w:numPr>
          <w:ilvl w:val="0"/>
          <w:numId w:val="3"/>
        </w:numPr>
        <w:spacing w:after="0"/>
      </w:pPr>
      <w:r>
        <w:t>Due to continuous litigation issues, the stock market confidence has been affected by Marriott, and its market position in Europe has been reduced.</w:t>
      </w:r>
    </w:p>
    <w:p w14:paraId="7DAEAF81" w14:textId="77777777" w:rsidR="00D54ABF" w:rsidRDefault="006813B5">
      <w:pPr>
        <w:numPr>
          <w:ilvl w:val="0"/>
          <w:numId w:val="3"/>
        </w:numPr>
        <w:spacing w:after="0"/>
      </w:pPr>
      <w:r>
        <w:t>It has also impacted its brand reputation, through negative reports in the media magazines and newspapers, hence requiring a strong public relation and reputation management.</w:t>
      </w:r>
    </w:p>
    <w:p w14:paraId="318FDBEE" w14:textId="77777777" w:rsidR="00D54ABF" w:rsidRDefault="006813B5">
      <w:pPr>
        <w:numPr>
          <w:ilvl w:val="0"/>
          <w:numId w:val="3"/>
        </w:numPr>
        <w:spacing w:after="0"/>
      </w:pPr>
      <w:r>
        <w:t>This is due to dissatisfaction among employees, traceable to labour issues and governance factors, which compromise operation efficiency and service delivery.</w:t>
      </w:r>
    </w:p>
    <w:p w14:paraId="76F4FADF" w14:textId="77777777" w:rsidR="00D54ABF" w:rsidRDefault="006813B5">
      <w:pPr>
        <w:numPr>
          <w:ilvl w:val="0"/>
          <w:numId w:val="3"/>
        </w:numPr>
        <w:spacing w:after="0"/>
      </w:pPr>
      <w:r>
        <w:t>Weak compliance standards have created governance failings that demand rectification.</w:t>
      </w:r>
    </w:p>
    <w:p w14:paraId="2F492CCE" w14:textId="77777777" w:rsidR="00D54ABF" w:rsidRDefault="006813B5">
      <w:pPr>
        <w:numPr>
          <w:ilvl w:val="0"/>
          <w:numId w:val="3"/>
        </w:numPr>
        <w:spacing w:after="0"/>
      </w:pPr>
      <w:r>
        <w:t>Importance of Proactive Crisis Management</w:t>
      </w:r>
    </w:p>
    <w:p w14:paraId="2548B4FA" w14:textId="77777777" w:rsidR="00D54ABF" w:rsidRDefault="006813B5">
      <w:pPr>
        <w:numPr>
          <w:ilvl w:val="0"/>
          <w:numId w:val="3"/>
        </w:numPr>
      </w:pPr>
      <w:r>
        <w:t>Hospitality is all about people’s trust, investors’ confidence, and flawless organisation processes. More so, the recent controversies in Poland acutely show that Marriott needs to develop effective measures against possible risks and regain consumer trust. Failure to handle such issues timely may lead to fines, more law suits and long-term damage to its image.</w:t>
      </w:r>
    </w:p>
    <w:p w14:paraId="7153A200" w14:textId="77777777" w:rsidR="00D54ABF" w:rsidRDefault="006813B5">
      <w:pPr>
        <w:rPr>
          <w:b/>
          <w:i/>
        </w:rPr>
      </w:pPr>
      <w:r>
        <w:rPr>
          <w:b/>
          <w:i/>
        </w:rPr>
        <w:t>A well-executed crisis management strategy should involve:</w:t>
      </w:r>
    </w:p>
    <w:p w14:paraId="307AC945" w14:textId="77777777" w:rsidR="00D54ABF" w:rsidRDefault="006813B5">
      <w:pPr>
        <w:numPr>
          <w:ilvl w:val="0"/>
          <w:numId w:val="4"/>
        </w:numPr>
        <w:spacing w:after="0"/>
      </w:pPr>
      <w:r>
        <w:lastRenderedPageBreak/>
        <w:t>Transparent Communication: Staff and the public, investors, auditors, and other regulatory authorities.</w:t>
      </w:r>
    </w:p>
    <w:p w14:paraId="71882BDD" w14:textId="77777777" w:rsidR="00D54ABF" w:rsidRDefault="006813B5">
      <w:pPr>
        <w:numPr>
          <w:ilvl w:val="0"/>
          <w:numId w:val="4"/>
        </w:numPr>
        <w:spacing w:after="0"/>
      </w:pPr>
      <w:r>
        <w:t>Strengthened Compliance: Innovative compliance procedures can be put in place immediately to avoid future ethical malfunctions.</w:t>
      </w:r>
    </w:p>
    <w:p w14:paraId="1007A849" w14:textId="77777777" w:rsidR="00D54ABF" w:rsidRDefault="006813B5">
      <w:pPr>
        <w:numPr>
          <w:ilvl w:val="0"/>
          <w:numId w:val="4"/>
        </w:numPr>
        <w:spacing w:after="0"/>
      </w:pPr>
      <w:r>
        <w:t>Reputation Recovery Measures: A specific PR strategy to change the social attitudes underpinning business integrity and reassert Marriott’s position on the issue.</w:t>
      </w:r>
    </w:p>
    <w:p w14:paraId="10CFBAAF" w14:textId="77777777" w:rsidR="00D54ABF" w:rsidRDefault="006813B5">
      <w:pPr>
        <w:numPr>
          <w:ilvl w:val="0"/>
          <w:numId w:val="4"/>
        </w:numPr>
        <w:spacing w:after="0"/>
      </w:pPr>
      <w:r>
        <w:t>Legal Risk Mitigation: Hiring lawyers who will work on compliance issues related to regulatory systems to avoid future problems this time with compliance.</w:t>
      </w:r>
    </w:p>
    <w:p w14:paraId="0C398DF7" w14:textId="77777777" w:rsidR="00D54ABF" w:rsidRDefault="006813B5">
      <w:pPr>
        <w:numPr>
          <w:ilvl w:val="0"/>
          <w:numId w:val="4"/>
        </w:numPr>
      </w:pPr>
      <w:r>
        <w:t>Employee Engagement: Managing employee issues through reformulating labour relations, training, and implementing an orderly system of employee complaint resolutions.</w:t>
      </w:r>
    </w:p>
    <w:p w14:paraId="1707EDA9" w14:textId="77777777" w:rsidR="00D54ABF" w:rsidRDefault="006813B5">
      <w:pPr>
        <w:rPr>
          <w:b/>
          <w:i/>
        </w:rPr>
      </w:pPr>
      <w:r>
        <w:rPr>
          <w:b/>
          <w:i/>
        </w:rPr>
        <w:t>Final Recommendations for Marriott</w:t>
      </w:r>
    </w:p>
    <w:p w14:paraId="26353753" w14:textId="77777777" w:rsidR="00D54ABF" w:rsidRDefault="006813B5">
      <w:r>
        <w:t>To successfully navigate this crisis and emerge stronger, Marriott should:</w:t>
      </w:r>
    </w:p>
    <w:p w14:paraId="62983734" w14:textId="77777777" w:rsidR="00D54ABF" w:rsidRDefault="006813B5">
      <w:pPr>
        <w:numPr>
          <w:ilvl w:val="0"/>
          <w:numId w:val="2"/>
        </w:numPr>
        <w:spacing w:after="0"/>
      </w:pPr>
      <w:r>
        <w:t>Reinforce Corporate Governance: It should be noted that a separate compliance committee should be created to monitor financial activities and guarantee ethical norms compliance.</w:t>
      </w:r>
    </w:p>
    <w:p w14:paraId="048AADBF" w14:textId="77777777" w:rsidR="00D54ABF" w:rsidRDefault="006813B5">
      <w:pPr>
        <w:numPr>
          <w:ilvl w:val="0"/>
          <w:numId w:val="2"/>
        </w:numPr>
        <w:spacing w:after="0"/>
      </w:pPr>
      <w:r>
        <w:t>Invest in Employee Well-being: The company should improve relations with employees; using economic and psychological rewards, quality benefits, and information sharing.</w:t>
      </w:r>
    </w:p>
    <w:p w14:paraId="5738226C" w14:textId="77777777" w:rsidR="00D54ABF" w:rsidRDefault="006813B5">
      <w:pPr>
        <w:numPr>
          <w:ilvl w:val="0"/>
          <w:numId w:val="2"/>
        </w:numPr>
        <w:spacing w:after="0"/>
      </w:pPr>
      <w:r>
        <w:t>Adopt Digital Reputation Management Tools: Integrate social listening platforms to track and control sentiment regarding the brand continually.</w:t>
      </w:r>
    </w:p>
    <w:p w14:paraId="1F8D5F41" w14:textId="77777777" w:rsidR="00D54ABF" w:rsidRDefault="006813B5">
      <w:pPr>
        <w:numPr>
          <w:ilvl w:val="0"/>
          <w:numId w:val="2"/>
        </w:numPr>
        <w:spacing w:after="0"/>
      </w:pPr>
      <w:r>
        <w:t>Implement Sustainable Business Practices: Green initiatives do not only solve the problems that relate to legal requirements, but they also increase the company’s credibility.</w:t>
      </w:r>
    </w:p>
    <w:p w14:paraId="0D8C082C" w14:textId="77777777" w:rsidR="00D54ABF" w:rsidRDefault="006813B5">
      <w:pPr>
        <w:numPr>
          <w:ilvl w:val="0"/>
          <w:numId w:val="2"/>
        </w:numPr>
      </w:pPr>
      <w:r>
        <w:t>Regularly Conduct Compliance Audits: Having internal and external audits on a regular basis gives the guarantee that all the ethical and financial regulations will be followed to eliminate future possible conflicts.</w:t>
      </w:r>
    </w:p>
    <w:p w14:paraId="5022455E" w14:textId="77777777" w:rsidR="00D54ABF" w:rsidRDefault="006813B5">
      <w:pPr>
        <w:rPr>
          <w:b/>
          <w:i/>
        </w:rPr>
      </w:pPr>
      <w:r>
        <w:rPr>
          <w:b/>
          <w:i/>
        </w:rPr>
        <w:t>Final Acknowledgment</w:t>
      </w:r>
    </w:p>
    <w:p w14:paraId="4DCC08A1" w14:textId="77777777" w:rsidR="00D54ABF" w:rsidRDefault="006813B5">
      <w:r>
        <w:t xml:space="preserve">We want to express our thanks for the invite to develop a consultancy report for Marriott International. Overcoming the challenges described in this report will not only fix the present predicament but also make Marriott the model of good corporate citizenship and corporate </w:t>
      </w:r>
      <w:r>
        <w:lastRenderedPageBreak/>
        <w:t>governance throughout the assembled hospitality sector globally. We eagerly await many more years of success for Marriott and are here to support the company in the execution of these strategic suggestions.</w:t>
      </w:r>
      <w:r>
        <w:br w:type="page"/>
      </w:r>
    </w:p>
    <w:p w14:paraId="2773EE65" w14:textId="77777777" w:rsidR="00D54ABF" w:rsidRDefault="006813B5">
      <w:pPr>
        <w:pStyle w:val="Heading1"/>
      </w:pPr>
      <w:bookmarkStart w:id="36" w:name="_Toc190280219"/>
      <w:r>
        <w:lastRenderedPageBreak/>
        <w:t>Reference</w:t>
      </w:r>
      <w:bookmarkEnd w:id="36"/>
    </w:p>
    <w:p w14:paraId="258D4D5E" w14:textId="77777777" w:rsidR="00D54ABF" w:rsidRDefault="006813B5">
      <w:pPr>
        <w:spacing w:after="240"/>
        <w:rPr>
          <w:color w:val="222222"/>
        </w:rPr>
      </w:pPr>
      <w:r>
        <w:rPr>
          <w:color w:val="222222"/>
        </w:rPr>
        <w:t xml:space="preserve">Akerele, O.N. (2024). Enforcement of environmental laws in the oil and gas industry: quo vadis Nigeria? </w:t>
      </w:r>
      <w:r>
        <w:rPr>
          <w:i/>
          <w:color w:val="222222"/>
        </w:rPr>
        <w:t>Worktribe.com</w:t>
      </w:r>
      <w:r>
        <w:rPr>
          <w:color w:val="222222"/>
        </w:rPr>
        <w:t xml:space="preserve">.  Available at: </w:t>
      </w:r>
      <w:hyperlink r:id="rId9">
        <w:r>
          <w:rPr>
            <w:color w:val="1155CC"/>
            <w:u w:val="single"/>
          </w:rPr>
          <w:t>https://doi.org/10.48526/rgu-wt-2445711</w:t>
        </w:r>
      </w:hyperlink>
      <w:r>
        <w:rPr>
          <w:color w:val="222222"/>
        </w:rPr>
        <w:t>. [Accessed 30 January 2025].</w:t>
      </w:r>
    </w:p>
    <w:p w14:paraId="38DDDD39" w14:textId="77777777" w:rsidR="00D54ABF" w:rsidRDefault="006813B5">
      <w:pPr>
        <w:spacing w:after="240"/>
        <w:rPr>
          <w:color w:val="222222"/>
        </w:rPr>
      </w:pPr>
      <w:r>
        <w:rPr>
          <w:color w:val="222222"/>
        </w:rPr>
        <w:t xml:space="preserve">Al-atrsh, M.A. (2023). The Impact Of Sustainability Financial Data Governance, Political Connection On Financial Reporting Quality. </w:t>
      </w:r>
      <w:r>
        <w:rPr>
          <w:i/>
          <w:color w:val="222222"/>
        </w:rPr>
        <w:t>Research Square (Research Square)</w:t>
      </w:r>
      <w:r>
        <w:rPr>
          <w:color w:val="222222"/>
        </w:rPr>
        <w:t xml:space="preserve">.  Available at: </w:t>
      </w:r>
      <w:hyperlink r:id="rId10">
        <w:r>
          <w:rPr>
            <w:color w:val="1155CC"/>
            <w:u w:val="single"/>
          </w:rPr>
          <w:t>https://doi.org/10.21203/rs.3.rs-3262012/v1</w:t>
        </w:r>
      </w:hyperlink>
      <w:r>
        <w:rPr>
          <w:color w:val="222222"/>
        </w:rPr>
        <w:t>. [Accessed 30 January 2025].</w:t>
      </w:r>
    </w:p>
    <w:p w14:paraId="327CB7E3" w14:textId="77777777" w:rsidR="00D54ABF" w:rsidRDefault="006813B5">
      <w:pPr>
        <w:spacing w:after="240"/>
        <w:rPr>
          <w:color w:val="222222"/>
        </w:rPr>
      </w:pPr>
      <w:r>
        <w:rPr>
          <w:color w:val="222222"/>
        </w:rPr>
        <w:t xml:space="preserve">Al‐Dabbagh, Z.S. (2020). The role of decision‐maker in crisis management: A qualitative study using grounded theory (COVID‐19 pandemic crisis as a model). </w:t>
      </w:r>
      <w:r>
        <w:rPr>
          <w:i/>
          <w:color w:val="222222"/>
        </w:rPr>
        <w:t>Journal of Public Affairs</w:t>
      </w:r>
      <w:r>
        <w:rPr>
          <w:color w:val="222222"/>
        </w:rPr>
        <w:t xml:space="preserve">, 20(4). Available at: </w:t>
      </w:r>
      <w:hyperlink r:id="rId11">
        <w:r>
          <w:rPr>
            <w:color w:val="1155CC"/>
            <w:u w:val="single"/>
          </w:rPr>
          <w:t>https://doi.org/10.1002/pa.2186</w:t>
        </w:r>
      </w:hyperlink>
      <w:r>
        <w:rPr>
          <w:color w:val="222222"/>
        </w:rPr>
        <w:t xml:space="preserve">. [Accessed 30 January 2025]. </w:t>
      </w:r>
    </w:p>
    <w:p w14:paraId="75A753AE" w14:textId="77777777" w:rsidR="00D54ABF" w:rsidRDefault="006813B5">
      <w:pPr>
        <w:spacing w:after="240"/>
        <w:rPr>
          <w:color w:val="222222"/>
        </w:rPr>
      </w:pPr>
      <w:r>
        <w:rPr>
          <w:color w:val="222222"/>
        </w:rPr>
        <w:t xml:space="preserve">Angelakoglou, K., Nikolopoulos, N., Giourka, P., Svensson, I.-L., Tsarchopoulos, P., Tryferidis, A. and Tzovaras, D. (2019). A Methodological Framework for the Selection of Key Performance Indicators to Assess Smart City Solutions. </w:t>
      </w:r>
      <w:r>
        <w:rPr>
          <w:i/>
          <w:color w:val="222222"/>
        </w:rPr>
        <w:t>Smart Cities</w:t>
      </w:r>
      <w:r>
        <w:rPr>
          <w:color w:val="222222"/>
        </w:rPr>
        <w:t xml:space="preserve">, 2(2), pp.269–306. Available at: </w:t>
      </w:r>
      <w:hyperlink r:id="rId12">
        <w:r>
          <w:rPr>
            <w:color w:val="1155CC"/>
            <w:u w:val="single"/>
          </w:rPr>
          <w:t>https://doi.org/10.3390/smartcities2020018</w:t>
        </w:r>
      </w:hyperlink>
      <w:r>
        <w:rPr>
          <w:color w:val="222222"/>
        </w:rPr>
        <w:t>. [Accessed 30 January 2025].</w:t>
      </w:r>
    </w:p>
    <w:p w14:paraId="2F4240B5" w14:textId="77777777" w:rsidR="00D54ABF" w:rsidRDefault="006813B5">
      <w:pPr>
        <w:spacing w:after="240"/>
        <w:rPr>
          <w:color w:val="222222"/>
        </w:rPr>
      </w:pPr>
      <w:r>
        <w:rPr>
          <w:color w:val="222222"/>
        </w:rPr>
        <w:t xml:space="preserve">Babri, M., Davidson, B. and Helin, S. (2019). An Updated Inquiry into the Study of Corporate Codes of Ethics: 2005–2016. </w:t>
      </w:r>
      <w:r>
        <w:rPr>
          <w:i/>
          <w:color w:val="222222"/>
        </w:rPr>
        <w:t>Journal of Business Ethics</w:t>
      </w:r>
      <w:r>
        <w:rPr>
          <w:color w:val="222222"/>
        </w:rPr>
        <w:t xml:space="preserve">,  168(1), pp.71–108. Available at: </w:t>
      </w:r>
      <w:hyperlink r:id="rId13">
        <w:r>
          <w:rPr>
            <w:color w:val="1155CC"/>
            <w:u w:val="single"/>
          </w:rPr>
          <w:t>https://doi.org/10.1007/s10551-019-04192-x</w:t>
        </w:r>
      </w:hyperlink>
      <w:r>
        <w:rPr>
          <w:color w:val="222222"/>
        </w:rPr>
        <w:t>. [Accessed 30 January 2025].</w:t>
      </w:r>
    </w:p>
    <w:p w14:paraId="1BB93B65" w14:textId="77777777" w:rsidR="00D54ABF" w:rsidRDefault="006813B5">
      <w:pPr>
        <w:spacing w:after="240"/>
        <w:rPr>
          <w:color w:val="222222"/>
        </w:rPr>
      </w:pPr>
      <w:r>
        <w:rPr>
          <w:color w:val="222222"/>
        </w:rPr>
        <w:t xml:space="preserve">Barko, T., Cremers, M. and Renneboog, L. (2021). Shareholder Engagement on Environmental, Social, and Governance Performance. </w:t>
      </w:r>
      <w:r>
        <w:rPr>
          <w:i/>
          <w:color w:val="222222"/>
        </w:rPr>
        <w:t>Journal of Business Ethics</w:t>
      </w:r>
      <w:r>
        <w:rPr>
          <w:color w:val="222222"/>
        </w:rPr>
        <w:t xml:space="preserve">,  180(180). Available at: </w:t>
      </w:r>
      <w:hyperlink r:id="rId14">
        <w:r>
          <w:rPr>
            <w:color w:val="1155CC"/>
            <w:u w:val="single"/>
          </w:rPr>
          <w:t>https://doi.org/10.1007/s10551-021-04850-z</w:t>
        </w:r>
      </w:hyperlink>
      <w:r>
        <w:rPr>
          <w:color w:val="222222"/>
        </w:rPr>
        <w:t>. [Accessed 30 January 2025].</w:t>
      </w:r>
    </w:p>
    <w:p w14:paraId="2C284ACA" w14:textId="77777777" w:rsidR="00D54ABF" w:rsidRDefault="006813B5">
      <w:pPr>
        <w:spacing w:after="240"/>
        <w:rPr>
          <w:color w:val="222222"/>
        </w:rPr>
      </w:pPr>
      <w:r>
        <w:rPr>
          <w:color w:val="222222"/>
        </w:rPr>
        <w:t xml:space="preserve">Bellini, E., Iraqi, Y. and Damiani, E. (2020). Blockchain-Based Distributed Trust and Reputation Management Systems: A Survey. </w:t>
      </w:r>
      <w:r>
        <w:rPr>
          <w:i/>
          <w:color w:val="222222"/>
        </w:rPr>
        <w:t>IEEE Access</w:t>
      </w:r>
      <w:r>
        <w:rPr>
          <w:color w:val="222222"/>
        </w:rPr>
        <w:t xml:space="preserve">, 8, pp.21127–21151. Available at: </w:t>
      </w:r>
      <w:hyperlink r:id="rId15">
        <w:r>
          <w:rPr>
            <w:color w:val="1155CC"/>
            <w:u w:val="single"/>
          </w:rPr>
          <w:t>https://doi.org/10.1109/access.2020.2969820</w:t>
        </w:r>
      </w:hyperlink>
      <w:r>
        <w:rPr>
          <w:color w:val="222222"/>
        </w:rPr>
        <w:t>. [Accessed 30 January 2025].</w:t>
      </w:r>
    </w:p>
    <w:p w14:paraId="20C9EA99" w14:textId="77777777" w:rsidR="00D54ABF" w:rsidRDefault="006813B5">
      <w:pPr>
        <w:spacing w:after="240"/>
        <w:rPr>
          <w:color w:val="222222"/>
        </w:rPr>
      </w:pPr>
      <w:r>
        <w:rPr>
          <w:color w:val="222222"/>
        </w:rPr>
        <w:t xml:space="preserve">Binns, C.A. and Kempf, R.J. (2021). </w:t>
      </w:r>
      <w:r>
        <w:rPr>
          <w:i/>
          <w:color w:val="222222"/>
        </w:rPr>
        <w:t>Safety and Security in Hotels and Home Sharing</w:t>
      </w:r>
      <w:r>
        <w:rPr>
          <w:color w:val="222222"/>
        </w:rPr>
        <w:t xml:space="preserve">. Springer. Available at: </w:t>
      </w:r>
      <w:hyperlink r:id="rId16">
        <w:r>
          <w:rPr>
            <w:color w:val="1155CC"/>
            <w:u w:val="single"/>
          </w:rPr>
          <w:t>https://doi.org/10.1007/978-3-030-59306-3</w:t>
        </w:r>
      </w:hyperlink>
      <w:r>
        <w:rPr>
          <w:color w:val="222222"/>
        </w:rPr>
        <w:t>. [Accessed 30 January 2025].</w:t>
      </w:r>
    </w:p>
    <w:p w14:paraId="7D39A06F" w14:textId="77777777" w:rsidR="00D54ABF" w:rsidRDefault="006813B5">
      <w:pPr>
        <w:spacing w:after="240"/>
        <w:rPr>
          <w:color w:val="222222"/>
        </w:rPr>
      </w:pPr>
      <w:r>
        <w:rPr>
          <w:color w:val="222222"/>
        </w:rPr>
        <w:t xml:space="preserve">Brand, T. and Blok, V. (2019). Responsible innovation in business: a critical reflection on deliberative engagement as a central governance mechanism. </w:t>
      </w:r>
      <w:r>
        <w:rPr>
          <w:i/>
          <w:color w:val="222222"/>
        </w:rPr>
        <w:t xml:space="preserve">Journal of Responsible </w:t>
      </w:r>
      <w:r>
        <w:rPr>
          <w:i/>
          <w:color w:val="222222"/>
        </w:rPr>
        <w:lastRenderedPageBreak/>
        <w:t>Innovation</w:t>
      </w:r>
      <w:r>
        <w:rPr>
          <w:color w:val="222222"/>
        </w:rPr>
        <w:t xml:space="preserve">, 6(1), pp.4–24. Available at: </w:t>
      </w:r>
      <w:hyperlink r:id="rId17">
        <w:r>
          <w:rPr>
            <w:color w:val="1155CC"/>
            <w:u w:val="single"/>
          </w:rPr>
          <w:t>https://doi.org/10.1080/23299460.2019.1575681</w:t>
        </w:r>
      </w:hyperlink>
      <w:r>
        <w:rPr>
          <w:color w:val="222222"/>
        </w:rPr>
        <w:t>. [Accessed 30 January 2025].</w:t>
      </w:r>
    </w:p>
    <w:p w14:paraId="26CCACA6" w14:textId="77777777" w:rsidR="00D54ABF" w:rsidRDefault="006813B5">
      <w:pPr>
        <w:rPr>
          <w:color w:val="222222"/>
        </w:rPr>
      </w:pPr>
      <w:r>
        <w:rPr>
          <w:color w:val="222222"/>
        </w:rPr>
        <w:t>Burnes, B. (2014). 4th Edition, Managing Change, Great Britain, Prentice Hall.</w:t>
      </w:r>
    </w:p>
    <w:p w14:paraId="15082C8E" w14:textId="77777777" w:rsidR="00D54ABF" w:rsidRDefault="006813B5">
      <w:pPr>
        <w:rPr>
          <w:color w:val="222222"/>
        </w:rPr>
      </w:pPr>
      <w:r>
        <w:rPr>
          <w:color w:val="222222"/>
        </w:rPr>
        <w:t>Buttrick, R. (2009). The Project Workout, London: Prentice Hall</w:t>
      </w:r>
    </w:p>
    <w:p w14:paraId="75A20BAA" w14:textId="77777777" w:rsidR="00D54ABF" w:rsidRDefault="006813B5">
      <w:pPr>
        <w:spacing w:after="240"/>
        <w:rPr>
          <w:color w:val="222222"/>
        </w:rPr>
      </w:pPr>
      <w:r>
        <w:rPr>
          <w:color w:val="222222"/>
        </w:rPr>
        <w:t xml:space="preserve">Chigubu, S. and Legwaila, T. (2021). Converging Tax Policy and Human Rights in the Face of Tax Abuse: A Developing Country Perspective. </w:t>
      </w:r>
      <w:r>
        <w:rPr>
          <w:i/>
          <w:color w:val="222222"/>
        </w:rPr>
        <w:t>Constitutional Court Review</w:t>
      </w:r>
      <w:r>
        <w:rPr>
          <w:color w:val="222222"/>
        </w:rPr>
        <w:t xml:space="preserve">, 11(1), pp.379–409. Available at: </w:t>
      </w:r>
      <w:hyperlink r:id="rId18">
        <w:r>
          <w:rPr>
            <w:color w:val="1155CC"/>
            <w:u w:val="single"/>
          </w:rPr>
          <w:t>https://doi.org/10.2989/ccr.2021.0014</w:t>
        </w:r>
      </w:hyperlink>
      <w:r>
        <w:rPr>
          <w:color w:val="222222"/>
        </w:rPr>
        <w:t>. [Accessed 30 January 2025].</w:t>
      </w:r>
    </w:p>
    <w:p w14:paraId="64A66EEB" w14:textId="77777777" w:rsidR="00D54ABF" w:rsidRDefault="006813B5">
      <w:pPr>
        <w:spacing w:after="240"/>
        <w:rPr>
          <w:color w:val="222222"/>
        </w:rPr>
      </w:pPr>
      <w:r>
        <w:rPr>
          <w:color w:val="222222"/>
        </w:rPr>
        <w:t xml:space="preserve">Deng, F. and Zhou, C. (2022). Sustainable Development of Corporate Governance in the Hospitality and Tourism Industry: The Evolution and the Future. </w:t>
      </w:r>
      <w:r>
        <w:rPr>
          <w:i/>
          <w:color w:val="222222"/>
        </w:rPr>
        <w:t>Sustainability</w:t>
      </w:r>
      <w:r>
        <w:rPr>
          <w:color w:val="222222"/>
        </w:rPr>
        <w:t xml:space="preserve">, 14(7), p.4286. Available at: </w:t>
      </w:r>
      <w:hyperlink r:id="rId19">
        <w:r>
          <w:rPr>
            <w:color w:val="1155CC"/>
            <w:u w:val="single"/>
          </w:rPr>
          <w:t>https://doi.org/10.3390/su14074286</w:t>
        </w:r>
      </w:hyperlink>
      <w:r>
        <w:rPr>
          <w:color w:val="222222"/>
        </w:rPr>
        <w:t>. [Accessed 30 January 2025].</w:t>
      </w:r>
    </w:p>
    <w:p w14:paraId="5FFA1871" w14:textId="77777777" w:rsidR="00D54ABF" w:rsidRDefault="006813B5">
      <w:pPr>
        <w:spacing w:after="240"/>
        <w:rPr>
          <w:color w:val="222222"/>
        </w:rPr>
      </w:pPr>
      <w:r>
        <w:rPr>
          <w:color w:val="222222"/>
        </w:rPr>
        <w:t xml:space="preserve">Dolan, R., Seo, Y. and Kemper, J. (2019). Complaining practices on social media in tourism: A value co-creation and co-destruction perspective. </w:t>
      </w:r>
      <w:r>
        <w:rPr>
          <w:i/>
          <w:color w:val="222222"/>
        </w:rPr>
        <w:t>Tourism Management</w:t>
      </w:r>
      <w:r>
        <w:rPr>
          <w:color w:val="222222"/>
        </w:rPr>
        <w:t xml:space="preserve">,  73, pp.35–45. Available at: </w:t>
      </w:r>
      <w:hyperlink r:id="rId20">
        <w:r>
          <w:rPr>
            <w:color w:val="1155CC"/>
            <w:u w:val="single"/>
          </w:rPr>
          <w:t>https://doi.org/10.1016/j.tourman.2019.01.017</w:t>
        </w:r>
      </w:hyperlink>
      <w:r>
        <w:rPr>
          <w:color w:val="222222"/>
        </w:rPr>
        <w:t>. [Accessed 30 January 2025].</w:t>
      </w:r>
    </w:p>
    <w:p w14:paraId="1888968C" w14:textId="77777777" w:rsidR="00D54ABF" w:rsidRDefault="006813B5">
      <w:pPr>
        <w:spacing w:after="240"/>
        <w:rPr>
          <w:color w:val="222222"/>
        </w:rPr>
      </w:pPr>
      <w:r>
        <w:rPr>
          <w:color w:val="222222"/>
        </w:rPr>
        <w:t xml:space="preserve">Drus, Z. and Khalid, H. (2019). Sentiment Analysis in Social Media and Its Application: Systematic Literature Review. </w:t>
      </w:r>
      <w:r>
        <w:rPr>
          <w:i/>
          <w:color w:val="222222"/>
        </w:rPr>
        <w:t>Procedia Computer Science</w:t>
      </w:r>
      <w:r>
        <w:rPr>
          <w:color w:val="222222"/>
        </w:rPr>
        <w:t xml:space="preserve">,  161(1), pp.707–714. Available at: </w:t>
      </w:r>
      <w:hyperlink r:id="rId21">
        <w:r>
          <w:rPr>
            <w:color w:val="1155CC"/>
            <w:u w:val="single"/>
          </w:rPr>
          <w:t>https://doi.org/10.1016/j.procs.2019.11.174</w:t>
        </w:r>
      </w:hyperlink>
      <w:r>
        <w:rPr>
          <w:color w:val="222222"/>
        </w:rPr>
        <w:t>. [Accessed 30 January 2025].</w:t>
      </w:r>
    </w:p>
    <w:p w14:paraId="4B043720" w14:textId="77777777" w:rsidR="00D54ABF" w:rsidRDefault="006813B5">
      <w:pPr>
        <w:spacing w:after="240"/>
        <w:rPr>
          <w:color w:val="222222"/>
        </w:rPr>
      </w:pPr>
      <w:r>
        <w:rPr>
          <w:color w:val="222222"/>
        </w:rPr>
        <w:t xml:space="preserve">Ertuna, B., Gu, H. and Yu, L. (2022). ‘A thread connects all beads’: Aligning global CSR strategy by hotel MNCs. </w:t>
      </w:r>
      <w:r>
        <w:rPr>
          <w:i/>
          <w:color w:val="222222"/>
        </w:rPr>
        <w:t>Tourism Management</w:t>
      </w:r>
      <w:r>
        <w:rPr>
          <w:color w:val="222222"/>
        </w:rPr>
        <w:t xml:space="preserve">, 91, p.104520. Available at: </w:t>
      </w:r>
      <w:hyperlink r:id="rId22">
        <w:r>
          <w:rPr>
            <w:color w:val="1155CC"/>
            <w:u w:val="single"/>
          </w:rPr>
          <w:t>https://doi.org/10.1016/j.tourman.2022.104520</w:t>
        </w:r>
      </w:hyperlink>
      <w:r>
        <w:rPr>
          <w:color w:val="222222"/>
        </w:rPr>
        <w:t>. [Accessed 30 January 2025].</w:t>
      </w:r>
    </w:p>
    <w:p w14:paraId="7BC39E4A" w14:textId="77777777" w:rsidR="00D54ABF" w:rsidRDefault="006813B5">
      <w:pPr>
        <w:spacing w:after="240"/>
        <w:rPr>
          <w:color w:val="222222"/>
        </w:rPr>
      </w:pPr>
      <w:r>
        <w:rPr>
          <w:color w:val="222222"/>
        </w:rPr>
        <w:t xml:space="preserve">Felzmann, H., Fosch-Villaronga, E., Lutz, C. and Tamò-Larrieux, A. (2020). Towards Transparency by Design for Artificial Intelligence. </w:t>
      </w:r>
      <w:r>
        <w:rPr>
          <w:i/>
          <w:color w:val="222222"/>
        </w:rPr>
        <w:t>Science and Engineering Ethics</w:t>
      </w:r>
      <w:r>
        <w:rPr>
          <w:color w:val="222222"/>
        </w:rPr>
        <w:t xml:space="preserve">,  26(6), pp.3333–3361. Available at: </w:t>
      </w:r>
      <w:hyperlink r:id="rId23">
        <w:r>
          <w:rPr>
            <w:color w:val="1155CC"/>
            <w:u w:val="single"/>
          </w:rPr>
          <w:t>https://doi.org/10.1007/s11948-020-00276-4</w:t>
        </w:r>
      </w:hyperlink>
      <w:r>
        <w:rPr>
          <w:color w:val="222222"/>
        </w:rPr>
        <w:t>. [Accessed 30 January 2025].</w:t>
      </w:r>
    </w:p>
    <w:p w14:paraId="1A9C6AA8" w14:textId="77777777" w:rsidR="00D54ABF" w:rsidRDefault="006813B5">
      <w:pPr>
        <w:spacing w:after="240"/>
        <w:rPr>
          <w:color w:val="222222"/>
        </w:rPr>
      </w:pPr>
      <w:r>
        <w:rPr>
          <w:color w:val="222222"/>
        </w:rPr>
        <w:t xml:space="preserve">Fenwick, M., McCahery, J.A. and Vermeulen, E.P.M. (2019). The End of ‘Corporate’ Governance: Hello ‘Platform’ Governance. </w:t>
      </w:r>
      <w:r>
        <w:rPr>
          <w:i/>
          <w:color w:val="222222"/>
        </w:rPr>
        <w:t>European Business Organization Law Review</w:t>
      </w:r>
      <w:r>
        <w:rPr>
          <w:color w:val="222222"/>
        </w:rPr>
        <w:t xml:space="preserve">,  20(1), pp.171–199. Available at: </w:t>
      </w:r>
      <w:hyperlink r:id="rId24">
        <w:r>
          <w:rPr>
            <w:color w:val="1155CC"/>
            <w:u w:val="single"/>
          </w:rPr>
          <w:t>https://doi.org/10.1007/s40804-019-00137-z</w:t>
        </w:r>
      </w:hyperlink>
      <w:r>
        <w:rPr>
          <w:color w:val="222222"/>
        </w:rPr>
        <w:t>. [Accessed 30 January 2025].</w:t>
      </w:r>
    </w:p>
    <w:p w14:paraId="7DB4668D" w14:textId="77777777" w:rsidR="00D54ABF" w:rsidRDefault="006813B5">
      <w:pPr>
        <w:spacing w:after="240"/>
        <w:rPr>
          <w:color w:val="222222"/>
        </w:rPr>
      </w:pPr>
      <w:r>
        <w:rPr>
          <w:color w:val="222222"/>
        </w:rPr>
        <w:lastRenderedPageBreak/>
        <w:t xml:space="preserve">Fontana, E., Atif, M. and Gull, A.A. (2021). Corporate social responsibility decisions in apparel supply chains: The role of negative emotions in Bangladesh and Pakistan. </w:t>
      </w:r>
      <w:r>
        <w:rPr>
          <w:i/>
          <w:color w:val="222222"/>
        </w:rPr>
        <w:t>Corporate Social Responsibility and Environmental Management</w:t>
      </w:r>
      <w:r>
        <w:rPr>
          <w:color w:val="222222"/>
        </w:rPr>
        <w:t xml:space="preserve">. Available at: </w:t>
      </w:r>
      <w:hyperlink r:id="rId25">
        <w:r>
          <w:rPr>
            <w:color w:val="1155CC"/>
            <w:u w:val="single"/>
          </w:rPr>
          <w:t>https://doi.org/10.1002/csr.2139</w:t>
        </w:r>
      </w:hyperlink>
      <w:r>
        <w:rPr>
          <w:color w:val="222222"/>
        </w:rPr>
        <w:t>. [Accessed 30 January 2025].</w:t>
      </w:r>
    </w:p>
    <w:p w14:paraId="0CCF1FEB" w14:textId="77777777" w:rsidR="00D54ABF" w:rsidRDefault="006813B5">
      <w:pPr>
        <w:spacing w:after="240"/>
        <w:rPr>
          <w:color w:val="222222"/>
        </w:rPr>
      </w:pPr>
      <w:r>
        <w:rPr>
          <w:color w:val="222222"/>
        </w:rPr>
        <w:t xml:space="preserve">FRANCIS‐AUTON, E., LONG, J.C., SARKIES, M., ROBERTS, N., WESTBROOK, J., LEVESQUE, J., WATSON, D.E., HARDWICK, R., HIBBERT, P., CHIARA POMARE and BRAITHWAITE, J. (2023). Four System Enablers of Large‐System Transformation in Health Care: A Mixed Methods Realist Evaluation. </w:t>
      </w:r>
      <w:r>
        <w:rPr>
          <w:i/>
          <w:color w:val="222222"/>
        </w:rPr>
        <w:t>The Milbank Quarterly</w:t>
      </w:r>
      <w:r>
        <w:rPr>
          <w:color w:val="222222"/>
        </w:rPr>
        <w:t xml:space="preserve">, 102(1). Available at: </w:t>
      </w:r>
      <w:hyperlink r:id="rId26">
        <w:r>
          <w:rPr>
            <w:color w:val="1155CC"/>
            <w:u w:val="single"/>
          </w:rPr>
          <w:t>https://doi.org/10.1111/1468-0009.12684</w:t>
        </w:r>
      </w:hyperlink>
      <w:r>
        <w:rPr>
          <w:color w:val="222222"/>
        </w:rPr>
        <w:t>. [Accessed 30 January 2025].</w:t>
      </w:r>
    </w:p>
    <w:p w14:paraId="0108350B" w14:textId="77777777" w:rsidR="00D54ABF" w:rsidRDefault="006813B5">
      <w:pPr>
        <w:spacing w:after="240"/>
        <w:rPr>
          <w:color w:val="222222"/>
        </w:rPr>
      </w:pPr>
      <w:r>
        <w:rPr>
          <w:color w:val="222222"/>
        </w:rPr>
        <w:t xml:space="preserve">Ghani, B., Zada, M., Memon, K.R., Ullah, R., Khattak, A., Han, H., Montes, A.A. and Castillo, L.A. (2022). Challenges and strategies for employee retention in the hospitality industry: A review. </w:t>
      </w:r>
      <w:r>
        <w:rPr>
          <w:i/>
          <w:color w:val="222222"/>
        </w:rPr>
        <w:t>Sustainability</w:t>
      </w:r>
      <w:r>
        <w:rPr>
          <w:color w:val="222222"/>
        </w:rPr>
        <w:t xml:space="preserve">,  14(5), pp.1–26. Available at: </w:t>
      </w:r>
      <w:hyperlink r:id="rId27">
        <w:r>
          <w:rPr>
            <w:color w:val="1155CC"/>
            <w:u w:val="single"/>
          </w:rPr>
          <w:t>https://doi.org/10.3390/su14052885</w:t>
        </w:r>
      </w:hyperlink>
      <w:r>
        <w:rPr>
          <w:color w:val="222222"/>
        </w:rPr>
        <w:t>. [Accessed 30 January 2025].</w:t>
      </w:r>
    </w:p>
    <w:p w14:paraId="32E7A317" w14:textId="77777777" w:rsidR="00D54ABF" w:rsidRDefault="006813B5">
      <w:pPr>
        <w:spacing w:after="240"/>
        <w:rPr>
          <w:color w:val="222222"/>
        </w:rPr>
      </w:pPr>
      <w:r>
        <w:rPr>
          <w:color w:val="222222"/>
        </w:rPr>
        <w:t xml:space="preserve">Griffin, J.J. and Youm, Y.N. (2023). External affairs and trusted family businesses: A research agenda. </w:t>
      </w:r>
      <w:r>
        <w:rPr>
          <w:i/>
          <w:color w:val="222222"/>
        </w:rPr>
        <w:t>Journal of Public Affairs</w:t>
      </w:r>
      <w:r>
        <w:rPr>
          <w:color w:val="222222"/>
        </w:rPr>
        <w:t xml:space="preserve">. Available at: </w:t>
      </w:r>
      <w:hyperlink r:id="rId28">
        <w:r>
          <w:rPr>
            <w:color w:val="1155CC"/>
            <w:u w:val="single"/>
          </w:rPr>
          <w:t>https://doi.org/10.1002/pa.2853</w:t>
        </w:r>
      </w:hyperlink>
      <w:r>
        <w:rPr>
          <w:color w:val="222222"/>
        </w:rPr>
        <w:t>. [Accessed 30 January 2025].</w:t>
      </w:r>
    </w:p>
    <w:p w14:paraId="7B6876C1" w14:textId="77777777" w:rsidR="00D54ABF" w:rsidRDefault="006813B5">
      <w:pPr>
        <w:spacing w:after="240"/>
        <w:rPr>
          <w:color w:val="222222"/>
        </w:rPr>
      </w:pPr>
      <w:r>
        <w:rPr>
          <w:color w:val="222222"/>
        </w:rPr>
        <w:t xml:space="preserve">Haddara, M., Salazar, A. and Langseth, M. (2023). Exploring the Impact of GDPR on Big Data Analytics Operations in the E-Commerce Industry. </w:t>
      </w:r>
      <w:r>
        <w:rPr>
          <w:i/>
          <w:color w:val="222222"/>
        </w:rPr>
        <w:t>Procedia Computer Science</w:t>
      </w:r>
      <w:r>
        <w:rPr>
          <w:color w:val="222222"/>
        </w:rPr>
        <w:t xml:space="preserve">,  219(1877-0509), pp.767–777. Available at: </w:t>
      </w:r>
      <w:hyperlink r:id="rId29">
        <w:r>
          <w:rPr>
            <w:color w:val="1155CC"/>
            <w:u w:val="single"/>
          </w:rPr>
          <w:t>http://dx.doi.org/10.1016/j.procs.2023.01.350</w:t>
        </w:r>
      </w:hyperlink>
      <w:r>
        <w:rPr>
          <w:color w:val="222222"/>
        </w:rPr>
        <w:t>. [Accessed 30 January 2025].</w:t>
      </w:r>
    </w:p>
    <w:p w14:paraId="71A0C7CE" w14:textId="77777777" w:rsidR="00D54ABF" w:rsidRDefault="006813B5">
      <w:pPr>
        <w:spacing w:after="240"/>
        <w:rPr>
          <w:color w:val="222222"/>
        </w:rPr>
      </w:pPr>
      <w:r>
        <w:rPr>
          <w:color w:val="222222"/>
        </w:rPr>
        <w:t xml:space="preserve">Henly, J.R., Lambert, S.J. and Dresser, L. (2021). The New Realities of Working-Class Jobs: Employer Practices, Worker Protections, and Employee Voice to Improve Job Quality. </w:t>
      </w:r>
      <w:r>
        <w:rPr>
          <w:i/>
          <w:color w:val="222222"/>
        </w:rPr>
        <w:t>The ANNALS of the American Academy of Political and Social Science</w:t>
      </w:r>
      <w:r>
        <w:rPr>
          <w:color w:val="222222"/>
        </w:rPr>
        <w:t xml:space="preserve">, 695(1), pp.208–224. Available at: </w:t>
      </w:r>
      <w:hyperlink r:id="rId30">
        <w:r>
          <w:rPr>
            <w:color w:val="1155CC"/>
            <w:u w:val="single"/>
          </w:rPr>
          <w:t>https://doi.org/10.1177/00027162211028130</w:t>
        </w:r>
      </w:hyperlink>
      <w:r>
        <w:rPr>
          <w:color w:val="222222"/>
        </w:rPr>
        <w:t>. [Accessed 30 January 2025].</w:t>
      </w:r>
    </w:p>
    <w:p w14:paraId="401E0B78" w14:textId="77777777" w:rsidR="00D54ABF" w:rsidRDefault="006813B5">
      <w:pPr>
        <w:spacing w:after="240"/>
        <w:rPr>
          <w:color w:val="222222"/>
        </w:rPr>
      </w:pPr>
      <w:r>
        <w:rPr>
          <w:color w:val="222222"/>
        </w:rPr>
        <w:t xml:space="preserve">Hoofnagle, C.J., Sloot, B.V.D. and Borgesius, F.Z. (2019). The European Union general data protection regulation: what it is and what it means. </w:t>
      </w:r>
      <w:r>
        <w:rPr>
          <w:i/>
          <w:color w:val="222222"/>
        </w:rPr>
        <w:t>Information &amp; Communications Technology Law</w:t>
      </w:r>
      <w:r>
        <w:rPr>
          <w:color w:val="222222"/>
        </w:rPr>
        <w:t xml:space="preserve">,  28(1), pp.65–98. Available at: </w:t>
      </w:r>
      <w:hyperlink r:id="rId31">
        <w:r>
          <w:rPr>
            <w:color w:val="1155CC"/>
            <w:u w:val="single"/>
          </w:rPr>
          <w:t>https://doi.org/10.1080/13600834.2019.1573501</w:t>
        </w:r>
      </w:hyperlink>
      <w:r>
        <w:rPr>
          <w:color w:val="222222"/>
        </w:rPr>
        <w:t>. [Accessed 30 January 2025].</w:t>
      </w:r>
    </w:p>
    <w:p w14:paraId="5BAAC825" w14:textId="77777777" w:rsidR="00D54ABF" w:rsidRDefault="006813B5">
      <w:pPr>
        <w:spacing w:after="240"/>
        <w:rPr>
          <w:color w:val="222222"/>
        </w:rPr>
      </w:pPr>
      <w:r>
        <w:rPr>
          <w:color w:val="222222"/>
        </w:rPr>
        <w:lastRenderedPageBreak/>
        <w:t xml:space="preserve">Iliashenko, I. and Mardenova, L. (2023). Student Major Choice as Decision-Making Processes Among Z Generation: Discourse Reopening and Future Research Agenda. </w:t>
      </w:r>
      <w:r>
        <w:rPr>
          <w:i/>
          <w:color w:val="222222"/>
        </w:rPr>
        <w:t>Economia Aziendale Online -</w:t>
      </w:r>
      <w:r>
        <w:rPr>
          <w:color w:val="222222"/>
        </w:rPr>
        <w:t xml:space="preserve">,  14(2), pp.259–289. Available at: </w:t>
      </w:r>
      <w:hyperlink r:id="rId32">
        <w:r>
          <w:rPr>
            <w:color w:val="1155CC"/>
            <w:u w:val="single"/>
          </w:rPr>
          <w:t>https://doi.org/10.13132/2038-5498/14.2.259-289</w:t>
        </w:r>
      </w:hyperlink>
      <w:r>
        <w:rPr>
          <w:color w:val="222222"/>
        </w:rPr>
        <w:t>. [Accessed 30 January 2025].</w:t>
      </w:r>
    </w:p>
    <w:p w14:paraId="41CD0D35" w14:textId="77777777" w:rsidR="00D54ABF" w:rsidRDefault="006813B5">
      <w:pPr>
        <w:spacing w:after="240"/>
        <w:rPr>
          <w:color w:val="222222"/>
        </w:rPr>
      </w:pPr>
      <w:r>
        <w:rPr>
          <w:color w:val="222222"/>
        </w:rPr>
        <w:t xml:space="preserve">Jarvi, K. and Khoreva, V. (2020). The role of talent management in strategic renewal. </w:t>
      </w:r>
      <w:r>
        <w:rPr>
          <w:i/>
          <w:color w:val="222222"/>
        </w:rPr>
        <w:t>Employee Relations: The International Journal</w:t>
      </w:r>
      <w:r>
        <w:rPr>
          <w:color w:val="222222"/>
        </w:rPr>
        <w:t xml:space="preserve">,  42(1), pp.75–89. Available at: </w:t>
      </w:r>
      <w:hyperlink r:id="rId33">
        <w:r>
          <w:rPr>
            <w:color w:val="1155CC"/>
            <w:u w:val="single"/>
          </w:rPr>
          <w:t>https://doi.org/10.1108/er-02-2018-0064</w:t>
        </w:r>
      </w:hyperlink>
      <w:r>
        <w:rPr>
          <w:color w:val="222222"/>
        </w:rPr>
        <w:t>. [Accessed 30 January 2025].</w:t>
      </w:r>
    </w:p>
    <w:p w14:paraId="728074F4" w14:textId="77777777" w:rsidR="00D54ABF" w:rsidRDefault="006813B5">
      <w:pPr>
        <w:rPr>
          <w:color w:val="222222"/>
        </w:rPr>
      </w:pPr>
      <w:r>
        <w:rPr>
          <w:color w:val="222222"/>
        </w:rPr>
        <w:t>Kipping, and Clark, T. (2012). The Oxford handbook of management consulting. Oxford University Press.</w:t>
      </w:r>
    </w:p>
    <w:p w14:paraId="4513B884" w14:textId="77777777" w:rsidR="00D54ABF" w:rsidRDefault="006813B5">
      <w:pPr>
        <w:rPr>
          <w:color w:val="222222"/>
        </w:rPr>
      </w:pPr>
      <w:r>
        <w:rPr>
          <w:color w:val="222222"/>
        </w:rPr>
        <w:t>Kotter, J (2012). Leading change. Harvard Business Review Press.</w:t>
      </w:r>
    </w:p>
    <w:p w14:paraId="209A6DCE" w14:textId="77777777" w:rsidR="00D54ABF" w:rsidRDefault="006813B5">
      <w:pPr>
        <w:spacing w:after="240"/>
        <w:rPr>
          <w:color w:val="222222"/>
        </w:rPr>
      </w:pPr>
      <w:r>
        <w:rPr>
          <w:color w:val="222222"/>
        </w:rPr>
        <w:t xml:space="preserve">Krasodomska, J., Simnett, R. and Street, D.L. (2021). Extended external reporting assurance: Current practices and challenges. </w:t>
      </w:r>
      <w:r>
        <w:rPr>
          <w:i/>
          <w:color w:val="222222"/>
        </w:rPr>
        <w:t>Journal of International Financial Management &amp; Accounting</w:t>
      </w:r>
      <w:r>
        <w:rPr>
          <w:color w:val="222222"/>
        </w:rPr>
        <w:t xml:space="preserve">,  32(1), pp.104–142. Available at: </w:t>
      </w:r>
      <w:hyperlink r:id="rId34">
        <w:r>
          <w:rPr>
            <w:color w:val="1155CC"/>
            <w:u w:val="single"/>
          </w:rPr>
          <w:t>https://doi.org/10.1111/jifm.12127</w:t>
        </w:r>
      </w:hyperlink>
      <w:r>
        <w:rPr>
          <w:color w:val="222222"/>
        </w:rPr>
        <w:t>. [Accessed 30 January 2025].</w:t>
      </w:r>
    </w:p>
    <w:p w14:paraId="5F73471C" w14:textId="77777777" w:rsidR="00D54ABF" w:rsidRDefault="006813B5">
      <w:pPr>
        <w:spacing w:after="240"/>
        <w:rPr>
          <w:color w:val="222222"/>
        </w:rPr>
      </w:pPr>
      <w:r>
        <w:rPr>
          <w:color w:val="222222"/>
        </w:rPr>
        <w:t xml:space="preserve">Leff, G. (2024). </w:t>
      </w:r>
      <w:r>
        <w:rPr>
          <w:i/>
          <w:color w:val="222222"/>
        </w:rPr>
        <w:t>COVID Fallout: Why Warsaw’s Iconic Marriott Split Amid Scandal And Fraud Allegations - View from the Wing</w:t>
      </w:r>
      <w:r>
        <w:rPr>
          <w:color w:val="222222"/>
        </w:rPr>
        <w:t xml:space="preserve">.  View from the Wing. Available at: </w:t>
      </w:r>
      <w:hyperlink r:id="rId35">
        <w:r>
          <w:rPr>
            <w:color w:val="1155CC"/>
            <w:u w:val="single"/>
          </w:rPr>
          <w:t>https://viewfromthewing.com/covid-fallout-why-warsaws-iconic-marriott-split-amid-scandal-and-fraud-allegations/</w:t>
        </w:r>
      </w:hyperlink>
      <w:r>
        <w:rPr>
          <w:color w:val="222222"/>
        </w:rPr>
        <w:t xml:space="preserve"> [Accessed 30 January 2025].</w:t>
      </w:r>
    </w:p>
    <w:p w14:paraId="647BDDC1" w14:textId="77777777" w:rsidR="00D54ABF" w:rsidRDefault="006813B5">
      <w:pPr>
        <w:spacing w:after="240"/>
        <w:rPr>
          <w:color w:val="222222"/>
        </w:rPr>
      </w:pPr>
      <w:r>
        <w:rPr>
          <w:color w:val="222222"/>
        </w:rPr>
        <w:t xml:space="preserve">Liu, B.F., Shi, D., Lim, J.R., Islam, K., Edwards, A.L. and Seeger, M. (2021). When crises hit home: How U.S. higher education leaders navigate values during uncertain times. </w:t>
      </w:r>
      <w:r>
        <w:rPr>
          <w:i/>
          <w:color w:val="222222"/>
        </w:rPr>
        <w:t>Journal of Business Ethics</w:t>
      </w:r>
      <w:r>
        <w:rPr>
          <w:color w:val="222222"/>
        </w:rPr>
        <w:t xml:space="preserve">, 179. Available at: </w:t>
      </w:r>
      <w:hyperlink r:id="rId36">
        <w:r>
          <w:rPr>
            <w:color w:val="1155CC"/>
            <w:u w:val="single"/>
          </w:rPr>
          <w:t>https://doi.org/10.1007/s10551-021-04820-5</w:t>
        </w:r>
      </w:hyperlink>
      <w:r>
        <w:rPr>
          <w:color w:val="222222"/>
        </w:rPr>
        <w:t>. [Accessed 30 January 2025].</w:t>
      </w:r>
    </w:p>
    <w:p w14:paraId="7EF7141E" w14:textId="77777777" w:rsidR="00D54ABF" w:rsidRDefault="006813B5">
      <w:pPr>
        <w:spacing w:after="240"/>
        <w:rPr>
          <w:color w:val="222222"/>
        </w:rPr>
      </w:pPr>
      <w:r>
        <w:rPr>
          <w:color w:val="222222"/>
        </w:rPr>
        <w:t xml:space="preserve">Lorenz-Spreen, P., Lewandowsky, S., Sunstein, C.R. and Hertwig, R. (2020). How behavioural sciences can promote truth, autonomy and democratic discourse online. </w:t>
      </w:r>
      <w:r>
        <w:rPr>
          <w:i/>
          <w:color w:val="222222"/>
        </w:rPr>
        <w:t>Nature Human Behaviour</w:t>
      </w:r>
      <w:r>
        <w:rPr>
          <w:color w:val="222222"/>
        </w:rPr>
        <w:t xml:space="preserve">, 4(11). Available at: </w:t>
      </w:r>
      <w:hyperlink r:id="rId37">
        <w:r>
          <w:rPr>
            <w:color w:val="1155CC"/>
            <w:u w:val="single"/>
          </w:rPr>
          <w:t>https://doi.org/10.1038/s41562-020-0889-7</w:t>
        </w:r>
      </w:hyperlink>
      <w:r>
        <w:rPr>
          <w:color w:val="222222"/>
        </w:rPr>
        <w:t>. [Accessed 30 January 2025].</w:t>
      </w:r>
    </w:p>
    <w:p w14:paraId="67CBCF63" w14:textId="77777777" w:rsidR="00D54ABF" w:rsidRDefault="006813B5">
      <w:pPr>
        <w:spacing w:after="240"/>
        <w:rPr>
          <w:color w:val="222222"/>
        </w:rPr>
      </w:pPr>
      <w:r>
        <w:rPr>
          <w:color w:val="222222"/>
        </w:rPr>
        <w:t xml:space="preserve">Madi Odeh, R.B.S., Obeidat, B.Y., Jaradat, M.O., Masa’deh, R. and Alshurideh, M.T. (2021). The transformational leadership role in achieving organizational resilience through adaptive </w:t>
      </w:r>
      <w:r>
        <w:rPr>
          <w:color w:val="222222"/>
        </w:rPr>
        <w:lastRenderedPageBreak/>
        <w:t xml:space="preserve">cultures: the case of Dubai service sector. </w:t>
      </w:r>
      <w:r>
        <w:rPr>
          <w:i/>
          <w:color w:val="222222"/>
        </w:rPr>
        <w:t>International Journal of Productivity and Performance Management</w:t>
      </w:r>
      <w:r>
        <w:rPr>
          <w:color w:val="222222"/>
        </w:rPr>
        <w:t xml:space="preserve">, 72(2), pp.440–468. </w:t>
      </w:r>
    </w:p>
    <w:p w14:paraId="10DFF8FC" w14:textId="77777777" w:rsidR="00D54ABF" w:rsidRDefault="006813B5">
      <w:pPr>
        <w:spacing w:after="240"/>
        <w:rPr>
          <w:color w:val="222222"/>
        </w:rPr>
      </w:pPr>
      <w:r>
        <w:rPr>
          <w:color w:val="222222"/>
        </w:rPr>
        <w:t xml:space="preserve">Marriott (2024). </w:t>
      </w:r>
      <w:r>
        <w:rPr>
          <w:i/>
          <w:color w:val="222222"/>
        </w:rPr>
        <w:t>Explore Our Brands</w:t>
      </w:r>
      <w:r>
        <w:rPr>
          <w:color w:val="222222"/>
        </w:rPr>
        <w:t xml:space="preserve">.  www.marriott.com. Available at: </w:t>
      </w:r>
      <w:hyperlink r:id="rId38">
        <w:r>
          <w:rPr>
            <w:color w:val="1155CC"/>
            <w:u w:val="single"/>
          </w:rPr>
          <w:t>https://www.marriott.com/marriott-brands/explore-our-brands.mi</w:t>
        </w:r>
      </w:hyperlink>
      <w:r>
        <w:rPr>
          <w:color w:val="222222"/>
        </w:rPr>
        <w:t xml:space="preserve"> [Accessed 30 January 2025].</w:t>
      </w:r>
    </w:p>
    <w:p w14:paraId="7B5FA439" w14:textId="77777777" w:rsidR="00D54ABF" w:rsidRDefault="006813B5">
      <w:pPr>
        <w:spacing w:after="240"/>
        <w:rPr>
          <w:color w:val="222222"/>
        </w:rPr>
      </w:pPr>
      <w:r>
        <w:rPr>
          <w:color w:val="222222"/>
        </w:rPr>
        <w:t xml:space="preserve">Marriott International (2024). </w:t>
      </w:r>
      <w:r>
        <w:rPr>
          <w:i/>
          <w:color w:val="222222"/>
        </w:rPr>
        <w:t>About Marriott International | Corporate Information</w:t>
      </w:r>
      <w:r>
        <w:rPr>
          <w:color w:val="222222"/>
        </w:rPr>
        <w:t xml:space="preserve">.  Marriott.com. Available at: </w:t>
      </w:r>
      <w:hyperlink r:id="rId39">
        <w:r>
          <w:rPr>
            <w:color w:val="1155CC"/>
            <w:u w:val="single"/>
          </w:rPr>
          <w:t>https://www.marriott.com/marriott/aboutmarriott.mi</w:t>
        </w:r>
      </w:hyperlink>
      <w:r>
        <w:rPr>
          <w:color w:val="222222"/>
        </w:rPr>
        <w:t xml:space="preserve"> [Accessed 30 January 2025].</w:t>
      </w:r>
    </w:p>
    <w:p w14:paraId="1F2C2641" w14:textId="77777777" w:rsidR="00D54ABF" w:rsidRDefault="006813B5">
      <w:pPr>
        <w:spacing w:after="240"/>
        <w:rPr>
          <w:color w:val="222222"/>
        </w:rPr>
      </w:pPr>
      <w:r>
        <w:rPr>
          <w:color w:val="222222"/>
        </w:rPr>
        <w:t xml:space="preserve">Martinez, V.R. (2020). Complex Compliance Investigations. </w:t>
      </w:r>
      <w:r>
        <w:rPr>
          <w:i/>
          <w:color w:val="222222"/>
        </w:rPr>
        <w:t>Columbia Law Review</w:t>
      </w:r>
      <w:r>
        <w:rPr>
          <w:color w:val="222222"/>
        </w:rPr>
        <w:t xml:space="preserve">,  120(2), pp.249–308. Available at: </w:t>
      </w:r>
      <w:hyperlink r:id="rId40">
        <w:r>
          <w:rPr>
            <w:color w:val="1155CC"/>
            <w:u w:val="single"/>
          </w:rPr>
          <w:t>https://www.jstor.org/stable/26902675</w:t>
        </w:r>
      </w:hyperlink>
      <w:r>
        <w:rPr>
          <w:color w:val="222222"/>
        </w:rPr>
        <w:t>. [Accessed 30 January 2025].</w:t>
      </w:r>
    </w:p>
    <w:p w14:paraId="7BC455B7" w14:textId="77777777" w:rsidR="00D54ABF" w:rsidRDefault="006813B5">
      <w:pPr>
        <w:spacing w:after="240"/>
        <w:rPr>
          <w:color w:val="222222"/>
        </w:rPr>
      </w:pPr>
      <w:r>
        <w:rPr>
          <w:color w:val="222222"/>
        </w:rPr>
        <w:t xml:space="preserve">Matejić, T., Knežević, S., Arsić, V.B., Obradović, T., Milojević, S., Adamović, M., Mitrović, A., Milašinović, M., Simonović, D., Milošević, G. and Špiler, M. (2022). Assessing the Impact of the COVID-19 Crisis on Hotel Industry Bankruptcy Risk through Novel Forecasting Models. </w:t>
      </w:r>
      <w:r>
        <w:rPr>
          <w:i/>
          <w:color w:val="222222"/>
        </w:rPr>
        <w:t>Sustainability</w:t>
      </w:r>
      <w:r>
        <w:rPr>
          <w:color w:val="222222"/>
        </w:rPr>
        <w:t xml:space="preserve">,  14(8), p.4680. Available at: </w:t>
      </w:r>
      <w:hyperlink r:id="rId41">
        <w:r>
          <w:rPr>
            <w:color w:val="1155CC"/>
            <w:u w:val="single"/>
          </w:rPr>
          <w:t>https://doi.org/10.3390/su14084680</w:t>
        </w:r>
      </w:hyperlink>
      <w:r>
        <w:rPr>
          <w:color w:val="222222"/>
        </w:rPr>
        <w:t>. [Accessed 30 January 2025].</w:t>
      </w:r>
    </w:p>
    <w:p w14:paraId="36193FF9" w14:textId="77777777" w:rsidR="00D54ABF" w:rsidRDefault="006813B5">
      <w:pPr>
        <w:rPr>
          <w:color w:val="222222"/>
        </w:rPr>
      </w:pPr>
      <w:r>
        <w:rPr>
          <w:color w:val="222222"/>
        </w:rPr>
        <w:t>Mavridopoulou, and O’Mahoney, J. (2020). Elitism in Strategy Consulting: How Institutional Prestige Influences Recruitment. Management Consulting Journal, 3(1), 12–22.</w:t>
      </w:r>
    </w:p>
    <w:p w14:paraId="01B7FBEB" w14:textId="77777777" w:rsidR="00D54ABF" w:rsidRDefault="006813B5">
      <w:pPr>
        <w:spacing w:after="240"/>
        <w:rPr>
          <w:color w:val="222222"/>
        </w:rPr>
      </w:pPr>
      <w:r>
        <w:rPr>
          <w:color w:val="222222"/>
        </w:rPr>
        <w:t xml:space="preserve">Mbir, D.E.G., Agyemang, O.S., Tackie, G. and Abeka, M.J. (2020). IFRS compliance, corporate governance and financial reporting quality of GSE-listed non-financial firms. </w:t>
      </w:r>
      <w:r>
        <w:rPr>
          <w:i/>
          <w:color w:val="222222"/>
        </w:rPr>
        <w:t>Cogent Business &amp; Management</w:t>
      </w:r>
      <w:r>
        <w:rPr>
          <w:color w:val="222222"/>
        </w:rPr>
        <w:t xml:space="preserve">, 7(1). Available at: </w:t>
      </w:r>
      <w:hyperlink r:id="rId42">
        <w:r>
          <w:rPr>
            <w:color w:val="1155CC"/>
            <w:u w:val="single"/>
          </w:rPr>
          <w:t>https://doi.org/10.1080/23311975.2020.1759856</w:t>
        </w:r>
      </w:hyperlink>
      <w:r>
        <w:rPr>
          <w:color w:val="222222"/>
        </w:rPr>
        <w:t>. [Accessed 30 January 2025].</w:t>
      </w:r>
    </w:p>
    <w:p w14:paraId="0A480C4A" w14:textId="77777777" w:rsidR="00D54ABF" w:rsidRDefault="006813B5">
      <w:pPr>
        <w:spacing w:after="240"/>
        <w:rPr>
          <w:color w:val="222222"/>
        </w:rPr>
      </w:pPr>
      <w:r>
        <w:rPr>
          <w:color w:val="222222"/>
        </w:rPr>
        <w:t xml:space="preserve">McLaren, P. (2020). Resisting fascist mobilization: Some reflections on critical pedagogy, liberation theology and the need for revolutionary socialist change. </w:t>
      </w:r>
      <w:r>
        <w:rPr>
          <w:i/>
          <w:color w:val="222222"/>
        </w:rPr>
        <w:t>Educational Philosophy and Theory</w:t>
      </w:r>
      <w:r>
        <w:rPr>
          <w:color w:val="222222"/>
        </w:rPr>
        <w:t xml:space="preserve">, pp.1–14. Available at: </w:t>
      </w:r>
      <w:hyperlink r:id="rId43">
        <w:r>
          <w:rPr>
            <w:color w:val="1155CC"/>
            <w:u w:val="single"/>
          </w:rPr>
          <w:t>https://doi.org/10.1080/00131857.2020.1716450</w:t>
        </w:r>
      </w:hyperlink>
      <w:r>
        <w:rPr>
          <w:color w:val="222222"/>
        </w:rPr>
        <w:t>. [Accessed 30 January 2025].</w:t>
      </w:r>
    </w:p>
    <w:p w14:paraId="090C22EB" w14:textId="77777777" w:rsidR="00D54ABF" w:rsidRDefault="006813B5">
      <w:pPr>
        <w:spacing w:after="240"/>
        <w:rPr>
          <w:color w:val="222222"/>
        </w:rPr>
      </w:pPr>
      <w:r>
        <w:rPr>
          <w:color w:val="222222"/>
        </w:rPr>
        <w:t xml:space="preserve">Mian, S.H., Salah, B., Ameen, W., Moiduddin, K. and Alkhalefah, H. (2020). Adapting Universities for Sustainability Education in Industry 4.0: Channel of Challenges and </w:t>
      </w:r>
      <w:r>
        <w:rPr>
          <w:color w:val="222222"/>
        </w:rPr>
        <w:lastRenderedPageBreak/>
        <w:t xml:space="preserve">Opportunities. </w:t>
      </w:r>
      <w:r>
        <w:rPr>
          <w:i/>
          <w:color w:val="222222"/>
        </w:rPr>
        <w:t>Sustainability</w:t>
      </w:r>
      <w:r>
        <w:rPr>
          <w:color w:val="222222"/>
        </w:rPr>
        <w:t xml:space="preserve">,  12(15), p.6100. Available at: </w:t>
      </w:r>
      <w:hyperlink r:id="rId44">
        <w:r>
          <w:rPr>
            <w:color w:val="1155CC"/>
            <w:u w:val="single"/>
          </w:rPr>
          <w:t>https://doi.org/10.3390/su12156100</w:t>
        </w:r>
      </w:hyperlink>
      <w:r>
        <w:rPr>
          <w:color w:val="222222"/>
        </w:rPr>
        <w:t>. [Accessed 30 January 2025].</w:t>
      </w:r>
    </w:p>
    <w:p w14:paraId="31A4460A" w14:textId="77777777" w:rsidR="00D54ABF" w:rsidRDefault="006813B5">
      <w:pPr>
        <w:spacing w:after="240"/>
        <w:rPr>
          <w:color w:val="222222"/>
        </w:rPr>
      </w:pPr>
      <w:r>
        <w:rPr>
          <w:color w:val="222222"/>
        </w:rPr>
        <w:t xml:space="preserve">Mollel, B.B. and Otieno, K.O. (2022). Labour Union Practices and its Influence on Performance of Teachers in Public Secondary Schools in Arusha District Council. </w:t>
      </w:r>
      <w:r>
        <w:rPr>
          <w:i/>
          <w:color w:val="222222"/>
        </w:rPr>
        <w:t>East African Journal of Education Studies</w:t>
      </w:r>
      <w:r>
        <w:rPr>
          <w:color w:val="222222"/>
        </w:rPr>
        <w:t xml:space="preserve">, 5(2), pp.41–53. Available at: </w:t>
      </w:r>
      <w:hyperlink r:id="rId45">
        <w:r>
          <w:rPr>
            <w:color w:val="1155CC"/>
            <w:u w:val="single"/>
          </w:rPr>
          <w:t>https://doi.org/10.37284/eajes.5.2.650</w:t>
        </w:r>
      </w:hyperlink>
      <w:r>
        <w:rPr>
          <w:color w:val="222222"/>
        </w:rPr>
        <w:t>. [Accessed 30 January 2025].</w:t>
      </w:r>
    </w:p>
    <w:p w14:paraId="061FAC74" w14:textId="77777777" w:rsidR="00D54ABF" w:rsidRDefault="006813B5">
      <w:pPr>
        <w:spacing w:after="240"/>
        <w:rPr>
          <w:color w:val="222222"/>
        </w:rPr>
      </w:pPr>
      <w:r>
        <w:rPr>
          <w:color w:val="222222"/>
        </w:rPr>
        <w:t xml:space="preserve">Newman, S.A. and Ford, R.C. (2020). Five Steps to Leading Your Team in the Virtual COVID-19 Workplace. </w:t>
      </w:r>
      <w:r>
        <w:rPr>
          <w:i/>
          <w:color w:val="222222"/>
        </w:rPr>
        <w:t>Organizational Dynamics</w:t>
      </w:r>
      <w:r>
        <w:rPr>
          <w:color w:val="222222"/>
        </w:rPr>
        <w:t xml:space="preserve">, 50(1), p.100802. Available at: </w:t>
      </w:r>
      <w:hyperlink r:id="rId46">
        <w:r>
          <w:rPr>
            <w:color w:val="1155CC"/>
            <w:u w:val="single"/>
          </w:rPr>
          <w:t>https://doi.org/10.1016/j.orgdyn.2020.100802</w:t>
        </w:r>
      </w:hyperlink>
      <w:r>
        <w:rPr>
          <w:color w:val="222222"/>
        </w:rPr>
        <w:t>. [Accessed 30 January 2025].</w:t>
      </w:r>
    </w:p>
    <w:p w14:paraId="0827A148" w14:textId="77777777" w:rsidR="00D54ABF" w:rsidRDefault="006813B5">
      <w:pPr>
        <w:spacing w:after="240"/>
        <w:rPr>
          <w:color w:val="222222"/>
        </w:rPr>
      </w:pPr>
      <w:r>
        <w:rPr>
          <w:color w:val="222222"/>
        </w:rPr>
        <w:t xml:space="preserve">Nicolaides, A. (2019). Ethical leadership in a morally driven hospitality organisational culture. </w:t>
      </w:r>
      <w:r>
        <w:rPr>
          <w:i/>
          <w:color w:val="222222"/>
        </w:rPr>
        <w:t>African Journal of Hospitality, Tourism and Leisure</w:t>
      </w:r>
      <w:r>
        <w:rPr>
          <w:color w:val="222222"/>
        </w:rPr>
        <w:t xml:space="preserve">,  8(5). Available at: </w:t>
      </w:r>
      <w:hyperlink r:id="rId47">
        <w:r>
          <w:rPr>
            <w:color w:val="1155CC"/>
            <w:u w:val="single"/>
          </w:rPr>
          <w:t>https://core.ac.uk/download/pdf/267812907.pdf</w:t>
        </w:r>
      </w:hyperlink>
      <w:r>
        <w:rPr>
          <w:color w:val="222222"/>
        </w:rPr>
        <w:t xml:space="preserve"> [Accessed 30 January 2025].</w:t>
      </w:r>
    </w:p>
    <w:p w14:paraId="7362F10A" w14:textId="77777777" w:rsidR="00D54ABF" w:rsidRDefault="006813B5">
      <w:pPr>
        <w:rPr>
          <w:color w:val="222222"/>
        </w:rPr>
      </w:pPr>
      <w:r>
        <w:rPr>
          <w:color w:val="222222"/>
        </w:rPr>
        <w:t>Noordzife, G. (2014). Project Management of Hotel Opening Processes: Exploring Better Ways to Manage New Hotel Openings, CreateSpace</w:t>
      </w:r>
    </w:p>
    <w:p w14:paraId="35C5FB14" w14:textId="77777777" w:rsidR="00D54ABF" w:rsidRDefault="006813B5">
      <w:pPr>
        <w:rPr>
          <w:color w:val="222222"/>
        </w:rPr>
      </w:pPr>
      <w:r>
        <w:rPr>
          <w:color w:val="222222"/>
        </w:rPr>
        <w:t>O’Mahoney, J. (2021). How Small Consultancies Grow: Challenging Problem-Based Theorising. Management Consulting Journal, 4(1), 5–20.</w:t>
      </w:r>
    </w:p>
    <w:p w14:paraId="073DFE38" w14:textId="77777777" w:rsidR="00D54ABF" w:rsidRDefault="006813B5">
      <w:pPr>
        <w:spacing w:after="240"/>
        <w:rPr>
          <w:color w:val="222222"/>
        </w:rPr>
      </w:pPr>
      <w:r>
        <w:rPr>
          <w:color w:val="222222"/>
        </w:rPr>
        <w:t xml:space="preserve">Oberwallner, K., Pelger, C. and Sellhorn, T. (2021). Preparers’ Construction of Users’ Information Needs in Corporate Reporting: A Case Study. </w:t>
      </w:r>
      <w:r>
        <w:rPr>
          <w:i/>
          <w:color w:val="222222"/>
        </w:rPr>
        <w:t>European Accounting Review</w:t>
      </w:r>
      <w:r>
        <w:rPr>
          <w:color w:val="222222"/>
        </w:rPr>
        <w:t xml:space="preserve">, 30(5), pp.1–32. Available at: </w:t>
      </w:r>
      <w:hyperlink r:id="rId48">
        <w:r>
          <w:rPr>
            <w:color w:val="1155CC"/>
            <w:u w:val="single"/>
          </w:rPr>
          <w:t>https://doi.org/10.1080/09638180.2021.1961596</w:t>
        </w:r>
      </w:hyperlink>
      <w:r>
        <w:rPr>
          <w:color w:val="222222"/>
        </w:rPr>
        <w:t>. [Accessed 30 January 2025].</w:t>
      </w:r>
    </w:p>
    <w:p w14:paraId="704E568C" w14:textId="77777777" w:rsidR="00D54ABF" w:rsidRDefault="006813B5">
      <w:pPr>
        <w:spacing w:after="240"/>
        <w:rPr>
          <w:color w:val="222222"/>
        </w:rPr>
      </w:pPr>
      <w:r>
        <w:rPr>
          <w:color w:val="222222"/>
        </w:rPr>
        <w:t xml:space="preserve">Osman Ahmed El-Said, Sayed Elhoushy, Smith, M. and Marwa Youssif (2024). Crisis-driven innovation in hospitality: How do international hotel chains innovate to recover from a global crisis? </w:t>
      </w:r>
      <w:r>
        <w:rPr>
          <w:i/>
          <w:color w:val="222222"/>
        </w:rPr>
        <w:t>International journal of hospitality management</w:t>
      </w:r>
      <w:r>
        <w:rPr>
          <w:color w:val="222222"/>
        </w:rPr>
        <w:t xml:space="preserve">, 120, pp.103758–103758. Available at: </w:t>
      </w:r>
      <w:hyperlink r:id="rId49">
        <w:r>
          <w:rPr>
            <w:color w:val="1155CC"/>
            <w:u w:val="single"/>
          </w:rPr>
          <w:t>https://doi.org/10.1016/j.ijhm.2024.103758</w:t>
        </w:r>
      </w:hyperlink>
      <w:r>
        <w:rPr>
          <w:color w:val="222222"/>
        </w:rPr>
        <w:t>. [Accessed 30 January 2025].</w:t>
      </w:r>
    </w:p>
    <w:p w14:paraId="085B3F82" w14:textId="77777777" w:rsidR="00D54ABF" w:rsidRDefault="006813B5">
      <w:pPr>
        <w:spacing w:after="240"/>
        <w:rPr>
          <w:color w:val="222222"/>
        </w:rPr>
      </w:pPr>
      <w:r>
        <w:rPr>
          <w:color w:val="222222"/>
        </w:rPr>
        <w:t xml:space="preserve">Paparoidamis, N.G., Katsikeas, C.S. and Chumpitaz, R. (2019). The role of supplier performance in building customer trust and loyalty: A cross-country examination. </w:t>
      </w:r>
      <w:r>
        <w:rPr>
          <w:i/>
          <w:color w:val="222222"/>
        </w:rPr>
        <w:t>Industrial Marketing Management</w:t>
      </w:r>
      <w:r>
        <w:rPr>
          <w:color w:val="222222"/>
        </w:rPr>
        <w:t xml:space="preserve">, 78, pp.183–197. Available at: </w:t>
      </w:r>
      <w:hyperlink r:id="rId50">
        <w:r>
          <w:rPr>
            <w:color w:val="1155CC"/>
            <w:u w:val="single"/>
          </w:rPr>
          <w:t>https://doi.org/10.1016/j.indmarman.2017.02.005</w:t>
        </w:r>
      </w:hyperlink>
      <w:r>
        <w:rPr>
          <w:color w:val="222222"/>
        </w:rPr>
        <w:t>. [Accessed 30 January 2025].</w:t>
      </w:r>
    </w:p>
    <w:p w14:paraId="2FA02170" w14:textId="77777777" w:rsidR="00D54ABF" w:rsidRDefault="006813B5">
      <w:pPr>
        <w:spacing w:after="240"/>
        <w:rPr>
          <w:color w:val="222222"/>
          <w:highlight w:val="yellow"/>
        </w:rPr>
      </w:pPr>
      <w:r>
        <w:rPr>
          <w:color w:val="222222"/>
          <w:highlight w:val="yellow"/>
        </w:rPr>
        <w:lastRenderedPageBreak/>
        <w:t xml:space="preserve">PA Consulting Group (2024). </w:t>
      </w:r>
      <w:r>
        <w:rPr>
          <w:i/>
          <w:color w:val="222222"/>
          <w:highlight w:val="yellow"/>
        </w:rPr>
        <w:t>Improve organisational performance | PA Consulting</w:t>
      </w:r>
      <w:r>
        <w:rPr>
          <w:color w:val="222222"/>
          <w:highlight w:val="yellow"/>
        </w:rPr>
        <w:t xml:space="preserve">. PA Consulting. Available at: </w:t>
      </w:r>
      <w:hyperlink r:id="rId51">
        <w:r>
          <w:rPr>
            <w:color w:val="1155CC"/>
            <w:highlight w:val="yellow"/>
            <w:u w:val="single"/>
          </w:rPr>
          <w:t>https://www.paconsulting.com/services/improve-organisational-performance</w:t>
        </w:r>
      </w:hyperlink>
      <w:r>
        <w:rPr>
          <w:color w:val="222222"/>
          <w:highlight w:val="yellow"/>
        </w:rPr>
        <w:t xml:space="preserve"> [Accessed 12 February 2025].</w:t>
      </w:r>
    </w:p>
    <w:p w14:paraId="2D2F9CE8" w14:textId="77777777" w:rsidR="00D54ABF" w:rsidRDefault="006813B5">
      <w:pPr>
        <w:spacing w:after="240"/>
        <w:rPr>
          <w:color w:val="222222"/>
          <w:highlight w:val="yellow"/>
        </w:rPr>
      </w:pPr>
      <w:r>
        <w:rPr>
          <w:color w:val="222222"/>
          <w:highlight w:val="yellow"/>
        </w:rPr>
        <w:t xml:space="preserve">PA Consulting Group (2025). </w:t>
      </w:r>
      <w:r>
        <w:rPr>
          <w:i/>
          <w:color w:val="222222"/>
          <w:highlight w:val="yellow"/>
        </w:rPr>
        <w:t>About PA</w:t>
      </w:r>
      <w:r>
        <w:rPr>
          <w:color w:val="222222"/>
          <w:highlight w:val="yellow"/>
        </w:rPr>
        <w:t xml:space="preserve">. PA Consulting. Available at: </w:t>
      </w:r>
      <w:hyperlink r:id="rId52">
        <w:r>
          <w:rPr>
            <w:color w:val="1155CC"/>
            <w:highlight w:val="yellow"/>
            <w:u w:val="single"/>
          </w:rPr>
          <w:t>https://www.paconsulting.com/about</w:t>
        </w:r>
      </w:hyperlink>
      <w:r>
        <w:rPr>
          <w:color w:val="222222"/>
          <w:highlight w:val="yellow"/>
        </w:rPr>
        <w:t xml:space="preserve"> [Accessed 12 February 2025].</w:t>
      </w:r>
    </w:p>
    <w:p w14:paraId="16A3343E" w14:textId="77777777" w:rsidR="00D54ABF" w:rsidRDefault="006813B5">
      <w:pPr>
        <w:spacing w:after="240"/>
        <w:rPr>
          <w:color w:val="222222"/>
        </w:rPr>
      </w:pPr>
      <w:r>
        <w:rPr>
          <w:color w:val="222222"/>
        </w:rPr>
        <w:t xml:space="preserve">Piao, X., Xie, J. and Managi, S. (2022). Environmental, social, and corporate governance activities with employee psychological well-being improvement. </w:t>
      </w:r>
      <w:r>
        <w:rPr>
          <w:i/>
          <w:color w:val="222222"/>
        </w:rPr>
        <w:t>BMC Public Health</w:t>
      </w:r>
      <w:r>
        <w:rPr>
          <w:color w:val="222222"/>
        </w:rPr>
        <w:t xml:space="preserve">, 22(1). Available at: </w:t>
      </w:r>
      <w:hyperlink r:id="rId53">
        <w:r>
          <w:rPr>
            <w:color w:val="1155CC"/>
            <w:u w:val="single"/>
          </w:rPr>
          <w:t>https://doi.org/10.1186/s12889-021-12350-y</w:t>
        </w:r>
      </w:hyperlink>
      <w:r>
        <w:rPr>
          <w:color w:val="222222"/>
        </w:rPr>
        <w:t>. [Accessed 30 January 2025].</w:t>
      </w:r>
    </w:p>
    <w:p w14:paraId="0E17FEB3" w14:textId="77777777" w:rsidR="00D54ABF" w:rsidRDefault="006813B5">
      <w:pPr>
        <w:spacing w:after="240"/>
        <w:rPr>
          <w:color w:val="222222"/>
        </w:rPr>
      </w:pPr>
      <w:r>
        <w:rPr>
          <w:color w:val="222222"/>
        </w:rPr>
        <w:t xml:space="preserve">Qiu, S. (Charles), Jiang, J., Liu, X., Chen, M.-H. and Yuan, X. (2020). Can corporate social responsibility protect firm value during the COVID-19 pandemic? </w:t>
      </w:r>
      <w:r>
        <w:rPr>
          <w:i/>
          <w:color w:val="222222"/>
        </w:rPr>
        <w:t>International Journal of Hospitality Management</w:t>
      </w:r>
      <w:r>
        <w:rPr>
          <w:color w:val="222222"/>
        </w:rPr>
        <w:t xml:space="preserve">, 93(102759), p.102759. Available at: </w:t>
      </w:r>
      <w:hyperlink r:id="rId54">
        <w:r>
          <w:rPr>
            <w:color w:val="1155CC"/>
            <w:u w:val="single"/>
          </w:rPr>
          <w:t>https://doi.org/10.1016/j.ijhm.2020.102759</w:t>
        </w:r>
      </w:hyperlink>
      <w:r>
        <w:rPr>
          <w:color w:val="222222"/>
        </w:rPr>
        <w:t>. [Accessed 30 January 2025].</w:t>
      </w:r>
    </w:p>
    <w:p w14:paraId="4992DA24" w14:textId="77777777" w:rsidR="00D54ABF" w:rsidRDefault="006813B5">
      <w:pPr>
        <w:spacing w:after="240"/>
        <w:rPr>
          <w:color w:val="222222"/>
        </w:rPr>
      </w:pPr>
      <w:r>
        <w:rPr>
          <w:color w:val="222222"/>
        </w:rPr>
        <w:t xml:space="preserve">Sanvitale, A. (2020). </w:t>
      </w:r>
      <w:r>
        <w:rPr>
          <w:i/>
          <w:color w:val="222222"/>
        </w:rPr>
        <w:t>Corporate Social Responsibility in the Hotel Industry: a Study of Marriott International and Odyssey Hotel Group _____________ in Partial Fulfilment of the Requirements for the Degree of Bachelor of Arts</w:t>
      </w:r>
      <w:r>
        <w:rPr>
          <w:color w:val="222222"/>
        </w:rPr>
        <w:t xml:space="preserve">.  Available at: </w:t>
      </w:r>
      <w:hyperlink r:id="rId55">
        <w:r>
          <w:rPr>
            <w:color w:val="1155CC"/>
            <w:u w:val="single"/>
          </w:rPr>
          <w:t>http://arno.uvt.nl/show.cgi?fid=151914</w:t>
        </w:r>
      </w:hyperlink>
      <w:r>
        <w:rPr>
          <w:color w:val="222222"/>
        </w:rPr>
        <w:t xml:space="preserve"> [Accessed 30 January 2025].</w:t>
      </w:r>
    </w:p>
    <w:p w14:paraId="21C76B00" w14:textId="77777777" w:rsidR="00D54ABF" w:rsidRDefault="006813B5">
      <w:pPr>
        <w:spacing w:after="240"/>
        <w:rPr>
          <w:color w:val="222222"/>
        </w:rPr>
      </w:pPr>
      <w:r>
        <w:rPr>
          <w:color w:val="222222"/>
        </w:rPr>
        <w:t xml:space="preserve">Sikka, P. and Stittle, J. (2019). Debunking the Myth of Shareholder Ownership of Companies: Some Implications for Corporate Governance and financial reporting. </w:t>
      </w:r>
      <w:r>
        <w:rPr>
          <w:i/>
          <w:color w:val="222222"/>
        </w:rPr>
        <w:t>Critical Perspectives on Accounting</w:t>
      </w:r>
      <w:r>
        <w:rPr>
          <w:color w:val="222222"/>
        </w:rPr>
        <w:t xml:space="preserve">, 63. Available at: </w:t>
      </w:r>
      <w:hyperlink r:id="rId56">
        <w:r>
          <w:rPr>
            <w:color w:val="1155CC"/>
            <w:u w:val="single"/>
          </w:rPr>
          <w:t>https://doi.org/10.1016/j.cpa.2017.03.011</w:t>
        </w:r>
      </w:hyperlink>
      <w:r>
        <w:rPr>
          <w:color w:val="222222"/>
        </w:rPr>
        <w:t>. [Accessed 30 January 2025].</w:t>
      </w:r>
    </w:p>
    <w:p w14:paraId="7A60A342" w14:textId="77777777" w:rsidR="00D54ABF" w:rsidRDefault="006813B5">
      <w:pPr>
        <w:spacing w:after="240"/>
        <w:rPr>
          <w:color w:val="222222"/>
        </w:rPr>
      </w:pPr>
      <w:r>
        <w:rPr>
          <w:color w:val="222222"/>
        </w:rPr>
        <w:t xml:space="preserve">Soundararajan, V., Brown, J.A. and Wicks, A.C. (2019). Can Multi-Stakeholder Initiatives Improve Global Supply Chains? Improving Deliberative Capacity with a Stakeholder Orientation. </w:t>
      </w:r>
      <w:r>
        <w:rPr>
          <w:i/>
          <w:color w:val="222222"/>
        </w:rPr>
        <w:t>Business Ethics Quarterly</w:t>
      </w:r>
      <w:r>
        <w:rPr>
          <w:color w:val="222222"/>
        </w:rPr>
        <w:t xml:space="preserve">,  29(03), pp.385–412. Available at: </w:t>
      </w:r>
      <w:hyperlink r:id="rId57">
        <w:r>
          <w:rPr>
            <w:color w:val="1155CC"/>
            <w:u w:val="single"/>
          </w:rPr>
          <w:t>https://doi.org/10.1017/beq.2018.38</w:t>
        </w:r>
      </w:hyperlink>
      <w:r>
        <w:rPr>
          <w:color w:val="222222"/>
        </w:rPr>
        <w:t>. [Accessed 30 January 2025].</w:t>
      </w:r>
    </w:p>
    <w:p w14:paraId="68640705" w14:textId="77777777" w:rsidR="00D54ABF" w:rsidRDefault="006813B5">
      <w:pPr>
        <w:spacing w:after="240"/>
        <w:rPr>
          <w:color w:val="222222"/>
        </w:rPr>
      </w:pPr>
      <w:r>
        <w:rPr>
          <w:color w:val="222222"/>
        </w:rPr>
        <w:t xml:space="preserve">Spencer, J. (2023). </w:t>
      </w:r>
      <w:r>
        <w:rPr>
          <w:i/>
          <w:color w:val="222222"/>
        </w:rPr>
        <w:t>How Will the Conflict Between Marriott and Linn, Which Has Reached a Criminal Investigation in Poland, Affect Marriott’s Other Business Partners? - EU Business News</w:t>
      </w:r>
      <w:r>
        <w:rPr>
          <w:color w:val="222222"/>
        </w:rPr>
        <w:t xml:space="preserve">.  EU Business News. Available at: </w:t>
      </w:r>
      <w:hyperlink r:id="rId58">
        <w:r>
          <w:rPr>
            <w:color w:val="1155CC"/>
            <w:u w:val="single"/>
          </w:rPr>
          <w:t>https://www.eubusinessnews.com/how-will-the-conflict-between-marriott-and-linn-which-has-reached-a-criminal-investigation-in-poland-affect-marriotts-other-business-partners/</w:t>
        </w:r>
      </w:hyperlink>
      <w:r>
        <w:rPr>
          <w:color w:val="222222"/>
        </w:rPr>
        <w:t xml:space="preserve"> [Accessed 30 January 2025].</w:t>
      </w:r>
    </w:p>
    <w:p w14:paraId="606E4852" w14:textId="77777777" w:rsidR="00D54ABF" w:rsidRDefault="006813B5">
      <w:pPr>
        <w:spacing w:after="240"/>
        <w:rPr>
          <w:color w:val="222222"/>
        </w:rPr>
      </w:pPr>
      <w:r>
        <w:rPr>
          <w:color w:val="222222"/>
        </w:rPr>
        <w:lastRenderedPageBreak/>
        <w:t xml:space="preserve">Statista (2024). </w:t>
      </w:r>
      <w:r>
        <w:rPr>
          <w:i/>
          <w:color w:val="222222"/>
        </w:rPr>
        <w:t>Topic: Marriott International</w:t>
      </w:r>
      <w:r>
        <w:rPr>
          <w:color w:val="222222"/>
        </w:rPr>
        <w:t xml:space="preserve">.  www.statista.com. Available at: </w:t>
      </w:r>
      <w:hyperlink r:id="rId59">
        <w:r>
          <w:rPr>
            <w:color w:val="1155CC"/>
            <w:u w:val="single"/>
          </w:rPr>
          <w:t>https://www.statista.com/topics/1872/marriott-international/</w:t>
        </w:r>
      </w:hyperlink>
      <w:r>
        <w:rPr>
          <w:color w:val="222222"/>
        </w:rPr>
        <w:t xml:space="preserve"> [Accessed 30 January 2025].</w:t>
      </w:r>
    </w:p>
    <w:p w14:paraId="01D95526" w14:textId="77777777" w:rsidR="00D54ABF" w:rsidRDefault="006813B5">
      <w:pPr>
        <w:spacing w:after="240"/>
        <w:rPr>
          <w:color w:val="222222"/>
        </w:rPr>
      </w:pPr>
      <w:r>
        <w:rPr>
          <w:color w:val="222222"/>
        </w:rPr>
        <w:t xml:space="preserve">Su, Y., Ma, C., Chen, J., Wu, H., Luo, W., Peng, Y., Luo, Z., Li, L., Tan, Y., Omisore, O.M., Zhu, Z., Wang, L. and Li, H. (2020). Printable, Highly Sensitive Flexible Temperature Sensors for Human Body Temperature Monitoring: A Review. </w:t>
      </w:r>
      <w:r>
        <w:rPr>
          <w:i/>
          <w:color w:val="222222"/>
        </w:rPr>
        <w:t>Nanoscale Research Letters</w:t>
      </w:r>
      <w:r>
        <w:rPr>
          <w:color w:val="222222"/>
        </w:rPr>
        <w:t xml:space="preserve">, 15(1). Available at: </w:t>
      </w:r>
      <w:hyperlink r:id="rId60">
        <w:r>
          <w:rPr>
            <w:color w:val="1155CC"/>
            <w:u w:val="single"/>
          </w:rPr>
          <w:t>https://doi.org/10.1186/s11671-020-03428-4</w:t>
        </w:r>
      </w:hyperlink>
      <w:r>
        <w:rPr>
          <w:color w:val="222222"/>
        </w:rPr>
        <w:t>. [Accessed 30 January 2025].</w:t>
      </w:r>
    </w:p>
    <w:p w14:paraId="09A440BD" w14:textId="77777777" w:rsidR="00D54ABF" w:rsidRDefault="006813B5">
      <w:pPr>
        <w:spacing w:after="240"/>
        <w:rPr>
          <w:color w:val="222222"/>
        </w:rPr>
      </w:pPr>
      <w:r>
        <w:rPr>
          <w:color w:val="222222"/>
        </w:rPr>
        <w:t xml:space="preserve">Suttidharm, P. and Leelasantitham, A. (2024). Conceptual Models of Franchisee Behaviors in the Dietary Supplements and Cosmetics to Imply the Business Investments. </w:t>
      </w:r>
      <w:r>
        <w:rPr>
          <w:i/>
          <w:color w:val="222222"/>
        </w:rPr>
        <w:t>Sustainability</w:t>
      </w:r>
      <w:r>
        <w:rPr>
          <w:color w:val="222222"/>
        </w:rPr>
        <w:t xml:space="preserve">, 16(10), pp.4287–4287. Available at: </w:t>
      </w:r>
      <w:hyperlink r:id="rId61">
        <w:r>
          <w:rPr>
            <w:color w:val="1155CC"/>
            <w:u w:val="single"/>
          </w:rPr>
          <w:t>https://doi.org/10.3390/su16104287</w:t>
        </w:r>
      </w:hyperlink>
      <w:r>
        <w:rPr>
          <w:color w:val="222222"/>
        </w:rPr>
        <w:t>. [Accessed 30 January 2025].</w:t>
      </w:r>
    </w:p>
    <w:p w14:paraId="7D545366" w14:textId="77777777" w:rsidR="00D54ABF" w:rsidRDefault="006813B5">
      <w:pPr>
        <w:spacing w:after="240"/>
        <w:rPr>
          <w:color w:val="222222"/>
        </w:rPr>
      </w:pPr>
      <w:r>
        <w:rPr>
          <w:color w:val="222222"/>
        </w:rPr>
        <w:t xml:space="preserve">The Baltic Times (2024). </w:t>
      </w:r>
      <w:r>
        <w:rPr>
          <w:i/>
          <w:color w:val="222222"/>
        </w:rPr>
        <w:t>Several European Countries are Involved in the Marriott Criminal Investigation</w:t>
      </w:r>
      <w:r>
        <w:rPr>
          <w:color w:val="222222"/>
        </w:rPr>
        <w:t xml:space="preserve">.  Available at: </w:t>
      </w:r>
      <w:hyperlink r:id="rId62">
        <w:r>
          <w:rPr>
            <w:color w:val="1155CC"/>
            <w:u w:val="single"/>
          </w:rPr>
          <w:t>https://www.baltictimes.com/several_european_countries_are_involved_in_the_marriott_criminal_investigation</w:t>
        </w:r>
      </w:hyperlink>
      <w:r>
        <w:rPr>
          <w:color w:val="222222"/>
        </w:rPr>
        <w:t xml:space="preserve"> [Accessed 30 January 2025].</w:t>
      </w:r>
    </w:p>
    <w:p w14:paraId="27105E7E" w14:textId="77777777" w:rsidR="00D54ABF" w:rsidRDefault="006813B5">
      <w:pPr>
        <w:spacing w:after="240"/>
        <w:rPr>
          <w:color w:val="222222"/>
        </w:rPr>
      </w:pPr>
      <w:r>
        <w:rPr>
          <w:color w:val="222222"/>
        </w:rPr>
        <w:t xml:space="preserve">The Silicon Review (2023). </w:t>
      </w:r>
      <w:r>
        <w:rPr>
          <w:i/>
          <w:color w:val="222222"/>
        </w:rPr>
        <w:t>The Marriott International Scandal in Poland: Are Other Hotel Giants Doing the Same Thing?</w:t>
      </w:r>
      <w:r>
        <w:rPr>
          <w:color w:val="222222"/>
        </w:rPr>
        <w:t xml:space="preserve">  The Silicon Review. Available at: </w:t>
      </w:r>
      <w:hyperlink r:id="rId63">
        <w:r>
          <w:rPr>
            <w:color w:val="1155CC"/>
            <w:u w:val="single"/>
          </w:rPr>
          <w:t>https://thesiliconreview.com/2023/10/marriott-scandal-poland-hotel-giants</w:t>
        </w:r>
      </w:hyperlink>
      <w:r>
        <w:rPr>
          <w:color w:val="222222"/>
        </w:rPr>
        <w:t xml:space="preserve"> [Accessed 30 January 2025].</w:t>
      </w:r>
    </w:p>
    <w:p w14:paraId="3A05C870" w14:textId="77777777" w:rsidR="00D54ABF" w:rsidRDefault="006813B5">
      <w:pPr>
        <w:spacing w:after="240"/>
        <w:rPr>
          <w:color w:val="222222"/>
        </w:rPr>
      </w:pPr>
      <w:r>
        <w:rPr>
          <w:color w:val="222222"/>
        </w:rPr>
        <w:t xml:space="preserve">Truby, J. (2020). Governing Artificial Intelligence to benefit the UN Sustainable Development Goals. </w:t>
      </w:r>
      <w:r>
        <w:rPr>
          <w:i/>
          <w:color w:val="222222"/>
        </w:rPr>
        <w:t>Sustainable Development</w:t>
      </w:r>
      <w:r>
        <w:rPr>
          <w:color w:val="222222"/>
        </w:rPr>
        <w:t xml:space="preserve">,  28(4). Available at: </w:t>
      </w:r>
      <w:hyperlink r:id="rId64">
        <w:r>
          <w:rPr>
            <w:color w:val="1155CC"/>
            <w:u w:val="single"/>
          </w:rPr>
          <w:t>https://doi.org/10.1002/sd.2048</w:t>
        </w:r>
      </w:hyperlink>
      <w:r>
        <w:rPr>
          <w:color w:val="222222"/>
        </w:rPr>
        <w:t>. [Accessed 30 January 2025].</w:t>
      </w:r>
    </w:p>
    <w:p w14:paraId="0AE7412A" w14:textId="77777777" w:rsidR="00D54ABF" w:rsidRDefault="006813B5">
      <w:pPr>
        <w:spacing w:after="240"/>
        <w:rPr>
          <w:color w:val="222222"/>
        </w:rPr>
      </w:pPr>
      <w:r>
        <w:rPr>
          <w:color w:val="222222"/>
        </w:rPr>
        <w:t xml:space="preserve">Votto, A.M., Valecha, R., Najafirad, P. and Rao, H.R. (2021). Artificial Intelligence in Tactical Human Resource Management: A Systematic Literature Review. </w:t>
      </w:r>
      <w:r>
        <w:rPr>
          <w:i/>
          <w:color w:val="222222"/>
        </w:rPr>
        <w:t>International Journal of Information Management Data Insights</w:t>
      </w:r>
      <w:r>
        <w:rPr>
          <w:color w:val="222222"/>
        </w:rPr>
        <w:t xml:space="preserve">,  1(2). Available at: </w:t>
      </w:r>
      <w:hyperlink r:id="rId65">
        <w:r>
          <w:rPr>
            <w:color w:val="1155CC"/>
            <w:u w:val="single"/>
          </w:rPr>
          <w:t>https://doi.org/10.1016/j.jjimei.2021.100047</w:t>
        </w:r>
      </w:hyperlink>
      <w:r>
        <w:rPr>
          <w:color w:val="222222"/>
        </w:rPr>
        <w:t>. [Accessed 30 January 2025].</w:t>
      </w:r>
    </w:p>
    <w:p w14:paraId="64BB9EE1" w14:textId="77777777" w:rsidR="00D54ABF" w:rsidRDefault="006813B5">
      <w:pPr>
        <w:spacing w:after="240"/>
        <w:rPr>
          <w:color w:val="222222"/>
        </w:rPr>
      </w:pPr>
      <w:r>
        <w:rPr>
          <w:color w:val="222222"/>
        </w:rPr>
        <w:t xml:space="preserve">Waddell, S., Waddock, S., Cornell, S., Domenico Dentoni, McLachlan, M. and Meszoely, G. (2024). Large Systems Change. </w:t>
      </w:r>
      <w:r>
        <w:rPr>
          <w:i/>
          <w:color w:val="222222"/>
        </w:rPr>
        <w:t>Routledge eBooks</w:t>
      </w:r>
      <w:r>
        <w:rPr>
          <w:color w:val="222222"/>
        </w:rPr>
        <w:t xml:space="preserve">, pp.5–30. Available at: </w:t>
      </w:r>
      <w:hyperlink r:id="rId66">
        <w:r>
          <w:rPr>
            <w:color w:val="1155CC"/>
            <w:u w:val="single"/>
          </w:rPr>
          <w:t>https://doi.org/10.4324/9781003579380-1</w:t>
        </w:r>
      </w:hyperlink>
      <w:r>
        <w:rPr>
          <w:color w:val="222222"/>
        </w:rPr>
        <w:t>. [Accessed 30 January 2025].</w:t>
      </w:r>
    </w:p>
    <w:p w14:paraId="0CCB078A" w14:textId="77777777" w:rsidR="00D54ABF" w:rsidRDefault="006813B5">
      <w:pPr>
        <w:spacing w:after="240"/>
        <w:rPr>
          <w:color w:val="222222"/>
        </w:rPr>
      </w:pPr>
      <w:r>
        <w:rPr>
          <w:color w:val="222222"/>
        </w:rPr>
        <w:lastRenderedPageBreak/>
        <w:t xml:space="preserve">Waldman, D.A., Siegel, D.S. and Stahl, G.K. (2020). Defining the Socially Responsible leader: Revisiting Issues in Responsible Leadership. </w:t>
      </w:r>
      <w:r>
        <w:rPr>
          <w:i/>
          <w:color w:val="222222"/>
        </w:rPr>
        <w:t>Journal of Leadership &amp; Organizational Studies</w:t>
      </w:r>
      <w:r>
        <w:rPr>
          <w:color w:val="222222"/>
        </w:rPr>
        <w:t xml:space="preserve">, 27(1), pp.5–20. Available at: </w:t>
      </w:r>
      <w:hyperlink r:id="rId67">
        <w:r>
          <w:rPr>
            <w:color w:val="1155CC"/>
            <w:u w:val="single"/>
          </w:rPr>
          <w:t>https://doi.org/10.1177/1548051819872201</w:t>
        </w:r>
      </w:hyperlink>
      <w:r>
        <w:rPr>
          <w:color w:val="222222"/>
        </w:rPr>
        <w:t>. [Accessed 30 January 2025].</w:t>
      </w:r>
    </w:p>
    <w:p w14:paraId="63ECFEE4" w14:textId="77777777" w:rsidR="00D54ABF" w:rsidRDefault="006813B5">
      <w:pPr>
        <w:spacing w:after="240"/>
        <w:rPr>
          <w:color w:val="222222"/>
        </w:rPr>
      </w:pPr>
      <w:r>
        <w:rPr>
          <w:color w:val="222222"/>
        </w:rPr>
        <w:t xml:space="preserve">Wamsler, C., Wickenberg, B., Hanson, H., Alkan Olsson, J., Stålhammar, S., Björn, H., Falck, H., Gerell, D., Oskarsson, T., Simonsson, E., Torffvit, F. and Zelmerlow, F. (2020). Environmental and climate policy integration: Targeted strategies for overcoming barriers to nature-based solutions and climate change adaptation. </w:t>
      </w:r>
      <w:r>
        <w:rPr>
          <w:i/>
          <w:color w:val="222222"/>
        </w:rPr>
        <w:t>Journal of Cleaner Production</w:t>
      </w:r>
      <w:r>
        <w:rPr>
          <w:color w:val="222222"/>
        </w:rPr>
        <w:t xml:space="preserve">,  247, p.119154. Available at: </w:t>
      </w:r>
      <w:hyperlink r:id="rId68">
        <w:r>
          <w:rPr>
            <w:color w:val="1155CC"/>
            <w:u w:val="single"/>
          </w:rPr>
          <w:t>https://doi.org/10.1016/j.jclepro.2019.119154</w:t>
        </w:r>
      </w:hyperlink>
      <w:r>
        <w:rPr>
          <w:color w:val="222222"/>
        </w:rPr>
        <w:t>. [Accessed 30 January 2025].</w:t>
      </w:r>
    </w:p>
    <w:p w14:paraId="15FB4ECB" w14:textId="77777777" w:rsidR="00D54ABF" w:rsidRDefault="006813B5">
      <w:pPr>
        <w:rPr>
          <w:color w:val="222222"/>
        </w:rPr>
      </w:pPr>
      <w:r>
        <w:rPr>
          <w:color w:val="222222"/>
        </w:rPr>
        <w:t xml:space="preserve">Whittington, R. </w:t>
      </w:r>
      <w:r>
        <w:rPr>
          <w:i/>
          <w:color w:val="222222"/>
        </w:rPr>
        <w:t>et al</w:t>
      </w:r>
      <w:r>
        <w:rPr>
          <w:color w:val="222222"/>
        </w:rPr>
        <w:t xml:space="preserve"> (2020). Exploring Strategy. Harlow: Pearson Education Limited.</w:t>
      </w:r>
    </w:p>
    <w:p w14:paraId="650A6CAE" w14:textId="77777777" w:rsidR="00D54ABF" w:rsidRDefault="006813B5">
      <w:pPr>
        <w:spacing w:after="240"/>
        <w:rPr>
          <w:color w:val="222222"/>
        </w:rPr>
      </w:pPr>
      <w:r>
        <w:rPr>
          <w:color w:val="222222"/>
        </w:rPr>
        <w:t xml:space="preserve">Williams, C. (2023). </w:t>
      </w:r>
      <w:r>
        <w:rPr>
          <w:i/>
          <w:color w:val="222222"/>
        </w:rPr>
        <w:t>A Conflict between the Marriott Chain and the Lim Company in Poland leads to a Criminal Investigation</w:t>
      </w:r>
      <w:r>
        <w:rPr>
          <w:color w:val="222222"/>
        </w:rPr>
        <w:t xml:space="preserve">.  Travel Daily Media. Available at: </w:t>
      </w:r>
      <w:hyperlink r:id="rId69">
        <w:r>
          <w:rPr>
            <w:color w:val="1155CC"/>
            <w:u w:val="single"/>
          </w:rPr>
          <w:t>https://www.traveldailymedia.com/a-conflict-between-the-marriott-chain-and-the-lim-company-in-poland-leads-to-a-criminal-investigation/</w:t>
        </w:r>
      </w:hyperlink>
      <w:r>
        <w:rPr>
          <w:color w:val="222222"/>
        </w:rPr>
        <w:t xml:space="preserve"> [Accessed 30 January 2025].</w:t>
      </w:r>
    </w:p>
    <w:p w14:paraId="5BF82C1F" w14:textId="77777777" w:rsidR="00D54ABF" w:rsidRDefault="006813B5">
      <w:pPr>
        <w:spacing w:after="240"/>
        <w:rPr>
          <w:color w:val="222222"/>
        </w:rPr>
      </w:pPr>
      <w:r>
        <w:rPr>
          <w:color w:val="222222"/>
        </w:rPr>
        <w:t xml:space="preserve">Wörmann, X., Wilmes, S., Seifert, D. and Anders, S. (2021). Males as victims of intimate partner violence — results from a clinical-forensic medical examination centre. </w:t>
      </w:r>
      <w:r>
        <w:rPr>
          <w:i/>
          <w:color w:val="222222"/>
        </w:rPr>
        <w:t>International Journal of Legal Medicine</w:t>
      </w:r>
      <w:r>
        <w:rPr>
          <w:color w:val="222222"/>
        </w:rPr>
        <w:t xml:space="preserve">,  135, pp.1–9. Available at: </w:t>
      </w:r>
      <w:hyperlink r:id="rId70">
        <w:r>
          <w:rPr>
            <w:color w:val="1155CC"/>
            <w:u w:val="single"/>
          </w:rPr>
          <w:t>https://doi.org/10.1007/s00414-021-02615-x</w:t>
        </w:r>
      </w:hyperlink>
      <w:r>
        <w:rPr>
          <w:color w:val="222222"/>
        </w:rPr>
        <w:t>. [Accessed 30 January 2025].</w:t>
      </w:r>
    </w:p>
    <w:p w14:paraId="5AC18417" w14:textId="77777777" w:rsidR="00D54ABF" w:rsidRDefault="006813B5">
      <w:pPr>
        <w:spacing w:after="240"/>
        <w:rPr>
          <w:color w:val="222222"/>
        </w:rPr>
      </w:pPr>
      <w:r>
        <w:rPr>
          <w:color w:val="222222"/>
        </w:rPr>
        <w:t xml:space="preserve">Yong, J.Y., Yusliza, M., Ramayah, T., Chiappetta Jabbour, C.J., Sehnem, S. and Mani, V. (2019). Pathways towards sustainability in manufacturing organizations: Empirical evidence on the role of green human resource management. </w:t>
      </w:r>
      <w:r>
        <w:rPr>
          <w:i/>
          <w:color w:val="222222"/>
        </w:rPr>
        <w:t>Business Strategy and the Environment</w:t>
      </w:r>
      <w:r>
        <w:rPr>
          <w:color w:val="222222"/>
        </w:rPr>
        <w:t xml:space="preserve">, 29(1), pp.212–228. Available at: </w:t>
      </w:r>
      <w:hyperlink r:id="rId71">
        <w:r>
          <w:rPr>
            <w:color w:val="1155CC"/>
            <w:u w:val="single"/>
          </w:rPr>
          <w:t>https://doi.org/10.1002/bse.2359</w:t>
        </w:r>
      </w:hyperlink>
      <w:r>
        <w:rPr>
          <w:color w:val="222222"/>
        </w:rPr>
        <w:t>. [Accessed 30 January 2025].</w:t>
      </w:r>
    </w:p>
    <w:p w14:paraId="4CF55699" w14:textId="77777777" w:rsidR="00D54ABF" w:rsidRDefault="006813B5">
      <w:pPr>
        <w:spacing w:after="240"/>
        <w:rPr>
          <w:color w:val="222222"/>
        </w:rPr>
      </w:pPr>
      <w:r>
        <w:rPr>
          <w:color w:val="222222"/>
        </w:rPr>
        <w:t xml:space="preserve">Zaman, R., Jain, T., Samara, G. and Jamali, D. (2020). Corporate governance meets corporate social responsibility: Mapping the interface. </w:t>
      </w:r>
      <w:r>
        <w:rPr>
          <w:i/>
          <w:color w:val="222222"/>
        </w:rPr>
        <w:t>Business &amp; Society</w:t>
      </w:r>
      <w:r>
        <w:rPr>
          <w:color w:val="222222"/>
        </w:rPr>
        <w:t xml:space="preserve">, 61(3), pp.690–752. Available at: </w:t>
      </w:r>
      <w:hyperlink r:id="rId72">
        <w:r>
          <w:rPr>
            <w:color w:val="1155CC"/>
            <w:u w:val="single"/>
          </w:rPr>
          <w:t>https://doi.org/10.1177/0007650320973415</w:t>
        </w:r>
      </w:hyperlink>
      <w:r>
        <w:rPr>
          <w:color w:val="222222"/>
        </w:rPr>
        <w:t>. [Accessed 30 January 2025].</w:t>
      </w:r>
    </w:p>
    <w:p w14:paraId="7B08092A" w14:textId="77777777" w:rsidR="00D54ABF" w:rsidRDefault="00D54ABF">
      <w:pPr>
        <w:rPr>
          <w:color w:val="222222"/>
        </w:rPr>
      </w:pPr>
    </w:p>
    <w:p w14:paraId="7E548B70" w14:textId="77777777" w:rsidR="00D54ABF" w:rsidRDefault="00D54ABF">
      <w:pPr>
        <w:rPr>
          <w:color w:val="222222"/>
        </w:rPr>
      </w:pPr>
    </w:p>
    <w:p w14:paraId="0C763935" w14:textId="77777777" w:rsidR="00D54ABF" w:rsidRDefault="00D54ABF"/>
    <w:p w14:paraId="2E7D60ED" w14:textId="77777777" w:rsidR="00D54ABF" w:rsidRDefault="00D54ABF"/>
    <w:p w14:paraId="1AFC2031" w14:textId="77777777" w:rsidR="00D54ABF" w:rsidRDefault="00D54ABF"/>
    <w:p w14:paraId="556BC533" w14:textId="77777777" w:rsidR="00D54ABF" w:rsidRDefault="00D54ABF"/>
    <w:sectPr w:rsidR="00D54ABF">
      <w:footerReference w:type="default" r:id="rId73"/>
      <w:headerReference w:type="first" r:id="rId74"/>
      <w:footerReference w:type="first" r:id="rId7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6A305" w14:textId="77777777" w:rsidR="006813B5" w:rsidRDefault="006813B5">
      <w:pPr>
        <w:spacing w:after="0" w:line="240" w:lineRule="auto"/>
      </w:pPr>
      <w:r>
        <w:separator/>
      </w:r>
    </w:p>
  </w:endnote>
  <w:endnote w:type="continuationSeparator" w:id="0">
    <w:p w14:paraId="229524E5" w14:textId="77777777" w:rsidR="006813B5" w:rsidRDefault="00681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A20C" w14:textId="77777777" w:rsidR="00D54ABF" w:rsidRDefault="006813B5">
    <w:pPr>
      <w:jc w:val="center"/>
    </w:pPr>
    <w:r>
      <w:fldChar w:fldCharType="begin"/>
    </w:r>
    <w:r>
      <w:instrText>PAGE</w:instrText>
    </w:r>
    <w:r>
      <w:fldChar w:fldCharType="separate"/>
    </w:r>
    <w:r w:rsidR="003E5E2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5D2CD" w14:textId="77777777" w:rsidR="00D54ABF" w:rsidRDefault="00D54A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DCADC" w14:textId="77777777" w:rsidR="006813B5" w:rsidRDefault="006813B5">
      <w:pPr>
        <w:spacing w:after="0" w:line="240" w:lineRule="auto"/>
      </w:pPr>
      <w:r>
        <w:separator/>
      </w:r>
    </w:p>
  </w:footnote>
  <w:footnote w:type="continuationSeparator" w:id="0">
    <w:p w14:paraId="221EB18F" w14:textId="77777777" w:rsidR="006813B5" w:rsidRDefault="006813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E94E8" w14:textId="77777777" w:rsidR="00D54ABF" w:rsidRDefault="00D54A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1ECF"/>
    <w:multiLevelType w:val="multilevel"/>
    <w:tmpl w:val="38660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9B7F2A"/>
    <w:multiLevelType w:val="multilevel"/>
    <w:tmpl w:val="8BC80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60278B"/>
    <w:multiLevelType w:val="multilevel"/>
    <w:tmpl w:val="5D389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082EDA"/>
    <w:multiLevelType w:val="multilevel"/>
    <w:tmpl w:val="6096B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A188D"/>
    <w:multiLevelType w:val="multilevel"/>
    <w:tmpl w:val="FA54E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FA056C"/>
    <w:multiLevelType w:val="multilevel"/>
    <w:tmpl w:val="43963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8381E7B"/>
    <w:multiLevelType w:val="multilevel"/>
    <w:tmpl w:val="17DE0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8A70AF"/>
    <w:multiLevelType w:val="multilevel"/>
    <w:tmpl w:val="5C1289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D183EAA"/>
    <w:multiLevelType w:val="multilevel"/>
    <w:tmpl w:val="9DC065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E9253FF"/>
    <w:multiLevelType w:val="multilevel"/>
    <w:tmpl w:val="52260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373805"/>
    <w:multiLevelType w:val="multilevel"/>
    <w:tmpl w:val="925EBE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B7F2985"/>
    <w:multiLevelType w:val="multilevel"/>
    <w:tmpl w:val="F8185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E03E03"/>
    <w:multiLevelType w:val="multilevel"/>
    <w:tmpl w:val="6504D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350360"/>
    <w:multiLevelType w:val="multilevel"/>
    <w:tmpl w:val="33A82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0D70FD"/>
    <w:multiLevelType w:val="multilevel"/>
    <w:tmpl w:val="DEFAA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F40411"/>
    <w:multiLevelType w:val="multilevel"/>
    <w:tmpl w:val="69CC33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20E5F7B"/>
    <w:multiLevelType w:val="multilevel"/>
    <w:tmpl w:val="941A1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6881640"/>
    <w:multiLevelType w:val="multilevel"/>
    <w:tmpl w:val="817A9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2B418C"/>
    <w:multiLevelType w:val="multilevel"/>
    <w:tmpl w:val="96908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CD00FAC"/>
    <w:multiLevelType w:val="multilevel"/>
    <w:tmpl w:val="E4F2A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4324123">
    <w:abstractNumId w:val="18"/>
  </w:num>
  <w:num w:numId="2" w16cid:durableId="1316836161">
    <w:abstractNumId w:val="8"/>
  </w:num>
  <w:num w:numId="3" w16cid:durableId="1368292343">
    <w:abstractNumId w:val="16"/>
  </w:num>
  <w:num w:numId="4" w16cid:durableId="161505426">
    <w:abstractNumId w:val="17"/>
  </w:num>
  <w:num w:numId="5" w16cid:durableId="1308707408">
    <w:abstractNumId w:val="12"/>
  </w:num>
  <w:num w:numId="6" w16cid:durableId="243341011">
    <w:abstractNumId w:val="10"/>
  </w:num>
  <w:num w:numId="7" w16cid:durableId="1222324431">
    <w:abstractNumId w:val="13"/>
  </w:num>
  <w:num w:numId="8" w16cid:durableId="956330896">
    <w:abstractNumId w:val="0"/>
  </w:num>
  <w:num w:numId="9" w16cid:durableId="1139880052">
    <w:abstractNumId w:val="2"/>
  </w:num>
  <w:num w:numId="10" w16cid:durableId="1645894538">
    <w:abstractNumId w:val="3"/>
  </w:num>
  <w:num w:numId="11" w16cid:durableId="5718866">
    <w:abstractNumId w:val="19"/>
  </w:num>
  <w:num w:numId="12" w16cid:durableId="283930037">
    <w:abstractNumId w:val="14"/>
  </w:num>
  <w:num w:numId="13" w16cid:durableId="60062139">
    <w:abstractNumId w:val="6"/>
  </w:num>
  <w:num w:numId="14" w16cid:durableId="672687186">
    <w:abstractNumId w:val="4"/>
  </w:num>
  <w:num w:numId="15" w16cid:durableId="439910317">
    <w:abstractNumId w:val="5"/>
  </w:num>
  <w:num w:numId="16" w16cid:durableId="1771659411">
    <w:abstractNumId w:val="9"/>
  </w:num>
  <w:num w:numId="17" w16cid:durableId="771433636">
    <w:abstractNumId w:val="1"/>
  </w:num>
  <w:num w:numId="18" w16cid:durableId="2038697026">
    <w:abstractNumId w:val="15"/>
  </w:num>
  <w:num w:numId="19" w16cid:durableId="1776093679">
    <w:abstractNumId w:val="7"/>
  </w:num>
  <w:num w:numId="20" w16cid:durableId="3406198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ABF"/>
    <w:rsid w:val="002408BA"/>
    <w:rsid w:val="003B20EC"/>
    <w:rsid w:val="003E5E2A"/>
    <w:rsid w:val="0045040D"/>
    <w:rsid w:val="006813B5"/>
    <w:rsid w:val="006D3D57"/>
    <w:rsid w:val="006E3936"/>
    <w:rsid w:val="007D2B01"/>
    <w:rsid w:val="009C23E5"/>
    <w:rsid w:val="00D54ABF"/>
    <w:rsid w:val="00D66198"/>
    <w:rsid w:val="00DD1201"/>
    <w:rsid w:val="00E317E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174E7"/>
  <w15:docId w15:val="{F7B128D6-1C08-45C9-8ADD-CA24F4D86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7D2B01"/>
    <w:pPr>
      <w:spacing w:after="100"/>
    </w:pPr>
  </w:style>
  <w:style w:type="paragraph" w:styleId="TOC2">
    <w:name w:val="toc 2"/>
    <w:basedOn w:val="Normal"/>
    <w:next w:val="Normal"/>
    <w:autoRedefine/>
    <w:uiPriority w:val="39"/>
    <w:unhideWhenUsed/>
    <w:rsid w:val="007D2B01"/>
    <w:pPr>
      <w:spacing w:after="100"/>
      <w:ind w:left="240"/>
    </w:pPr>
  </w:style>
  <w:style w:type="paragraph" w:styleId="TOC3">
    <w:name w:val="toc 3"/>
    <w:basedOn w:val="Normal"/>
    <w:next w:val="Normal"/>
    <w:autoRedefine/>
    <w:uiPriority w:val="39"/>
    <w:unhideWhenUsed/>
    <w:rsid w:val="007D2B01"/>
    <w:pPr>
      <w:spacing w:after="100"/>
      <w:ind w:left="480"/>
    </w:pPr>
  </w:style>
  <w:style w:type="character" w:styleId="Hyperlink">
    <w:name w:val="Hyperlink"/>
    <w:basedOn w:val="DefaultParagraphFont"/>
    <w:uiPriority w:val="99"/>
    <w:unhideWhenUsed/>
    <w:rsid w:val="007D2B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111/1468-0009.12684" TargetMode="External"/><Relationship Id="rId21" Type="http://schemas.openxmlformats.org/officeDocument/2006/relationships/hyperlink" Target="https://doi.org/10.1016/j.procs.2019.11.174" TargetMode="External"/><Relationship Id="rId42" Type="http://schemas.openxmlformats.org/officeDocument/2006/relationships/hyperlink" Target="https://doi.org/10.1080/23311975.2020.1759856" TargetMode="External"/><Relationship Id="rId47" Type="http://schemas.openxmlformats.org/officeDocument/2006/relationships/hyperlink" Target="https://core.ac.uk/download/pdf/267812907.pdf" TargetMode="External"/><Relationship Id="rId63" Type="http://schemas.openxmlformats.org/officeDocument/2006/relationships/hyperlink" Target="https://thesiliconreview.com/2023/10/marriott-scandal-poland-hotel-giants" TargetMode="External"/><Relationship Id="rId68" Type="http://schemas.openxmlformats.org/officeDocument/2006/relationships/hyperlink" Target="https://doi.org/10.1016/j.jclepro.2019.119154" TargetMode="External"/><Relationship Id="rId16" Type="http://schemas.openxmlformats.org/officeDocument/2006/relationships/hyperlink" Target="https://doi.org/10.1007/978-3-030-59306-3" TargetMode="External"/><Relationship Id="rId11" Type="http://schemas.openxmlformats.org/officeDocument/2006/relationships/hyperlink" Target="https://doi.org/10.1002/pa.2186" TargetMode="External"/><Relationship Id="rId24" Type="http://schemas.openxmlformats.org/officeDocument/2006/relationships/hyperlink" Target="https://doi.org/10.1007/s40804-019-00137-z" TargetMode="External"/><Relationship Id="rId32" Type="http://schemas.openxmlformats.org/officeDocument/2006/relationships/hyperlink" Target="https://doi.org/10.13132/2038-5498/14.2.259-289" TargetMode="External"/><Relationship Id="rId37" Type="http://schemas.openxmlformats.org/officeDocument/2006/relationships/hyperlink" Target="https://doi.org/10.1038/s41562-020-0889-7" TargetMode="External"/><Relationship Id="rId40" Type="http://schemas.openxmlformats.org/officeDocument/2006/relationships/hyperlink" Target="https://www.jstor.org/stable/26902675" TargetMode="External"/><Relationship Id="rId45" Type="http://schemas.openxmlformats.org/officeDocument/2006/relationships/hyperlink" Target="https://doi.org/10.37284/eajes.5.2.650" TargetMode="External"/><Relationship Id="rId53" Type="http://schemas.openxmlformats.org/officeDocument/2006/relationships/hyperlink" Target="https://doi.org/10.1186/s12889-021-12350-y" TargetMode="External"/><Relationship Id="rId58" Type="http://schemas.openxmlformats.org/officeDocument/2006/relationships/hyperlink" Target="https://www.eubusinessnews.com/how-will-the-conflict-between-marriott-and-linn-which-has-reached-a-criminal-investigation-in-poland-affect-marriotts-other-business-partners/" TargetMode="External"/><Relationship Id="rId66" Type="http://schemas.openxmlformats.org/officeDocument/2006/relationships/hyperlink" Target="https://doi.org/10.4324/9781003579380-1"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3390/su16104287" TargetMode="External"/><Relationship Id="rId19" Type="http://schemas.openxmlformats.org/officeDocument/2006/relationships/hyperlink" Target="https://doi.org/10.3390/su14074286" TargetMode="External"/><Relationship Id="rId14" Type="http://schemas.openxmlformats.org/officeDocument/2006/relationships/hyperlink" Target="https://doi.org/10.1007/s10551-021-04850-z" TargetMode="External"/><Relationship Id="rId22" Type="http://schemas.openxmlformats.org/officeDocument/2006/relationships/hyperlink" Target="https://doi.org/10.1016/j.tourman.2022.104520" TargetMode="External"/><Relationship Id="rId27" Type="http://schemas.openxmlformats.org/officeDocument/2006/relationships/hyperlink" Target="https://doi.org/10.3390/su14052885" TargetMode="External"/><Relationship Id="rId30" Type="http://schemas.openxmlformats.org/officeDocument/2006/relationships/hyperlink" Target="https://doi.org/10.1177/00027162211028130" TargetMode="External"/><Relationship Id="rId35" Type="http://schemas.openxmlformats.org/officeDocument/2006/relationships/hyperlink" Target="https://viewfromthewing.com/covid-fallout-why-warsaws-iconic-marriott-split-amid-scandal-and-fraud-allegations/" TargetMode="External"/><Relationship Id="rId43" Type="http://schemas.openxmlformats.org/officeDocument/2006/relationships/hyperlink" Target="https://doi.org/10.1080/00131857.2020.1716450" TargetMode="External"/><Relationship Id="rId48" Type="http://schemas.openxmlformats.org/officeDocument/2006/relationships/hyperlink" Target="https://doi.org/10.1080/09638180.2021.1961596" TargetMode="External"/><Relationship Id="rId56" Type="http://schemas.openxmlformats.org/officeDocument/2006/relationships/hyperlink" Target="https://doi.org/10.1016/j.cpa.2017.03.011" TargetMode="External"/><Relationship Id="rId64" Type="http://schemas.openxmlformats.org/officeDocument/2006/relationships/hyperlink" Target="https://doi.org/10.1002/sd.2048" TargetMode="External"/><Relationship Id="rId69" Type="http://schemas.openxmlformats.org/officeDocument/2006/relationships/hyperlink" Target="https://www.traveldailymedia.com/a-conflict-between-the-marriott-chain-and-the-lim-company-in-poland-leads-to-a-criminal-investigation/"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paconsulting.com/services/improve-organisational-performance" TargetMode="External"/><Relationship Id="rId72" Type="http://schemas.openxmlformats.org/officeDocument/2006/relationships/hyperlink" Target="https://doi.org/10.1177/0007650320973415" TargetMode="External"/><Relationship Id="rId3" Type="http://schemas.openxmlformats.org/officeDocument/2006/relationships/styles" Target="styles.xml"/><Relationship Id="rId12" Type="http://schemas.openxmlformats.org/officeDocument/2006/relationships/hyperlink" Target="https://doi.org/10.3390/smartcities2020018" TargetMode="External"/><Relationship Id="rId17" Type="http://schemas.openxmlformats.org/officeDocument/2006/relationships/hyperlink" Target="https://doi.org/10.1080/23299460.2019.1575681" TargetMode="External"/><Relationship Id="rId25" Type="http://schemas.openxmlformats.org/officeDocument/2006/relationships/hyperlink" Target="https://doi.org/10.1002/csr.2139" TargetMode="External"/><Relationship Id="rId33" Type="http://schemas.openxmlformats.org/officeDocument/2006/relationships/hyperlink" Target="https://doi.org/10.1108/er-02-2018-0064" TargetMode="External"/><Relationship Id="rId38" Type="http://schemas.openxmlformats.org/officeDocument/2006/relationships/hyperlink" Target="https://www.marriott.com/marriott-brands/explore-our-brands.mi" TargetMode="External"/><Relationship Id="rId46" Type="http://schemas.openxmlformats.org/officeDocument/2006/relationships/hyperlink" Target="https://doi.org/10.1016/j.orgdyn.2020.100802" TargetMode="External"/><Relationship Id="rId59" Type="http://schemas.openxmlformats.org/officeDocument/2006/relationships/hyperlink" Target="https://www.statista.com/topics/1872/marriott-international/" TargetMode="External"/><Relationship Id="rId67" Type="http://schemas.openxmlformats.org/officeDocument/2006/relationships/hyperlink" Target="https://doi.org/10.1177/1548051819872201" TargetMode="External"/><Relationship Id="rId20" Type="http://schemas.openxmlformats.org/officeDocument/2006/relationships/hyperlink" Target="https://doi.org/10.1016/j.tourman.2019.01.017" TargetMode="External"/><Relationship Id="rId41" Type="http://schemas.openxmlformats.org/officeDocument/2006/relationships/hyperlink" Target="https://doi.org/10.3390/su14084680" TargetMode="External"/><Relationship Id="rId54" Type="http://schemas.openxmlformats.org/officeDocument/2006/relationships/hyperlink" Target="https://doi.org/10.1016/j.ijhm.2020.102759" TargetMode="External"/><Relationship Id="rId62" Type="http://schemas.openxmlformats.org/officeDocument/2006/relationships/hyperlink" Target="https://www.baltictimes.com/several_european_countries_are_involved_in_the_marriott_criminal_investigation" TargetMode="External"/><Relationship Id="rId70" Type="http://schemas.openxmlformats.org/officeDocument/2006/relationships/hyperlink" Target="https://doi.org/10.1007/s00414-021-02615-x"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9/access.2020.2969820" TargetMode="External"/><Relationship Id="rId23" Type="http://schemas.openxmlformats.org/officeDocument/2006/relationships/hyperlink" Target="https://doi.org/10.1007/s11948-020-00276-4" TargetMode="External"/><Relationship Id="rId28" Type="http://schemas.openxmlformats.org/officeDocument/2006/relationships/hyperlink" Target="https://doi.org/10.1002/pa.2853" TargetMode="External"/><Relationship Id="rId36" Type="http://schemas.openxmlformats.org/officeDocument/2006/relationships/hyperlink" Target="https://doi.org/10.1007/s10551-021-04820-5" TargetMode="External"/><Relationship Id="rId49" Type="http://schemas.openxmlformats.org/officeDocument/2006/relationships/hyperlink" Target="https://doi.org/10.1016/j.ijhm.2024.103758" TargetMode="External"/><Relationship Id="rId57" Type="http://schemas.openxmlformats.org/officeDocument/2006/relationships/hyperlink" Target="https://doi.org/10.1017/beq.2018.38" TargetMode="External"/><Relationship Id="rId10" Type="http://schemas.openxmlformats.org/officeDocument/2006/relationships/hyperlink" Target="https://doi.org/10.21203/rs.3.rs-3262012/v1" TargetMode="External"/><Relationship Id="rId31" Type="http://schemas.openxmlformats.org/officeDocument/2006/relationships/hyperlink" Target="https://doi.org/10.1080/13600834.2019.1573501" TargetMode="External"/><Relationship Id="rId44" Type="http://schemas.openxmlformats.org/officeDocument/2006/relationships/hyperlink" Target="https://doi.org/10.3390/su12156100" TargetMode="External"/><Relationship Id="rId52" Type="http://schemas.openxmlformats.org/officeDocument/2006/relationships/hyperlink" Target="https://www.paconsulting.com/about" TargetMode="External"/><Relationship Id="rId60" Type="http://schemas.openxmlformats.org/officeDocument/2006/relationships/hyperlink" Target="https://doi.org/10.1186/s11671-020-03428-4" TargetMode="External"/><Relationship Id="rId65" Type="http://schemas.openxmlformats.org/officeDocument/2006/relationships/hyperlink" Target="https://doi.org/10.1016/j.jjimei.2021.100047"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48526/rgu-wt-2445711" TargetMode="External"/><Relationship Id="rId13" Type="http://schemas.openxmlformats.org/officeDocument/2006/relationships/hyperlink" Target="https://doi.org/10.1007/s10551-019-04192-x" TargetMode="External"/><Relationship Id="rId18" Type="http://schemas.openxmlformats.org/officeDocument/2006/relationships/hyperlink" Target="https://doi.org/10.2989/ccr.2021.0014" TargetMode="External"/><Relationship Id="rId39" Type="http://schemas.openxmlformats.org/officeDocument/2006/relationships/hyperlink" Target="https://www.marriott.com/marriott/aboutmarriott.mi" TargetMode="External"/><Relationship Id="rId34" Type="http://schemas.openxmlformats.org/officeDocument/2006/relationships/hyperlink" Target="https://doi.org/10.1111/jifm.12127" TargetMode="External"/><Relationship Id="rId50" Type="http://schemas.openxmlformats.org/officeDocument/2006/relationships/hyperlink" Target="https://doi.org/10.1016/j.indmarman.2017.02.005" TargetMode="External"/><Relationship Id="rId55" Type="http://schemas.openxmlformats.org/officeDocument/2006/relationships/hyperlink" Target="http://arno.uvt.nl/show.cgi?fid=151914"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002/bse.2359" TargetMode="External"/><Relationship Id="rId2" Type="http://schemas.openxmlformats.org/officeDocument/2006/relationships/numbering" Target="numbering.xml"/><Relationship Id="rId29" Type="http://schemas.openxmlformats.org/officeDocument/2006/relationships/hyperlink" Target="http://dx.doi.org/10.1016/j.procs.2023.01.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G4uO4IWwGC3j1oOhVMc8e98pc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gAciExcUxWelpRRWw2RWRXSXJxZk1rOER4SGVKVTV1cHU1e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9536</Words>
  <Characters>67429</Characters>
  <Application>Microsoft Office Word</Application>
  <DocSecurity>0</DocSecurity>
  <Lines>561</Lines>
  <Paragraphs>153</Paragraphs>
  <ScaleCrop>false</ScaleCrop>
  <Company/>
  <LinksUpToDate>false</LinksUpToDate>
  <CharactersWithSpaces>76812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Ayesha Siddiqua (2233548)</cp:lastModifiedBy>
  <cp:revision>2</cp:revision>
  <dcterms:created xsi:type="dcterms:W3CDTF">2025-02-28T22:49:00Z</dcterms:created>
  <dcterms:modified xsi:type="dcterms:W3CDTF">2025-02-28T22:49:00Z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5114157b6fa61a2ab325ffe806a02ce623ffd499be0be19e6eebf5a7dd2bd6eb</vt:lpwstr>
  </property>
</Properties>
</file>