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23F34" w14:textId="77777777" w:rsidR="003A1E65" w:rsidRDefault="001B31A3">
      <w:pPr>
        <w:spacing w:after="220" w:line="259" w:lineRule="auto"/>
        <w:ind w:left="0" w:right="1438" w:firstLine="0"/>
        <w:jc w:val="right"/>
      </w:pPr>
      <w:r>
        <w:rPr>
          <w:noProof/>
        </w:rPr>
        <w:drawing>
          <wp:inline distT="0" distB="0" distL="0" distR="0" wp14:anchorId="6D1B391A" wp14:editId="486A95C7">
            <wp:extent cx="3911346" cy="1631950"/>
            <wp:effectExtent l="0" t="0" r="0" b="0"/>
            <wp:docPr id="354" name="Picture 354"/>
            <wp:cNvGraphicFramePr/>
            <a:graphic xmlns:a="http://schemas.openxmlformats.org/drawingml/2006/main">
              <a:graphicData uri="http://schemas.openxmlformats.org/drawingml/2006/picture">
                <pic:pic xmlns:pic="http://schemas.openxmlformats.org/drawingml/2006/picture">
                  <pic:nvPicPr>
                    <pic:cNvPr id="354" name="Picture 354"/>
                    <pic:cNvPicPr/>
                  </pic:nvPicPr>
                  <pic:blipFill>
                    <a:blip r:embed="rId8"/>
                    <a:stretch>
                      <a:fillRect/>
                    </a:stretch>
                  </pic:blipFill>
                  <pic:spPr>
                    <a:xfrm>
                      <a:off x="0" y="0"/>
                      <a:ext cx="3911346" cy="1631950"/>
                    </a:xfrm>
                    <a:prstGeom prst="rect">
                      <a:avLst/>
                    </a:prstGeom>
                  </pic:spPr>
                </pic:pic>
              </a:graphicData>
            </a:graphic>
          </wp:inline>
        </w:drawing>
      </w:r>
      <w:r>
        <w:rPr>
          <w:b/>
        </w:rPr>
        <w:t xml:space="preserve"> </w:t>
      </w:r>
    </w:p>
    <w:p w14:paraId="333F6544" w14:textId="77777777" w:rsidR="003A1E65" w:rsidRDefault="001B31A3">
      <w:pPr>
        <w:spacing w:after="273" w:line="259" w:lineRule="auto"/>
        <w:ind w:left="0" w:right="5" w:firstLine="0"/>
        <w:jc w:val="center"/>
      </w:pPr>
      <w:r>
        <w:rPr>
          <w:b/>
        </w:rPr>
        <w:t xml:space="preserve"> </w:t>
      </w:r>
    </w:p>
    <w:p w14:paraId="221C9E19" w14:textId="77777777" w:rsidR="003A1E65" w:rsidRDefault="001B31A3">
      <w:pPr>
        <w:spacing w:after="274" w:line="259" w:lineRule="auto"/>
        <w:ind w:left="0" w:firstLine="0"/>
        <w:jc w:val="left"/>
      </w:pPr>
      <w:r>
        <w:rPr>
          <w:b/>
        </w:rPr>
        <w:t xml:space="preserve"> </w:t>
      </w:r>
    </w:p>
    <w:p w14:paraId="3EE9E7FE" w14:textId="77777777" w:rsidR="003A1E65" w:rsidRDefault="001B31A3">
      <w:pPr>
        <w:spacing w:after="276" w:line="259" w:lineRule="auto"/>
        <w:ind w:left="0" w:firstLine="0"/>
        <w:jc w:val="left"/>
      </w:pPr>
      <w:r>
        <w:rPr>
          <w:b/>
        </w:rPr>
        <w:t xml:space="preserve"> </w:t>
      </w:r>
    </w:p>
    <w:p w14:paraId="2E75DCFB" w14:textId="77777777" w:rsidR="003A1E65" w:rsidRPr="000D51FC" w:rsidRDefault="001B31A3" w:rsidP="000D51FC">
      <w:pPr>
        <w:spacing w:after="274" w:line="360" w:lineRule="auto"/>
        <w:ind w:left="2067"/>
        <w:jc w:val="left"/>
        <w:rPr>
          <w:rFonts w:ascii="Arial" w:hAnsi="Arial" w:cs="Arial"/>
        </w:rPr>
      </w:pPr>
      <w:r w:rsidRPr="000D51FC">
        <w:rPr>
          <w:rFonts w:ascii="Arial" w:hAnsi="Arial" w:cs="Arial"/>
          <w:b/>
        </w:rPr>
        <w:t xml:space="preserve">Programme: Master of Business Administration </w:t>
      </w:r>
    </w:p>
    <w:p w14:paraId="7AAB5DA0" w14:textId="363010DD" w:rsidR="003A1E65" w:rsidRPr="000D51FC" w:rsidRDefault="001B31A3" w:rsidP="000D51FC">
      <w:pPr>
        <w:spacing w:after="274" w:line="360" w:lineRule="auto"/>
        <w:ind w:left="2809"/>
        <w:jc w:val="left"/>
        <w:rPr>
          <w:rFonts w:ascii="Arial" w:hAnsi="Arial" w:cs="Arial"/>
        </w:rPr>
      </w:pPr>
      <w:r w:rsidRPr="000D51FC">
        <w:rPr>
          <w:rFonts w:ascii="Arial" w:hAnsi="Arial" w:cs="Arial"/>
          <w:b/>
        </w:rPr>
        <w:t xml:space="preserve">Module: </w:t>
      </w:r>
      <w:r w:rsidR="00761C2C" w:rsidRPr="000D51FC">
        <w:rPr>
          <w:rFonts w:ascii="Arial" w:hAnsi="Arial" w:cs="Arial"/>
          <w:b/>
        </w:rPr>
        <w:t>Financ</w:t>
      </w:r>
      <w:r w:rsidR="000F2E43" w:rsidRPr="000D51FC">
        <w:rPr>
          <w:rFonts w:ascii="Arial" w:hAnsi="Arial" w:cs="Arial"/>
          <w:b/>
        </w:rPr>
        <w:t>ial</w:t>
      </w:r>
      <w:r w:rsidRPr="000D51FC">
        <w:rPr>
          <w:rFonts w:ascii="Arial" w:hAnsi="Arial" w:cs="Arial"/>
          <w:b/>
        </w:rPr>
        <w:t xml:space="preserve"> Management </w:t>
      </w:r>
    </w:p>
    <w:p w14:paraId="1B33B82A" w14:textId="7503C2C5" w:rsidR="003A1E65" w:rsidRPr="000D51FC" w:rsidRDefault="001B31A3" w:rsidP="000D51FC">
      <w:pPr>
        <w:spacing w:after="274" w:line="360" w:lineRule="auto"/>
        <w:ind w:left="10" w:right="66"/>
        <w:jc w:val="center"/>
        <w:rPr>
          <w:rFonts w:ascii="Arial" w:hAnsi="Arial" w:cs="Arial"/>
        </w:rPr>
      </w:pPr>
      <w:r w:rsidRPr="000D51FC">
        <w:rPr>
          <w:rFonts w:ascii="Arial" w:hAnsi="Arial" w:cs="Arial"/>
          <w:b/>
        </w:rPr>
        <w:t>Module code: LCMB70</w:t>
      </w:r>
      <w:r w:rsidR="0010091C" w:rsidRPr="000D51FC">
        <w:rPr>
          <w:rFonts w:ascii="Arial" w:hAnsi="Arial" w:cs="Arial"/>
          <w:b/>
        </w:rPr>
        <w:t>02</w:t>
      </w:r>
      <w:r w:rsidRPr="000D51FC">
        <w:rPr>
          <w:rFonts w:ascii="Arial" w:hAnsi="Arial" w:cs="Arial"/>
          <w:b/>
        </w:rPr>
        <w:t xml:space="preserve"> </w:t>
      </w:r>
    </w:p>
    <w:p w14:paraId="2A2CF275" w14:textId="4324FDC9" w:rsidR="003A1E65" w:rsidRPr="000D51FC" w:rsidRDefault="001B31A3" w:rsidP="000D51FC">
      <w:pPr>
        <w:spacing w:after="274" w:line="360" w:lineRule="auto"/>
        <w:ind w:left="10" w:right="65"/>
        <w:jc w:val="center"/>
        <w:rPr>
          <w:rFonts w:ascii="Arial" w:hAnsi="Arial" w:cs="Arial"/>
        </w:rPr>
      </w:pPr>
      <w:r w:rsidRPr="000D51FC">
        <w:rPr>
          <w:rFonts w:ascii="Arial" w:hAnsi="Arial" w:cs="Arial"/>
          <w:b/>
        </w:rPr>
        <w:t>Title</w:t>
      </w:r>
      <w:r w:rsidR="00A06DA1" w:rsidRPr="000D51FC">
        <w:rPr>
          <w:rFonts w:ascii="Arial" w:hAnsi="Arial" w:cs="Arial"/>
          <w:b/>
        </w:rPr>
        <w:t xml:space="preserve">: </w:t>
      </w:r>
      <w:r w:rsidR="00A06DA1" w:rsidRPr="000D51FC">
        <w:rPr>
          <w:rFonts w:ascii="Arial" w:hAnsi="Arial" w:cs="Arial"/>
          <w:b/>
        </w:rPr>
        <w:t>Assessment Component 1 – Individual Report</w:t>
      </w:r>
    </w:p>
    <w:p w14:paraId="195E4C1F" w14:textId="328A8B13" w:rsidR="003A1E65" w:rsidRPr="000D51FC" w:rsidRDefault="001B31A3" w:rsidP="000D51FC">
      <w:pPr>
        <w:spacing w:after="274" w:line="360" w:lineRule="auto"/>
        <w:ind w:left="10" w:right="62"/>
        <w:jc w:val="center"/>
        <w:rPr>
          <w:rFonts w:ascii="Arial" w:hAnsi="Arial" w:cs="Arial"/>
        </w:rPr>
      </w:pPr>
      <w:r w:rsidRPr="000D51FC">
        <w:rPr>
          <w:rFonts w:ascii="Arial" w:hAnsi="Arial" w:cs="Arial"/>
          <w:b/>
        </w:rPr>
        <w:t xml:space="preserve">Word count: </w:t>
      </w:r>
      <w:r w:rsidR="000F2E43" w:rsidRPr="000D51FC">
        <w:rPr>
          <w:rFonts w:ascii="Arial" w:hAnsi="Arial" w:cs="Arial"/>
          <w:b/>
        </w:rPr>
        <w:t>5000</w:t>
      </w:r>
    </w:p>
    <w:p w14:paraId="7B5626AD" w14:textId="7385D73B" w:rsidR="00B61822" w:rsidRPr="000D51FC" w:rsidRDefault="001B31A3" w:rsidP="000D51FC">
      <w:pPr>
        <w:spacing w:after="165" w:line="360" w:lineRule="auto"/>
        <w:ind w:left="2835" w:right="2836" w:firstLine="0"/>
        <w:jc w:val="center"/>
        <w:rPr>
          <w:rFonts w:ascii="Arial" w:eastAsia="Arial" w:hAnsi="Arial" w:cs="Arial"/>
          <w:b/>
        </w:rPr>
      </w:pPr>
      <w:r w:rsidRPr="000D51FC">
        <w:rPr>
          <w:rFonts w:ascii="Arial" w:eastAsia="Arial" w:hAnsi="Arial" w:cs="Arial"/>
          <w:b/>
        </w:rPr>
        <w:t xml:space="preserve">Lecturer: </w:t>
      </w:r>
      <w:r w:rsidR="00371814" w:rsidRPr="000D51FC">
        <w:rPr>
          <w:rFonts w:ascii="Arial" w:eastAsia="Arial" w:hAnsi="Arial" w:cs="Arial"/>
          <w:b/>
        </w:rPr>
        <w:t>Dr Patrick Yeboah</w:t>
      </w:r>
    </w:p>
    <w:p w14:paraId="519AFE07" w14:textId="2CE54B48" w:rsidR="003A1E65" w:rsidRPr="000D51FC" w:rsidRDefault="001B31A3" w:rsidP="000D51FC">
      <w:pPr>
        <w:spacing w:after="165" w:line="360" w:lineRule="auto"/>
        <w:ind w:left="2835" w:right="2836" w:firstLine="0"/>
        <w:jc w:val="center"/>
        <w:rPr>
          <w:rFonts w:ascii="Arial" w:hAnsi="Arial" w:cs="Arial"/>
        </w:rPr>
      </w:pPr>
      <w:r w:rsidRPr="000D51FC">
        <w:rPr>
          <w:rFonts w:ascii="Arial" w:hAnsi="Arial" w:cs="Arial"/>
          <w:b/>
        </w:rPr>
        <w:t xml:space="preserve">Student Name: </w:t>
      </w:r>
      <w:r w:rsidR="00371814" w:rsidRPr="000D51FC">
        <w:rPr>
          <w:rFonts w:ascii="Arial" w:hAnsi="Arial" w:cs="Arial"/>
          <w:b/>
        </w:rPr>
        <w:t>Krinal Bhikhubhai Gandhi</w:t>
      </w:r>
    </w:p>
    <w:p w14:paraId="4210384C" w14:textId="7110D34C" w:rsidR="003A1E65" w:rsidRPr="000D51FC" w:rsidRDefault="001B31A3" w:rsidP="000D51FC">
      <w:pPr>
        <w:spacing w:after="274" w:line="360" w:lineRule="auto"/>
        <w:ind w:left="10" w:right="62"/>
        <w:jc w:val="center"/>
        <w:rPr>
          <w:rFonts w:ascii="Arial" w:hAnsi="Arial" w:cs="Arial"/>
        </w:rPr>
      </w:pPr>
      <w:r w:rsidRPr="000D51FC">
        <w:rPr>
          <w:rFonts w:ascii="Arial" w:hAnsi="Arial" w:cs="Arial"/>
          <w:b/>
        </w:rPr>
        <w:t xml:space="preserve">Student ID: </w:t>
      </w:r>
      <w:r w:rsidR="00371814" w:rsidRPr="000D51FC">
        <w:rPr>
          <w:rFonts w:ascii="Arial" w:hAnsi="Arial" w:cs="Arial"/>
          <w:b/>
        </w:rPr>
        <w:t>2504763</w:t>
      </w:r>
    </w:p>
    <w:p w14:paraId="034C88B7" w14:textId="709ED69C" w:rsidR="003A1E65" w:rsidRPr="000D51FC" w:rsidRDefault="001B31A3" w:rsidP="000D51FC">
      <w:pPr>
        <w:spacing w:after="274" w:line="360" w:lineRule="auto"/>
        <w:ind w:left="10" w:right="62"/>
        <w:jc w:val="center"/>
        <w:rPr>
          <w:rFonts w:ascii="Arial" w:hAnsi="Arial" w:cs="Arial"/>
        </w:rPr>
      </w:pPr>
      <w:r w:rsidRPr="000D51FC">
        <w:rPr>
          <w:rFonts w:ascii="Arial" w:hAnsi="Arial" w:cs="Arial"/>
          <w:b/>
        </w:rPr>
        <w:t>Submission Date</w:t>
      </w:r>
      <w:r w:rsidR="000F2E43" w:rsidRPr="000D51FC">
        <w:rPr>
          <w:rFonts w:ascii="Arial" w:hAnsi="Arial" w:cs="Arial"/>
          <w:b/>
        </w:rPr>
        <w:t xml:space="preserve"> </w:t>
      </w:r>
      <w:r w:rsidRPr="000D51FC">
        <w:rPr>
          <w:rFonts w:ascii="Arial" w:hAnsi="Arial" w:cs="Arial"/>
          <w:b/>
        </w:rPr>
        <w:t xml:space="preserve">- </w:t>
      </w:r>
      <w:r w:rsidR="00B61822" w:rsidRPr="000D51FC">
        <w:rPr>
          <w:rFonts w:ascii="Arial" w:hAnsi="Arial" w:cs="Arial"/>
          <w:b/>
        </w:rPr>
        <w:t>24</w:t>
      </w:r>
      <w:r w:rsidR="00B61822" w:rsidRPr="000D51FC">
        <w:rPr>
          <w:rFonts w:ascii="Arial" w:hAnsi="Arial" w:cs="Arial"/>
          <w:b/>
          <w:vertAlign w:val="superscript"/>
        </w:rPr>
        <w:t>th</w:t>
      </w:r>
      <w:r w:rsidR="00B61822" w:rsidRPr="000D51FC">
        <w:rPr>
          <w:rFonts w:ascii="Arial" w:hAnsi="Arial" w:cs="Arial"/>
          <w:b/>
        </w:rPr>
        <w:t xml:space="preserve"> November 2025</w:t>
      </w:r>
    </w:p>
    <w:p w14:paraId="5E8778A5" w14:textId="77777777" w:rsidR="00761C2C" w:rsidRPr="000D51FC" w:rsidRDefault="00761C2C" w:rsidP="000D51FC">
      <w:pPr>
        <w:spacing w:after="307" w:line="360" w:lineRule="auto"/>
        <w:ind w:left="0" w:right="5" w:firstLine="0"/>
        <w:jc w:val="center"/>
        <w:rPr>
          <w:rFonts w:ascii="Arial" w:hAnsi="Arial" w:cs="Arial"/>
          <w:b/>
        </w:rPr>
      </w:pPr>
    </w:p>
    <w:p w14:paraId="4FBAE7C7" w14:textId="77777777" w:rsidR="00761C2C" w:rsidRPr="000D51FC" w:rsidRDefault="00761C2C" w:rsidP="000D51FC">
      <w:pPr>
        <w:spacing w:after="307" w:line="360" w:lineRule="auto"/>
        <w:ind w:left="0" w:right="5" w:firstLine="0"/>
        <w:jc w:val="center"/>
        <w:rPr>
          <w:rFonts w:ascii="Arial" w:hAnsi="Arial" w:cs="Arial"/>
          <w:b/>
        </w:rPr>
      </w:pPr>
    </w:p>
    <w:p w14:paraId="3CAA18F1" w14:textId="77777777" w:rsidR="00761C2C" w:rsidRPr="000D51FC" w:rsidRDefault="00761C2C" w:rsidP="000D51FC">
      <w:pPr>
        <w:spacing w:after="307" w:line="360" w:lineRule="auto"/>
        <w:ind w:left="0" w:right="5" w:firstLine="0"/>
        <w:jc w:val="center"/>
        <w:rPr>
          <w:rFonts w:ascii="Arial" w:hAnsi="Arial" w:cs="Arial"/>
          <w:b/>
        </w:rPr>
      </w:pPr>
    </w:p>
    <w:p w14:paraId="7C5679C1" w14:textId="1CAE0B57" w:rsidR="003A1E65" w:rsidRPr="000D51FC" w:rsidRDefault="001B31A3" w:rsidP="000D51FC">
      <w:pPr>
        <w:spacing w:after="307" w:line="360" w:lineRule="auto"/>
        <w:ind w:left="0" w:right="5" w:firstLine="0"/>
        <w:rPr>
          <w:rFonts w:ascii="Arial" w:hAnsi="Arial" w:cs="Arial"/>
        </w:rPr>
      </w:pPr>
      <w:r w:rsidRPr="000D51FC">
        <w:rPr>
          <w:rFonts w:ascii="Arial" w:hAnsi="Arial" w:cs="Arial"/>
          <w:b/>
        </w:rPr>
        <w:tab/>
        <w:t xml:space="preserve"> </w:t>
      </w:r>
    </w:p>
    <w:sdt>
      <w:sdtPr>
        <w:rPr>
          <w:rFonts w:ascii="Arial" w:hAnsi="Arial" w:cs="Arial"/>
        </w:rPr>
        <w:id w:val="-829669526"/>
        <w:docPartObj>
          <w:docPartGallery w:val="Table of Contents"/>
        </w:docPartObj>
      </w:sdtPr>
      <w:sdtContent>
        <w:p w14:paraId="1C89D362" w14:textId="77777777" w:rsidR="003A1E65" w:rsidRPr="000D51FC" w:rsidRDefault="001B31A3" w:rsidP="000D51FC">
          <w:pPr>
            <w:spacing w:after="110" w:line="360" w:lineRule="auto"/>
            <w:ind w:left="0" w:firstLine="0"/>
            <w:jc w:val="left"/>
            <w:rPr>
              <w:rFonts w:ascii="Arial" w:hAnsi="Arial" w:cs="Arial"/>
            </w:rPr>
          </w:pPr>
          <w:r w:rsidRPr="000D51FC">
            <w:rPr>
              <w:rFonts w:ascii="Arial" w:hAnsi="Arial" w:cs="Arial"/>
              <w:b/>
            </w:rPr>
            <w:t xml:space="preserve">Table of Contents </w:t>
          </w:r>
        </w:p>
        <w:p w14:paraId="689931E7" w14:textId="44184DC3" w:rsidR="000D51FC" w:rsidRPr="000D51FC" w:rsidRDefault="001B31A3" w:rsidP="000D51FC">
          <w:pPr>
            <w:pStyle w:val="TOC1"/>
            <w:tabs>
              <w:tab w:val="right" w:leader="dot" w:pos="9080"/>
            </w:tabs>
            <w:spacing w:line="360" w:lineRule="auto"/>
            <w:rPr>
              <w:rFonts w:ascii="Arial" w:eastAsiaTheme="minorEastAsia" w:hAnsi="Arial" w:cs="Arial"/>
              <w:noProof/>
              <w:color w:val="auto"/>
              <w:lang w:eastAsia="en-IN" w:bidi="gu-IN"/>
            </w:rPr>
          </w:pPr>
          <w:r w:rsidRPr="000D51FC">
            <w:rPr>
              <w:rFonts w:ascii="Arial" w:hAnsi="Arial" w:cs="Arial"/>
            </w:rPr>
            <w:fldChar w:fldCharType="begin"/>
          </w:r>
          <w:r w:rsidRPr="000D51FC">
            <w:rPr>
              <w:rFonts w:ascii="Arial" w:hAnsi="Arial" w:cs="Arial"/>
            </w:rPr>
            <w:instrText xml:space="preserve"> TOC \o "1-2" \h \z \u </w:instrText>
          </w:r>
          <w:r w:rsidRPr="000D51FC">
            <w:rPr>
              <w:rFonts w:ascii="Arial" w:hAnsi="Arial" w:cs="Arial"/>
            </w:rPr>
            <w:fldChar w:fldCharType="separate"/>
          </w:r>
          <w:hyperlink w:anchor="_Toc214851160" w:history="1">
            <w:r w:rsidR="000D51FC" w:rsidRPr="000D51FC">
              <w:rPr>
                <w:rStyle w:val="Hyperlink"/>
                <w:rFonts w:ascii="Arial" w:hAnsi="Arial" w:cs="Arial"/>
                <w:noProof/>
              </w:rPr>
              <w:t>Executive Summary</w:t>
            </w:r>
            <w:r w:rsidR="000D51FC" w:rsidRPr="000D51FC">
              <w:rPr>
                <w:rFonts w:ascii="Arial" w:hAnsi="Arial" w:cs="Arial"/>
                <w:noProof/>
                <w:webHidden/>
              </w:rPr>
              <w:tab/>
            </w:r>
            <w:r w:rsidR="000D51FC" w:rsidRPr="000D51FC">
              <w:rPr>
                <w:rFonts w:ascii="Arial" w:hAnsi="Arial" w:cs="Arial"/>
                <w:noProof/>
                <w:webHidden/>
              </w:rPr>
              <w:fldChar w:fldCharType="begin"/>
            </w:r>
            <w:r w:rsidR="000D51FC" w:rsidRPr="000D51FC">
              <w:rPr>
                <w:rFonts w:ascii="Arial" w:hAnsi="Arial" w:cs="Arial"/>
                <w:noProof/>
                <w:webHidden/>
              </w:rPr>
              <w:instrText xml:space="preserve"> PAGEREF _Toc214851160 \h </w:instrText>
            </w:r>
            <w:r w:rsidR="000D51FC" w:rsidRPr="000D51FC">
              <w:rPr>
                <w:rFonts w:ascii="Arial" w:hAnsi="Arial" w:cs="Arial"/>
                <w:noProof/>
                <w:webHidden/>
              </w:rPr>
            </w:r>
            <w:r w:rsidR="000D51FC" w:rsidRPr="000D51FC">
              <w:rPr>
                <w:rFonts w:ascii="Arial" w:hAnsi="Arial" w:cs="Arial"/>
                <w:noProof/>
                <w:webHidden/>
              </w:rPr>
              <w:fldChar w:fldCharType="separate"/>
            </w:r>
            <w:r w:rsidR="000D51FC" w:rsidRPr="000D51FC">
              <w:rPr>
                <w:rFonts w:ascii="Arial" w:hAnsi="Arial" w:cs="Arial"/>
                <w:noProof/>
                <w:webHidden/>
              </w:rPr>
              <w:t>3</w:t>
            </w:r>
            <w:r w:rsidR="000D51FC" w:rsidRPr="000D51FC">
              <w:rPr>
                <w:rFonts w:ascii="Arial" w:hAnsi="Arial" w:cs="Arial"/>
                <w:noProof/>
                <w:webHidden/>
              </w:rPr>
              <w:fldChar w:fldCharType="end"/>
            </w:r>
          </w:hyperlink>
        </w:p>
        <w:p w14:paraId="581C6640" w14:textId="156488BA" w:rsidR="000D51FC" w:rsidRPr="000D51FC" w:rsidRDefault="000D51FC" w:rsidP="000D51FC">
          <w:pPr>
            <w:pStyle w:val="TOC1"/>
            <w:tabs>
              <w:tab w:val="right" w:leader="dot" w:pos="9080"/>
            </w:tabs>
            <w:spacing w:line="360" w:lineRule="auto"/>
            <w:rPr>
              <w:rFonts w:ascii="Arial" w:eastAsiaTheme="minorEastAsia" w:hAnsi="Arial" w:cs="Arial"/>
              <w:noProof/>
              <w:color w:val="auto"/>
              <w:lang w:eastAsia="en-IN" w:bidi="gu-IN"/>
            </w:rPr>
          </w:pPr>
          <w:hyperlink w:anchor="_Toc214851161" w:history="1">
            <w:r w:rsidRPr="000D51FC">
              <w:rPr>
                <w:rStyle w:val="Hyperlink"/>
                <w:rFonts w:ascii="Arial" w:hAnsi="Arial" w:cs="Arial"/>
                <w:noProof/>
              </w:rPr>
              <w:t>Introduction</w:t>
            </w:r>
            <w:r w:rsidRPr="000D51FC">
              <w:rPr>
                <w:rFonts w:ascii="Arial" w:hAnsi="Arial" w:cs="Arial"/>
                <w:noProof/>
                <w:webHidden/>
              </w:rPr>
              <w:tab/>
            </w:r>
            <w:r w:rsidRPr="000D51FC">
              <w:rPr>
                <w:rFonts w:ascii="Arial" w:hAnsi="Arial" w:cs="Arial"/>
                <w:noProof/>
                <w:webHidden/>
              </w:rPr>
              <w:fldChar w:fldCharType="begin"/>
            </w:r>
            <w:r w:rsidRPr="000D51FC">
              <w:rPr>
                <w:rFonts w:ascii="Arial" w:hAnsi="Arial" w:cs="Arial"/>
                <w:noProof/>
                <w:webHidden/>
              </w:rPr>
              <w:instrText xml:space="preserve"> PAGEREF _Toc214851161 \h </w:instrText>
            </w:r>
            <w:r w:rsidRPr="000D51FC">
              <w:rPr>
                <w:rFonts w:ascii="Arial" w:hAnsi="Arial" w:cs="Arial"/>
                <w:noProof/>
                <w:webHidden/>
              </w:rPr>
            </w:r>
            <w:r w:rsidRPr="000D51FC">
              <w:rPr>
                <w:rFonts w:ascii="Arial" w:hAnsi="Arial" w:cs="Arial"/>
                <w:noProof/>
                <w:webHidden/>
              </w:rPr>
              <w:fldChar w:fldCharType="separate"/>
            </w:r>
            <w:r w:rsidRPr="000D51FC">
              <w:rPr>
                <w:rFonts w:ascii="Arial" w:hAnsi="Arial" w:cs="Arial"/>
                <w:noProof/>
                <w:webHidden/>
              </w:rPr>
              <w:t>3</w:t>
            </w:r>
            <w:r w:rsidRPr="000D51FC">
              <w:rPr>
                <w:rFonts w:ascii="Arial" w:hAnsi="Arial" w:cs="Arial"/>
                <w:noProof/>
                <w:webHidden/>
              </w:rPr>
              <w:fldChar w:fldCharType="end"/>
            </w:r>
          </w:hyperlink>
        </w:p>
        <w:p w14:paraId="548B7E57" w14:textId="7D6D3093" w:rsidR="000D51FC" w:rsidRPr="000D51FC" w:rsidRDefault="000D51FC" w:rsidP="000D51FC">
          <w:pPr>
            <w:pStyle w:val="TOC1"/>
            <w:tabs>
              <w:tab w:val="right" w:leader="dot" w:pos="9080"/>
            </w:tabs>
            <w:spacing w:line="360" w:lineRule="auto"/>
            <w:rPr>
              <w:rFonts w:ascii="Arial" w:eastAsiaTheme="minorEastAsia" w:hAnsi="Arial" w:cs="Arial"/>
              <w:noProof/>
              <w:color w:val="auto"/>
              <w:lang w:eastAsia="en-IN" w:bidi="gu-IN"/>
            </w:rPr>
          </w:pPr>
          <w:hyperlink w:anchor="_Toc214851162" w:history="1">
            <w:r w:rsidRPr="000D51FC">
              <w:rPr>
                <w:rStyle w:val="Hyperlink"/>
                <w:rFonts w:ascii="Arial" w:hAnsi="Arial" w:cs="Arial"/>
                <w:noProof/>
              </w:rPr>
              <w:t>1. Financial Health Check</w:t>
            </w:r>
            <w:r w:rsidRPr="000D51FC">
              <w:rPr>
                <w:rFonts w:ascii="Arial" w:hAnsi="Arial" w:cs="Arial"/>
                <w:noProof/>
                <w:webHidden/>
              </w:rPr>
              <w:tab/>
            </w:r>
            <w:r w:rsidRPr="000D51FC">
              <w:rPr>
                <w:rFonts w:ascii="Arial" w:hAnsi="Arial" w:cs="Arial"/>
                <w:noProof/>
                <w:webHidden/>
              </w:rPr>
              <w:fldChar w:fldCharType="begin"/>
            </w:r>
            <w:r w:rsidRPr="000D51FC">
              <w:rPr>
                <w:rFonts w:ascii="Arial" w:hAnsi="Arial" w:cs="Arial"/>
                <w:noProof/>
                <w:webHidden/>
              </w:rPr>
              <w:instrText xml:space="preserve"> PAGEREF _Toc214851162 \h </w:instrText>
            </w:r>
            <w:r w:rsidRPr="000D51FC">
              <w:rPr>
                <w:rFonts w:ascii="Arial" w:hAnsi="Arial" w:cs="Arial"/>
                <w:noProof/>
                <w:webHidden/>
              </w:rPr>
            </w:r>
            <w:r w:rsidRPr="000D51FC">
              <w:rPr>
                <w:rFonts w:ascii="Arial" w:hAnsi="Arial" w:cs="Arial"/>
                <w:noProof/>
                <w:webHidden/>
              </w:rPr>
              <w:fldChar w:fldCharType="separate"/>
            </w:r>
            <w:r w:rsidRPr="000D51FC">
              <w:rPr>
                <w:rFonts w:ascii="Arial" w:hAnsi="Arial" w:cs="Arial"/>
                <w:noProof/>
                <w:webHidden/>
              </w:rPr>
              <w:t>4</w:t>
            </w:r>
            <w:r w:rsidRPr="000D51FC">
              <w:rPr>
                <w:rFonts w:ascii="Arial" w:hAnsi="Arial" w:cs="Arial"/>
                <w:noProof/>
                <w:webHidden/>
              </w:rPr>
              <w:fldChar w:fldCharType="end"/>
            </w:r>
          </w:hyperlink>
        </w:p>
        <w:p w14:paraId="067AA853" w14:textId="131D6F85" w:rsidR="000D51FC" w:rsidRPr="000D51FC" w:rsidRDefault="000D51FC" w:rsidP="000D51FC">
          <w:pPr>
            <w:pStyle w:val="TOC1"/>
            <w:tabs>
              <w:tab w:val="right" w:leader="dot" w:pos="9080"/>
            </w:tabs>
            <w:spacing w:line="360" w:lineRule="auto"/>
            <w:rPr>
              <w:rFonts w:ascii="Arial" w:eastAsiaTheme="minorEastAsia" w:hAnsi="Arial" w:cs="Arial"/>
              <w:noProof/>
              <w:color w:val="auto"/>
              <w:lang w:eastAsia="en-IN" w:bidi="gu-IN"/>
            </w:rPr>
          </w:pPr>
          <w:hyperlink w:anchor="_Toc214851163" w:history="1">
            <w:r w:rsidRPr="000D51FC">
              <w:rPr>
                <w:rStyle w:val="Hyperlink"/>
                <w:rFonts w:ascii="Arial" w:hAnsi="Arial" w:cs="Arial"/>
                <w:noProof/>
              </w:rPr>
              <w:t>2. Working Capital Management</w:t>
            </w:r>
            <w:r w:rsidRPr="000D51FC">
              <w:rPr>
                <w:rFonts w:ascii="Arial" w:hAnsi="Arial" w:cs="Arial"/>
                <w:noProof/>
                <w:webHidden/>
              </w:rPr>
              <w:tab/>
            </w:r>
            <w:r w:rsidRPr="000D51FC">
              <w:rPr>
                <w:rFonts w:ascii="Arial" w:hAnsi="Arial" w:cs="Arial"/>
                <w:noProof/>
                <w:webHidden/>
              </w:rPr>
              <w:fldChar w:fldCharType="begin"/>
            </w:r>
            <w:r w:rsidRPr="000D51FC">
              <w:rPr>
                <w:rFonts w:ascii="Arial" w:hAnsi="Arial" w:cs="Arial"/>
                <w:noProof/>
                <w:webHidden/>
              </w:rPr>
              <w:instrText xml:space="preserve"> PAGEREF _Toc214851163 \h </w:instrText>
            </w:r>
            <w:r w:rsidRPr="000D51FC">
              <w:rPr>
                <w:rFonts w:ascii="Arial" w:hAnsi="Arial" w:cs="Arial"/>
                <w:noProof/>
                <w:webHidden/>
              </w:rPr>
            </w:r>
            <w:r w:rsidRPr="000D51FC">
              <w:rPr>
                <w:rFonts w:ascii="Arial" w:hAnsi="Arial" w:cs="Arial"/>
                <w:noProof/>
                <w:webHidden/>
              </w:rPr>
              <w:fldChar w:fldCharType="separate"/>
            </w:r>
            <w:r w:rsidRPr="000D51FC">
              <w:rPr>
                <w:rFonts w:ascii="Arial" w:hAnsi="Arial" w:cs="Arial"/>
                <w:noProof/>
                <w:webHidden/>
              </w:rPr>
              <w:t>15</w:t>
            </w:r>
            <w:r w:rsidRPr="000D51FC">
              <w:rPr>
                <w:rFonts w:ascii="Arial" w:hAnsi="Arial" w:cs="Arial"/>
                <w:noProof/>
                <w:webHidden/>
              </w:rPr>
              <w:fldChar w:fldCharType="end"/>
            </w:r>
          </w:hyperlink>
        </w:p>
        <w:p w14:paraId="2A982E07" w14:textId="5F8A186C" w:rsidR="000D51FC" w:rsidRPr="000D51FC" w:rsidRDefault="000D51FC" w:rsidP="000D51FC">
          <w:pPr>
            <w:pStyle w:val="TOC1"/>
            <w:tabs>
              <w:tab w:val="right" w:leader="dot" w:pos="9080"/>
            </w:tabs>
            <w:spacing w:line="360" w:lineRule="auto"/>
            <w:rPr>
              <w:rFonts w:ascii="Arial" w:eastAsiaTheme="minorEastAsia" w:hAnsi="Arial" w:cs="Arial"/>
              <w:noProof/>
              <w:color w:val="auto"/>
              <w:lang w:eastAsia="en-IN" w:bidi="gu-IN"/>
            </w:rPr>
          </w:pPr>
          <w:hyperlink w:anchor="_Toc214851164" w:history="1">
            <w:r w:rsidRPr="000D51FC">
              <w:rPr>
                <w:rStyle w:val="Hyperlink"/>
                <w:rFonts w:ascii="Arial" w:hAnsi="Arial" w:cs="Arial"/>
                <w:noProof/>
              </w:rPr>
              <w:t>3. Strategic Financial Restructuring Plan</w:t>
            </w:r>
            <w:r w:rsidRPr="000D51FC">
              <w:rPr>
                <w:rFonts w:ascii="Arial" w:hAnsi="Arial" w:cs="Arial"/>
                <w:noProof/>
                <w:webHidden/>
              </w:rPr>
              <w:tab/>
            </w:r>
            <w:r w:rsidRPr="000D51FC">
              <w:rPr>
                <w:rFonts w:ascii="Arial" w:hAnsi="Arial" w:cs="Arial"/>
                <w:noProof/>
                <w:webHidden/>
              </w:rPr>
              <w:fldChar w:fldCharType="begin"/>
            </w:r>
            <w:r w:rsidRPr="000D51FC">
              <w:rPr>
                <w:rFonts w:ascii="Arial" w:hAnsi="Arial" w:cs="Arial"/>
                <w:noProof/>
                <w:webHidden/>
              </w:rPr>
              <w:instrText xml:space="preserve"> PAGEREF _Toc214851164 \h </w:instrText>
            </w:r>
            <w:r w:rsidRPr="000D51FC">
              <w:rPr>
                <w:rFonts w:ascii="Arial" w:hAnsi="Arial" w:cs="Arial"/>
                <w:noProof/>
                <w:webHidden/>
              </w:rPr>
            </w:r>
            <w:r w:rsidRPr="000D51FC">
              <w:rPr>
                <w:rFonts w:ascii="Arial" w:hAnsi="Arial" w:cs="Arial"/>
                <w:noProof/>
                <w:webHidden/>
              </w:rPr>
              <w:fldChar w:fldCharType="separate"/>
            </w:r>
            <w:r w:rsidRPr="000D51FC">
              <w:rPr>
                <w:rFonts w:ascii="Arial" w:hAnsi="Arial" w:cs="Arial"/>
                <w:noProof/>
                <w:webHidden/>
              </w:rPr>
              <w:t>19</w:t>
            </w:r>
            <w:r w:rsidRPr="000D51FC">
              <w:rPr>
                <w:rFonts w:ascii="Arial" w:hAnsi="Arial" w:cs="Arial"/>
                <w:noProof/>
                <w:webHidden/>
              </w:rPr>
              <w:fldChar w:fldCharType="end"/>
            </w:r>
          </w:hyperlink>
        </w:p>
        <w:p w14:paraId="2B2A8D06" w14:textId="22BACBB7" w:rsidR="000D51FC" w:rsidRPr="000D51FC" w:rsidRDefault="000D51FC" w:rsidP="000D51FC">
          <w:pPr>
            <w:pStyle w:val="TOC1"/>
            <w:tabs>
              <w:tab w:val="right" w:leader="dot" w:pos="9080"/>
            </w:tabs>
            <w:spacing w:line="360" w:lineRule="auto"/>
            <w:rPr>
              <w:rFonts w:ascii="Arial" w:eastAsiaTheme="minorEastAsia" w:hAnsi="Arial" w:cs="Arial"/>
              <w:noProof/>
              <w:color w:val="auto"/>
              <w:lang w:eastAsia="en-IN" w:bidi="gu-IN"/>
            </w:rPr>
          </w:pPr>
          <w:hyperlink w:anchor="_Toc214851165" w:history="1">
            <w:r w:rsidRPr="000D51FC">
              <w:rPr>
                <w:rStyle w:val="Hyperlink"/>
                <w:rFonts w:ascii="Arial" w:hAnsi="Arial" w:cs="Arial"/>
                <w:noProof/>
              </w:rPr>
              <w:t>4. Investment Appraisal and Capital Budgeting</w:t>
            </w:r>
            <w:r w:rsidRPr="000D51FC">
              <w:rPr>
                <w:rFonts w:ascii="Arial" w:hAnsi="Arial" w:cs="Arial"/>
                <w:noProof/>
                <w:webHidden/>
              </w:rPr>
              <w:tab/>
            </w:r>
            <w:r w:rsidRPr="000D51FC">
              <w:rPr>
                <w:rFonts w:ascii="Arial" w:hAnsi="Arial" w:cs="Arial"/>
                <w:noProof/>
                <w:webHidden/>
              </w:rPr>
              <w:fldChar w:fldCharType="begin"/>
            </w:r>
            <w:r w:rsidRPr="000D51FC">
              <w:rPr>
                <w:rFonts w:ascii="Arial" w:hAnsi="Arial" w:cs="Arial"/>
                <w:noProof/>
                <w:webHidden/>
              </w:rPr>
              <w:instrText xml:space="preserve"> PAGEREF _Toc214851165 \h </w:instrText>
            </w:r>
            <w:r w:rsidRPr="000D51FC">
              <w:rPr>
                <w:rFonts w:ascii="Arial" w:hAnsi="Arial" w:cs="Arial"/>
                <w:noProof/>
                <w:webHidden/>
              </w:rPr>
            </w:r>
            <w:r w:rsidRPr="000D51FC">
              <w:rPr>
                <w:rFonts w:ascii="Arial" w:hAnsi="Arial" w:cs="Arial"/>
                <w:noProof/>
                <w:webHidden/>
              </w:rPr>
              <w:fldChar w:fldCharType="separate"/>
            </w:r>
            <w:r w:rsidRPr="000D51FC">
              <w:rPr>
                <w:rFonts w:ascii="Arial" w:hAnsi="Arial" w:cs="Arial"/>
                <w:noProof/>
                <w:webHidden/>
              </w:rPr>
              <w:t>23</w:t>
            </w:r>
            <w:r w:rsidRPr="000D51FC">
              <w:rPr>
                <w:rFonts w:ascii="Arial" w:hAnsi="Arial" w:cs="Arial"/>
                <w:noProof/>
                <w:webHidden/>
              </w:rPr>
              <w:fldChar w:fldCharType="end"/>
            </w:r>
          </w:hyperlink>
        </w:p>
        <w:p w14:paraId="1A70E7CA" w14:textId="1159D27C" w:rsidR="000D51FC" w:rsidRPr="000D51FC" w:rsidRDefault="000D51FC" w:rsidP="000D51FC">
          <w:pPr>
            <w:pStyle w:val="TOC1"/>
            <w:tabs>
              <w:tab w:val="right" w:leader="dot" w:pos="9080"/>
            </w:tabs>
            <w:spacing w:line="360" w:lineRule="auto"/>
            <w:rPr>
              <w:rFonts w:ascii="Arial" w:eastAsiaTheme="minorEastAsia" w:hAnsi="Arial" w:cs="Arial"/>
              <w:noProof/>
              <w:color w:val="auto"/>
              <w:lang w:eastAsia="en-IN" w:bidi="gu-IN"/>
            </w:rPr>
          </w:pPr>
          <w:hyperlink w:anchor="_Toc214851166" w:history="1">
            <w:r w:rsidRPr="000D51FC">
              <w:rPr>
                <w:rStyle w:val="Hyperlink"/>
                <w:rFonts w:ascii="Arial" w:hAnsi="Arial" w:cs="Arial"/>
                <w:noProof/>
              </w:rPr>
              <w:t>Conclusion</w:t>
            </w:r>
            <w:r w:rsidRPr="000D51FC">
              <w:rPr>
                <w:rFonts w:ascii="Arial" w:hAnsi="Arial" w:cs="Arial"/>
                <w:noProof/>
                <w:webHidden/>
              </w:rPr>
              <w:tab/>
            </w:r>
            <w:r w:rsidRPr="000D51FC">
              <w:rPr>
                <w:rFonts w:ascii="Arial" w:hAnsi="Arial" w:cs="Arial"/>
                <w:noProof/>
                <w:webHidden/>
              </w:rPr>
              <w:fldChar w:fldCharType="begin"/>
            </w:r>
            <w:r w:rsidRPr="000D51FC">
              <w:rPr>
                <w:rFonts w:ascii="Arial" w:hAnsi="Arial" w:cs="Arial"/>
                <w:noProof/>
                <w:webHidden/>
              </w:rPr>
              <w:instrText xml:space="preserve"> PAGEREF _Toc214851166 \h </w:instrText>
            </w:r>
            <w:r w:rsidRPr="000D51FC">
              <w:rPr>
                <w:rFonts w:ascii="Arial" w:hAnsi="Arial" w:cs="Arial"/>
                <w:noProof/>
                <w:webHidden/>
              </w:rPr>
            </w:r>
            <w:r w:rsidRPr="000D51FC">
              <w:rPr>
                <w:rFonts w:ascii="Arial" w:hAnsi="Arial" w:cs="Arial"/>
                <w:noProof/>
                <w:webHidden/>
              </w:rPr>
              <w:fldChar w:fldCharType="separate"/>
            </w:r>
            <w:r w:rsidRPr="000D51FC">
              <w:rPr>
                <w:rFonts w:ascii="Arial" w:hAnsi="Arial" w:cs="Arial"/>
                <w:noProof/>
                <w:webHidden/>
              </w:rPr>
              <w:t>27</w:t>
            </w:r>
            <w:r w:rsidRPr="000D51FC">
              <w:rPr>
                <w:rFonts w:ascii="Arial" w:hAnsi="Arial" w:cs="Arial"/>
                <w:noProof/>
                <w:webHidden/>
              </w:rPr>
              <w:fldChar w:fldCharType="end"/>
            </w:r>
          </w:hyperlink>
        </w:p>
        <w:p w14:paraId="7878E43B" w14:textId="3B054A97" w:rsidR="000D51FC" w:rsidRPr="000D51FC" w:rsidRDefault="000D51FC" w:rsidP="000D51FC">
          <w:pPr>
            <w:pStyle w:val="TOC1"/>
            <w:tabs>
              <w:tab w:val="right" w:leader="dot" w:pos="9080"/>
            </w:tabs>
            <w:spacing w:line="360" w:lineRule="auto"/>
            <w:rPr>
              <w:rFonts w:ascii="Arial" w:eastAsiaTheme="minorEastAsia" w:hAnsi="Arial" w:cs="Arial"/>
              <w:noProof/>
              <w:color w:val="auto"/>
              <w:lang w:eastAsia="en-IN" w:bidi="gu-IN"/>
            </w:rPr>
          </w:pPr>
          <w:hyperlink w:anchor="_Toc214851167" w:history="1">
            <w:r w:rsidRPr="000D51FC">
              <w:rPr>
                <w:rStyle w:val="Hyperlink"/>
                <w:rFonts w:ascii="Arial" w:hAnsi="Arial" w:cs="Arial"/>
                <w:noProof/>
              </w:rPr>
              <w:t>Appendices</w:t>
            </w:r>
            <w:r w:rsidRPr="000D51FC">
              <w:rPr>
                <w:rFonts w:ascii="Arial" w:hAnsi="Arial" w:cs="Arial"/>
                <w:noProof/>
                <w:webHidden/>
              </w:rPr>
              <w:tab/>
            </w:r>
            <w:r w:rsidRPr="000D51FC">
              <w:rPr>
                <w:rFonts w:ascii="Arial" w:hAnsi="Arial" w:cs="Arial"/>
                <w:noProof/>
                <w:webHidden/>
              </w:rPr>
              <w:fldChar w:fldCharType="begin"/>
            </w:r>
            <w:r w:rsidRPr="000D51FC">
              <w:rPr>
                <w:rFonts w:ascii="Arial" w:hAnsi="Arial" w:cs="Arial"/>
                <w:noProof/>
                <w:webHidden/>
              </w:rPr>
              <w:instrText xml:space="preserve"> PAGEREF _Toc214851167 \h </w:instrText>
            </w:r>
            <w:r w:rsidRPr="000D51FC">
              <w:rPr>
                <w:rFonts w:ascii="Arial" w:hAnsi="Arial" w:cs="Arial"/>
                <w:noProof/>
                <w:webHidden/>
              </w:rPr>
            </w:r>
            <w:r w:rsidRPr="000D51FC">
              <w:rPr>
                <w:rFonts w:ascii="Arial" w:hAnsi="Arial" w:cs="Arial"/>
                <w:noProof/>
                <w:webHidden/>
              </w:rPr>
              <w:fldChar w:fldCharType="separate"/>
            </w:r>
            <w:r w:rsidRPr="000D51FC">
              <w:rPr>
                <w:rFonts w:ascii="Arial" w:hAnsi="Arial" w:cs="Arial"/>
                <w:noProof/>
                <w:webHidden/>
              </w:rPr>
              <w:t>29</w:t>
            </w:r>
            <w:r w:rsidRPr="000D51FC">
              <w:rPr>
                <w:rFonts w:ascii="Arial" w:hAnsi="Arial" w:cs="Arial"/>
                <w:noProof/>
                <w:webHidden/>
              </w:rPr>
              <w:fldChar w:fldCharType="end"/>
            </w:r>
          </w:hyperlink>
        </w:p>
        <w:p w14:paraId="50D89FF2" w14:textId="2DC2436D" w:rsidR="000D51FC" w:rsidRPr="000D51FC" w:rsidRDefault="000D51FC" w:rsidP="000D51FC">
          <w:pPr>
            <w:pStyle w:val="TOC1"/>
            <w:tabs>
              <w:tab w:val="right" w:leader="dot" w:pos="9080"/>
            </w:tabs>
            <w:spacing w:line="360" w:lineRule="auto"/>
            <w:rPr>
              <w:rFonts w:ascii="Arial" w:eastAsiaTheme="minorEastAsia" w:hAnsi="Arial" w:cs="Arial"/>
              <w:noProof/>
              <w:color w:val="auto"/>
              <w:lang w:eastAsia="en-IN" w:bidi="gu-IN"/>
            </w:rPr>
          </w:pPr>
          <w:hyperlink w:anchor="_Toc214851168" w:history="1">
            <w:r w:rsidRPr="000D51FC">
              <w:rPr>
                <w:rStyle w:val="Hyperlink"/>
                <w:rFonts w:ascii="Arial" w:hAnsi="Arial" w:cs="Arial"/>
                <w:noProof/>
              </w:rPr>
              <w:t>Reference</w:t>
            </w:r>
            <w:r w:rsidRPr="000D51FC">
              <w:rPr>
                <w:rFonts w:ascii="Arial" w:hAnsi="Arial" w:cs="Arial"/>
                <w:noProof/>
                <w:webHidden/>
              </w:rPr>
              <w:tab/>
            </w:r>
            <w:r w:rsidRPr="000D51FC">
              <w:rPr>
                <w:rFonts w:ascii="Arial" w:hAnsi="Arial" w:cs="Arial"/>
                <w:noProof/>
                <w:webHidden/>
              </w:rPr>
              <w:fldChar w:fldCharType="begin"/>
            </w:r>
            <w:r w:rsidRPr="000D51FC">
              <w:rPr>
                <w:rFonts w:ascii="Arial" w:hAnsi="Arial" w:cs="Arial"/>
                <w:noProof/>
                <w:webHidden/>
              </w:rPr>
              <w:instrText xml:space="preserve"> PAGEREF _Toc214851168 \h </w:instrText>
            </w:r>
            <w:r w:rsidRPr="000D51FC">
              <w:rPr>
                <w:rFonts w:ascii="Arial" w:hAnsi="Arial" w:cs="Arial"/>
                <w:noProof/>
                <w:webHidden/>
              </w:rPr>
            </w:r>
            <w:r w:rsidRPr="000D51FC">
              <w:rPr>
                <w:rFonts w:ascii="Arial" w:hAnsi="Arial" w:cs="Arial"/>
                <w:noProof/>
                <w:webHidden/>
              </w:rPr>
              <w:fldChar w:fldCharType="separate"/>
            </w:r>
            <w:r w:rsidRPr="000D51FC">
              <w:rPr>
                <w:rFonts w:ascii="Arial" w:hAnsi="Arial" w:cs="Arial"/>
                <w:noProof/>
                <w:webHidden/>
              </w:rPr>
              <w:t>31</w:t>
            </w:r>
            <w:r w:rsidRPr="000D51FC">
              <w:rPr>
                <w:rFonts w:ascii="Arial" w:hAnsi="Arial" w:cs="Arial"/>
                <w:noProof/>
                <w:webHidden/>
              </w:rPr>
              <w:fldChar w:fldCharType="end"/>
            </w:r>
          </w:hyperlink>
        </w:p>
        <w:p w14:paraId="7CD4B4DE" w14:textId="217CF223" w:rsidR="00515A8A" w:rsidRPr="000D51FC" w:rsidRDefault="001B31A3" w:rsidP="000D51FC">
          <w:pPr>
            <w:spacing w:line="360" w:lineRule="auto"/>
            <w:rPr>
              <w:rFonts w:ascii="Arial" w:hAnsi="Arial" w:cs="Arial"/>
            </w:rPr>
          </w:pPr>
          <w:r w:rsidRPr="000D51FC">
            <w:rPr>
              <w:rFonts w:ascii="Arial" w:hAnsi="Arial" w:cs="Arial"/>
            </w:rPr>
            <w:fldChar w:fldCharType="end"/>
          </w:r>
        </w:p>
      </w:sdtContent>
    </w:sdt>
    <w:p w14:paraId="2C04D053" w14:textId="77777777" w:rsidR="007F76D4" w:rsidRPr="000D51FC" w:rsidRDefault="007F76D4" w:rsidP="000D51FC">
      <w:pPr>
        <w:spacing w:line="360" w:lineRule="auto"/>
        <w:ind w:left="0" w:firstLine="0"/>
        <w:rPr>
          <w:rFonts w:ascii="Arial" w:hAnsi="Arial" w:cs="Arial"/>
          <w:lang w:val="en-IN" w:eastAsia="en-GB"/>
        </w:rPr>
      </w:pPr>
    </w:p>
    <w:p w14:paraId="2F361744" w14:textId="77777777" w:rsidR="007F76D4" w:rsidRPr="000D51FC" w:rsidRDefault="007F76D4" w:rsidP="000D51FC">
      <w:pPr>
        <w:spacing w:line="360" w:lineRule="auto"/>
        <w:ind w:left="0" w:firstLine="0"/>
        <w:rPr>
          <w:rFonts w:ascii="Arial" w:hAnsi="Arial" w:cs="Arial"/>
          <w:lang w:val="en-IN" w:eastAsia="en-GB"/>
        </w:rPr>
      </w:pPr>
    </w:p>
    <w:p w14:paraId="06F97C79" w14:textId="77777777" w:rsidR="007F76D4" w:rsidRPr="000D51FC" w:rsidRDefault="007F76D4" w:rsidP="000D51FC">
      <w:pPr>
        <w:spacing w:line="360" w:lineRule="auto"/>
        <w:ind w:left="0" w:firstLine="0"/>
        <w:rPr>
          <w:rFonts w:ascii="Arial" w:hAnsi="Arial" w:cs="Arial"/>
          <w:lang w:val="en-IN" w:eastAsia="en-GB"/>
        </w:rPr>
      </w:pPr>
    </w:p>
    <w:p w14:paraId="399EF701" w14:textId="77777777" w:rsidR="007F76D4" w:rsidRPr="000D51FC" w:rsidRDefault="007F76D4" w:rsidP="000D51FC">
      <w:pPr>
        <w:spacing w:line="360" w:lineRule="auto"/>
        <w:ind w:left="0" w:firstLine="0"/>
        <w:rPr>
          <w:rFonts w:ascii="Arial" w:hAnsi="Arial" w:cs="Arial"/>
          <w:lang w:val="en-IN" w:eastAsia="en-GB"/>
        </w:rPr>
      </w:pPr>
    </w:p>
    <w:p w14:paraId="3C805386" w14:textId="77777777" w:rsidR="007F76D4" w:rsidRPr="000D51FC" w:rsidRDefault="007F76D4" w:rsidP="000D51FC">
      <w:pPr>
        <w:spacing w:line="360" w:lineRule="auto"/>
        <w:ind w:left="0" w:firstLine="0"/>
        <w:rPr>
          <w:rFonts w:ascii="Arial" w:hAnsi="Arial" w:cs="Arial"/>
          <w:lang w:val="en-IN" w:eastAsia="en-GB"/>
        </w:rPr>
      </w:pPr>
    </w:p>
    <w:p w14:paraId="057EB4F7" w14:textId="77777777" w:rsidR="007F76D4" w:rsidRPr="000D51FC" w:rsidRDefault="007F76D4" w:rsidP="000D51FC">
      <w:pPr>
        <w:spacing w:line="360" w:lineRule="auto"/>
        <w:ind w:left="0" w:firstLine="0"/>
        <w:rPr>
          <w:rFonts w:ascii="Arial" w:hAnsi="Arial" w:cs="Arial"/>
          <w:lang w:val="en-IN" w:eastAsia="en-GB"/>
        </w:rPr>
      </w:pPr>
    </w:p>
    <w:p w14:paraId="04AAB20F" w14:textId="77777777" w:rsidR="007F76D4" w:rsidRPr="000D51FC" w:rsidRDefault="007F76D4" w:rsidP="000D51FC">
      <w:pPr>
        <w:spacing w:line="360" w:lineRule="auto"/>
        <w:ind w:left="0" w:firstLine="0"/>
        <w:rPr>
          <w:rFonts w:ascii="Arial" w:hAnsi="Arial" w:cs="Arial"/>
          <w:lang w:val="en-IN" w:eastAsia="en-GB"/>
        </w:rPr>
      </w:pPr>
    </w:p>
    <w:p w14:paraId="2586DB6F" w14:textId="77777777" w:rsidR="007F76D4" w:rsidRPr="000D51FC" w:rsidRDefault="007F76D4" w:rsidP="000D51FC">
      <w:pPr>
        <w:spacing w:line="360" w:lineRule="auto"/>
        <w:ind w:left="0" w:firstLine="0"/>
        <w:rPr>
          <w:rFonts w:ascii="Arial" w:hAnsi="Arial" w:cs="Arial"/>
          <w:lang w:val="en-IN" w:eastAsia="en-GB"/>
        </w:rPr>
      </w:pPr>
    </w:p>
    <w:p w14:paraId="3F2CCE2A" w14:textId="77777777" w:rsidR="007F76D4" w:rsidRPr="000D51FC" w:rsidRDefault="007F76D4" w:rsidP="000D51FC">
      <w:pPr>
        <w:spacing w:line="360" w:lineRule="auto"/>
        <w:ind w:left="0" w:firstLine="0"/>
        <w:rPr>
          <w:rFonts w:ascii="Arial" w:hAnsi="Arial" w:cs="Arial"/>
          <w:lang w:val="en-IN" w:eastAsia="en-GB"/>
        </w:rPr>
      </w:pPr>
    </w:p>
    <w:p w14:paraId="58F8475D" w14:textId="56BB3F33" w:rsidR="007F76D4" w:rsidRPr="000D51FC" w:rsidRDefault="007F76D4" w:rsidP="000D51FC">
      <w:pPr>
        <w:pStyle w:val="Heading1"/>
        <w:spacing w:after="214" w:line="360" w:lineRule="auto"/>
        <w:ind w:left="0" w:right="12" w:firstLine="0"/>
        <w:jc w:val="both"/>
        <w:rPr>
          <w:rFonts w:ascii="Arial" w:hAnsi="Arial" w:cs="Arial"/>
        </w:rPr>
      </w:pPr>
    </w:p>
    <w:p w14:paraId="6E5069F1" w14:textId="77777777" w:rsidR="000113BA" w:rsidRPr="000D51FC" w:rsidRDefault="000113BA" w:rsidP="000D51FC">
      <w:pPr>
        <w:spacing w:line="360" w:lineRule="auto"/>
        <w:rPr>
          <w:rFonts w:ascii="Arial" w:hAnsi="Arial" w:cs="Arial"/>
          <w:lang w:val="en-IN" w:eastAsia="en-GB"/>
        </w:rPr>
      </w:pPr>
    </w:p>
    <w:p w14:paraId="13704BE8" w14:textId="77777777" w:rsidR="000113BA" w:rsidRPr="000D51FC" w:rsidRDefault="000113BA" w:rsidP="000D51FC">
      <w:pPr>
        <w:spacing w:line="360" w:lineRule="auto"/>
        <w:rPr>
          <w:rFonts w:ascii="Arial" w:hAnsi="Arial" w:cs="Arial"/>
          <w:lang w:val="en-IN" w:eastAsia="en-GB"/>
        </w:rPr>
      </w:pPr>
    </w:p>
    <w:p w14:paraId="559F8F9C" w14:textId="77777777" w:rsidR="00BB4236" w:rsidRPr="000D51FC" w:rsidRDefault="00BB4236" w:rsidP="00D70911">
      <w:pPr>
        <w:spacing w:line="360" w:lineRule="auto"/>
        <w:ind w:left="0" w:firstLine="0"/>
        <w:rPr>
          <w:rFonts w:ascii="Arial" w:hAnsi="Arial" w:cs="Arial"/>
          <w:lang w:val="en-IN" w:eastAsia="en-GB"/>
        </w:rPr>
      </w:pPr>
    </w:p>
    <w:p w14:paraId="3F857FE9" w14:textId="4D63EBF6" w:rsidR="00721A0E" w:rsidRPr="000D51FC" w:rsidRDefault="00721A0E" w:rsidP="000D51FC">
      <w:pPr>
        <w:pStyle w:val="Heading1"/>
        <w:spacing w:after="214" w:line="360" w:lineRule="auto"/>
        <w:ind w:left="-5" w:right="12"/>
        <w:jc w:val="both"/>
        <w:rPr>
          <w:rFonts w:ascii="Arial" w:hAnsi="Arial" w:cs="Arial"/>
        </w:rPr>
      </w:pPr>
      <w:bookmarkStart w:id="0" w:name="_Toc214851160"/>
      <w:r w:rsidRPr="000D51FC">
        <w:rPr>
          <w:rFonts w:ascii="Arial" w:hAnsi="Arial" w:cs="Arial"/>
        </w:rPr>
        <w:lastRenderedPageBreak/>
        <w:t>Executive Summary</w:t>
      </w:r>
      <w:bookmarkEnd w:id="0"/>
    </w:p>
    <w:p w14:paraId="026E0867" w14:textId="475EC9A2" w:rsidR="00B36BCA" w:rsidRPr="000D51FC" w:rsidRDefault="00B36BCA" w:rsidP="000D51FC">
      <w:pPr>
        <w:spacing w:line="360" w:lineRule="auto"/>
        <w:rPr>
          <w:rFonts w:ascii="Arial" w:hAnsi="Arial" w:cs="Arial"/>
          <w:lang w:val="en-IN" w:eastAsia="en-GB"/>
        </w:rPr>
      </w:pPr>
      <w:r w:rsidRPr="000D51FC">
        <w:rPr>
          <w:rFonts w:ascii="Arial" w:hAnsi="Arial" w:cs="Arial"/>
          <w:lang w:val="en-IN" w:eastAsia="en-GB"/>
        </w:rPr>
        <w:t>General Electronics has been a longstanding global player in the consumer electronics sector but is presently experiencing severe financial distress. The company has been suffering from a five-year continuous decline in sales, profitability, and shareholder value. The year 2023 and 2024 major losses of £98 billion and £24 billion, respectively, indicate the requirement for immediate strategic intervention. The surge in liquidity pressures, given the falling cash balance and increase in reliance on short-term borrowing, along with operational inefficiencies, has pushed the organization towards excess inventory and increased account receivables. These weaknesses collectively add to the firm's probability of default.</w:t>
      </w:r>
    </w:p>
    <w:p w14:paraId="52450BF2" w14:textId="77777777" w:rsidR="00B36BCA" w:rsidRPr="000D51FC" w:rsidRDefault="00B36BCA" w:rsidP="000D51FC">
      <w:pPr>
        <w:spacing w:line="360" w:lineRule="auto"/>
        <w:rPr>
          <w:rFonts w:ascii="Arial" w:hAnsi="Arial" w:cs="Arial"/>
          <w:lang w:val="en-IN" w:eastAsia="en-GB"/>
        </w:rPr>
      </w:pPr>
      <w:r w:rsidRPr="000D51FC">
        <w:rPr>
          <w:rFonts w:ascii="Arial" w:hAnsi="Arial" w:cs="Arial"/>
          <w:lang w:val="en-IN" w:eastAsia="en-GB"/>
        </w:rPr>
        <w:t>The report, developed from the perspective of a newly appointed CFO, offers an overall comprehensive turnaround strategy based on four core components:</w:t>
      </w:r>
    </w:p>
    <w:p w14:paraId="3DE81A0D" w14:textId="77777777" w:rsidR="00B36BCA" w:rsidRPr="000D51FC" w:rsidRDefault="00B36BCA" w:rsidP="000D51FC">
      <w:pPr>
        <w:spacing w:line="360" w:lineRule="auto"/>
        <w:rPr>
          <w:rFonts w:ascii="Arial" w:hAnsi="Arial" w:cs="Arial"/>
          <w:lang w:val="en-IN" w:eastAsia="en-GB"/>
        </w:rPr>
      </w:pPr>
      <w:r w:rsidRPr="000D51FC">
        <w:rPr>
          <w:rFonts w:ascii="Arial" w:hAnsi="Arial" w:cs="Arial"/>
          <w:lang w:val="en-IN" w:eastAsia="en-GB"/>
        </w:rPr>
        <w:t>1. Financial health check through ratio analysis and failure-prediction models to identify the root causes of decline.</w:t>
      </w:r>
    </w:p>
    <w:p w14:paraId="0C3C4070" w14:textId="77777777" w:rsidR="00B36BCA" w:rsidRPr="000D51FC" w:rsidRDefault="00B36BCA" w:rsidP="000D51FC">
      <w:pPr>
        <w:spacing w:line="360" w:lineRule="auto"/>
        <w:rPr>
          <w:rFonts w:ascii="Arial" w:hAnsi="Arial" w:cs="Arial"/>
          <w:lang w:val="en-IN" w:eastAsia="en-GB"/>
        </w:rPr>
      </w:pPr>
      <w:r w:rsidRPr="000D51FC">
        <w:rPr>
          <w:rFonts w:ascii="Arial" w:hAnsi="Arial" w:cs="Arial"/>
          <w:lang w:val="en-IN" w:eastAsia="en-GB"/>
        </w:rPr>
        <w:t>2. Working Capital Reform to release trapped liquidity and improve the cash operating cycle.</w:t>
      </w:r>
    </w:p>
    <w:p w14:paraId="7E80C8BF" w14:textId="77777777" w:rsidR="00B36BCA" w:rsidRPr="000D51FC" w:rsidRDefault="00B36BCA" w:rsidP="000D51FC">
      <w:pPr>
        <w:spacing w:line="360" w:lineRule="auto"/>
        <w:rPr>
          <w:rFonts w:ascii="Arial" w:hAnsi="Arial" w:cs="Arial"/>
          <w:lang w:val="en-IN" w:eastAsia="en-GB"/>
        </w:rPr>
      </w:pPr>
      <w:r w:rsidRPr="000D51FC">
        <w:rPr>
          <w:rFonts w:ascii="Arial" w:hAnsi="Arial" w:cs="Arial"/>
          <w:lang w:val="en-IN" w:eastAsia="en-GB"/>
        </w:rPr>
        <w:t>3. Strategic Financial Restructuring to stabilize capital structure, restore profitability, and strengthen global competitiveness.</w:t>
      </w:r>
    </w:p>
    <w:p w14:paraId="067B9B1C" w14:textId="7A9C3F75" w:rsidR="00BB4236" w:rsidRPr="000D51FC" w:rsidRDefault="00B36BCA" w:rsidP="000D51FC">
      <w:pPr>
        <w:spacing w:line="360" w:lineRule="auto"/>
        <w:rPr>
          <w:rFonts w:ascii="Arial" w:hAnsi="Arial" w:cs="Arial"/>
          <w:lang w:val="en-IN" w:eastAsia="en-GB"/>
        </w:rPr>
      </w:pPr>
      <w:r w:rsidRPr="000D51FC">
        <w:rPr>
          <w:rFonts w:ascii="Arial" w:hAnsi="Arial" w:cs="Arial"/>
          <w:lang w:val="en-IN" w:eastAsia="en-GB"/>
        </w:rPr>
        <w:t>4. Investment Appraisal of three major projects using NPV, IRR, ARR, PI, and Payback metrics that allow value-driven capital allocation under a funding constraint of £60 million. The proposed approach focuses on cost optimization, portfolio rationalization, long-term refinancing solutions, and select investment in high-growth product technologies. When well implemented, it should restore strong cash generation, rebuild investor confidence, and lay the basis for further sustainable growth into international markets. This plan places General Electronics in a position to move from near failure to strategic recovery and long-term value creation.</w:t>
      </w:r>
    </w:p>
    <w:p w14:paraId="4EFA2F54" w14:textId="77777777" w:rsidR="00BB4236" w:rsidRPr="000D51FC" w:rsidRDefault="00BB4236" w:rsidP="000D51FC">
      <w:pPr>
        <w:pStyle w:val="Heading1"/>
        <w:spacing w:after="214" w:line="360" w:lineRule="auto"/>
        <w:ind w:left="-5" w:right="12"/>
        <w:jc w:val="both"/>
        <w:rPr>
          <w:rFonts w:ascii="Arial" w:hAnsi="Arial" w:cs="Arial"/>
        </w:rPr>
      </w:pPr>
      <w:bookmarkStart w:id="1" w:name="_Toc214851161"/>
      <w:r w:rsidRPr="000D51FC">
        <w:rPr>
          <w:rFonts w:ascii="Arial" w:hAnsi="Arial" w:cs="Arial"/>
        </w:rPr>
        <w:t>Introduction</w:t>
      </w:r>
      <w:bookmarkEnd w:id="1"/>
      <w:r w:rsidRPr="000D51FC">
        <w:rPr>
          <w:rFonts w:ascii="Arial" w:hAnsi="Arial" w:cs="Arial"/>
        </w:rPr>
        <w:t xml:space="preserve"> </w:t>
      </w:r>
    </w:p>
    <w:p w14:paraId="35F10282" w14:textId="1B3FC39E" w:rsidR="004F7818" w:rsidRPr="000D51FC" w:rsidRDefault="004F7818" w:rsidP="000D51FC">
      <w:pPr>
        <w:spacing w:line="360" w:lineRule="auto"/>
        <w:rPr>
          <w:rFonts w:ascii="Arial" w:hAnsi="Arial" w:cs="Arial"/>
          <w:lang w:val="en-IN" w:eastAsia="en-GB"/>
        </w:rPr>
      </w:pPr>
      <w:r w:rsidRPr="000D51FC">
        <w:rPr>
          <w:rFonts w:ascii="Arial" w:hAnsi="Arial" w:cs="Arial"/>
          <w:lang w:val="en-IN" w:eastAsia="en-GB"/>
        </w:rPr>
        <w:t xml:space="preserve">General Electronics is a well-established multinational player within the fiercely competitive environment of consumer electronics. Over the past ten years, the industry has undergone rapid structural changes due to disruptive technologies, </w:t>
      </w:r>
      <w:r w:rsidRPr="000D51FC">
        <w:rPr>
          <w:rFonts w:ascii="Arial" w:hAnsi="Arial" w:cs="Arial"/>
          <w:lang w:val="en-IN" w:eastAsia="en-GB"/>
        </w:rPr>
        <w:lastRenderedPageBreak/>
        <w:t>shortened product life cycles, shifting supply chains, and growing price competition from low-cost producers. While market demand continues to increase, profitability has remained among firms with robust innovation, cost efficiency, and differentiated brand ecosystems.</w:t>
      </w:r>
    </w:p>
    <w:p w14:paraId="0A4603A9" w14:textId="78404236" w:rsidR="004F7818" w:rsidRPr="000D51FC" w:rsidRDefault="004F7818" w:rsidP="000D51FC">
      <w:pPr>
        <w:spacing w:line="360" w:lineRule="auto"/>
        <w:rPr>
          <w:rFonts w:ascii="Arial" w:hAnsi="Arial" w:cs="Arial"/>
          <w:lang w:val="en-IN" w:eastAsia="en-GB"/>
        </w:rPr>
      </w:pPr>
      <w:r w:rsidRPr="000D51FC">
        <w:rPr>
          <w:rFonts w:ascii="Arial" w:hAnsi="Arial" w:cs="Arial"/>
          <w:lang w:val="en-IN" w:eastAsia="en-GB"/>
        </w:rPr>
        <w:t>However, General Electronics has faced increasing financial adversity, reflected through weakening margins, liquidity pressures, rising leverage and continuous losses over recent years (Atrill and McLaney, 2023; Ahmad, 2021). As financial instability threatens long-term sustainability, the Board of Directors appointed a new Chief Financial Officer (CFO) to stabilize performance and restore competitiveness. The CFO’s immediate priority will be conducting a comprehensive five-year financial analysis focusing on profitability, liquidity, asset utilisation, capital structure, investors’ returns, and cash flow generation (Pike and Neale, 2020; Pal and Bhattacharjee, 2020). In addition, the organisation’s insolvency risk will be assessed using established corporate failure prediction models such as Altman’s Z-score (Altman, 1968; Rashid et al., 2023; Chen and Han, 2022).</w:t>
      </w:r>
    </w:p>
    <w:p w14:paraId="11E1F3B1" w14:textId="54390C33" w:rsidR="00BB4236" w:rsidRPr="000D51FC" w:rsidRDefault="004F7818" w:rsidP="000D51FC">
      <w:pPr>
        <w:spacing w:line="360" w:lineRule="auto"/>
        <w:rPr>
          <w:rFonts w:ascii="Arial" w:hAnsi="Arial" w:cs="Arial"/>
          <w:lang w:val="en-IN" w:eastAsia="en-GB"/>
        </w:rPr>
      </w:pPr>
      <w:r w:rsidRPr="000D51FC">
        <w:rPr>
          <w:rFonts w:ascii="Arial" w:hAnsi="Arial" w:cs="Arial"/>
          <w:lang w:val="en-IN" w:eastAsia="en-GB"/>
        </w:rPr>
        <w:t>Evaluation itself is not enough and must be supplemented with a valid turnaround strategy. The CFO will thus be recommending reforms to working capital management as well as operational restructuring to increase liquidity and efficiency (Munyaka and Yadavalli, 2022; Alvarez et al., 2021). Wider financial restructuring would be needed to give the company a better global standing. This will include optimization of capital structure, efficiency in taxation, and stability of foreign exchange (Myers, 2001; de Oliveira Neto, 2021; Williams, 2022; Martin, 2023). The company has to apply a disciplined framework in capital allocation to ensure that limited funds are committed to ethical and globally scalable investments through formal appraisal techniques like NPV and IRR (Sudacevschi et al., 2024; Crane and Matten, 2020; Song, 2023).</w:t>
      </w:r>
    </w:p>
    <w:p w14:paraId="570DB92F" w14:textId="601175F6" w:rsidR="00AC3129" w:rsidRPr="000D51FC" w:rsidRDefault="00AC3129" w:rsidP="000D51FC">
      <w:pPr>
        <w:pStyle w:val="Heading1"/>
        <w:spacing w:line="360" w:lineRule="auto"/>
        <w:ind w:left="-5"/>
        <w:jc w:val="left"/>
        <w:rPr>
          <w:rFonts w:ascii="Arial" w:hAnsi="Arial" w:cs="Arial"/>
        </w:rPr>
      </w:pPr>
      <w:bookmarkStart w:id="2" w:name="_Toc214851162"/>
      <w:r w:rsidRPr="000D51FC">
        <w:rPr>
          <w:rFonts w:ascii="Arial" w:hAnsi="Arial" w:cs="Arial"/>
        </w:rPr>
        <w:t>1. Financial Health Check</w:t>
      </w:r>
      <w:bookmarkEnd w:id="2"/>
    </w:p>
    <w:p w14:paraId="42A7083C" w14:textId="1CF3C5DB" w:rsidR="0017544E" w:rsidRPr="000D51FC" w:rsidRDefault="0017544E" w:rsidP="000D51FC">
      <w:pPr>
        <w:spacing w:line="360" w:lineRule="auto"/>
        <w:rPr>
          <w:rFonts w:ascii="Arial" w:hAnsi="Arial" w:cs="Arial"/>
          <w:b/>
          <w:bCs/>
          <w:lang w:val="en-IN" w:eastAsia="en-GB"/>
        </w:rPr>
      </w:pPr>
      <w:r w:rsidRPr="000D51FC">
        <w:rPr>
          <w:rFonts w:ascii="Arial" w:hAnsi="Arial" w:cs="Arial"/>
          <w:b/>
          <w:bCs/>
        </w:rPr>
        <w:t>Overview of Five – Years Performance</w:t>
      </w:r>
    </w:p>
    <w:p w14:paraId="189BC6FB" w14:textId="00F4F4A4" w:rsidR="00AC3129" w:rsidRPr="000D51FC" w:rsidRDefault="00AC3129" w:rsidP="000D51FC">
      <w:pPr>
        <w:spacing w:line="360" w:lineRule="auto"/>
        <w:rPr>
          <w:rFonts w:ascii="Arial" w:hAnsi="Arial" w:cs="Arial"/>
          <w:lang w:val="en-IN" w:eastAsia="en-GB"/>
        </w:rPr>
      </w:pPr>
      <w:r w:rsidRPr="000D51FC">
        <w:rPr>
          <w:rFonts w:ascii="Arial" w:hAnsi="Arial" w:cs="Arial"/>
          <w:lang w:val="en-IN" w:eastAsia="en-GB"/>
        </w:rPr>
        <w:t xml:space="preserve">General Electronics was once a global leader in the consumer electronics sector but has now reported significantly worse results for the period 2020-2024. Revenue declined steeply from £614.7 billion in 2020 to £394.9 billion in 2024, reflecting both </w:t>
      </w:r>
      <w:r w:rsidRPr="000D51FC">
        <w:rPr>
          <w:rFonts w:ascii="Arial" w:hAnsi="Arial" w:cs="Arial"/>
          <w:lang w:val="en-IN" w:eastAsia="en-GB"/>
        </w:rPr>
        <w:lastRenderedPageBreak/>
        <w:t>a loss of market share and industry-wide pressures (Brigham &amp; Ehrhardt, 2019). Net income moved from meager profits at the beginning of the period to significant losses of -£98.2 billion in 2023 and a further loss of -£24.0 billion in 2024. Operating income followed a similar trend, showing negative income in 2023 and remaining in deficit in 2024.</w:t>
      </w:r>
    </w:p>
    <w:p w14:paraId="618CE543" w14:textId="77777777" w:rsidR="00E31ADE" w:rsidRPr="000D51FC" w:rsidRDefault="00AC3129" w:rsidP="000D51FC">
      <w:pPr>
        <w:spacing w:line="360" w:lineRule="auto"/>
        <w:rPr>
          <w:rFonts w:ascii="Arial" w:hAnsi="Arial" w:cs="Arial"/>
          <w:lang w:val="en-IN" w:eastAsia="en-GB"/>
        </w:rPr>
      </w:pPr>
      <w:r w:rsidRPr="000D51FC">
        <w:rPr>
          <w:rFonts w:ascii="Arial" w:hAnsi="Arial" w:cs="Arial"/>
          <w:lang w:val="en-IN" w:eastAsia="en-GB"/>
        </w:rPr>
        <w:t>Cash and cash equivalents are seen to have fallen from £66.7 billion in 2022 to £26.8 billion in 2024, while total shareholders' equity dropped from its high of £313.3 billion in 2020 to £153.1 billion in 2024, which indicates the erosion of shareholders' value. These trends contextualize deeper ratio analysis which shall now look at profitability, liquidity, efficiency, leverage, and investment performance. In addition, corporate failure prediction models such as the Altman Z'' score will be applied in assessing default risk. Altman (1968)</w:t>
      </w:r>
    </w:p>
    <w:p w14:paraId="735FE9A2" w14:textId="0DFEEE2A" w:rsidR="003A1E65" w:rsidRPr="000D51FC" w:rsidRDefault="00E31AD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1.1 </w:t>
      </w:r>
      <w:r w:rsidR="00AC3129" w:rsidRPr="000D51FC">
        <w:rPr>
          <w:rFonts w:ascii="Arial" w:hAnsi="Arial" w:cs="Arial"/>
          <w:b/>
          <w:bCs/>
        </w:rPr>
        <w:t>Profitability Ratios</w:t>
      </w:r>
    </w:p>
    <w:p w14:paraId="63E19643" w14:textId="752A0C9A" w:rsidR="00AC3129" w:rsidRPr="000D51FC" w:rsidRDefault="00AC3129" w:rsidP="000D51FC">
      <w:pPr>
        <w:spacing w:line="360" w:lineRule="auto"/>
        <w:rPr>
          <w:rFonts w:ascii="Arial" w:hAnsi="Arial" w:cs="Arial"/>
          <w:lang w:val="en-IN" w:eastAsia="en-GB"/>
        </w:rPr>
      </w:pPr>
      <w:r w:rsidRPr="000D51FC">
        <w:rPr>
          <w:rFonts w:ascii="Arial" w:hAnsi="Arial" w:cs="Arial"/>
          <w:lang w:val="en-IN" w:eastAsia="en-GB"/>
        </w:rPr>
        <w:t>Profitability indicators are considered indispensable factors for measuring the degree of profitability that a company achieves in relation to its sales, assets, and equity (Sudacevschi et al. 2024).</w:t>
      </w:r>
    </w:p>
    <w:p w14:paraId="38206B79" w14:textId="77777777" w:rsidR="000C180C" w:rsidRPr="000D51FC" w:rsidRDefault="000C180C" w:rsidP="000D51FC">
      <w:pPr>
        <w:spacing w:line="360" w:lineRule="auto"/>
        <w:rPr>
          <w:rFonts w:ascii="Arial" w:hAnsi="Arial" w:cs="Arial"/>
          <w:b/>
          <w:bCs/>
        </w:rPr>
      </w:pPr>
      <w:r w:rsidRPr="000D51FC">
        <w:rPr>
          <w:rFonts w:ascii="Arial" w:hAnsi="Arial" w:cs="Arial"/>
          <w:b/>
          <w:bCs/>
        </w:rPr>
        <w:t>Gross profit margin = Gross profit / Net sales</w:t>
      </w:r>
    </w:p>
    <w:p w14:paraId="4EC7C418" w14:textId="77777777" w:rsidR="000C180C" w:rsidRPr="000D51FC" w:rsidRDefault="000C180C" w:rsidP="000D51FC">
      <w:pPr>
        <w:numPr>
          <w:ilvl w:val="0"/>
          <w:numId w:val="4"/>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176,256 / 614,680*100 = </w:t>
      </w:r>
      <w:r w:rsidRPr="000D51FC">
        <w:rPr>
          <w:rFonts w:ascii="Arial" w:hAnsi="Arial" w:cs="Arial"/>
          <w:b/>
          <w:bCs/>
        </w:rPr>
        <w:t>28.68%</w:t>
      </w:r>
      <w:r w:rsidRPr="000D51FC">
        <w:rPr>
          <w:rFonts w:ascii="Arial" w:hAnsi="Arial" w:cs="Arial"/>
        </w:rPr>
        <w:t xml:space="preserve"> </w:t>
      </w:r>
    </w:p>
    <w:p w14:paraId="60BA9CF7" w14:textId="77777777" w:rsidR="000C180C" w:rsidRPr="000D51FC" w:rsidRDefault="000C180C" w:rsidP="000D51FC">
      <w:pPr>
        <w:numPr>
          <w:ilvl w:val="0"/>
          <w:numId w:val="4"/>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173,016 / 601,602*100 = </w:t>
      </w:r>
      <w:r w:rsidRPr="000D51FC">
        <w:rPr>
          <w:rFonts w:ascii="Arial" w:hAnsi="Arial" w:cs="Arial"/>
          <w:b/>
          <w:bCs/>
        </w:rPr>
        <w:t>28.75%</w:t>
      </w:r>
      <w:r w:rsidRPr="000D51FC">
        <w:rPr>
          <w:rFonts w:ascii="Arial" w:hAnsi="Arial" w:cs="Arial"/>
        </w:rPr>
        <w:t xml:space="preserve"> (28.8%)</w:t>
      </w:r>
    </w:p>
    <w:p w14:paraId="72249E2C" w14:textId="77777777" w:rsidR="000C180C" w:rsidRPr="000D51FC" w:rsidRDefault="000C180C" w:rsidP="000D51FC">
      <w:pPr>
        <w:numPr>
          <w:ilvl w:val="0"/>
          <w:numId w:val="4"/>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152,292 / 542,751*100 = </w:t>
      </w:r>
      <w:r w:rsidRPr="000D51FC">
        <w:rPr>
          <w:rFonts w:ascii="Arial" w:hAnsi="Arial" w:cs="Arial"/>
          <w:b/>
          <w:bCs/>
        </w:rPr>
        <w:t>28.06%</w:t>
      </w:r>
      <w:r w:rsidRPr="000D51FC">
        <w:rPr>
          <w:rFonts w:ascii="Arial" w:hAnsi="Arial" w:cs="Arial"/>
        </w:rPr>
        <w:t xml:space="preserve"> (28.1%)</w:t>
      </w:r>
    </w:p>
    <w:p w14:paraId="01D4F427" w14:textId="77777777" w:rsidR="000C180C" w:rsidRPr="000D51FC" w:rsidRDefault="000C180C" w:rsidP="000D51FC">
      <w:pPr>
        <w:numPr>
          <w:ilvl w:val="0"/>
          <w:numId w:val="4"/>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97,560 / 420,457*100 = </w:t>
      </w:r>
      <w:r w:rsidRPr="000D51FC">
        <w:rPr>
          <w:rFonts w:ascii="Arial" w:hAnsi="Arial" w:cs="Arial"/>
          <w:b/>
          <w:bCs/>
        </w:rPr>
        <w:t>23.21%</w:t>
      </w:r>
      <w:r w:rsidRPr="000D51FC">
        <w:rPr>
          <w:rFonts w:ascii="Arial" w:hAnsi="Arial" w:cs="Arial"/>
        </w:rPr>
        <w:t xml:space="preserve"> (23.2%)</w:t>
      </w:r>
    </w:p>
    <w:p w14:paraId="61A71A83" w14:textId="77777777" w:rsidR="000C180C" w:rsidRPr="000D51FC" w:rsidRDefault="000C180C" w:rsidP="000D51FC">
      <w:pPr>
        <w:numPr>
          <w:ilvl w:val="0"/>
          <w:numId w:val="4"/>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113,994 / 394,879*100 = </w:t>
      </w:r>
      <w:r w:rsidRPr="000D51FC">
        <w:rPr>
          <w:rFonts w:ascii="Arial" w:hAnsi="Arial" w:cs="Arial"/>
          <w:b/>
          <w:bCs/>
        </w:rPr>
        <w:t>28.87%</w:t>
      </w:r>
      <w:r w:rsidRPr="000D51FC">
        <w:rPr>
          <w:rFonts w:ascii="Arial" w:hAnsi="Arial" w:cs="Arial"/>
        </w:rPr>
        <w:t xml:space="preserve"> (28.9%)</w:t>
      </w:r>
    </w:p>
    <w:p w14:paraId="62B10315" w14:textId="77777777" w:rsidR="000C180C" w:rsidRPr="000D51FC" w:rsidRDefault="000C180C" w:rsidP="000D51FC">
      <w:pPr>
        <w:spacing w:line="360" w:lineRule="auto"/>
        <w:rPr>
          <w:rFonts w:ascii="Arial" w:hAnsi="Arial" w:cs="Arial"/>
          <w:b/>
          <w:bCs/>
        </w:rPr>
      </w:pPr>
      <w:r w:rsidRPr="000D51FC">
        <w:rPr>
          <w:rFonts w:ascii="Arial" w:hAnsi="Arial" w:cs="Arial"/>
          <w:b/>
          <w:bCs/>
        </w:rPr>
        <w:t>Operating margin = Operating income / Net sales</w:t>
      </w:r>
    </w:p>
    <w:p w14:paraId="3BD03843" w14:textId="77777777" w:rsidR="000C180C" w:rsidRPr="000D51FC" w:rsidRDefault="000C180C" w:rsidP="000D51FC">
      <w:pPr>
        <w:numPr>
          <w:ilvl w:val="0"/>
          <w:numId w:val="5"/>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37,267 / 614,680 = </w:t>
      </w:r>
      <w:r w:rsidRPr="000D51FC">
        <w:rPr>
          <w:rFonts w:ascii="Arial" w:hAnsi="Arial" w:cs="Arial"/>
          <w:b/>
          <w:bCs/>
        </w:rPr>
        <w:t>6.06%</w:t>
      </w:r>
      <w:r w:rsidRPr="000D51FC">
        <w:rPr>
          <w:rFonts w:ascii="Arial" w:hAnsi="Arial" w:cs="Arial"/>
        </w:rPr>
        <w:t xml:space="preserve"> (6.1%)</w:t>
      </w:r>
    </w:p>
    <w:p w14:paraId="3E0B30F1" w14:textId="77777777" w:rsidR="000C180C" w:rsidRPr="000D51FC" w:rsidRDefault="000C180C" w:rsidP="000D51FC">
      <w:pPr>
        <w:numPr>
          <w:ilvl w:val="0"/>
          <w:numId w:val="5"/>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23,253 / 601,602 = </w:t>
      </w:r>
      <w:r w:rsidRPr="000D51FC">
        <w:rPr>
          <w:rFonts w:ascii="Arial" w:hAnsi="Arial" w:cs="Arial"/>
          <w:b/>
          <w:bCs/>
        </w:rPr>
        <w:t>3.87%</w:t>
      </w:r>
      <w:r w:rsidRPr="000D51FC">
        <w:rPr>
          <w:rFonts w:ascii="Arial" w:hAnsi="Arial" w:cs="Arial"/>
        </w:rPr>
        <w:t xml:space="preserve"> (3.9%)</w:t>
      </w:r>
    </w:p>
    <w:p w14:paraId="4E6155C8" w14:textId="77777777" w:rsidR="000C180C" w:rsidRPr="000D51FC" w:rsidRDefault="000C180C" w:rsidP="000D51FC">
      <w:pPr>
        <w:numPr>
          <w:ilvl w:val="0"/>
          <w:numId w:val="5"/>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14,548 / 542,751 = </w:t>
      </w:r>
      <w:r w:rsidRPr="000D51FC">
        <w:rPr>
          <w:rFonts w:ascii="Arial" w:hAnsi="Arial" w:cs="Arial"/>
          <w:b/>
          <w:bCs/>
        </w:rPr>
        <w:t>2.68%</w:t>
      </w:r>
      <w:r w:rsidRPr="000D51FC">
        <w:rPr>
          <w:rFonts w:ascii="Arial" w:hAnsi="Arial" w:cs="Arial"/>
        </w:rPr>
        <w:t xml:space="preserve"> (2.7%)</w:t>
      </w:r>
    </w:p>
    <w:p w14:paraId="0724B765" w14:textId="77777777" w:rsidR="000C180C" w:rsidRPr="000D51FC" w:rsidRDefault="000C180C" w:rsidP="000D51FC">
      <w:pPr>
        <w:numPr>
          <w:ilvl w:val="0"/>
          <w:numId w:val="5"/>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-85,301 / 420,457 = </w:t>
      </w:r>
      <w:r w:rsidRPr="000D51FC">
        <w:rPr>
          <w:rFonts w:ascii="Arial" w:hAnsi="Arial" w:cs="Arial"/>
          <w:b/>
          <w:bCs/>
        </w:rPr>
        <w:t>-20.29%</w:t>
      </w:r>
      <w:r w:rsidRPr="000D51FC">
        <w:rPr>
          <w:rFonts w:ascii="Arial" w:hAnsi="Arial" w:cs="Arial"/>
        </w:rPr>
        <w:t xml:space="preserve"> (-20.3%)</w:t>
      </w:r>
    </w:p>
    <w:p w14:paraId="269C5A16" w14:textId="77777777" w:rsidR="000C180C" w:rsidRPr="000D51FC" w:rsidRDefault="000C180C" w:rsidP="000D51FC">
      <w:pPr>
        <w:numPr>
          <w:ilvl w:val="0"/>
          <w:numId w:val="5"/>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-15,297 / 394,879 = </w:t>
      </w:r>
      <w:r w:rsidRPr="000D51FC">
        <w:rPr>
          <w:rFonts w:ascii="Arial" w:hAnsi="Arial" w:cs="Arial"/>
          <w:b/>
          <w:bCs/>
        </w:rPr>
        <w:t>-3.88%</w:t>
      </w:r>
      <w:r w:rsidRPr="000D51FC">
        <w:rPr>
          <w:rFonts w:ascii="Arial" w:hAnsi="Arial" w:cs="Arial"/>
        </w:rPr>
        <w:t xml:space="preserve"> (-3.9%)</w:t>
      </w:r>
    </w:p>
    <w:p w14:paraId="5738C0E7" w14:textId="77777777" w:rsidR="000C180C" w:rsidRPr="000D51FC" w:rsidRDefault="000C180C" w:rsidP="000D51FC">
      <w:pPr>
        <w:spacing w:line="360" w:lineRule="auto"/>
        <w:rPr>
          <w:rFonts w:ascii="Arial" w:hAnsi="Arial" w:cs="Arial"/>
          <w:b/>
          <w:bCs/>
        </w:rPr>
      </w:pPr>
      <w:r w:rsidRPr="000D51FC">
        <w:rPr>
          <w:rFonts w:ascii="Arial" w:hAnsi="Arial" w:cs="Arial"/>
          <w:b/>
          <w:bCs/>
        </w:rPr>
        <w:lastRenderedPageBreak/>
        <w:t>Net profit margin = Net income / Net sales</w:t>
      </w:r>
    </w:p>
    <w:p w14:paraId="374D3FA0" w14:textId="77777777" w:rsidR="000C180C" w:rsidRPr="000D51FC" w:rsidRDefault="000C180C" w:rsidP="000D51FC">
      <w:pPr>
        <w:numPr>
          <w:ilvl w:val="0"/>
          <w:numId w:val="6"/>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38,572 / 614,680 = </w:t>
      </w:r>
      <w:r w:rsidRPr="000D51FC">
        <w:rPr>
          <w:rFonts w:ascii="Arial" w:hAnsi="Arial" w:cs="Arial"/>
          <w:b/>
          <w:bCs/>
        </w:rPr>
        <w:t>6.28%</w:t>
      </w:r>
      <w:r w:rsidRPr="000D51FC">
        <w:rPr>
          <w:rFonts w:ascii="Arial" w:hAnsi="Arial" w:cs="Arial"/>
        </w:rPr>
        <w:t xml:space="preserve"> (6.3%)</w:t>
      </w:r>
    </w:p>
    <w:p w14:paraId="298EB192" w14:textId="77777777" w:rsidR="000C180C" w:rsidRPr="000D51FC" w:rsidRDefault="000C180C" w:rsidP="000D51FC">
      <w:pPr>
        <w:numPr>
          <w:ilvl w:val="0"/>
          <w:numId w:val="6"/>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5,301 / 601,602 = </w:t>
      </w:r>
      <w:r w:rsidRPr="000D51FC">
        <w:rPr>
          <w:rFonts w:ascii="Arial" w:hAnsi="Arial" w:cs="Arial"/>
          <w:b/>
          <w:bCs/>
        </w:rPr>
        <w:t>0.88%</w:t>
      </w:r>
      <w:r w:rsidRPr="000D51FC">
        <w:rPr>
          <w:rFonts w:ascii="Arial" w:hAnsi="Arial" w:cs="Arial"/>
        </w:rPr>
        <w:t xml:space="preserve"> (0.9%)</w:t>
      </w:r>
    </w:p>
    <w:p w14:paraId="623EFCB6" w14:textId="77777777" w:rsidR="000C180C" w:rsidRPr="000D51FC" w:rsidRDefault="000C180C" w:rsidP="000D51FC">
      <w:pPr>
        <w:numPr>
          <w:ilvl w:val="0"/>
          <w:numId w:val="6"/>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407 / 542,751 = </w:t>
      </w:r>
      <w:r w:rsidRPr="000D51FC">
        <w:rPr>
          <w:rFonts w:ascii="Arial" w:hAnsi="Arial" w:cs="Arial"/>
          <w:b/>
          <w:bCs/>
        </w:rPr>
        <w:t>0.075%</w:t>
      </w:r>
      <w:r w:rsidRPr="000D51FC">
        <w:rPr>
          <w:rFonts w:ascii="Arial" w:hAnsi="Arial" w:cs="Arial"/>
        </w:rPr>
        <w:t xml:space="preserve"> (0.08%)</w:t>
      </w:r>
    </w:p>
    <w:p w14:paraId="2571C7AE" w14:textId="77777777" w:rsidR="000C180C" w:rsidRPr="000D51FC" w:rsidRDefault="000C180C" w:rsidP="000D51FC">
      <w:pPr>
        <w:numPr>
          <w:ilvl w:val="0"/>
          <w:numId w:val="6"/>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-98,238 / 420,457 = </w:t>
      </w:r>
      <w:r w:rsidRPr="000D51FC">
        <w:rPr>
          <w:rFonts w:ascii="Arial" w:hAnsi="Arial" w:cs="Arial"/>
          <w:b/>
          <w:bCs/>
        </w:rPr>
        <w:t>-23.37%</w:t>
      </w:r>
      <w:r w:rsidRPr="000D51FC">
        <w:rPr>
          <w:rFonts w:ascii="Arial" w:hAnsi="Arial" w:cs="Arial"/>
        </w:rPr>
        <w:t xml:space="preserve"> (-23.4%)</w:t>
      </w:r>
    </w:p>
    <w:p w14:paraId="033E9A3C" w14:textId="2B5922F0" w:rsidR="00B61874" w:rsidRPr="000D51FC" w:rsidRDefault="000C180C" w:rsidP="000D51FC">
      <w:pPr>
        <w:numPr>
          <w:ilvl w:val="0"/>
          <w:numId w:val="6"/>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-24,029 / 394,879 = </w:t>
      </w:r>
      <w:r w:rsidRPr="000D51FC">
        <w:rPr>
          <w:rFonts w:ascii="Arial" w:hAnsi="Arial" w:cs="Arial"/>
          <w:b/>
          <w:bCs/>
        </w:rPr>
        <w:t>-6.09%</w:t>
      </w:r>
      <w:r w:rsidRPr="000D51FC">
        <w:rPr>
          <w:rFonts w:ascii="Arial" w:hAnsi="Arial" w:cs="Arial"/>
        </w:rPr>
        <w:t xml:space="preserve"> (-6.1%)</w:t>
      </w:r>
    </w:p>
    <w:p w14:paraId="1E987CC9" w14:textId="77777777" w:rsidR="000C180C" w:rsidRPr="000D51FC" w:rsidRDefault="000C180C" w:rsidP="000D51FC">
      <w:pPr>
        <w:spacing w:line="360" w:lineRule="auto"/>
        <w:rPr>
          <w:rFonts w:ascii="Arial" w:hAnsi="Arial" w:cs="Arial"/>
          <w:b/>
          <w:bCs/>
        </w:rPr>
      </w:pPr>
      <w:r w:rsidRPr="000D51FC">
        <w:rPr>
          <w:rFonts w:ascii="Arial" w:hAnsi="Arial" w:cs="Arial"/>
          <w:b/>
          <w:bCs/>
        </w:rPr>
        <w:t>Return on Assets (ROA) = Net income / Total assets</w:t>
      </w:r>
    </w:p>
    <w:p w14:paraId="5AF7EA68" w14:textId="77777777" w:rsidR="000C180C" w:rsidRPr="000D51FC" w:rsidRDefault="000C180C" w:rsidP="000D51FC">
      <w:pPr>
        <w:numPr>
          <w:ilvl w:val="0"/>
          <w:numId w:val="7"/>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38,572 / 510,290 = </w:t>
      </w:r>
      <w:r w:rsidRPr="000D51FC">
        <w:rPr>
          <w:rFonts w:ascii="Arial" w:hAnsi="Arial" w:cs="Arial"/>
          <w:b/>
          <w:bCs/>
        </w:rPr>
        <w:t>7.56%</w:t>
      </w:r>
      <w:r w:rsidRPr="000D51FC">
        <w:rPr>
          <w:rFonts w:ascii="Arial" w:hAnsi="Arial" w:cs="Arial"/>
        </w:rPr>
        <w:t xml:space="preserve"> (7.6%)</w:t>
      </w:r>
    </w:p>
    <w:p w14:paraId="73E88B3E" w14:textId="77777777" w:rsidR="000C180C" w:rsidRPr="000D51FC" w:rsidRDefault="000C180C" w:rsidP="000D51FC">
      <w:pPr>
        <w:numPr>
          <w:ilvl w:val="0"/>
          <w:numId w:val="7"/>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5,301 / 510,348 = </w:t>
      </w:r>
      <w:r w:rsidRPr="000D51FC">
        <w:rPr>
          <w:rFonts w:ascii="Arial" w:hAnsi="Arial" w:cs="Arial"/>
          <w:b/>
          <w:bCs/>
        </w:rPr>
        <w:t>1.04%</w:t>
      </w:r>
      <w:r w:rsidRPr="000D51FC">
        <w:rPr>
          <w:rFonts w:ascii="Arial" w:hAnsi="Arial" w:cs="Arial"/>
        </w:rPr>
        <w:t xml:space="preserve"> (1.0%)</w:t>
      </w:r>
    </w:p>
    <w:p w14:paraId="3B32C634" w14:textId="77777777" w:rsidR="000C180C" w:rsidRPr="000D51FC" w:rsidRDefault="000C180C" w:rsidP="000D51FC">
      <w:pPr>
        <w:numPr>
          <w:ilvl w:val="0"/>
          <w:numId w:val="7"/>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407 / 504,163 = </w:t>
      </w:r>
      <w:r w:rsidRPr="000D51FC">
        <w:rPr>
          <w:rFonts w:ascii="Arial" w:hAnsi="Arial" w:cs="Arial"/>
          <w:b/>
          <w:bCs/>
        </w:rPr>
        <w:t>0.081%</w:t>
      </w:r>
      <w:r w:rsidRPr="000D51FC">
        <w:rPr>
          <w:rFonts w:ascii="Arial" w:hAnsi="Arial" w:cs="Arial"/>
        </w:rPr>
        <w:t xml:space="preserve"> (0.08%)</w:t>
      </w:r>
    </w:p>
    <w:p w14:paraId="25EA9C53" w14:textId="77777777" w:rsidR="000C180C" w:rsidRPr="000D51FC" w:rsidRDefault="000C180C" w:rsidP="000D51FC">
      <w:pPr>
        <w:numPr>
          <w:ilvl w:val="0"/>
          <w:numId w:val="7"/>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-98,238 / 355,872 = </w:t>
      </w:r>
      <w:r w:rsidRPr="000D51FC">
        <w:rPr>
          <w:rFonts w:ascii="Arial" w:hAnsi="Arial" w:cs="Arial"/>
          <w:b/>
          <w:bCs/>
        </w:rPr>
        <w:t>-27.60%</w:t>
      </w:r>
      <w:r w:rsidRPr="000D51FC">
        <w:rPr>
          <w:rFonts w:ascii="Arial" w:hAnsi="Arial" w:cs="Arial"/>
        </w:rPr>
        <w:t xml:space="preserve"> (-27.6%)</w:t>
      </w:r>
    </w:p>
    <w:p w14:paraId="347BD10E" w14:textId="77777777" w:rsidR="000C180C" w:rsidRPr="000D51FC" w:rsidRDefault="000C180C" w:rsidP="000D51FC">
      <w:pPr>
        <w:numPr>
          <w:ilvl w:val="0"/>
          <w:numId w:val="7"/>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-24,029 / 323,354 = </w:t>
      </w:r>
      <w:r w:rsidRPr="000D51FC">
        <w:rPr>
          <w:rFonts w:ascii="Arial" w:hAnsi="Arial" w:cs="Arial"/>
          <w:b/>
          <w:bCs/>
        </w:rPr>
        <w:t>-7.44%</w:t>
      </w:r>
      <w:r w:rsidRPr="000D51FC">
        <w:rPr>
          <w:rFonts w:ascii="Arial" w:hAnsi="Arial" w:cs="Arial"/>
        </w:rPr>
        <w:t xml:space="preserve"> (-7.4%)</w:t>
      </w:r>
    </w:p>
    <w:p w14:paraId="0D0FC2B5" w14:textId="77777777" w:rsidR="000C180C" w:rsidRPr="000D51FC" w:rsidRDefault="000C180C" w:rsidP="000D51FC">
      <w:pPr>
        <w:spacing w:line="360" w:lineRule="auto"/>
        <w:rPr>
          <w:rFonts w:ascii="Arial" w:hAnsi="Arial" w:cs="Arial"/>
          <w:b/>
          <w:bCs/>
        </w:rPr>
      </w:pPr>
      <w:r w:rsidRPr="000D51FC">
        <w:rPr>
          <w:rFonts w:ascii="Arial" w:hAnsi="Arial" w:cs="Arial"/>
          <w:b/>
          <w:bCs/>
        </w:rPr>
        <w:t>Return on Equity (ROE) = Net income / Total equity</w:t>
      </w:r>
    </w:p>
    <w:p w14:paraId="30AD4B35" w14:textId="77777777" w:rsidR="000C180C" w:rsidRPr="000D51FC" w:rsidRDefault="000C180C" w:rsidP="000D51FC">
      <w:pPr>
        <w:numPr>
          <w:ilvl w:val="0"/>
          <w:numId w:val="8"/>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38,572 / 313,301 = </w:t>
      </w:r>
      <w:r w:rsidRPr="000D51FC">
        <w:rPr>
          <w:rFonts w:ascii="Arial" w:hAnsi="Arial" w:cs="Arial"/>
          <w:b/>
          <w:bCs/>
        </w:rPr>
        <w:t>12.31%</w:t>
      </w:r>
      <w:r w:rsidRPr="000D51FC">
        <w:rPr>
          <w:rFonts w:ascii="Arial" w:hAnsi="Arial" w:cs="Arial"/>
        </w:rPr>
        <w:t xml:space="preserve"> (12.3%)</w:t>
      </w:r>
    </w:p>
    <w:p w14:paraId="032B059A" w14:textId="77777777" w:rsidR="000C180C" w:rsidRPr="000D51FC" w:rsidRDefault="000C180C" w:rsidP="000D51FC">
      <w:pPr>
        <w:numPr>
          <w:ilvl w:val="0"/>
          <w:numId w:val="8"/>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5,301 / 275,949 = </w:t>
      </w:r>
      <w:r w:rsidRPr="000D51FC">
        <w:rPr>
          <w:rFonts w:ascii="Arial" w:hAnsi="Arial" w:cs="Arial"/>
          <w:b/>
          <w:bCs/>
        </w:rPr>
        <w:t>1.92%</w:t>
      </w:r>
      <w:r w:rsidRPr="000D51FC">
        <w:rPr>
          <w:rFonts w:ascii="Arial" w:hAnsi="Arial" w:cs="Arial"/>
        </w:rPr>
        <w:t xml:space="preserve"> (1.9%)</w:t>
      </w:r>
    </w:p>
    <w:p w14:paraId="24829427" w14:textId="77777777" w:rsidR="000C180C" w:rsidRPr="000D51FC" w:rsidRDefault="000C180C" w:rsidP="000D51FC">
      <w:pPr>
        <w:numPr>
          <w:ilvl w:val="0"/>
          <w:numId w:val="8"/>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407 / 268,406 = </w:t>
      </w:r>
      <w:r w:rsidRPr="000D51FC">
        <w:rPr>
          <w:rFonts w:ascii="Arial" w:hAnsi="Arial" w:cs="Arial"/>
          <w:b/>
          <w:bCs/>
        </w:rPr>
        <w:t>0.152%</w:t>
      </w:r>
      <w:r w:rsidRPr="000D51FC">
        <w:rPr>
          <w:rFonts w:ascii="Arial" w:hAnsi="Arial" w:cs="Arial"/>
        </w:rPr>
        <w:t xml:space="preserve"> (0.15%)</w:t>
      </w:r>
    </w:p>
    <w:p w14:paraId="407A6048" w14:textId="77777777" w:rsidR="000C180C" w:rsidRPr="000D51FC" w:rsidRDefault="000C180C" w:rsidP="000D51FC">
      <w:pPr>
        <w:numPr>
          <w:ilvl w:val="0"/>
          <w:numId w:val="8"/>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-98,238 / 178,920 = </w:t>
      </w:r>
      <w:r w:rsidRPr="000D51FC">
        <w:rPr>
          <w:rFonts w:ascii="Arial" w:hAnsi="Arial" w:cs="Arial"/>
          <w:b/>
          <w:bCs/>
        </w:rPr>
        <w:t>-54.89%</w:t>
      </w:r>
      <w:r w:rsidRPr="000D51FC">
        <w:rPr>
          <w:rFonts w:ascii="Arial" w:hAnsi="Arial" w:cs="Arial"/>
        </w:rPr>
        <w:t xml:space="preserve"> (-54.9%)</w:t>
      </w:r>
    </w:p>
    <w:p w14:paraId="20339452" w14:textId="5AAC7731" w:rsidR="000D1FE3" w:rsidRPr="000D51FC" w:rsidRDefault="000C180C" w:rsidP="000D51FC">
      <w:pPr>
        <w:numPr>
          <w:ilvl w:val="0"/>
          <w:numId w:val="8"/>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-24,029 / 153,105 = </w:t>
      </w:r>
      <w:r w:rsidRPr="000D51FC">
        <w:rPr>
          <w:rFonts w:ascii="Arial" w:hAnsi="Arial" w:cs="Arial"/>
          <w:b/>
          <w:bCs/>
        </w:rPr>
        <w:t>-15.70%</w:t>
      </w:r>
      <w:r w:rsidRPr="000D51FC">
        <w:rPr>
          <w:rFonts w:ascii="Arial" w:hAnsi="Arial" w:cs="Arial"/>
        </w:rPr>
        <w:t xml:space="preserve"> (-15.7%)</w:t>
      </w:r>
    </w:p>
    <w:p w14:paraId="07BF43FE" w14:textId="77777777" w:rsidR="00494106" w:rsidRPr="000D51FC" w:rsidRDefault="00494106" w:rsidP="000D51FC">
      <w:pPr>
        <w:spacing w:before="160" w:after="160" w:line="360" w:lineRule="auto"/>
        <w:rPr>
          <w:rFonts w:ascii="Arial" w:hAnsi="Arial" w:cs="Arial"/>
        </w:rPr>
      </w:pPr>
    </w:p>
    <w:p w14:paraId="2C028841" w14:textId="77777777" w:rsidR="00494106" w:rsidRPr="000D51FC" w:rsidRDefault="00494106" w:rsidP="000D51FC">
      <w:pPr>
        <w:spacing w:before="160" w:after="160" w:line="360" w:lineRule="auto"/>
        <w:rPr>
          <w:rFonts w:ascii="Arial" w:hAnsi="Arial" w:cs="Arial"/>
        </w:rPr>
      </w:pPr>
    </w:p>
    <w:p w14:paraId="2EE2F0AE" w14:textId="77777777" w:rsidR="00494106" w:rsidRPr="000D51FC" w:rsidRDefault="00494106" w:rsidP="000D51FC">
      <w:pPr>
        <w:spacing w:before="160" w:after="160" w:line="360" w:lineRule="auto"/>
        <w:rPr>
          <w:rFonts w:ascii="Arial" w:hAnsi="Arial" w:cs="Arial"/>
        </w:rPr>
      </w:pPr>
    </w:p>
    <w:p w14:paraId="27BCF00E" w14:textId="77777777" w:rsidR="00494106" w:rsidRDefault="00494106" w:rsidP="000D51FC">
      <w:pPr>
        <w:spacing w:before="160" w:after="160" w:line="360" w:lineRule="auto"/>
        <w:rPr>
          <w:rFonts w:ascii="Arial" w:hAnsi="Arial" w:cs="Arial"/>
        </w:rPr>
      </w:pPr>
    </w:p>
    <w:p w14:paraId="602DB373" w14:textId="77777777" w:rsidR="00D70911" w:rsidRPr="000D51FC" w:rsidRDefault="00D70911" w:rsidP="000D51FC">
      <w:pPr>
        <w:spacing w:before="160" w:after="160" w:line="360" w:lineRule="auto"/>
        <w:rPr>
          <w:rFonts w:ascii="Arial" w:hAnsi="Arial" w:cs="Arial"/>
        </w:rPr>
      </w:pPr>
    </w:p>
    <w:p w14:paraId="05F92C9E" w14:textId="77777777" w:rsidR="00494106" w:rsidRPr="000D51FC" w:rsidRDefault="00494106" w:rsidP="000D51FC">
      <w:pPr>
        <w:spacing w:before="160" w:after="160" w:line="360" w:lineRule="auto"/>
        <w:rPr>
          <w:rFonts w:ascii="Arial" w:hAnsi="Arial" w:cs="Arial"/>
        </w:rPr>
      </w:pPr>
    </w:p>
    <w:p w14:paraId="35E03C83" w14:textId="108F1769" w:rsidR="004A4F36" w:rsidRPr="000D51FC" w:rsidRDefault="004A4F36" w:rsidP="000D51FC">
      <w:pPr>
        <w:spacing w:line="360" w:lineRule="auto"/>
        <w:jc w:val="center"/>
        <w:rPr>
          <w:rFonts w:ascii="Arial" w:hAnsi="Arial" w:cs="Arial"/>
        </w:rPr>
      </w:pPr>
      <w:r w:rsidRPr="000D51FC">
        <w:rPr>
          <w:rFonts w:ascii="Arial" w:hAnsi="Arial" w:cs="Arial"/>
          <w:b/>
          <w:bCs/>
        </w:rPr>
        <w:lastRenderedPageBreak/>
        <w:t xml:space="preserve">Table 1: </w:t>
      </w:r>
      <w:r w:rsidRPr="000D51FC">
        <w:rPr>
          <w:rFonts w:ascii="Arial" w:hAnsi="Arial" w:cs="Arial"/>
          <w:b/>
          <w:bCs/>
          <w:lang w:val="en-US"/>
        </w:rPr>
        <w:t>Profitability Ratios, 2020–2024</w:t>
      </w:r>
    </w:p>
    <w:tbl>
      <w:tblPr>
        <w:tblStyle w:val="GridTable5Dark-Accent4"/>
        <w:tblW w:w="10201" w:type="dxa"/>
        <w:jc w:val="center"/>
        <w:tblLook w:val="04A0" w:firstRow="1" w:lastRow="0" w:firstColumn="1" w:lastColumn="0" w:noHBand="0" w:noVBand="1"/>
      </w:tblPr>
      <w:tblGrid>
        <w:gridCol w:w="1470"/>
        <w:gridCol w:w="1723"/>
        <w:gridCol w:w="2070"/>
        <w:gridCol w:w="1723"/>
        <w:gridCol w:w="1461"/>
        <w:gridCol w:w="1754"/>
      </w:tblGrid>
      <w:tr w:rsidR="000C180C" w:rsidRPr="000D51FC" w14:paraId="593CF24B" w14:textId="77777777" w:rsidTr="000D1FE3">
        <w:trPr>
          <w:cnfStyle w:val="100000000000" w:firstRow="1" w:lastRow="0" w:firstColumn="0" w:lastColumn="0" w:oddVBand="0" w:evenVBand="0" w:oddHBand="0" w:evenHBand="0" w:firstRowFirstColumn="0" w:firstRowLastColumn="0" w:lastRowFirstColumn="0" w:lastRowLastColumn="0"/>
          <w:trHeight w:val="102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CEA2AF" w14:textId="77777777" w:rsidR="000C180C" w:rsidRPr="000D51FC" w:rsidRDefault="000C180C" w:rsidP="000D51FC">
            <w:pPr>
              <w:spacing w:before="160" w:after="160" w:line="360" w:lineRule="auto"/>
              <w:ind w:left="720" w:firstLine="0"/>
              <w:jc w:val="center"/>
              <w:rPr>
                <w:rFonts w:ascii="Arial" w:hAnsi="Arial" w:cs="Arial"/>
                <w:color w:val="F2F2F2" w:themeColor="background1" w:themeShade="F2"/>
                <w:lang w:val="en-IN"/>
              </w:rPr>
            </w:pPr>
            <w:r w:rsidRPr="000D51FC">
              <w:rPr>
                <w:rFonts w:ascii="Arial" w:hAnsi="Arial" w:cs="Arial"/>
                <w:color w:val="F2F2F2" w:themeColor="background1" w:themeShade="F2"/>
                <w:lang w:val="en-IN"/>
              </w:rPr>
              <w:t>Year</w:t>
            </w:r>
          </w:p>
        </w:tc>
        <w:tc>
          <w:tcPr>
            <w:tcW w:w="0" w:type="auto"/>
            <w:hideMark/>
          </w:tcPr>
          <w:p w14:paraId="4343EE16" w14:textId="77777777" w:rsidR="000C180C" w:rsidRPr="000D51FC" w:rsidRDefault="000C180C"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Gross Profit Margin (%)</w:t>
            </w:r>
          </w:p>
        </w:tc>
        <w:tc>
          <w:tcPr>
            <w:tcW w:w="0" w:type="auto"/>
            <w:hideMark/>
          </w:tcPr>
          <w:p w14:paraId="2011AC05" w14:textId="77777777" w:rsidR="000C180C" w:rsidRPr="000D51FC" w:rsidRDefault="000C180C"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Operating Margin (%)</w:t>
            </w:r>
          </w:p>
        </w:tc>
        <w:tc>
          <w:tcPr>
            <w:tcW w:w="0" w:type="auto"/>
            <w:hideMark/>
          </w:tcPr>
          <w:p w14:paraId="6100F01D" w14:textId="77777777" w:rsidR="000C180C" w:rsidRPr="000D51FC" w:rsidRDefault="000C180C"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Net Profit Margin (%)</w:t>
            </w:r>
          </w:p>
        </w:tc>
        <w:tc>
          <w:tcPr>
            <w:tcW w:w="0" w:type="auto"/>
            <w:hideMark/>
          </w:tcPr>
          <w:p w14:paraId="7C08807E" w14:textId="77777777" w:rsidR="000C180C" w:rsidRPr="000D51FC" w:rsidRDefault="000C180C"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ROA (%)</w:t>
            </w:r>
          </w:p>
        </w:tc>
        <w:tc>
          <w:tcPr>
            <w:tcW w:w="1754" w:type="dxa"/>
            <w:hideMark/>
          </w:tcPr>
          <w:p w14:paraId="6D365A8E" w14:textId="77777777" w:rsidR="000C180C" w:rsidRPr="000D51FC" w:rsidRDefault="000C180C"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ROE (%)</w:t>
            </w:r>
          </w:p>
        </w:tc>
      </w:tr>
      <w:tr w:rsidR="000C180C" w:rsidRPr="000D51FC" w14:paraId="64FE14B0" w14:textId="77777777" w:rsidTr="000D1FE3">
        <w:trPr>
          <w:cnfStyle w:val="000000100000" w:firstRow="0" w:lastRow="0" w:firstColumn="0" w:lastColumn="0" w:oddVBand="0" w:evenVBand="0" w:oddHBand="1" w:evenHBand="0" w:firstRowFirstColumn="0" w:firstRowLastColumn="0" w:lastRowFirstColumn="0" w:lastRowLastColumn="0"/>
          <w:trHeight w:val="58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281911" w14:textId="77777777" w:rsidR="000C180C" w:rsidRPr="000D51FC" w:rsidRDefault="000C180C"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2020</w:t>
            </w:r>
          </w:p>
        </w:tc>
        <w:tc>
          <w:tcPr>
            <w:tcW w:w="0" w:type="auto"/>
            <w:hideMark/>
          </w:tcPr>
          <w:p w14:paraId="27565148"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28.68</w:t>
            </w:r>
          </w:p>
        </w:tc>
        <w:tc>
          <w:tcPr>
            <w:tcW w:w="0" w:type="auto"/>
            <w:hideMark/>
          </w:tcPr>
          <w:p w14:paraId="35790229"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6.06</w:t>
            </w:r>
          </w:p>
        </w:tc>
        <w:tc>
          <w:tcPr>
            <w:tcW w:w="0" w:type="auto"/>
            <w:hideMark/>
          </w:tcPr>
          <w:p w14:paraId="7E54B1E9"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6.28</w:t>
            </w:r>
          </w:p>
        </w:tc>
        <w:tc>
          <w:tcPr>
            <w:tcW w:w="0" w:type="auto"/>
            <w:hideMark/>
          </w:tcPr>
          <w:p w14:paraId="123A41BE"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7.56</w:t>
            </w:r>
          </w:p>
        </w:tc>
        <w:tc>
          <w:tcPr>
            <w:tcW w:w="1754" w:type="dxa"/>
            <w:hideMark/>
          </w:tcPr>
          <w:p w14:paraId="5FF8C082"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12.31</w:t>
            </w:r>
          </w:p>
        </w:tc>
      </w:tr>
      <w:tr w:rsidR="000C180C" w:rsidRPr="000D51FC" w14:paraId="49FDF46F" w14:textId="77777777" w:rsidTr="000D1FE3">
        <w:trPr>
          <w:trHeight w:val="59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6C9F80" w14:textId="77777777" w:rsidR="000C180C" w:rsidRPr="000D51FC" w:rsidRDefault="000C180C"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2021</w:t>
            </w:r>
          </w:p>
        </w:tc>
        <w:tc>
          <w:tcPr>
            <w:tcW w:w="0" w:type="auto"/>
            <w:hideMark/>
          </w:tcPr>
          <w:p w14:paraId="1C2F92C5"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28.75</w:t>
            </w:r>
          </w:p>
        </w:tc>
        <w:tc>
          <w:tcPr>
            <w:tcW w:w="0" w:type="auto"/>
            <w:hideMark/>
          </w:tcPr>
          <w:p w14:paraId="681E5BEB"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3.87</w:t>
            </w:r>
          </w:p>
        </w:tc>
        <w:tc>
          <w:tcPr>
            <w:tcW w:w="0" w:type="auto"/>
            <w:hideMark/>
          </w:tcPr>
          <w:p w14:paraId="6FB93ABB"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0.88</w:t>
            </w:r>
          </w:p>
        </w:tc>
        <w:tc>
          <w:tcPr>
            <w:tcW w:w="0" w:type="auto"/>
            <w:hideMark/>
          </w:tcPr>
          <w:p w14:paraId="300F1B82"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1.04</w:t>
            </w:r>
          </w:p>
        </w:tc>
        <w:tc>
          <w:tcPr>
            <w:tcW w:w="1754" w:type="dxa"/>
            <w:hideMark/>
          </w:tcPr>
          <w:p w14:paraId="4E9F2291"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1.92</w:t>
            </w:r>
          </w:p>
        </w:tc>
      </w:tr>
      <w:tr w:rsidR="000C180C" w:rsidRPr="000D51FC" w14:paraId="49C89141" w14:textId="77777777" w:rsidTr="000D1FE3">
        <w:trPr>
          <w:cnfStyle w:val="000000100000" w:firstRow="0" w:lastRow="0" w:firstColumn="0" w:lastColumn="0" w:oddVBand="0" w:evenVBand="0" w:oddHBand="1" w:evenHBand="0" w:firstRowFirstColumn="0" w:firstRowLastColumn="0" w:lastRowFirstColumn="0" w:lastRowLastColumn="0"/>
          <w:trHeight w:val="59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972569" w14:textId="77777777" w:rsidR="000C180C" w:rsidRPr="000D51FC" w:rsidRDefault="000C180C"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2022</w:t>
            </w:r>
          </w:p>
        </w:tc>
        <w:tc>
          <w:tcPr>
            <w:tcW w:w="0" w:type="auto"/>
            <w:hideMark/>
          </w:tcPr>
          <w:p w14:paraId="7782F3E0"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28.06</w:t>
            </w:r>
          </w:p>
        </w:tc>
        <w:tc>
          <w:tcPr>
            <w:tcW w:w="0" w:type="auto"/>
            <w:hideMark/>
          </w:tcPr>
          <w:p w14:paraId="75D2C432"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2.68</w:t>
            </w:r>
          </w:p>
        </w:tc>
        <w:tc>
          <w:tcPr>
            <w:tcW w:w="0" w:type="auto"/>
            <w:hideMark/>
          </w:tcPr>
          <w:p w14:paraId="31BD9AB1"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0.08</w:t>
            </w:r>
          </w:p>
        </w:tc>
        <w:tc>
          <w:tcPr>
            <w:tcW w:w="0" w:type="auto"/>
            <w:hideMark/>
          </w:tcPr>
          <w:p w14:paraId="51E43AC3"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0.08</w:t>
            </w:r>
          </w:p>
        </w:tc>
        <w:tc>
          <w:tcPr>
            <w:tcW w:w="1754" w:type="dxa"/>
            <w:hideMark/>
          </w:tcPr>
          <w:p w14:paraId="3BAF291A"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0.15</w:t>
            </w:r>
          </w:p>
        </w:tc>
      </w:tr>
      <w:tr w:rsidR="000C180C" w:rsidRPr="000D51FC" w14:paraId="34A33C55" w14:textId="77777777" w:rsidTr="000D1FE3">
        <w:trPr>
          <w:trHeight w:val="92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79370B" w14:textId="77777777" w:rsidR="000C180C" w:rsidRPr="000D51FC" w:rsidRDefault="000C180C"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2023</w:t>
            </w:r>
          </w:p>
        </w:tc>
        <w:tc>
          <w:tcPr>
            <w:tcW w:w="0" w:type="auto"/>
            <w:hideMark/>
          </w:tcPr>
          <w:p w14:paraId="7B415EF5"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23.21</w:t>
            </w:r>
          </w:p>
        </w:tc>
        <w:tc>
          <w:tcPr>
            <w:tcW w:w="0" w:type="auto"/>
            <w:hideMark/>
          </w:tcPr>
          <w:p w14:paraId="15E4E587"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-20.29</w:t>
            </w:r>
          </w:p>
        </w:tc>
        <w:tc>
          <w:tcPr>
            <w:tcW w:w="0" w:type="auto"/>
            <w:hideMark/>
          </w:tcPr>
          <w:p w14:paraId="09461DB9"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-23.37</w:t>
            </w:r>
          </w:p>
        </w:tc>
        <w:tc>
          <w:tcPr>
            <w:tcW w:w="0" w:type="auto"/>
            <w:hideMark/>
          </w:tcPr>
          <w:p w14:paraId="61EF0617" w14:textId="7A215B02" w:rsidR="000C180C" w:rsidRPr="000D51FC" w:rsidRDefault="004A4F36" w:rsidP="000D51FC">
            <w:pPr>
              <w:spacing w:before="160"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 xml:space="preserve">- </w:t>
            </w:r>
            <w:r w:rsidR="000C180C" w:rsidRPr="000D51FC">
              <w:rPr>
                <w:rFonts w:ascii="Arial" w:hAnsi="Arial" w:cs="Arial"/>
                <w:lang w:val="en-IN"/>
              </w:rPr>
              <w:t>27.60</w:t>
            </w:r>
          </w:p>
        </w:tc>
        <w:tc>
          <w:tcPr>
            <w:tcW w:w="1754" w:type="dxa"/>
            <w:hideMark/>
          </w:tcPr>
          <w:p w14:paraId="29C98FED" w14:textId="77777777" w:rsidR="000C180C" w:rsidRPr="000D51FC" w:rsidRDefault="000C180C"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-54.89</w:t>
            </w:r>
          </w:p>
        </w:tc>
      </w:tr>
      <w:tr w:rsidR="000C180C" w:rsidRPr="000D51FC" w14:paraId="64BACDFA" w14:textId="77777777" w:rsidTr="000D1FE3">
        <w:trPr>
          <w:cnfStyle w:val="000000100000" w:firstRow="0" w:lastRow="0" w:firstColumn="0" w:lastColumn="0" w:oddVBand="0" w:evenVBand="0" w:oddHBand="1" w:evenHBand="0" w:firstRowFirstColumn="0" w:firstRowLastColumn="0" w:lastRowFirstColumn="0" w:lastRowLastColumn="0"/>
          <w:trHeight w:val="77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4E5C6C" w14:textId="77777777" w:rsidR="000C180C" w:rsidRPr="000D51FC" w:rsidRDefault="000C180C"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2024</w:t>
            </w:r>
          </w:p>
        </w:tc>
        <w:tc>
          <w:tcPr>
            <w:tcW w:w="0" w:type="auto"/>
            <w:hideMark/>
          </w:tcPr>
          <w:p w14:paraId="5A3C8961"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28.87</w:t>
            </w:r>
          </w:p>
        </w:tc>
        <w:tc>
          <w:tcPr>
            <w:tcW w:w="0" w:type="auto"/>
            <w:hideMark/>
          </w:tcPr>
          <w:p w14:paraId="5F6F28AD"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-3.88</w:t>
            </w:r>
          </w:p>
        </w:tc>
        <w:tc>
          <w:tcPr>
            <w:tcW w:w="0" w:type="auto"/>
            <w:hideMark/>
          </w:tcPr>
          <w:p w14:paraId="467857E7"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-6.09</w:t>
            </w:r>
          </w:p>
        </w:tc>
        <w:tc>
          <w:tcPr>
            <w:tcW w:w="0" w:type="auto"/>
            <w:hideMark/>
          </w:tcPr>
          <w:p w14:paraId="11D117B5"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-7.44</w:t>
            </w:r>
          </w:p>
        </w:tc>
        <w:tc>
          <w:tcPr>
            <w:tcW w:w="1754" w:type="dxa"/>
            <w:hideMark/>
          </w:tcPr>
          <w:p w14:paraId="1D87259E" w14:textId="77777777" w:rsidR="000C180C" w:rsidRPr="000D51FC" w:rsidRDefault="000C180C"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-15.70</w:t>
            </w:r>
          </w:p>
        </w:tc>
      </w:tr>
    </w:tbl>
    <w:p w14:paraId="19155582" w14:textId="77777777" w:rsidR="00FD37AA" w:rsidRPr="000D51FC" w:rsidRDefault="00FD37AA" w:rsidP="000D51FC">
      <w:pPr>
        <w:spacing w:before="160" w:after="160" w:line="360" w:lineRule="auto"/>
        <w:ind w:left="0" w:firstLine="0"/>
        <w:rPr>
          <w:rFonts w:ascii="Arial" w:hAnsi="Arial" w:cs="Arial"/>
        </w:rPr>
      </w:pPr>
    </w:p>
    <w:p w14:paraId="419E1C01" w14:textId="527CAE62" w:rsidR="004E20EE" w:rsidRPr="000D51FC" w:rsidRDefault="004E20EE" w:rsidP="000D51FC">
      <w:pPr>
        <w:spacing w:line="360" w:lineRule="auto"/>
        <w:rPr>
          <w:rFonts w:ascii="Arial" w:hAnsi="Arial" w:cs="Arial"/>
          <w:b/>
          <w:bCs/>
          <w:lang w:val="en-IN" w:eastAsia="en-GB"/>
        </w:rPr>
      </w:pPr>
      <w:r w:rsidRPr="000D51FC">
        <w:rPr>
          <w:rFonts w:ascii="Arial" w:hAnsi="Arial" w:cs="Arial"/>
          <w:b/>
          <w:bCs/>
          <w:lang w:val="en-IN" w:eastAsia="en-GB"/>
        </w:rPr>
        <w:t>Interpretation:</w:t>
      </w:r>
    </w:p>
    <w:p w14:paraId="01BD0BA2" w14:textId="143AD001" w:rsidR="004E20EE" w:rsidRPr="000D51FC" w:rsidRDefault="004E20EE" w:rsidP="000D51FC">
      <w:pPr>
        <w:spacing w:line="360" w:lineRule="auto"/>
        <w:rPr>
          <w:rFonts w:ascii="Arial" w:hAnsi="Arial" w:cs="Arial"/>
          <w:lang w:val="en-IN" w:eastAsia="en-GB"/>
        </w:rPr>
      </w:pPr>
      <w:r w:rsidRPr="000D51FC">
        <w:rPr>
          <w:rFonts w:ascii="Arial" w:hAnsi="Arial" w:cs="Arial"/>
          <w:lang w:val="en-IN" w:eastAsia="en-GB"/>
        </w:rPr>
        <w:t>Gross profit margin remained quite stable at around 28%-29% from 2020-2022, plunged sharply to 23.2% in 2023 due to cost pressures, and achieved a partial recovery to 28.9% in 2024. This means that, even so, the company could still maintain markups on products (Brigham &amp; Ehrhardt, 2019).</w:t>
      </w:r>
    </w:p>
    <w:p w14:paraId="199B0CE6" w14:textId="2F4A6725" w:rsidR="004E20EE" w:rsidRPr="000D51FC" w:rsidRDefault="004E20EE" w:rsidP="000D51FC">
      <w:pPr>
        <w:spacing w:line="360" w:lineRule="auto"/>
        <w:rPr>
          <w:rFonts w:ascii="Arial" w:hAnsi="Arial" w:cs="Arial"/>
          <w:lang w:val="en-IN" w:eastAsia="en-GB"/>
        </w:rPr>
      </w:pPr>
      <w:r w:rsidRPr="000D51FC">
        <w:rPr>
          <w:rFonts w:ascii="Arial" w:hAnsi="Arial" w:cs="Arial"/>
          <w:lang w:val="en-IN" w:eastAsia="en-GB"/>
        </w:rPr>
        <w:t>The operating and net margins collapsed in 2023 and in 2024, indicating high operating expenses and huge losses, hence suggesting that the firm is having difficulties in yielding profits from core operations. (Atrill &amp; McLaney, 2019)</w:t>
      </w:r>
    </w:p>
    <w:p w14:paraId="0278AC17" w14:textId="5463B36F" w:rsidR="004E20EE" w:rsidRPr="000D51FC" w:rsidRDefault="004E20EE" w:rsidP="000D51FC">
      <w:pPr>
        <w:spacing w:line="360" w:lineRule="auto"/>
        <w:rPr>
          <w:rFonts w:ascii="Arial" w:hAnsi="Arial" w:cs="Arial"/>
          <w:lang w:val="en-IN" w:eastAsia="en-GB"/>
        </w:rPr>
      </w:pPr>
      <w:r w:rsidRPr="000D51FC">
        <w:rPr>
          <w:rFonts w:ascii="Arial" w:hAnsi="Arial" w:cs="Arial"/>
          <w:lang w:val="en-IN" w:eastAsia="en-GB"/>
        </w:rPr>
        <w:t>The ROA became negative in 2023 and 2024, which shows that the firm is destroying the asset value and fails to exploit resources effectively. ROA = (Brigham &amp; Ehrhardt, 2019)</w:t>
      </w:r>
    </w:p>
    <w:p w14:paraId="31C7741B" w14:textId="7D00515E" w:rsidR="004E20EE" w:rsidRPr="000D51FC" w:rsidRDefault="004E20EE" w:rsidP="000D51FC">
      <w:pPr>
        <w:spacing w:line="360" w:lineRule="auto"/>
        <w:rPr>
          <w:rFonts w:ascii="Arial" w:hAnsi="Arial" w:cs="Arial"/>
          <w:lang w:val="en-IN" w:eastAsia="en-GB"/>
        </w:rPr>
      </w:pPr>
      <w:r w:rsidRPr="000D51FC">
        <w:rPr>
          <w:rFonts w:ascii="Arial" w:hAnsi="Arial" w:cs="Arial"/>
          <w:lang w:val="en-IN" w:eastAsia="en-GB"/>
        </w:rPr>
        <w:t xml:space="preserve">ROE has fallen dramatically from 12.3% in 2020 to -54.9% in 2023 and -15.7% in 2024, </w:t>
      </w:r>
      <w:r w:rsidR="004B40E1" w:rsidRPr="000D51FC">
        <w:rPr>
          <w:rFonts w:ascii="Arial" w:hAnsi="Arial" w:cs="Arial"/>
          <w:lang w:val="en-IN" w:eastAsia="en-GB"/>
        </w:rPr>
        <w:t>signalling</w:t>
      </w:r>
      <w:r w:rsidRPr="000D51FC">
        <w:rPr>
          <w:rFonts w:ascii="Arial" w:hAnsi="Arial" w:cs="Arial"/>
          <w:lang w:val="en-IN" w:eastAsia="en-GB"/>
        </w:rPr>
        <w:t xml:space="preserve"> severe erosion of shareholder value and poor returns to equity investors. (Atrill &amp; McLaney, 2019)</w:t>
      </w:r>
    </w:p>
    <w:p w14:paraId="00524D10" w14:textId="77777777" w:rsidR="00834BDD" w:rsidRPr="000D51FC" w:rsidRDefault="004E20EE" w:rsidP="000D51FC">
      <w:pPr>
        <w:spacing w:line="360" w:lineRule="auto"/>
        <w:rPr>
          <w:rFonts w:ascii="Arial" w:hAnsi="Arial" w:cs="Arial"/>
          <w:lang w:val="en-IN" w:eastAsia="en-GB"/>
        </w:rPr>
      </w:pPr>
      <w:r w:rsidRPr="000D51FC">
        <w:rPr>
          <w:rFonts w:ascii="Arial" w:hAnsi="Arial" w:cs="Arial"/>
          <w:lang w:val="en-IN" w:eastAsia="en-GB"/>
        </w:rPr>
        <w:lastRenderedPageBreak/>
        <w:t>Overall, the company still retains some operational capability as shown by gross margins, but financially, performance is under severe pressure: Profitability and returns have sharply deteriorated, which indicates urgent need for corrective actions.</w:t>
      </w:r>
    </w:p>
    <w:p w14:paraId="5140E1A2" w14:textId="28E8EE6C" w:rsidR="00E26F8B" w:rsidRPr="000D51FC" w:rsidRDefault="00834BDD"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1.2 </w:t>
      </w:r>
      <w:r w:rsidRPr="000D51FC">
        <w:rPr>
          <w:rFonts w:ascii="Arial" w:hAnsi="Arial" w:cs="Arial"/>
          <w:b/>
          <w:bCs/>
        </w:rPr>
        <w:t>L</w:t>
      </w:r>
      <w:r w:rsidR="00E26F8B" w:rsidRPr="000D51FC">
        <w:rPr>
          <w:rFonts w:ascii="Arial" w:hAnsi="Arial" w:cs="Arial"/>
          <w:b/>
          <w:bCs/>
        </w:rPr>
        <w:t>iquidity Ratios</w:t>
      </w:r>
    </w:p>
    <w:p w14:paraId="5FBDBD82" w14:textId="77777777" w:rsidR="00DC29C9" w:rsidRPr="000D51FC" w:rsidRDefault="00DC29C9" w:rsidP="000D51FC">
      <w:pPr>
        <w:spacing w:line="360" w:lineRule="auto"/>
        <w:rPr>
          <w:rFonts w:ascii="Arial" w:hAnsi="Arial" w:cs="Arial"/>
          <w:lang w:val="en-IN" w:eastAsia="en-GB"/>
        </w:rPr>
      </w:pPr>
      <w:r w:rsidRPr="000D51FC">
        <w:rPr>
          <w:rFonts w:ascii="Arial" w:hAnsi="Arial" w:cs="Arial"/>
          <w:lang w:val="en-IN" w:eastAsia="en-GB"/>
        </w:rPr>
        <w:t>Liquidity refers to the firm's ability to meet short-term obligations.</w:t>
      </w:r>
    </w:p>
    <w:p w14:paraId="40140095" w14:textId="77777777" w:rsidR="00DC29C9" w:rsidRPr="000D51FC" w:rsidRDefault="00DC29C9" w:rsidP="000D51FC">
      <w:pPr>
        <w:spacing w:line="360" w:lineRule="auto"/>
        <w:rPr>
          <w:rFonts w:ascii="Arial" w:hAnsi="Arial" w:cs="Arial"/>
          <w:b/>
          <w:bCs/>
          <w:color w:val="EE0000"/>
        </w:rPr>
      </w:pPr>
      <w:r w:rsidRPr="000D51FC">
        <w:rPr>
          <w:rFonts w:ascii="Arial" w:hAnsi="Arial" w:cs="Arial"/>
          <w:b/>
          <w:bCs/>
        </w:rPr>
        <w:t>Current ratio = Current assets / Current liabilities (1.2:1 or 1:2.1)</w:t>
      </w:r>
    </w:p>
    <w:p w14:paraId="5A673CF4" w14:textId="77777777" w:rsidR="00DC29C9" w:rsidRPr="000D51FC" w:rsidRDefault="00DC29C9" w:rsidP="000D51FC">
      <w:pPr>
        <w:numPr>
          <w:ilvl w:val="0"/>
          <w:numId w:val="9"/>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326,843 / 179,510 = </w:t>
      </w:r>
      <w:r w:rsidRPr="000D51FC">
        <w:rPr>
          <w:rFonts w:ascii="Arial" w:hAnsi="Arial" w:cs="Arial"/>
          <w:b/>
          <w:bCs/>
        </w:rPr>
        <w:t>1.82</w:t>
      </w:r>
    </w:p>
    <w:p w14:paraId="459A3AE7" w14:textId="77777777" w:rsidR="00DC29C9" w:rsidRPr="000D51FC" w:rsidRDefault="00DC29C9" w:rsidP="000D51FC">
      <w:pPr>
        <w:numPr>
          <w:ilvl w:val="0"/>
          <w:numId w:val="9"/>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337,146 / 216,787 = </w:t>
      </w:r>
      <w:r w:rsidRPr="000D51FC">
        <w:rPr>
          <w:rFonts w:ascii="Arial" w:hAnsi="Arial" w:cs="Arial"/>
          <w:b/>
          <w:bCs/>
        </w:rPr>
        <w:t>1.56</w:t>
      </w:r>
    </w:p>
    <w:p w14:paraId="48D276BA" w14:textId="77777777" w:rsidR="00DC29C9" w:rsidRPr="000D51FC" w:rsidRDefault="00DC29C9" w:rsidP="000D51FC">
      <w:pPr>
        <w:numPr>
          <w:ilvl w:val="0"/>
          <w:numId w:val="9"/>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338,040 / 216,473 = </w:t>
      </w:r>
      <w:r w:rsidRPr="000D51FC">
        <w:rPr>
          <w:rFonts w:ascii="Arial" w:hAnsi="Arial" w:cs="Arial"/>
          <w:b/>
          <w:bCs/>
        </w:rPr>
        <w:t>1.56</w:t>
      </w:r>
    </w:p>
    <w:p w14:paraId="4D2189FF" w14:textId="77777777" w:rsidR="00DC29C9" w:rsidRPr="000D51FC" w:rsidRDefault="00DC29C9" w:rsidP="000D51FC">
      <w:pPr>
        <w:numPr>
          <w:ilvl w:val="0"/>
          <w:numId w:val="9"/>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258,851 / 161,148 = </w:t>
      </w:r>
      <w:r w:rsidRPr="000D51FC">
        <w:rPr>
          <w:rFonts w:ascii="Arial" w:hAnsi="Arial" w:cs="Arial"/>
          <w:b/>
          <w:bCs/>
        </w:rPr>
        <w:t>1.61</w:t>
      </w:r>
    </w:p>
    <w:p w14:paraId="1AB7DFF8" w14:textId="77777777" w:rsidR="00DC29C9" w:rsidRPr="000D51FC" w:rsidRDefault="00DC29C9" w:rsidP="000D51FC">
      <w:pPr>
        <w:numPr>
          <w:ilvl w:val="0"/>
          <w:numId w:val="9"/>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242,494 / 158,291 = </w:t>
      </w:r>
      <w:r w:rsidRPr="000D51FC">
        <w:rPr>
          <w:rFonts w:ascii="Arial" w:hAnsi="Arial" w:cs="Arial"/>
          <w:b/>
          <w:bCs/>
        </w:rPr>
        <w:t>1.53</w:t>
      </w:r>
    </w:p>
    <w:p w14:paraId="1B17E8E4" w14:textId="77777777" w:rsidR="00DC29C9" w:rsidRPr="000D51FC" w:rsidRDefault="00DC29C9" w:rsidP="000D51FC">
      <w:pPr>
        <w:spacing w:line="360" w:lineRule="auto"/>
        <w:rPr>
          <w:rFonts w:ascii="Arial" w:hAnsi="Arial" w:cs="Arial"/>
          <w:b/>
          <w:bCs/>
        </w:rPr>
      </w:pPr>
      <w:r w:rsidRPr="000D51FC">
        <w:rPr>
          <w:rFonts w:ascii="Arial" w:hAnsi="Arial" w:cs="Arial"/>
          <w:b/>
          <w:bCs/>
        </w:rPr>
        <w:t>Quick ratio = (Current assets − Inventories) / Current liabilities</w:t>
      </w:r>
    </w:p>
    <w:p w14:paraId="7F4E245A" w14:textId="77777777" w:rsidR="00DC29C9" w:rsidRPr="000D51FC" w:rsidRDefault="00DC29C9" w:rsidP="000D51FC">
      <w:pPr>
        <w:numPr>
          <w:ilvl w:val="0"/>
          <w:numId w:val="10"/>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(326,843 − 120,430) / 179,510 = </w:t>
      </w:r>
      <w:r w:rsidRPr="000D51FC">
        <w:rPr>
          <w:rFonts w:ascii="Arial" w:hAnsi="Arial" w:cs="Arial"/>
          <w:b/>
          <w:bCs/>
        </w:rPr>
        <w:t>1.15</w:t>
      </w:r>
    </w:p>
    <w:p w14:paraId="73D5935E" w14:textId="77777777" w:rsidR="00DC29C9" w:rsidRPr="000D51FC" w:rsidRDefault="00DC29C9" w:rsidP="000D51FC">
      <w:pPr>
        <w:numPr>
          <w:ilvl w:val="0"/>
          <w:numId w:val="10"/>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(337,146 − 134,469) / 216,787 = </w:t>
      </w:r>
      <w:r w:rsidRPr="000D51FC">
        <w:rPr>
          <w:rFonts w:ascii="Arial" w:hAnsi="Arial" w:cs="Arial"/>
          <w:b/>
          <w:bCs/>
        </w:rPr>
        <w:t>0.94</w:t>
      </w:r>
    </w:p>
    <w:p w14:paraId="638374F5" w14:textId="77777777" w:rsidR="00DC29C9" w:rsidRPr="000D51FC" w:rsidRDefault="00DC29C9" w:rsidP="000D51FC">
      <w:pPr>
        <w:numPr>
          <w:ilvl w:val="0"/>
          <w:numId w:val="10"/>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(338,040 − 140,181) / 216,473 = </w:t>
      </w:r>
      <w:r w:rsidRPr="000D51FC">
        <w:rPr>
          <w:rFonts w:ascii="Arial" w:hAnsi="Arial" w:cs="Arial"/>
          <w:b/>
          <w:bCs/>
        </w:rPr>
        <w:t>0.91</w:t>
      </w:r>
    </w:p>
    <w:p w14:paraId="452AC5ED" w14:textId="77777777" w:rsidR="00DC29C9" w:rsidRPr="000D51FC" w:rsidRDefault="00DC29C9" w:rsidP="000D51FC">
      <w:pPr>
        <w:numPr>
          <w:ilvl w:val="0"/>
          <w:numId w:val="10"/>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(258,851 − 88,273) / 161,148 = </w:t>
      </w:r>
      <w:r w:rsidRPr="000D51FC">
        <w:rPr>
          <w:rFonts w:ascii="Arial" w:hAnsi="Arial" w:cs="Arial"/>
          <w:b/>
          <w:bCs/>
        </w:rPr>
        <w:t>1.06</w:t>
      </w:r>
    </w:p>
    <w:p w14:paraId="14F7F6A8" w14:textId="77777777" w:rsidR="00DC29C9" w:rsidRPr="000D51FC" w:rsidRDefault="00DC29C9" w:rsidP="000D51FC">
      <w:pPr>
        <w:numPr>
          <w:ilvl w:val="0"/>
          <w:numId w:val="10"/>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(242,494 − 79,355) / 158,291 = </w:t>
      </w:r>
      <w:r w:rsidRPr="000D51FC">
        <w:rPr>
          <w:rFonts w:ascii="Arial" w:hAnsi="Arial" w:cs="Arial"/>
          <w:b/>
          <w:bCs/>
        </w:rPr>
        <w:t>1.03</w:t>
      </w:r>
    </w:p>
    <w:p w14:paraId="07BE518B" w14:textId="77777777" w:rsidR="00DC29C9" w:rsidRPr="000D51FC" w:rsidRDefault="00DC29C9" w:rsidP="000D51FC">
      <w:pPr>
        <w:spacing w:line="360" w:lineRule="auto"/>
        <w:rPr>
          <w:rFonts w:ascii="Arial" w:hAnsi="Arial" w:cs="Arial"/>
          <w:b/>
          <w:bCs/>
        </w:rPr>
      </w:pPr>
      <w:r w:rsidRPr="000D51FC">
        <w:rPr>
          <w:rFonts w:ascii="Arial" w:hAnsi="Arial" w:cs="Arial"/>
          <w:b/>
          <w:bCs/>
        </w:rPr>
        <w:t>Cash ratio = Cash / Current liabilities</w:t>
      </w:r>
    </w:p>
    <w:p w14:paraId="2B4AF20D" w14:textId="77777777" w:rsidR="00DC29C9" w:rsidRPr="000D51FC" w:rsidRDefault="00DC29C9" w:rsidP="000D51FC">
      <w:pPr>
        <w:numPr>
          <w:ilvl w:val="0"/>
          <w:numId w:val="11"/>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57,153 / 179,510 = </w:t>
      </w:r>
      <w:r w:rsidRPr="000D51FC">
        <w:rPr>
          <w:rFonts w:ascii="Arial" w:hAnsi="Arial" w:cs="Arial"/>
          <w:b/>
          <w:bCs/>
        </w:rPr>
        <w:t>0.32</w:t>
      </w:r>
    </w:p>
    <w:p w14:paraId="7534AB2B" w14:textId="77777777" w:rsidR="00DC29C9" w:rsidRPr="000D51FC" w:rsidRDefault="00DC29C9" w:rsidP="000D51FC">
      <w:pPr>
        <w:numPr>
          <w:ilvl w:val="0"/>
          <w:numId w:val="11"/>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60,813 / 216,787 = </w:t>
      </w:r>
      <w:r w:rsidRPr="000D51FC">
        <w:rPr>
          <w:rFonts w:ascii="Arial" w:hAnsi="Arial" w:cs="Arial"/>
          <w:b/>
          <w:bCs/>
        </w:rPr>
        <w:t>0.28</w:t>
      </w:r>
    </w:p>
    <w:p w14:paraId="009797A5" w14:textId="77777777" w:rsidR="00DC29C9" w:rsidRPr="000D51FC" w:rsidRDefault="00DC29C9" w:rsidP="000D51FC">
      <w:pPr>
        <w:numPr>
          <w:ilvl w:val="0"/>
          <w:numId w:val="11"/>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66,740 / 216,473 = </w:t>
      </w:r>
      <w:r w:rsidRPr="000D51FC">
        <w:rPr>
          <w:rFonts w:ascii="Arial" w:hAnsi="Arial" w:cs="Arial"/>
          <w:b/>
          <w:bCs/>
        </w:rPr>
        <w:t>0.31</w:t>
      </w:r>
    </w:p>
    <w:p w14:paraId="52A154B4" w14:textId="77777777" w:rsidR="00DC29C9" w:rsidRPr="000D51FC" w:rsidRDefault="00DC29C9" w:rsidP="000D51FC">
      <w:pPr>
        <w:numPr>
          <w:ilvl w:val="0"/>
          <w:numId w:val="11"/>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42,751 / 161,148 = </w:t>
      </w:r>
      <w:r w:rsidRPr="000D51FC">
        <w:rPr>
          <w:rFonts w:ascii="Arial" w:hAnsi="Arial" w:cs="Arial"/>
          <w:b/>
          <w:bCs/>
        </w:rPr>
        <w:t>0.27</w:t>
      </w:r>
    </w:p>
    <w:p w14:paraId="4738A058" w14:textId="2EEF790B" w:rsidR="00DC29C9" w:rsidRPr="000D51FC" w:rsidRDefault="00DC29C9" w:rsidP="000D51FC">
      <w:pPr>
        <w:numPr>
          <w:ilvl w:val="0"/>
          <w:numId w:val="11"/>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26,783 / 158,291 = </w:t>
      </w:r>
      <w:r w:rsidRPr="000D51FC">
        <w:rPr>
          <w:rFonts w:ascii="Arial" w:hAnsi="Arial" w:cs="Arial"/>
          <w:b/>
          <w:bCs/>
        </w:rPr>
        <w:t>0.17</w:t>
      </w:r>
    </w:p>
    <w:p w14:paraId="3537DB2A" w14:textId="77777777" w:rsidR="00F71442" w:rsidRPr="000D51FC" w:rsidRDefault="00F71442" w:rsidP="000D51FC">
      <w:pPr>
        <w:spacing w:before="160" w:after="160" w:line="360" w:lineRule="auto"/>
        <w:rPr>
          <w:rFonts w:ascii="Arial" w:hAnsi="Arial" w:cs="Arial"/>
          <w:b/>
          <w:bCs/>
        </w:rPr>
      </w:pPr>
    </w:p>
    <w:p w14:paraId="33326176" w14:textId="77777777" w:rsidR="00F71442" w:rsidRPr="000D51FC" w:rsidRDefault="00F71442" w:rsidP="000D51FC">
      <w:pPr>
        <w:spacing w:before="160" w:after="160" w:line="360" w:lineRule="auto"/>
        <w:rPr>
          <w:rFonts w:ascii="Arial" w:hAnsi="Arial" w:cs="Arial"/>
        </w:rPr>
      </w:pPr>
    </w:p>
    <w:p w14:paraId="3D872EBA" w14:textId="626C254F" w:rsidR="00DC29C9" w:rsidRPr="000D51FC" w:rsidRDefault="00DC29C9" w:rsidP="000D51FC">
      <w:pPr>
        <w:pStyle w:val="ListParagraph"/>
        <w:spacing w:line="360" w:lineRule="auto"/>
        <w:ind w:firstLine="0"/>
        <w:jc w:val="center"/>
        <w:rPr>
          <w:rFonts w:ascii="Arial" w:hAnsi="Arial" w:cs="Arial"/>
        </w:rPr>
      </w:pPr>
      <w:r w:rsidRPr="000D51FC">
        <w:rPr>
          <w:rFonts w:ascii="Arial" w:hAnsi="Arial" w:cs="Arial"/>
          <w:b/>
          <w:bCs/>
        </w:rPr>
        <w:lastRenderedPageBreak/>
        <w:t xml:space="preserve">Table 2: </w:t>
      </w:r>
      <w:r w:rsidRPr="000D51FC">
        <w:rPr>
          <w:rFonts w:ascii="Arial" w:hAnsi="Arial" w:cs="Arial"/>
          <w:b/>
          <w:bCs/>
          <w:lang w:val="en-US"/>
        </w:rPr>
        <w:t>Liquidity Ratios, 2020–2024</w:t>
      </w:r>
    </w:p>
    <w:tbl>
      <w:tblPr>
        <w:tblStyle w:val="GridTable5Dark-Accent4"/>
        <w:tblW w:w="8821" w:type="dxa"/>
        <w:tblLook w:val="04A0" w:firstRow="1" w:lastRow="0" w:firstColumn="1" w:lastColumn="0" w:noHBand="0" w:noVBand="1"/>
      </w:tblPr>
      <w:tblGrid>
        <w:gridCol w:w="1338"/>
        <w:gridCol w:w="2715"/>
        <w:gridCol w:w="2439"/>
        <w:gridCol w:w="2329"/>
      </w:tblGrid>
      <w:tr w:rsidR="00DC29C9" w:rsidRPr="000D51FC" w14:paraId="1A43F705" w14:textId="77777777" w:rsidTr="00DC29C9">
        <w:trPr>
          <w:cnfStyle w:val="100000000000" w:firstRow="1" w:lastRow="0" w:firstColumn="0" w:lastColumn="0" w:oddVBand="0" w:evenVBand="0" w:oddHBand="0"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1AEC3260" w14:textId="600314EF" w:rsidR="00DC29C9" w:rsidRPr="000D51FC" w:rsidRDefault="00DC29C9" w:rsidP="000D51FC">
            <w:pPr>
              <w:spacing w:line="360" w:lineRule="auto"/>
              <w:ind w:left="0" w:firstLine="0"/>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Year</w:t>
            </w:r>
          </w:p>
        </w:tc>
        <w:tc>
          <w:tcPr>
            <w:tcW w:w="0" w:type="auto"/>
            <w:hideMark/>
          </w:tcPr>
          <w:p w14:paraId="725555B4" w14:textId="77777777" w:rsidR="00DC29C9" w:rsidRPr="000D51FC" w:rsidRDefault="00DC29C9"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Current Ratio</w:t>
            </w:r>
          </w:p>
        </w:tc>
        <w:tc>
          <w:tcPr>
            <w:tcW w:w="0" w:type="auto"/>
            <w:hideMark/>
          </w:tcPr>
          <w:p w14:paraId="4EC5C982" w14:textId="77777777" w:rsidR="00DC29C9" w:rsidRPr="000D51FC" w:rsidRDefault="00DC29C9"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Quick Ratio</w:t>
            </w:r>
          </w:p>
        </w:tc>
        <w:tc>
          <w:tcPr>
            <w:tcW w:w="0" w:type="auto"/>
            <w:hideMark/>
          </w:tcPr>
          <w:p w14:paraId="14D06874" w14:textId="77777777" w:rsidR="00DC29C9" w:rsidRPr="000D51FC" w:rsidRDefault="00DC29C9"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Cash Ratio</w:t>
            </w:r>
          </w:p>
        </w:tc>
      </w:tr>
      <w:tr w:rsidR="00DC29C9" w:rsidRPr="000D51FC" w14:paraId="23BEC190" w14:textId="77777777" w:rsidTr="00DC29C9">
        <w:trPr>
          <w:cnfStyle w:val="000000100000" w:firstRow="0" w:lastRow="0" w:firstColumn="0" w:lastColumn="0" w:oddVBand="0" w:evenVBand="0" w:oddHBand="1"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3C683C3B" w14:textId="77777777" w:rsidR="00DC29C9" w:rsidRPr="000D51FC" w:rsidRDefault="00DC29C9"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2020</w:t>
            </w:r>
          </w:p>
        </w:tc>
        <w:tc>
          <w:tcPr>
            <w:tcW w:w="0" w:type="auto"/>
            <w:hideMark/>
          </w:tcPr>
          <w:p w14:paraId="05DB6CDE"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1.82</w:t>
            </w:r>
          </w:p>
        </w:tc>
        <w:tc>
          <w:tcPr>
            <w:tcW w:w="0" w:type="auto"/>
            <w:hideMark/>
          </w:tcPr>
          <w:p w14:paraId="4DEC346C"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1.15</w:t>
            </w:r>
          </w:p>
        </w:tc>
        <w:tc>
          <w:tcPr>
            <w:tcW w:w="0" w:type="auto"/>
            <w:hideMark/>
          </w:tcPr>
          <w:p w14:paraId="79A400C7"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0.32</w:t>
            </w:r>
          </w:p>
        </w:tc>
      </w:tr>
      <w:tr w:rsidR="00DC29C9" w:rsidRPr="000D51FC" w14:paraId="0548BEF8" w14:textId="77777777" w:rsidTr="00DC29C9">
        <w:trPr>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6814811C" w14:textId="77777777" w:rsidR="00DC29C9" w:rsidRPr="000D51FC" w:rsidRDefault="00DC29C9"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2021</w:t>
            </w:r>
          </w:p>
        </w:tc>
        <w:tc>
          <w:tcPr>
            <w:tcW w:w="0" w:type="auto"/>
            <w:hideMark/>
          </w:tcPr>
          <w:p w14:paraId="75A9FA2B" w14:textId="77777777" w:rsidR="00DC29C9" w:rsidRPr="000D51FC" w:rsidRDefault="00DC29C9"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1.56</w:t>
            </w:r>
          </w:p>
        </w:tc>
        <w:tc>
          <w:tcPr>
            <w:tcW w:w="0" w:type="auto"/>
            <w:hideMark/>
          </w:tcPr>
          <w:p w14:paraId="14EF2C26" w14:textId="77777777" w:rsidR="00DC29C9" w:rsidRPr="000D51FC" w:rsidRDefault="00DC29C9"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0.94</w:t>
            </w:r>
          </w:p>
        </w:tc>
        <w:tc>
          <w:tcPr>
            <w:tcW w:w="0" w:type="auto"/>
            <w:hideMark/>
          </w:tcPr>
          <w:p w14:paraId="367D7044" w14:textId="77777777" w:rsidR="00DC29C9" w:rsidRPr="000D51FC" w:rsidRDefault="00DC29C9"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0.28</w:t>
            </w:r>
          </w:p>
        </w:tc>
      </w:tr>
      <w:tr w:rsidR="00DC29C9" w:rsidRPr="000D51FC" w14:paraId="6FBD0709" w14:textId="77777777" w:rsidTr="00DC29C9">
        <w:trPr>
          <w:cnfStyle w:val="000000100000" w:firstRow="0" w:lastRow="0" w:firstColumn="0" w:lastColumn="0" w:oddVBand="0" w:evenVBand="0" w:oddHBand="1"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52D2D089" w14:textId="77777777" w:rsidR="00DC29C9" w:rsidRPr="000D51FC" w:rsidRDefault="00DC29C9"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2022</w:t>
            </w:r>
          </w:p>
        </w:tc>
        <w:tc>
          <w:tcPr>
            <w:tcW w:w="0" w:type="auto"/>
            <w:hideMark/>
          </w:tcPr>
          <w:p w14:paraId="7C970A8E"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1.56</w:t>
            </w:r>
          </w:p>
        </w:tc>
        <w:tc>
          <w:tcPr>
            <w:tcW w:w="0" w:type="auto"/>
            <w:hideMark/>
          </w:tcPr>
          <w:p w14:paraId="497CF447"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0.91</w:t>
            </w:r>
          </w:p>
        </w:tc>
        <w:tc>
          <w:tcPr>
            <w:tcW w:w="0" w:type="auto"/>
            <w:hideMark/>
          </w:tcPr>
          <w:p w14:paraId="59B42A06"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0.31</w:t>
            </w:r>
          </w:p>
        </w:tc>
      </w:tr>
      <w:tr w:rsidR="00DC29C9" w:rsidRPr="000D51FC" w14:paraId="374852A5" w14:textId="77777777" w:rsidTr="00DC29C9">
        <w:trPr>
          <w:trHeight w:val="776"/>
        </w:trPr>
        <w:tc>
          <w:tcPr>
            <w:cnfStyle w:val="001000000000" w:firstRow="0" w:lastRow="0" w:firstColumn="1" w:lastColumn="0" w:oddVBand="0" w:evenVBand="0" w:oddHBand="0" w:evenHBand="0" w:firstRowFirstColumn="0" w:firstRowLastColumn="0" w:lastRowFirstColumn="0" w:lastRowLastColumn="0"/>
            <w:tcW w:w="0" w:type="auto"/>
            <w:hideMark/>
          </w:tcPr>
          <w:p w14:paraId="41C3E2D3" w14:textId="77777777" w:rsidR="00DC29C9" w:rsidRPr="000D51FC" w:rsidRDefault="00DC29C9"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2023</w:t>
            </w:r>
          </w:p>
        </w:tc>
        <w:tc>
          <w:tcPr>
            <w:tcW w:w="0" w:type="auto"/>
            <w:hideMark/>
          </w:tcPr>
          <w:p w14:paraId="12E18A8D" w14:textId="77777777" w:rsidR="00DC29C9" w:rsidRPr="000D51FC" w:rsidRDefault="00DC29C9"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1.61</w:t>
            </w:r>
          </w:p>
        </w:tc>
        <w:tc>
          <w:tcPr>
            <w:tcW w:w="0" w:type="auto"/>
            <w:hideMark/>
          </w:tcPr>
          <w:p w14:paraId="718D0B27" w14:textId="77777777" w:rsidR="00DC29C9" w:rsidRPr="000D51FC" w:rsidRDefault="00DC29C9"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1.06</w:t>
            </w:r>
          </w:p>
        </w:tc>
        <w:tc>
          <w:tcPr>
            <w:tcW w:w="0" w:type="auto"/>
            <w:hideMark/>
          </w:tcPr>
          <w:p w14:paraId="4AF1BF65" w14:textId="77777777" w:rsidR="00DC29C9" w:rsidRPr="000D51FC" w:rsidRDefault="00DC29C9"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0.27</w:t>
            </w:r>
          </w:p>
        </w:tc>
      </w:tr>
      <w:tr w:rsidR="00DC29C9" w:rsidRPr="000D51FC" w14:paraId="7185BBE4" w14:textId="77777777" w:rsidTr="00DC29C9">
        <w:trPr>
          <w:cnfStyle w:val="000000100000" w:firstRow="0" w:lastRow="0" w:firstColumn="0" w:lastColumn="0" w:oddVBand="0" w:evenVBand="0" w:oddHBand="1"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6C974C52" w14:textId="77777777" w:rsidR="00DC29C9" w:rsidRPr="000D51FC" w:rsidRDefault="00DC29C9"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2024</w:t>
            </w:r>
          </w:p>
        </w:tc>
        <w:tc>
          <w:tcPr>
            <w:tcW w:w="0" w:type="auto"/>
            <w:hideMark/>
          </w:tcPr>
          <w:p w14:paraId="0357D177"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1.53</w:t>
            </w:r>
          </w:p>
        </w:tc>
        <w:tc>
          <w:tcPr>
            <w:tcW w:w="0" w:type="auto"/>
            <w:hideMark/>
          </w:tcPr>
          <w:p w14:paraId="5B0B7674"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1.03</w:t>
            </w:r>
          </w:p>
        </w:tc>
        <w:tc>
          <w:tcPr>
            <w:tcW w:w="0" w:type="auto"/>
            <w:hideMark/>
          </w:tcPr>
          <w:p w14:paraId="61CC3121" w14:textId="77777777" w:rsidR="00DC29C9" w:rsidRPr="000D51FC" w:rsidRDefault="00DC29C9"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0.17</w:t>
            </w:r>
          </w:p>
        </w:tc>
      </w:tr>
    </w:tbl>
    <w:p w14:paraId="1726196A" w14:textId="77777777" w:rsidR="00DC29C9" w:rsidRPr="000D51FC" w:rsidRDefault="00DC29C9" w:rsidP="000D51FC">
      <w:pPr>
        <w:spacing w:line="360" w:lineRule="auto"/>
        <w:jc w:val="right"/>
        <w:rPr>
          <w:rFonts w:ascii="Arial" w:hAnsi="Arial" w:cs="Arial"/>
          <w:lang w:val="en-IN" w:eastAsia="en-GB"/>
        </w:rPr>
      </w:pPr>
    </w:p>
    <w:p w14:paraId="298EAA4F" w14:textId="581245A6" w:rsidR="004B40E1" w:rsidRPr="000D51FC" w:rsidRDefault="004B40E1"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Interpretation:</w:t>
      </w:r>
    </w:p>
    <w:p w14:paraId="67770D09" w14:textId="5006CC58" w:rsidR="004B40E1" w:rsidRPr="000D51FC" w:rsidRDefault="004B40E1" w:rsidP="000D51FC">
      <w:pPr>
        <w:spacing w:line="360" w:lineRule="auto"/>
        <w:ind w:left="0" w:firstLine="0"/>
        <w:rPr>
          <w:rFonts w:ascii="Arial" w:hAnsi="Arial" w:cs="Arial"/>
          <w:lang w:val="en-IN" w:eastAsia="en-GB"/>
        </w:rPr>
      </w:pPr>
      <w:r w:rsidRPr="000D51FC">
        <w:rPr>
          <w:rFonts w:ascii="Arial" w:hAnsi="Arial" w:cs="Arial"/>
          <w:lang w:val="en-IN" w:eastAsia="en-GB"/>
        </w:rPr>
        <w:t>The current ratio was above 1.5 during the two years 2020–2024, indicating that this firm has adequate current assets to meet its short-term liabilities.</w:t>
      </w:r>
    </w:p>
    <w:p w14:paraId="62BD7339" w14:textId="2FDA1A0C" w:rsidR="004B40E1" w:rsidRPr="000D51FC" w:rsidRDefault="004B40E1" w:rsidP="000D51FC">
      <w:pPr>
        <w:spacing w:line="360" w:lineRule="auto"/>
        <w:ind w:left="0" w:firstLine="0"/>
        <w:rPr>
          <w:rFonts w:ascii="Arial" w:hAnsi="Arial" w:cs="Arial"/>
          <w:lang w:val="en-IN" w:eastAsia="en-GB"/>
        </w:rPr>
      </w:pPr>
      <w:r w:rsidRPr="000D51FC">
        <w:rPr>
          <w:rFonts w:ascii="Arial" w:hAnsi="Arial" w:cs="Arial"/>
          <w:lang w:val="en-IN" w:eastAsia="en-GB"/>
        </w:rPr>
        <w:t>The quick ratio, from which inventory is excluded, has lower values that range from 0.91 to 1.15, thus revealing that a big fraction of current assets is tied up with inventory and perhaps not readily available to meet immediate obligations.</w:t>
      </w:r>
    </w:p>
    <w:p w14:paraId="55BACE1A" w14:textId="5D25FC2C" w:rsidR="004B40E1" w:rsidRPr="000D51FC" w:rsidRDefault="004B40E1" w:rsidP="000D51FC">
      <w:pPr>
        <w:spacing w:line="360" w:lineRule="auto"/>
        <w:ind w:left="0" w:firstLine="0"/>
        <w:rPr>
          <w:rFonts w:ascii="Arial" w:hAnsi="Arial" w:cs="Arial"/>
          <w:lang w:val="en-IN" w:eastAsia="en-GB"/>
        </w:rPr>
      </w:pPr>
      <w:r w:rsidRPr="000D51FC">
        <w:rPr>
          <w:rFonts w:ascii="Arial" w:hAnsi="Arial" w:cs="Arial"/>
          <w:lang w:val="en-IN" w:eastAsia="en-GB"/>
        </w:rPr>
        <w:t>Cash ratio decreased from 0.32 in 2020 to 0.17 in 2024, indicating a decrease in cash reserves as against short-term debt, with increasing dependence on external financing for its liquidity needs (Brigham &amp; Ehrhardt, 2019).</w:t>
      </w:r>
    </w:p>
    <w:p w14:paraId="09551481" w14:textId="77777777" w:rsidR="00834BDD" w:rsidRPr="000D51FC" w:rsidRDefault="004B40E1" w:rsidP="000D51FC">
      <w:pPr>
        <w:spacing w:line="360" w:lineRule="auto"/>
        <w:ind w:left="0" w:firstLine="0"/>
        <w:rPr>
          <w:rFonts w:ascii="Arial" w:hAnsi="Arial" w:cs="Arial"/>
          <w:lang w:val="en-IN" w:eastAsia="en-GB"/>
        </w:rPr>
      </w:pPr>
      <w:r w:rsidRPr="000D51FC">
        <w:rPr>
          <w:rFonts w:ascii="Arial" w:hAnsi="Arial" w:cs="Arial"/>
          <w:lang w:val="en-IN" w:eastAsia="en-GB"/>
        </w:rPr>
        <w:t>Overall: Though the company seems capable of meeting its short-term obligations on paper, the falling cash level and reliance on inventory indicate potential liquidity stress, especially when access to short-term credit is restricted.</w:t>
      </w:r>
    </w:p>
    <w:p w14:paraId="2FCC2799" w14:textId="678D245B" w:rsidR="004B40E1" w:rsidRPr="000D51FC" w:rsidRDefault="00834BDD"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1.3 </w:t>
      </w:r>
      <w:r w:rsidR="004B40E1" w:rsidRPr="000D51FC">
        <w:rPr>
          <w:rFonts w:ascii="Arial" w:hAnsi="Arial" w:cs="Arial"/>
          <w:b/>
          <w:bCs/>
        </w:rPr>
        <w:t>Efficiency Ratios</w:t>
      </w:r>
    </w:p>
    <w:p w14:paraId="1CB3CDD4" w14:textId="15133A19" w:rsidR="004B40E1" w:rsidRPr="000D51FC" w:rsidRDefault="006630A4" w:rsidP="000D51FC">
      <w:pPr>
        <w:spacing w:line="360" w:lineRule="auto"/>
        <w:rPr>
          <w:rFonts w:ascii="Arial" w:hAnsi="Arial" w:cs="Arial"/>
          <w:lang w:val="en-IN" w:eastAsia="en-GB"/>
        </w:rPr>
      </w:pPr>
      <w:r w:rsidRPr="000D51FC">
        <w:rPr>
          <w:rFonts w:ascii="Arial" w:hAnsi="Arial" w:cs="Arial"/>
          <w:lang w:val="en-IN" w:eastAsia="en-GB"/>
        </w:rPr>
        <w:t>Efficiency ratios measure a firm's ability to use its assets effectively.</w:t>
      </w:r>
    </w:p>
    <w:p w14:paraId="23569AE7" w14:textId="77777777" w:rsidR="006630A4" w:rsidRPr="000D51FC" w:rsidRDefault="006630A4" w:rsidP="000D51FC">
      <w:pPr>
        <w:spacing w:line="360" w:lineRule="auto"/>
        <w:rPr>
          <w:rFonts w:ascii="Arial" w:hAnsi="Arial" w:cs="Arial"/>
          <w:b/>
          <w:bCs/>
        </w:rPr>
      </w:pPr>
      <w:r w:rsidRPr="000D51FC">
        <w:rPr>
          <w:rFonts w:ascii="Arial" w:hAnsi="Arial" w:cs="Arial"/>
          <w:b/>
          <w:bCs/>
        </w:rPr>
        <w:t>Inventory turnover = Cost of sales / Average inventory</w:t>
      </w:r>
    </w:p>
    <w:p w14:paraId="4C815779" w14:textId="77777777" w:rsidR="006630A4" w:rsidRPr="000D51FC" w:rsidRDefault="006630A4" w:rsidP="000D51FC">
      <w:pPr>
        <w:spacing w:line="360" w:lineRule="auto"/>
        <w:rPr>
          <w:rFonts w:ascii="Arial" w:hAnsi="Arial" w:cs="Arial"/>
        </w:rPr>
      </w:pPr>
      <w:r w:rsidRPr="000D51FC">
        <w:rPr>
          <w:rFonts w:ascii="Arial" w:hAnsi="Arial" w:cs="Arial"/>
        </w:rPr>
        <w:t>(average inventory = (opening + closing) / 2; where opening = previous year closing)</w:t>
      </w:r>
    </w:p>
    <w:p w14:paraId="1905A8B5" w14:textId="77777777" w:rsidR="006630A4" w:rsidRPr="000D51FC" w:rsidRDefault="006630A4" w:rsidP="000D51FC">
      <w:pPr>
        <w:numPr>
          <w:ilvl w:val="0"/>
          <w:numId w:val="12"/>
        </w:numPr>
        <w:spacing w:before="160" w:after="160" w:line="360" w:lineRule="auto"/>
        <w:rPr>
          <w:rFonts w:ascii="Arial" w:hAnsi="Arial" w:cs="Arial"/>
        </w:rPr>
      </w:pPr>
      <w:r w:rsidRPr="000D51FC">
        <w:rPr>
          <w:rFonts w:ascii="Arial" w:hAnsi="Arial" w:cs="Arial"/>
          <w:b/>
          <w:bCs/>
        </w:rPr>
        <w:lastRenderedPageBreak/>
        <w:t>2020</w:t>
      </w:r>
      <w:r w:rsidRPr="000D51FC">
        <w:rPr>
          <w:rFonts w:ascii="Arial" w:hAnsi="Arial" w:cs="Arial"/>
        </w:rPr>
        <w:t xml:space="preserve">: 438,424 / 120,430 = </w:t>
      </w:r>
      <w:r w:rsidRPr="000D51FC">
        <w:rPr>
          <w:rFonts w:ascii="Arial" w:hAnsi="Arial" w:cs="Arial"/>
          <w:b/>
          <w:bCs/>
        </w:rPr>
        <w:t>3.64</w:t>
      </w:r>
    </w:p>
    <w:p w14:paraId="0925E2E0" w14:textId="77777777" w:rsidR="006630A4" w:rsidRPr="000D51FC" w:rsidRDefault="006630A4" w:rsidP="000D51FC">
      <w:pPr>
        <w:numPr>
          <w:ilvl w:val="0"/>
          <w:numId w:val="12"/>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(120,430 + 134,469) / 2 = </w:t>
      </w:r>
      <w:r w:rsidRPr="000D51FC">
        <w:rPr>
          <w:rFonts w:ascii="Arial" w:hAnsi="Arial" w:cs="Arial"/>
          <w:b/>
          <w:bCs/>
        </w:rPr>
        <w:t>3.36</w:t>
      </w:r>
    </w:p>
    <w:p w14:paraId="0D7D6AEB" w14:textId="77777777" w:rsidR="006630A4" w:rsidRPr="000D51FC" w:rsidRDefault="006630A4" w:rsidP="000D51FC">
      <w:pPr>
        <w:numPr>
          <w:ilvl w:val="0"/>
          <w:numId w:val="12"/>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(134,469 + 140,181) / 2 = </w:t>
      </w:r>
      <w:r w:rsidRPr="000D51FC">
        <w:rPr>
          <w:rFonts w:ascii="Arial" w:hAnsi="Arial" w:cs="Arial"/>
          <w:b/>
          <w:bCs/>
        </w:rPr>
        <w:t>2.84</w:t>
      </w:r>
    </w:p>
    <w:p w14:paraId="1F7B6E0C" w14:textId="77777777" w:rsidR="006630A4" w:rsidRPr="000D51FC" w:rsidRDefault="006630A4" w:rsidP="000D51FC">
      <w:pPr>
        <w:numPr>
          <w:ilvl w:val="0"/>
          <w:numId w:val="12"/>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(140,181 + 88,273) / 2 = </w:t>
      </w:r>
      <w:r w:rsidRPr="000D51FC">
        <w:rPr>
          <w:rFonts w:ascii="Arial" w:hAnsi="Arial" w:cs="Arial"/>
          <w:b/>
          <w:bCs/>
        </w:rPr>
        <w:t>2.83</w:t>
      </w:r>
    </w:p>
    <w:p w14:paraId="5D39906F" w14:textId="77777777" w:rsidR="006630A4" w:rsidRPr="000D51FC" w:rsidRDefault="006630A4" w:rsidP="000D51FC">
      <w:pPr>
        <w:numPr>
          <w:ilvl w:val="0"/>
          <w:numId w:val="12"/>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(88,273 + 79,355) / 2 = </w:t>
      </w:r>
      <w:r w:rsidRPr="000D51FC">
        <w:rPr>
          <w:rFonts w:ascii="Arial" w:hAnsi="Arial" w:cs="Arial"/>
          <w:b/>
          <w:bCs/>
        </w:rPr>
        <w:t>3.35</w:t>
      </w:r>
    </w:p>
    <w:p w14:paraId="0466D682" w14:textId="77777777" w:rsidR="006630A4" w:rsidRPr="000D51FC" w:rsidRDefault="006630A4" w:rsidP="000D51FC">
      <w:pPr>
        <w:spacing w:line="360" w:lineRule="auto"/>
        <w:rPr>
          <w:rFonts w:ascii="Arial" w:hAnsi="Arial" w:cs="Arial"/>
          <w:b/>
          <w:bCs/>
        </w:rPr>
      </w:pPr>
      <w:r w:rsidRPr="000D51FC">
        <w:rPr>
          <w:rFonts w:ascii="Arial" w:hAnsi="Arial" w:cs="Arial"/>
          <w:b/>
          <w:bCs/>
        </w:rPr>
        <w:t>Receivables days = (Accounts receivable / Net sales) × 365</w:t>
      </w:r>
    </w:p>
    <w:p w14:paraId="783FE714" w14:textId="77777777" w:rsidR="006630A4" w:rsidRPr="000D51FC" w:rsidRDefault="006630A4" w:rsidP="000D51FC">
      <w:pPr>
        <w:numPr>
          <w:ilvl w:val="0"/>
          <w:numId w:val="13"/>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129,433 / 614,680 ×365 = </w:t>
      </w:r>
      <w:r w:rsidRPr="000D51FC">
        <w:rPr>
          <w:rFonts w:ascii="Arial" w:hAnsi="Arial" w:cs="Arial"/>
          <w:b/>
          <w:bCs/>
        </w:rPr>
        <w:t>77 days</w:t>
      </w:r>
    </w:p>
    <w:p w14:paraId="4690F0C3" w14:textId="77777777" w:rsidR="006630A4" w:rsidRPr="000D51FC" w:rsidRDefault="006630A4" w:rsidP="000D51FC">
      <w:pPr>
        <w:numPr>
          <w:ilvl w:val="0"/>
          <w:numId w:val="13"/>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129,215 / 601,602 ×365 = </w:t>
      </w:r>
      <w:r w:rsidRPr="000D51FC">
        <w:rPr>
          <w:rFonts w:ascii="Arial" w:hAnsi="Arial" w:cs="Arial"/>
          <w:b/>
          <w:bCs/>
        </w:rPr>
        <w:t>78 days</w:t>
      </w:r>
    </w:p>
    <w:p w14:paraId="4171447A" w14:textId="77777777" w:rsidR="006630A4" w:rsidRPr="000D51FC" w:rsidRDefault="006630A4" w:rsidP="000D51FC">
      <w:pPr>
        <w:numPr>
          <w:ilvl w:val="0"/>
          <w:numId w:val="13"/>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112,346 / 542,751 ×365 = </w:t>
      </w:r>
      <w:r w:rsidRPr="000D51FC">
        <w:rPr>
          <w:rFonts w:ascii="Arial" w:hAnsi="Arial" w:cs="Arial"/>
          <w:b/>
          <w:bCs/>
        </w:rPr>
        <w:t>76 days</w:t>
      </w:r>
    </w:p>
    <w:p w14:paraId="315CDBC8" w14:textId="77777777" w:rsidR="006630A4" w:rsidRPr="000D51FC" w:rsidRDefault="006630A4" w:rsidP="000D51FC">
      <w:pPr>
        <w:numPr>
          <w:ilvl w:val="0"/>
          <w:numId w:val="13"/>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112,596 / 420,457 ×365 = </w:t>
      </w:r>
      <w:r w:rsidRPr="000D51FC">
        <w:rPr>
          <w:rFonts w:ascii="Arial" w:hAnsi="Arial" w:cs="Arial"/>
          <w:b/>
          <w:bCs/>
        </w:rPr>
        <w:t>98 days</w:t>
      </w:r>
    </w:p>
    <w:p w14:paraId="52684ADE" w14:textId="77777777" w:rsidR="006630A4" w:rsidRPr="000D51FC" w:rsidRDefault="006630A4" w:rsidP="000D51FC">
      <w:pPr>
        <w:numPr>
          <w:ilvl w:val="0"/>
          <w:numId w:val="13"/>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114,182 / 394,879 ×365 = </w:t>
      </w:r>
      <w:r w:rsidRPr="000D51FC">
        <w:rPr>
          <w:rFonts w:ascii="Arial" w:hAnsi="Arial" w:cs="Arial"/>
          <w:b/>
          <w:bCs/>
        </w:rPr>
        <w:t>106 days</w:t>
      </w:r>
    </w:p>
    <w:p w14:paraId="060CFDDE" w14:textId="77777777" w:rsidR="006630A4" w:rsidRPr="000D51FC" w:rsidRDefault="006630A4" w:rsidP="000D51FC">
      <w:pPr>
        <w:spacing w:line="360" w:lineRule="auto"/>
        <w:rPr>
          <w:rFonts w:ascii="Arial" w:hAnsi="Arial" w:cs="Arial"/>
          <w:b/>
          <w:bCs/>
        </w:rPr>
      </w:pPr>
      <w:r w:rsidRPr="000D51FC">
        <w:rPr>
          <w:rFonts w:ascii="Arial" w:hAnsi="Arial" w:cs="Arial"/>
          <w:b/>
          <w:bCs/>
        </w:rPr>
        <w:t>Asset turnover = Net sales / Total assets</w:t>
      </w:r>
    </w:p>
    <w:p w14:paraId="3B73F19C" w14:textId="77777777" w:rsidR="006630A4" w:rsidRPr="000D51FC" w:rsidRDefault="006630A4" w:rsidP="000D51FC">
      <w:pPr>
        <w:numPr>
          <w:ilvl w:val="0"/>
          <w:numId w:val="14"/>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614,680 / 510,290 = </w:t>
      </w:r>
      <w:r w:rsidRPr="000D51FC">
        <w:rPr>
          <w:rFonts w:ascii="Arial" w:hAnsi="Arial" w:cs="Arial"/>
          <w:b/>
          <w:bCs/>
        </w:rPr>
        <w:t>1.20</w:t>
      </w:r>
    </w:p>
    <w:p w14:paraId="6A08BDD8" w14:textId="77777777" w:rsidR="006630A4" w:rsidRPr="000D51FC" w:rsidRDefault="006630A4" w:rsidP="000D51FC">
      <w:pPr>
        <w:numPr>
          <w:ilvl w:val="0"/>
          <w:numId w:val="14"/>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601,602 / 510,348 = </w:t>
      </w:r>
      <w:r w:rsidRPr="000D51FC">
        <w:rPr>
          <w:rFonts w:ascii="Arial" w:hAnsi="Arial" w:cs="Arial"/>
          <w:b/>
          <w:bCs/>
        </w:rPr>
        <w:t>1.18</w:t>
      </w:r>
    </w:p>
    <w:p w14:paraId="6C67EEF1" w14:textId="77777777" w:rsidR="006630A4" w:rsidRPr="000D51FC" w:rsidRDefault="006630A4" w:rsidP="000D51FC">
      <w:pPr>
        <w:numPr>
          <w:ilvl w:val="0"/>
          <w:numId w:val="14"/>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542,751 / 504,163 = </w:t>
      </w:r>
      <w:r w:rsidRPr="000D51FC">
        <w:rPr>
          <w:rFonts w:ascii="Arial" w:hAnsi="Arial" w:cs="Arial"/>
          <w:b/>
          <w:bCs/>
        </w:rPr>
        <w:t>1.08</w:t>
      </w:r>
    </w:p>
    <w:p w14:paraId="6A468DD5" w14:textId="77777777" w:rsidR="006630A4" w:rsidRPr="000D51FC" w:rsidRDefault="006630A4" w:rsidP="000D51FC">
      <w:pPr>
        <w:numPr>
          <w:ilvl w:val="0"/>
          <w:numId w:val="14"/>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420,457 / 355,872 = </w:t>
      </w:r>
      <w:r w:rsidRPr="000D51FC">
        <w:rPr>
          <w:rFonts w:ascii="Arial" w:hAnsi="Arial" w:cs="Arial"/>
          <w:b/>
          <w:bCs/>
        </w:rPr>
        <w:t>1.18</w:t>
      </w:r>
    </w:p>
    <w:p w14:paraId="17CA4AEC" w14:textId="73FA3257" w:rsidR="0017544E" w:rsidRPr="000D51FC" w:rsidRDefault="006630A4" w:rsidP="000D51FC">
      <w:pPr>
        <w:numPr>
          <w:ilvl w:val="0"/>
          <w:numId w:val="14"/>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394,879 / 323,354 = </w:t>
      </w:r>
      <w:r w:rsidRPr="000D51FC">
        <w:rPr>
          <w:rFonts w:ascii="Arial" w:hAnsi="Arial" w:cs="Arial"/>
          <w:b/>
          <w:bCs/>
        </w:rPr>
        <w:t>1.22</w:t>
      </w:r>
    </w:p>
    <w:p w14:paraId="77E52D77" w14:textId="77777777" w:rsidR="00E537BE" w:rsidRDefault="00E537BE" w:rsidP="00384BEF">
      <w:pPr>
        <w:spacing w:before="160" w:after="160" w:line="360" w:lineRule="auto"/>
        <w:ind w:left="0" w:firstLine="0"/>
        <w:rPr>
          <w:rFonts w:ascii="Arial" w:hAnsi="Arial" w:cs="Arial"/>
        </w:rPr>
      </w:pPr>
    </w:p>
    <w:p w14:paraId="3BDF380F" w14:textId="77777777" w:rsidR="00D70911" w:rsidRDefault="00D70911" w:rsidP="00384BEF">
      <w:pPr>
        <w:spacing w:before="160" w:after="160" w:line="360" w:lineRule="auto"/>
        <w:ind w:left="0" w:firstLine="0"/>
        <w:rPr>
          <w:rFonts w:ascii="Arial" w:hAnsi="Arial" w:cs="Arial"/>
        </w:rPr>
      </w:pPr>
    </w:p>
    <w:p w14:paraId="4507487E" w14:textId="77777777" w:rsidR="00D70911" w:rsidRDefault="00D70911" w:rsidP="00384BEF">
      <w:pPr>
        <w:spacing w:before="160" w:after="160" w:line="360" w:lineRule="auto"/>
        <w:ind w:left="0" w:firstLine="0"/>
        <w:rPr>
          <w:rFonts w:ascii="Arial" w:hAnsi="Arial" w:cs="Arial"/>
        </w:rPr>
      </w:pPr>
    </w:p>
    <w:p w14:paraId="771BC664" w14:textId="77777777" w:rsidR="00D70911" w:rsidRDefault="00D70911" w:rsidP="00384BEF">
      <w:pPr>
        <w:spacing w:before="160" w:after="160" w:line="360" w:lineRule="auto"/>
        <w:ind w:left="0" w:firstLine="0"/>
        <w:rPr>
          <w:rFonts w:ascii="Arial" w:hAnsi="Arial" w:cs="Arial"/>
        </w:rPr>
      </w:pPr>
    </w:p>
    <w:p w14:paraId="5D25E457" w14:textId="77777777" w:rsidR="00D70911" w:rsidRDefault="00D70911" w:rsidP="00384BEF">
      <w:pPr>
        <w:spacing w:before="160" w:after="160" w:line="360" w:lineRule="auto"/>
        <w:ind w:left="0" w:firstLine="0"/>
        <w:rPr>
          <w:rFonts w:ascii="Arial" w:hAnsi="Arial" w:cs="Arial"/>
        </w:rPr>
      </w:pPr>
    </w:p>
    <w:p w14:paraId="047C1462" w14:textId="77777777" w:rsidR="00D70911" w:rsidRDefault="00D70911" w:rsidP="00384BEF">
      <w:pPr>
        <w:spacing w:before="160" w:after="160" w:line="360" w:lineRule="auto"/>
        <w:ind w:left="0" w:firstLine="0"/>
        <w:rPr>
          <w:rFonts w:ascii="Arial" w:hAnsi="Arial" w:cs="Arial"/>
        </w:rPr>
      </w:pPr>
    </w:p>
    <w:p w14:paraId="0E9A1653" w14:textId="77777777" w:rsidR="00D70911" w:rsidRPr="000D51FC" w:rsidRDefault="00D70911" w:rsidP="00384BEF">
      <w:pPr>
        <w:spacing w:before="160" w:after="160" w:line="360" w:lineRule="auto"/>
        <w:ind w:left="0" w:firstLine="0"/>
        <w:rPr>
          <w:rFonts w:ascii="Arial" w:hAnsi="Arial" w:cs="Arial"/>
        </w:rPr>
      </w:pPr>
    </w:p>
    <w:p w14:paraId="32C88816" w14:textId="68A86DBC" w:rsidR="006630A4" w:rsidRPr="000D51FC" w:rsidRDefault="0017544E" w:rsidP="000D51FC">
      <w:pPr>
        <w:pStyle w:val="ListParagraph"/>
        <w:spacing w:line="360" w:lineRule="auto"/>
        <w:ind w:firstLine="0"/>
        <w:jc w:val="center"/>
        <w:rPr>
          <w:rFonts w:ascii="Arial" w:hAnsi="Arial" w:cs="Arial"/>
        </w:rPr>
      </w:pPr>
      <w:r w:rsidRPr="000D51FC">
        <w:rPr>
          <w:rFonts w:ascii="Arial" w:hAnsi="Arial" w:cs="Arial"/>
          <w:b/>
          <w:bCs/>
        </w:rPr>
        <w:lastRenderedPageBreak/>
        <w:t xml:space="preserve">Table 3: </w:t>
      </w:r>
      <w:r w:rsidRPr="000D51FC">
        <w:rPr>
          <w:rFonts w:ascii="Arial" w:hAnsi="Arial" w:cs="Arial"/>
          <w:b/>
          <w:bCs/>
          <w:lang w:val="en-US"/>
        </w:rPr>
        <w:t>Efficiency Ratios, 2020–2024</w:t>
      </w:r>
    </w:p>
    <w:tbl>
      <w:tblPr>
        <w:tblStyle w:val="GridTable5Dark-Accent4"/>
        <w:tblW w:w="8875" w:type="dxa"/>
        <w:jc w:val="center"/>
        <w:tblLook w:val="04A0" w:firstRow="1" w:lastRow="0" w:firstColumn="1" w:lastColumn="0" w:noHBand="0" w:noVBand="1"/>
      </w:tblPr>
      <w:tblGrid>
        <w:gridCol w:w="976"/>
        <w:gridCol w:w="2323"/>
        <w:gridCol w:w="3253"/>
        <w:gridCol w:w="2323"/>
      </w:tblGrid>
      <w:tr w:rsidR="006630A4" w:rsidRPr="000D51FC" w14:paraId="4C64071F" w14:textId="77777777" w:rsidTr="006630A4">
        <w:trPr>
          <w:cnfStyle w:val="100000000000" w:firstRow="1" w:lastRow="0" w:firstColumn="0" w:lastColumn="0" w:oddVBand="0" w:evenVBand="0" w:oddHBand="0" w:evenHBand="0" w:firstRowFirstColumn="0" w:firstRowLastColumn="0" w:lastRowFirstColumn="0" w:lastRowLastColumn="0"/>
          <w:trHeight w:val="134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DA595F" w14:textId="77777777" w:rsidR="006630A4" w:rsidRPr="000D51FC" w:rsidRDefault="006630A4"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Year</w:t>
            </w:r>
          </w:p>
        </w:tc>
        <w:tc>
          <w:tcPr>
            <w:tcW w:w="0" w:type="auto"/>
            <w:hideMark/>
          </w:tcPr>
          <w:p w14:paraId="6684C29F" w14:textId="77777777" w:rsidR="006630A4" w:rsidRPr="000D51FC" w:rsidRDefault="006630A4"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2F2F2" w:themeColor="background1" w:themeShade="F2"/>
                <w:lang w:val="en-IN" w:eastAsia="en-GB"/>
              </w:rPr>
            </w:pPr>
            <w:r w:rsidRPr="000D51FC">
              <w:rPr>
                <w:rFonts w:ascii="Arial" w:hAnsi="Arial" w:cs="Arial"/>
                <w:color w:val="F2F2F2" w:themeColor="background1" w:themeShade="F2"/>
                <w:lang w:val="en-IN" w:eastAsia="en-GB"/>
              </w:rPr>
              <w:t>Inventory</w:t>
            </w:r>
          </w:p>
          <w:p w14:paraId="18A354BA" w14:textId="1C0AD471" w:rsidR="006630A4" w:rsidRPr="000D51FC" w:rsidRDefault="006630A4"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Turnover (times)</w:t>
            </w:r>
          </w:p>
        </w:tc>
        <w:tc>
          <w:tcPr>
            <w:tcW w:w="0" w:type="auto"/>
            <w:hideMark/>
          </w:tcPr>
          <w:p w14:paraId="4CF6146C" w14:textId="77777777" w:rsidR="006630A4" w:rsidRPr="000D51FC" w:rsidRDefault="006630A4"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Receivables Days (days)</w:t>
            </w:r>
          </w:p>
        </w:tc>
        <w:tc>
          <w:tcPr>
            <w:tcW w:w="0" w:type="auto"/>
            <w:hideMark/>
          </w:tcPr>
          <w:p w14:paraId="350345E7" w14:textId="29A5259F" w:rsidR="006630A4" w:rsidRPr="000D51FC" w:rsidRDefault="006630A4"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2F2F2" w:themeColor="background1" w:themeShade="F2"/>
                <w:lang w:val="en-IN" w:eastAsia="en-GB"/>
              </w:rPr>
            </w:pPr>
            <w:r w:rsidRPr="000D51FC">
              <w:rPr>
                <w:rFonts w:ascii="Arial" w:hAnsi="Arial" w:cs="Arial"/>
                <w:color w:val="F2F2F2" w:themeColor="background1" w:themeShade="F2"/>
                <w:lang w:val="en-IN" w:eastAsia="en-GB"/>
              </w:rPr>
              <w:t>Asset</w:t>
            </w:r>
          </w:p>
          <w:p w14:paraId="177A5D8F" w14:textId="239C0F4A" w:rsidR="006630A4" w:rsidRPr="000D51FC" w:rsidRDefault="006630A4"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Turnover (times)</w:t>
            </w:r>
          </w:p>
        </w:tc>
      </w:tr>
      <w:tr w:rsidR="006630A4" w:rsidRPr="000D51FC" w14:paraId="4A182115" w14:textId="77777777" w:rsidTr="006630A4">
        <w:trPr>
          <w:cnfStyle w:val="000000100000" w:firstRow="0" w:lastRow="0" w:firstColumn="0" w:lastColumn="0" w:oddVBand="0" w:evenVBand="0" w:oddHBand="1" w:evenHBand="0" w:firstRowFirstColumn="0" w:firstRowLastColumn="0" w:lastRowFirstColumn="0" w:lastRowLastColumn="0"/>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7217BD" w14:textId="77777777" w:rsidR="006630A4" w:rsidRPr="000D51FC" w:rsidRDefault="006630A4"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2020</w:t>
            </w:r>
          </w:p>
        </w:tc>
        <w:tc>
          <w:tcPr>
            <w:tcW w:w="0" w:type="auto"/>
            <w:hideMark/>
          </w:tcPr>
          <w:p w14:paraId="18058195"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3.64</w:t>
            </w:r>
          </w:p>
        </w:tc>
        <w:tc>
          <w:tcPr>
            <w:tcW w:w="0" w:type="auto"/>
            <w:hideMark/>
          </w:tcPr>
          <w:p w14:paraId="2648F564"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77</w:t>
            </w:r>
          </w:p>
        </w:tc>
        <w:tc>
          <w:tcPr>
            <w:tcW w:w="0" w:type="auto"/>
            <w:hideMark/>
          </w:tcPr>
          <w:p w14:paraId="57FAC303"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1.20</w:t>
            </w:r>
          </w:p>
        </w:tc>
      </w:tr>
      <w:tr w:rsidR="006630A4" w:rsidRPr="000D51FC" w14:paraId="4AB3D1B6" w14:textId="77777777" w:rsidTr="006630A4">
        <w:trPr>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B9F80D" w14:textId="77777777" w:rsidR="006630A4" w:rsidRPr="000D51FC" w:rsidRDefault="006630A4"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2021</w:t>
            </w:r>
          </w:p>
        </w:tc>
        <w:tc>
          <w:tcPr>
            <w:tcW w:w="0" w:type="auto"/>
            <w:hideMark/>
          </w:tcPr>
          <w:p w14:paraId="6B6DC0E5" w14:textId="77777777" w:rsidR="006630A4" w:rsidRPr="000D51FC" w:rsidRDefault="006630A4"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3.36</w:t>
            </w:r>
          </w:p>
        </w:tc>
        <w:tc>
          <w:tcPr>
            <w:tcW w:w="0" w:type="auto"/>
            <w:hideMark/>
          </w:tcPr>
          <w:p w14:paraId="6C8DF78B" w14:textId="77777777" w:rsidR="006630A4" w:rsidRPr="000D51FC" w:rsidRDefault="006630A4"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78</w:t>
            </w:r>
          </w:p>
        </w:tc>
        <w:tc>
          <w:tcPr>
            <w:tcW w:w="0" w:type="auto"/>
            <w:hideMark/>
          </w:tcPr>
          <w:p w14:paraId="1D5E6E22" w14:textId="77777777" w:rsidR="006630A4" w:rsidRPr="000D51FC" w:rsidRDefault="006630A4"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1.18</w:t>
            </w:r>
          </w:p>
        </w:tc>
      </w:tr>
      <w:tr w:rsidR="006630A4" w:rsidRPr="000D51FC" w14:paraId="7D2BE853" w14:textId="77777777" w:rsidTr="006630A4">
        <w:trPr>
          <w:cnfStyle w:val="000000100000" w:firstRow="0" w:lastRow="0" w:firstColumn="0" w:lastColumn="0" w:oddVBand="0" w:evenVBand="0" w:oddHBand="1" w:evenHBand="0" w:firstRowFirstColumn="0" w:firstRowLastColumn="0" w:lastRowFirstColumn="0" w:lastRowLastColumn="0"/>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811845" w14:textId="77777777" w:rsidR="006630A4" w:rsidRPr="000D51FC" w:rsidRDefault="006630A4"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2022</w:t>
            </w:r>
          </w:p>
        </w:tc>
        <w:tc>
          <w:tcPr>
            <w:tcW w:w="0" w:type="auto"/>
            <w:hideMark/>
          </w:tcPr>
          <w:p w14:paraId="468CF126"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2.84</w:t>
            </w:r>
          </w:p>
        </w:tc>
        <w:tc>
          <w:tcPr>
            <w:tcW w:w="0" w:type="auto"/>
            <w:hideMark/>
          </w:tcPr>
          <w:p w14:paraId="280C0FCE"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76</w:t>
            </w:r>
          </w:p>
        </w:tc>
        <w:tc>
          <w:tcPr>
            <w:tcW w:w="0" w:type="auto"/>
            <w:hideMark/>
          </w:tcPr>
          <w:p w14:paraId="71C712DF"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1.08</w:t>
            </w:r>
          </w:p>
        </w:tc>
      </w:tr>
      <w:tr w:rsidR="006630A4" w:rsidRPr="000D51FC" w14:paraId="0EBC9C17" w14:textId="77777777" w:rsidTr="006630A4">
        <w:trPr>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7CA6F9" w14:textId="77777777" w:rsidR="006630A4" w:rsidRPr="000D51FC" w:rsidRDefault="006630A4"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2023</w:t>
            </w:r>
          </w:p>
        </w:tc>
        <w:tc>
          <w:tcPr>
            <w:tcW w:w="0" w:type="auto"/>
            <w:hideMark/>
          </w:tcPr>
          <w:p w14:paraId="011E6AD0" w14:textId="77777777" w:rsidR="006630A4" w:rsidRPr="000D51FC" w:rsidRDefault="006630A4"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2.83</w:t>
            </w:r>
          </w:p>
        </w:tc>
        <w:tc>
          <w:tcPr>
            <w:tcW w:w="0" w:type="auto"/>
            <w:hideMark/>
          </w:tcPr>
          <w:p w14:paraId="06F46490" w14:textId="77777777" w:rsidR="006630A4" w:rsidRPr="000D51FC" w:rsidRDefault="006630A4"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98</w:t>
            </w:r>
          </w:p>
        </w:tc>
        <w:tc>
          <w:tcPr>
            <w:tcW w:w="0" w:type="auto"/>
            <w:hideMark/>
          </w:tcPr>
          <w:p w14:paraId="68C2A83A" w14:textId="77777777" w:rsidR="006630A4" w:rsidRPr="000D51FC" w:rsidRDefault="006630A4"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1.18</w:t>
            </w:r>
          </w:p>
        </w:tc>
      </w:tr>
      <w:tr w:rsidR="006630A4" w:rsidRPr="000D51FC" w14:paraId="111614F6" w14:textId="77777777" w:rsidTr="006630A4">
        <w:trPr>
          <w:cnfStyle w:val="000000100000" w:firstRow="0" w:lastRow="0" w:firstColumn="0" w:lastColumn="0" w:oddVBand="0" w:evenVBand="0" w:oddHBand="1" w:evenHBand="0" w:firstRowFirstColumn="0" w:firstRowLastColumn="0" w:lastRowFirstColumn="0" w:lastRowLastColumn="0"/>
          <w:trHeight w:val="65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4BCE66F" w14:textId="77777777" w:rsidR="006630A4" w:rsidRPr="000D51FC" w:rsidRDefault="006630A4"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2024</w:t>
            </w:r>
          </w:p>
        </w:tc>
        <w:tc>
          <w:tcPr>
            <w:tcW w:w="0" w:type="auto"/>
            <w:hideMark/>
          </w:tcPr>
          <w:p w14:paraId="0DE1267D"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3.35</w:t>
            </w:r>
          </w:p>
        </w:tc>
        <w:tc>
          <w:tcPr>
            <w:tcW w:w="0" w:type="auto"/>
            <w:hideMark/>
          </w:tcPr>
          <w:p w14:paraId="118E4E1F"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106</w:t>
            </w:r>
          </w:p>
        </w:tc>
        <w:tc>
          <w:tcPr>
            <w:tcW w:w="0" w:type="auto"/>
            <w:hideMark/>
          </w:tcPr>
          <w:p w14:paraId="1B57C465" w14:textId="77777777" w:rsidR="006630A4" w:rsidRPr="000D51FC" w:rsidRDefault="006630A4"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1.22</w:t>
            </w:r>
          </w:p>
        </w:tc>
      </w:tr>
    </w:tbl>
    <w:p w14:paraId="21575E5F" w14:textId="77777777" w:rsidR="004B40E1" w:rsidRPr="000D51FC" w:rsidRDefault="004B40E1" w:rsidP="000D51FC">
      <w:pPr>
        <w:spacing w:line="360" w:lineRule="auto"/>
        <w:ind w:left="0" w:firstLine="0"/>
        <w:rPr>
          <w:rFonts w:ascii="Arial" w:hAnsi="Arial" w:cs="Arial"/>
          <w:lang w:val="en-IN" w:eastAsia="en-GB"/>
        </w:rPr>
      </w:pPr>
    </w:p>
    <w:p w14:paraId="656E4D67" w14:textId="1D14D7FD" w:rsidR="006630A4" w:rsidRPr="000D51FC" w:rsidRDefault="006630A4"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Interpretation:</w:t>
      </w:r>
    </w:p>
    <w:p w14:paraId="2F58A79D" w14:textId="43AEC62C" w:rsidR="006630A4" w:rsidRPr="000D51FC" w:rsidRDefault="006630A4" w:rsidP="000D51FC">
      <w:pPr>
        <w:spacing w:line="360" w:lineRule="auto"/>
        <w:ind w:left="0" w:firstLine="0"/>
        <w:rPr>
          <w:rFonts w:ascii="Arial" w:hAnsi="Arial" w:cs="Arial"/>
          <w:lang w:val="en-IN" w:eastAsia="en-GB"/>
        </w:rPr>
      </w:pPr>
      <w:r w:rsidRPr="000D51FC">
        <w:rPr>
          <w:rFonts w:ascii="Arial" w:hAnsi="Arial" w:cs="Arial"/>
          <w:lang w:val="en-IN" w:eastAsia="en-GB"/>
        </w:rPr>
        <w:t>The inventory turnover declined from 3.64 times in 2020 to 2.83–2.84 in 2022–2023, which implies slower inventory movements and possible overstocking, then rose to 3.35 in 2024.</w:t>
      </w:r>
    </w:p>
    <w:p w14:paraId="166043FD" w14:textId="51F5E41E" w:rsidR="006630A4" w:rsidRPr="000D51FC" w:rsidRDefault="006630A4" w:rsidP="000D51FC">
      <w:pPr>
        <w:spacing w:line="360" w:lineRule="auto"/>
        <w:ind w:left="0" w:firstLine="0"/>
        <w:rPr>
          <w:rFonts w:ascii="Arial" w:hAnsi="Arial" w:cs="Arial"/>
          <w:lang w:val="en-IN" w:eastAsia="en-GB"/>
        </w:rPr>
      </w:pPr>
      <w:r w:rsidRPr="000D51FC">
        <w:rPr>
          <w:rFonts w:ascii="Arial" w:hAnsi="Arial" w:cs="Arial"/>
          <w:lang w:val="en-IN" w:eastAsia="en-GB"/>
        </w:rPr>
        <w:t>Receivables days increased from 77 days in 2020 to 106 days in 2024; this shows slower collection of customer payments and increased cash tied in accounts receivable, which can strain liquidity. (ATRILL &amp; McLaney 2019).</w:t>
      </w:r>
    </w:p>
    <w:p w14:paraId="234DA3CE" w14:textId="3B9D857D" w:rsidR="006630A4" w:rsidRPr="000D51FC" w:rsidRDefault="006630A4" w:rsidP="000D51FC">
      <w:pPr>
        <w:spacing w:line="360" w:lineRule="auto"/>
        <w:ind w:left="0" w:firstLine="0"/>
        <w:rPr>
          <w:rFonts w:ascii="Arial" w:hAnsi="Arial" w:cs="Arial"/>
          <w:lang w:val="en-IN" w:eastAsia="en-GB"/>
        </w:rPr>
      </w:pPr>
      <w:r w:rsidRPr="000D51FC">
        <w:rPr>
          <w:rFonts w:ascii="Arial" w:hAnsi="Arial" w:cs="Arial"/>
          <w:lang w:val="en-IN" w:eastAsia="en-GB"/>
        </w:rPr>
        <w:t>Asset turnover remained around 1.18 to 1.22 times, suggesting overall asset utilization to be moderate but not significantly improving with the decline in sales, thus signalling inefficiency in leveraging assets to generate revenue.</w:t>
      </w:r>
    </w:p>
    <w:p w14:paraId="4124AB4C" w14:textId="77777777" w:rsidR="00834BDD" w:rsidRPr="000D51FC" w:rsidRDefault="006630A4" w:rsidP="000D51FC">
      <w:pPr>
        <w:spacing w:line="360" w:lineRule="auto"/>
        <w:ind w:left="0" w:firstLine="0"/>
        <w:rPr>
          <w:rFonts w:ascii="Arial" w:hAnsi="Arial" w:cs="Arial"/>
          <w:lang w:val="en-IN" w:eastAsia="en-GB"/>
        </w:rPr>
      </w:pPr>
      <w:r w:rsidRPr="000D51FC">
        <w:rPr>
          <w:rFonts w:ascii="Arial" w:hAnsi="Arial" w:cs="Arial"/>
          <w:lang w:val="en-IN" w:eastAsia="en-GB"/>
        </w:rPr>
        <w:t>Overall, the efficiency of the company's working capital has worsened in 2023–2024, mainly influenced by slower receivables collection and inventory management issues. These inefficiencies translate into longer cash conversion cycles and put added pressure on liquidity levels.</w:t>
      </w:r>
    </w:p>
    <w:p w14:paraId="06D11AF2" w14:textId="142F7134" w:rsidR="00C43FF9" w:rsidRPr="000D51FC" w:rsidRDefault="00834BDD"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1.4 </w:t>
      </w:r>
      <w:r w:rsidR="00C43FF9" w:rsidRPr="000D51FC">
        <w:rPr>
          <w:rFonts w:ascii="Arial" w:hAnsi="Arial" w:cs="Arial"/>
          <w:b/>
          <w:bCs/>
        </w:rPr>
        <w:t>Gearing and Solvency Ratios</w:t>
      </w:r>
    </w:p>
    <w:p w14:paraId="29F5CB83" w14:textId="299E9808" w:rsidR="00C43FF9" w:rsidRPr="000D51FC" w:rsidRDefault="00C43FF9" w:rsidP="000D51FC">
      <w:pPr>
        <w:spacing w:line="360" w:lineRule="auto"/>
        <w:rPr>
          <w:rFonts w:ascii="Arial" w:hAnsi="Arial" w:cs="Arial"/>
        </w:rPr>
      </w:pPr>
      <w:r w:rsidRPr="000D51FC">
        <w:rPr>
          <w:rFonts w:ascii="Arial" w:hAnsi="Arial" w:cs="Arial"/>
        </w:rPr>
        <w:t>Financial leverage is another critical area of concern.</w:t>
      </w:r>
    </w:p>
    <w:p w14:paraId="69609245" w14:textId="77777777" w:rsidR="00C43FF9" w:rsidRPr="000D51FC" w:rsidRDefault="00C43FF9" w:rsidP="000D51FC">
      <w:pPr>
        <w:spacing w:line="360" w:lineRule="auto"/>
        <w:rPr>
          <w:rFonts w:ascii="Arial" w:hAnsi="Arial" w:cs="Arial"/>
          <w:b/>
          <w:bCs/>
        </w:rPr>
      </w:pPr>
      <w:r w:rsidRPr="000D51FC">
        <w:rPr>
          <w:rFonts w:ascii="Arial" w:hAnsi="Arial" w:cs="Arial"/>
          <w:b/>
          <w:bCs/>
        </w:rPr>
        <w:t>Debt-to-equity = Total liabilities / Total equity</w:t>
      </w:r>
    </w:p>
    <w:p w14:paraId="38D84E9D" w14:textId="77777777" w:rsidR="00C43FF9" w:rsidRPr="000D51FC" w:rsidRDefault="00C43FF9" w:rsidP="000D51FC">
      <w:pPr>
        <w:numPr>
          <w:ilvl w:val="0"/>
          <w:numId w:val="15"/>
        </w:numPr>
        <w:spacing w:before="160" w:after="160" w:line="360" w:lineRule="auto"/>
        <w:rPr>
          <w:rFonts w:ascii="Arial" w:hAnsi="Arial" w:cs="Arial"/>
        </w:rPr>
      </w:pPr>
      <w:r w:rsidRPr="000D51FC">
        <w:rPr>
          <w:rFonts w:ascii="Arial" w:hAnsi="Arial" w:cs="Arial"/>
          <w:b/>
          <w:bCs/>
        </w:rPr>
        <w:lastRenderedPageBreak/>
        <w:t>2020:</w:t>
      </w:r>
      <w:r w:rsidRPr="000D51FC">
        <w:rPr>
          <w:rFonts w:ascii="Arial" w:hAnsi="Arial" w:cs="Arial"/>
        </w:rPr>
        <w:t xml:space="preserve"> 196,989 / 313,301 = </w:t>
      </w:r>
      <w:r w:rsidRPr="000D51FC">
        <w:rPr>
          <w:rFonts w:ascii="Arial" w:hAnsi="Arial" w:cs="Arial"/>
          <w:b/>
          <w:bCs/>
        </w:rPr>
        <w:t>0.63</w:t>
      </w:r>
    </w:p>
    <w:p w14:paraId="5D4CA5F0" w14:textId="77777777" w:rsidR="00C43FF9" w:rsidRPr="000D51FC" w:rsidRDefault="00C43FF9" w:rsidP="000D51FC">
      <w:pPr>
        <w:numPr>
          <w:ilvl w:val="0"/>
          <w:numId w:val="15"/>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234,399 / 275,949 = </w:t>
      </w:r>
      <w:r w:rsidRPr="000D51FC">
        <w:rPr>
          <w:rFonts w:ascii="Arial" w:hAnsi="Arial" w:cs="Arial"/>
          <w:b/>
          <w:bCs/>
        </w:rPr>
        <w:t>0.85</w:t>
      </w:r>
    </w:p>
    <w:p w14:paraId="6086DE46" w14:textId="77777777" w:rsidR="00C43FF9" w:rsidRPr="000D51FC" w:rsidRDefault="00C43FF9" w:rsidP="000D51FC">
      <w:pPr>
        <w:numPr>
          <w:ilvl w:val="0"/>
          <w:numId w:val="15"/>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235,757 / 268,406 = </w:t>
      </w:r>
      <w:r w:rsidRPr="000D51FC">
        <w:rPr>
          <w:rFonts w:ascii="Arial" w:hAnsi="Arial" w:cs="Arial"/>
          <w:b/>
          <w:bCs/>
        </w:rPr>
        <w:t>0.88</w:t>
      </w:r>
    </w:p>
    <w:p w14:paraId="310A0776" w14:textId="77777777" w:rsidR="00C43FF9" w:rsidRPr="000D51FC" w:rsidRDefault="00C43FF9" w:rsidP="000D51FC">
      <w:pPr>
        <w:numPr>
          <w:ilvl w:val="0"/>
          <w:numId w:val="15"/>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176,952 / 178,920 = </w:t>
      </w:r>
      <w:r w:rsidRPr="000D51FC">
        <w:rPr>
          <w:rFonts w:ascii="Arial" w:hAnsi="Arial" w:cs="Arial"/>
          <w:b/>
          <w:bCs/>
        </w:rPr>
        <w:t>0.99</w:t>
      </w:r>
    </w:p>
    <w:p w14:paraId="68CD0026" w14:textId="77777777" w:rsidR="00C43FF9" w:rsidRPr="000D51FC" w:rsidRDefault="00C43FF9" w:rsidP="000D51FC">
      <w:pPr>
        <w:numPr>
          <w:ilvl w:val="0"/>
          <w:numId w:val="15"/>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170,249 / 153,105 = </w:t>
      </w:r>
      <w:r w:rsidRPr="000D51FC">
        <w:rPr>
          <w:rFonts w:ascii="Arial" w:hAnsi="Arial" w:cs="Arial"/>
          <w:b/>
          <w:bCs/>
        </w:rPr>
        <w:t>1.11</w:t>
      </w:r>
    </w:p>
    <w:p w14:paraId="2EAD1931" w14:textId="77777777" w:rsidR="00C43FF9" w:rsidRPr="000D51FC" w:rsidRDefault="00C43FF9" w:rsidP="000D51FC">
      <w:pPr>
        <w:spacing w:line="360" w:lineRule="auto"/>
        <w:rPr>
          <w:rFonts w:ascii="Arial" w:hAnsi="Arial" w:cs="Arial"/>
          <w:b/>
          <w:bCs/>
        </w:rPr>
      </w:pPr>
      <w:r w:rsidRPr="000D51FC">
        <w:rPr>
          <w:rFonts w:ascii="Arial" w:hAnsi="Arial" w:cs="Arial"/>
          <w:b/>
          <w:bCs/>
        </w:rPr>
        <w:t>Interest coverage = EBIT / interest expense</w:t>
      </w:r>
    </w:p>
    <w:p w14:paraId="41AC2812" w14:textId="77777777" w:rsidR="00C43FF9" w:rsidRPr="000D51FC" w:rsidRDefault="00C43FF9" w:rsidP="000D51FC">
      <w:pPr>
        <w:numPr>
          <w:ilvl w:val="0"/>
          <w:numId w:val="16"/>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37,267 / 1,422 = </w:t>
      </w:r>
      <w:r w:rsidRPr="000D51FC">
        <w:rPr>
          <w:rFonts w:ascii="Arial" w:hAnsi="Arial" w:cs="Arial"/>
          <w:b/>
          <w:bCs/>
        </w:rPr>
        <w:t>26.2x</w:t>
      </w:r>
    </w:p>
    <w:p w14:paraId="048A0805" w14:textId="77777777" w:rsidR="00C43FF9" w:rsidRPr="000D51FC" w:rsidRDefault="00C43FF9" w:rsidP="000D51FC">
      <w:pPr>
        <w:numPr>
          <w:ilvl w:val="0"/>
          <w:numId w:val="16"/>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23,253 / 566 = </w:t>
      </w:r>
      <w:r w:rsidRPr="000D51FC">
        <w:rPr>
          <w:rFonts w:ascii="Arial" w:hAnsi="Arial" w:cs="Arial"/>
          <w:b/>
          <w:bCs/>
        </w:rPr>
        <w:t>41.1x</w:t>
      </w:r>
    </w:p>
    <w:p w14:paraId="3E625440" w14:textId="77777777" w:rsidR="00C43FF9" w:rsidRPr="000D51FC" w:rsidRDefault="00C43FF9" w:rsidP="000D51FC">
      <w:pPr>
        <w:numPr>
          <w:ilvl w:val="0"/>
          <w:numId w:val="16"/>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14,548 / 2,200 = </w:t>
      </w:r>
      <w:r w:rsidRPr="000D51FC">
        <w:rPr>
          <w:rFonts w:ascii="Arial" w:hAnsi="Arial" w:cs="Arial"/>
          <w:b/>
          <w:bCs/>
        </w:rPr>
        <w:t>6.61x</w:t>
      </w:r>
    </w:p>
    <w:p w14:paraId="5D46EA13" w14:textId="77777777" w:rsidR="00C43FF9" w:rsidRPr="000D51FC" w:rsidRDefault="00C43FF9" w:rsidP="000D51FC">
      <w:pPr>
        <w:numPr>
          <w:ilvl w:val="0"/>
          <w:numId w:val="16"/>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-85,301 / 4,332 = </w:t>
      </w:r>
      <w:r w:rsidRPr="000D51FC">
        <w:rPr>
          <w:rFonts w:ascii="Arial" w:hAnsi="Arial" w:cs="Arial"/>
          <w:b/>
          <w:bCs/>
        </w:rPr>
        <w:t>-19.7x</w:t>
      </w:r>
      <w:r w:rsidRPr="000D51FC">
        <w:rPr>
          <w:rFonts w:ascii="Arial" w:hAnsi="Arial" w:cs="Arial"/>
        </w:rPr>
        <w:t xml:space="preserve"> </w:t>
      </w:r>
    </w:p>
    <w:p w14:paraId="048EB80B" w14:textId="77777777" w:rsidR="00C43FF9" w:rsidRPr="000D51FC" w:rsidRDefault="00C43FF9" w:rsidP="000D51FC">
      <w:pPr>
        <w:numPr>
          <w:ilvl w:val="0"/>
          <w:numId w:val="16"/>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-15,297 / 3,361 = </w:t>
      </w:r>
      <w:r w:rsidRPr="000D51FC">
        <w:rPr>
          <w:rFonts w:ascii="Arial" w:hAnsi="Arial" w:cs="Arial"/>
          <w:b/>
          <w:bCs/>
        </w:rPr>
        <w:t>-4.55x</w:t>
      </w:r>
    </w:p>
    <w:p w14:paraId="72372901" w14:textId="77777777" w:rsidR="00C43FF9" w:rsidRPr="000D51FC" w:rsidRDefault="00C43FF9" w:rsidP="000D51FC">
      <w:pPr>
        <w:spacing w:line="360" w:lineRule="auto"/>
        <w:rPr>
          <w:rFonts w:ascii="Arial" w:hAnsi="Arial" w:cs="Arial"/>
          <w:b/>
          <w:bCs/>
        </w:rPr>
      </w:pPr>
      <w:r w:rsidRPr="000D51FC">
        <w:rPr>
          <w:rFonts w:ascii="Arial" w:hAnsi="Arial" w:cs="Arial"/>
          <w:b/>
          <w:bCs/>
        </w:rPr>
        <w:t>Debt ratio = Total liabilities / Total assets</w:t>
      </w:r>
    </w:p>
    <w:p w14:paraId="492CEF3E" w14:textId="77777777" w:rsidR="00C43FF9" w:rsidRPr="000D51FC" w:rsidRDefault="00C43FF9" w:rsidP="000D51FC">
      <w:pPr>
        <w:numPr>
          <w:ilvl w:val="0"/>
          <w:numId w:val="17"/>
        </w:numPr>
        <w:spacing w:before="160" w:after="160" w:line="360" w:lineRule="auto"/>
        <w:rPr>
          <w:rFonts w:ascii="Arial" w:hAnsi="Arial" w:cs="Arial"/>
        </w:rPr>
      </w:pPr>
      <w:r w:rsidRPr="000D51FC">
        <w:rPr>
          <w:rFonts w:ascii="Arial" w:hAnsi="Arial" w:cs="Arial"/>
          <w:b/>
          <w:bCs/>
        </w:rPr>
        <w:t>2020:</w:t>
      </w:r>
      <w:r w:rsidRPr="000D51FC">
        <w:rPr>
          <w:rFonts w:ascii="Arial" w:hAnsi="Arial" w:cs="Arial"/>
        </w:rPr>
        <w:t xml:space="preserve"> 196,989 / 510,290 = </w:t>
      </w:r>
      <w:r w:rsidRPr="000D51FC">
        <w:rPr>
          <w:rFonts w:ascii="Arial" w:hAnsi="Arial" w:cs="Arial"/>
          <w:b/>
          <w:bCs/>
        </w:rPr>
        <w:t>0.39</w:t>
      </w:r>
    </w:p>
    <w:p w14:paraId="5BE2FC4E" w14:textId="77777777" w:rsidR="00C43FF9" w:rsidRPr="000D51FC" w:rsidRDefault="00C43FF9" w:rsidP="000D51FC">
      <w:pPr>
        <w:numPr>
          <w:ilvl w:val="0"/>
          <w:numId w:val="17"/>
        </w:numPr>
        <w:spacing w:before="160" w:after="160" w:line="360" w:lineRule="auto"/>
        <w:rPr>
          <w:rFonts w:ascii="Arial" w:hAnsi="Arial" w:cs="Arial"/>
        </w:rPr>
      </w:pPr>
      <w:r w:rsidRPr="000D51FC">
        <w:rPr>
          <w:rFonts w:ascii="Arial" w:hAnsi="Arial" w:cs="Arial"/>
          <w:b/>
          <w:bCs/>
        </w:rPr>
        <w:t>2021:</w:t>
      </w:r>
      <w:r w:rsidRPr="000D51FC">
        <w:rPr>
          <w:rFonts w:ascii="Arial" w:hAnsi="Arial" w:cs="Arial"/>
        </w:rPr>
        <w:t xml:space="preserve"> 234,399 / 510,348 = </w:t>
      </w:r>
      <w:r w:rsidRPr="000D51FC">
        <w:rPr>
          <w:rFonts w:ascii="Arial" w:hAnsi="Arial" w:cs="Arial"/>
          <w:b/>
          <w:bCs/>
        </w:rPr>
        <w:t>0.46</w:t>
      </w:r>
    </w:p>
    <w:p w14:paraId="2DF633EC" w14:textId="77777777" w:rsidR="00C43FF9" w:rsidRPr="000D51FC" w:rsidRDefault="00C43FF9" w:rsidP="000D51FC">
      <w:pPr>
        <w:numPr>
          <w:ilvl w:val="0"/>
          <w:numId w:val="17"/>
        </w:numPr>
        <w:spacing w:before="160" w:after="160" w:line="360" w:lineRule="auto"/>
        <w:rPr>
          <w:rFonts w:ascii="Arial" w:hAnsi="Arial" w:cs="Arial"/>
        </w:rPr>
      </w:pPr>
      <w:r w:rsidRPr="000D51FC">
        <w:rPr>
          <w:rFonts w:ascii="Arial" w:hAnsi="Arial" w:cs="Arial"/>
          <w:b/>
          <w:bCs/>
        </w:rPr>
        <w:t>2022:</w:t>
      </w:r>
      <w:r w:rsidRPr="000D51FC">
        <w:rPr>
          <w:rFonts w:ascii="Arial" w:hAnsi="Arial" w:cs="Arial"/>
        </w:rPr>
        <w:t xml:space="preserve"> 235,757 / 504,163 = </w:t>
      </w:r>
      <w:r w:rsidRPr="000D51FC">
        <w:rPr>
          <w:rFonts w:ascii="Arial" w:hAnsi="Arial" w:cs="Arial"/>
          <w:b/>
          <w:bCs/>
        </w:rPr>
        <w:t>0.47</w:t>
      </w:r>
    </w:p>
    <w:p w14:paraId="5932BAAD" w14:textId="77777777" w:rsidR="00C43FF9" w:rsidRPr="000D51FC" w:rsidRDefault="00C43FF9" w:rsidP="000D51FC">
      <w:pPr>
        <w:numPr>
          <w:ilvl w:val="0"/>
          <w:numId w:val="17"/>
        </w:numPr>
        <w:spacing w:before="160" w:after="160" w:line="360" w:lineRule="auto"/>
        <w:rPr>
          <w:rFonts w:ascii="Arial" w:hAnsi="Arial" w:cs="Arial"/>
        </w:rPr>
      </w:pPr>
      <w:r w:rsidRPr="000D51FC">
        <w:rPr>
          <w:rFonts w:ascii="Arial" w:hAnsi="Arial" w:cs="Arial"/>
          <w:b/>
          <w:bCs/>
        </w:rPr>
        <w:t>2023:</w:t>
      </w:r>
      <w:r w:rsidRPr="000D51FC">
        <w:rPr>
          <w:rFonts w:ascii="Arial" w:hAnsi="Arial" w:cs="Arial"/>
        </w:rPr>
        <w:t xml:space="preserve"> 176,952 / 355,872 = </w:t>
      </w:r>
      <w:r w:rsidRPr="000D51FC">
        <w:rPr>
          <w:rFonts w:ascii="Arial" w:hAnsi="Arial" w:cs="Arial"/>
          <w:b/>
          <w:bCs/>
        </w:rPr>
        <w:t>0.50</w:t>
      </w:r>
    </w:p>
    <w:p w14:paraId="010A1E91" w14:textId="1F61AB00" w:rsidR="00E53FFA" w:rsidRPr="000D51FC" w:rsidRDefault="00C43FF9" w:rsidP="000D51FC">
      <w:pPr>
        <w:numPr>
          <w:ilvl w:val="0"/>
          <w:numId w:val="17"/>
        </w:numPr>
        <w:spacing w:before="160" w:after="160" w:line="360" w:lineRule="auto"/>
        <w:rPr>
          <w:rFonts w:ascii="Arial" w:hAnsi="Arial" w:cs="Arial"/>
        </w:rPr>
      </w:pPr>
      <w:r w:rsidRPr="000D51FC">
        <w:rPr>
          <w:rFonts w:ascii="Arial" w:hAnsi="Arial" w:cs="Arial"/>
          <w:b/>
          <w:bCs/>
        </w:rPr>
        <w:t>2024:</w:t>
      </w:r>
      <w:r w:rsidRPr="000D51FC">
        <w:rPr>
          <w:rFonts w:ascii="Arial" w:hAnsi="Arial" w:cs="Arial"/>
        </w:rPr>
        <w:t xml:space="preserve"> 170,249 / 323,354 = </w:t>
      </w:r>
      <w:r w:rsidRPr="000D51FC">
        <w:rPr>
          <w:rFonts w:ascii="Arial" w:hAnsi="Arial" w:cs="Arial"/>
          <w:b/>
          <w:bCs/>
        </w:rPr>
        <w:t>0.53</w:t>
      </w:r>
    </w:p>
    <w:p w14:paraId="1B914BCF" w14:textId="77777777" w:rsidR="00E537BE" w:rsidRDefault="00E537BE" w:rsidP="00384BEF">
      <w:pPr>
        <w:spacing w:before="160" w:after="160" w:line="360" w:lineRule="auto"/>
        <w:ind w:left="0" w:firstLine="0"/>
        <w:rPr>
          <w:rFonts w:ascii="Arial" w:hAnsi="Arial" w:cs="Arial"/>
        </w:rPr>
      </w:pPr>
    </w:p>
    <w:p w14:paraId="5B8EC5B5" w14:textId="77777777" w:rsidR="00384BEF" w:rsidRDefault="00384BEF" w:rsidP="00384BEF">
      <w:pPr>
        <w:spacing w:before="160" w:after="160" w:line="360" w:lineRule="auto"/>
        <w:ind w:left="0" w:firstLine="0"/>
        <w:rPr>
          <w:rFonts w:ascii="Arial" w:hAnsi="Arial" w:cs="Arial"/>
        </w:rPr>
      </w:pPr>
    </w:p>
    <w:p w14:paraId="2DE6725B" w14:textId="77777777" w:rsidR="00384BEF" w:rsidRDefault="00384BEF" w:rsidP="00384BEF">
      <w:pPr>
        <w:spacing w:before="160" w:after="160" w:line="360" w:lineRule="auto"/>
        <w:ind w:left="0" w:firstLine="0"/>
        <w:rPr>
          <w:rFonts w:ascii="Arial" w:hAnsi="Arial" w:cs="Arial"/>
        </w:rPr>
      </w:pPr>
    </w:p>
    <w:p w14:paraId="1BBA5DF4" w14:textId="77777777" w:rsidR="00384BEF" w:rsidRDefault="00384BEF" w:rsidP="00384BEF">
      <w:pPr>
        <w:spacing w:before="160" w:after="160" w:line="360" w:lineRule="auto"/>
        <w:ind w:left="0" w:firstLine="0"/>
        <w:rPr>
          <w:rFonts w:ascii="Arial" w:hAnsi="Arial" w:cs="Arial"/>
        </w:rPr>
      </w:pPr>
    </w:p>
    <w:p w14:paraId="0E5DE34B" w14:textId="77777777" w:rsidR="00384BEF" w:rsidRDefault="00384BEF" w:rsidP="00384BEF">
      <w:pPr>
        <w:spacing w:before="160" w:after="160" w:line="360" w:lineRule="auto"/>
        <w:ind w:left="0" w:firstLine="0"/>
        <w:rPr>
          <w:rFonts w:ascii="Arial" w:hAnsi="Arial" w:cs="Arial"/>
        </w:rPr>
      </w:pPr>
    </w:p>
    <w:p w14:paraId="76E2A934" w14:textId="77777777" w:rsidR="00384BEF" w:rsidRDefault="00384BEF" w:rsidP="00384BEF">
      <w:pPr>
        <w:spacing w:before="160" w:after="160" w:line="360" w:lineRule="auto"/>
        <w:ind w:left="0" w:firstLine="0"/>
        <w:rPr>
          <w:rFonts w:ascii="Arial" w:hAnsi="Arial" w:cs="Arial"/>
        </w:rPr>
      </w:pPr>
    </w:p>
    <w:p w14:paraId="4A627E29" w14:textId="77777777" w:rsidR="00384BEF" w:rsidRPr="000D51FC" w:rsidRDefault="00384BEF" w:rsidP="00384BEF">
      <w:pPr>
        <w:spacing w:before="160" w:after="160" w:line="360" w:lineRule="auto"/>
        <w:ind w:left="0" w:firstLine="0"/>
        <w:rPr>
          <w:rFonts w:ascii="Arial" w:hAnsi="Arial" w:cs="Arial"/>
        </w:rPr>
      </w:pPr>
    </w:p>
    <w:p w14:paraId="3F30E022" w14:textId="57159952" w:rsidR="00E53FFA" w:rsidRPr="000D51FC" w:rsidRDefault="00187187" w:rsidP="000D51FC">
      <w:pPr>
        <w:pStyle w:val="ListParagraph"/>
        <w:spacing w:line="360" w:lineRule="auto"/>
        <w:ind w:firstLine="0"/>
        <w:jc w:val="center"/>
        <w:rPr>
          <w:rFonts w:ascii="Arial" w:hAnsi="Arial" w:cs="Arial"/>
        </w:rPr>
      </w:pPr>
      <w:r w:rsidRPr="000D51FC">
        <w:rPr>
          <w:rFonts w:ascii="Arial" w:hAnsi="Arial" w:cs="Arial"/>
          <w:b/>
          <w:bCs/>
        </w:rPr>
        <w:lastRenderedPageBreak/>
        <w:t xml:space="preserve">Table </w:t>
      </w:r>
      <w:r w:rsidRPr="000D51FC">
        <w:rPr>
          <w:rFonts w:ascii="Arial" w:hAnsi="Arial" w:cs="Arial"/>
          <w:b/>
          <w:bCs/>
        </w:rPr>
        <w:t>4</w:t>
      </w:r>
      <w:r w:rsidRPr="000D51FC">
        <w:rPr>
          <w:rFonts w:ascii="Arial" w:hAnsi="Arial" w:cs="Arial"/>
          <w:b/>
          <w:bCs/>
        </w:rPr>
        <w:t xml:space="preserve">: </w:t>
      </w:r>
      <w:r w:rsidRPr="000D51FC">
        <w:rPr>
          <w:rFonts w:ascii="Arial" w:hAnsi="Arial" w:cs="Arial"/>
          <w:b/>
          <w:bCs/>
          <w:lang w:val="en-US"/>
        </w:rPr>
        <w:t>Gearing and Solvency</w:t>
      </w:r>
      <w:r w:rsidRPr="000D51FC">
        <w:rPr>
          <w:rFonts w:ascii="Arial" w:hAnsi="Arial" w:cs="Arial"/>
          <w:b/>
          <w:bCs/>
          <w:lang w:val="en-US"/>
        </w:rPr>
        <w:t xml:space="preserve"> Ratios, 2020–2024</w:t>
      </w:r>
    </w:p>
    <w:tbl>
      <w:tblPr>
        <w:tblStyle w:val="GridTable5Dark-Accent4"/>
        <w:tblW w:w="0" w:type="auto"/>
        <w:tblLook w:val="04A0" w:firstRow="1" w:lastRow="0" w:firstColumn="1" w:lastColumn="0" w:noHBand="0" w:noVBand="1"/>
      </w:tblPr>
      <w:tblGrid>
        <w:gridCol w:w="1470"/>
        <w:gridCol w:w="2828"/>
        <w:gridCol w:w="2861"/>
        <w:gridCol w:w="1921"/>
      </w:tblGrid>
      <w:tr w:rsidR="00E53FFA" w:rsidRPr="000D51FC" w14:paraId="152FD619" w14:textId="77777777" w:rsidTr="00E53F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7723E1" w14:textId="77777777" w:rsidR="00E53FFA" w:rsidRPr="000D51FC" w:rsidRDefault="00E53FFA"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Year</w:t>
            </w:r>
          </w:p>
        </w:tc>
        <w:tc>
          <w:tcPr>
            <w:tcW w:w="0" w:type="auto"/>
            <w:hideMark/>
          </w:tcPr>
          <w:p w14:paraId="02A8717E" w14:textId="77777777" w:rsidR="00E53FFA" w:rsidRPr="000D51FC" w:rsidRDefault="00E53FFA"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Debt-to-Equity (times)</w:t>
            </w:r>
          </w:p>
        </w:tc>
        <w:tc>
          <w:tcPr>
            <w:tcW w:w="0" w:type="auto"/>
            <w:hideMark/>
          </w:tcPr>
          <w:p w14:paraId="1316A0E7" w14:textId="77777777" w:rsidR="00E53FFA" w:rsidRPr="000D51FC" w:rsidRDefault="00E53FFA"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Interest Coverage (x)</w:t>
            </w:r>
          </w:p>
        </w:tc>
        <w:tc>
          <w:tcPr>
            <w:tcW w:w="0" w:type="auto"/>
            <w:hideMark/>
          </w:tcPr>
          <w:p w14:paraId="66278540" w14:textId="77777777" w:rsidR="00E53FFA" w:rsidRPr="000D51FC" w:rsidRDefault="00E53FFA"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Debt Ratio</w:t>
            </w:r>
          </w:p>
        </w:tc>
      </w:tr>
      <w:tr w:rsidR="00E53FFA" w:rsidRPr="000D51FC" w14:paraId="52655EB1" w14:textId="77777777" w:rsidTr="00E53F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353B7F" w14:textId="77777777" w:rsidR="00E53FFA" w:rsidRPr="000D51FC" w:rsidRDefault="00E53FFA"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2020</w:t>
            </w:r>
          </w:p>
        </w:tc>
        <w:tc>
          <w:tcPr>
            <w:tcW w:w="0" w:type="auto"/>
            <w:hideMark/>
          </w:tcPr>
          <w:p w14:paraId="00385CBE"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0.63</w:t>
            </w:r>
          </w:p>
        </w:tc>
        <w:tc>
          <w:tcPr>
            <w:tcW w:w="0" w:type="auto"/>
            <w:hideMark/>
          </w:tcPr>
          <w:p w14:paraId="0D4AA431"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26.2</w:t>
            </w:r>
          </w:p>
        </w:tc>
        <w:tc>
          <w:tcPr>
            <w:tcW w:w="0" w:type="auto"/>
            <w:hideMark/>
          </w:tcPr>
          <w:p w14:paraId="0389A401"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0.39</w:t>
            </w:r>
          </w:p>
        </w:tc>
      </w:tr>
      <w:tr w:rsidR="00E53FFA" w:rsidRPr="000D51FC" w14:paraId="67BD5F7A" w14:textId="77777777" w:rsidTr="00E53FFA">
        <w:tc>
          <w:tcPr>
            <w:cnfStyle w:val="001000000000" w:firstRow="0" w:lastRow="0" w:firstColumn="1" w:lastColumn="0" w:oddVBand="0" w:evenVBand="0" w:oddHBand="0" w:evenHBand="0" w:firstRowFirstColumn="0" w:firstRowLastColumn="0" w:lastRowFirstColumn="0" w:lastRowLastColumn="0"/>
            <w:tcW w:w="0" w:type="auto"/>
            <w:hideMark/>
          </w:tcPr>
          <w:p w14:paraId="15EEA0EC" w14:textId="77777777" w:rsidR="00E53FFA" w:rsidRPr="000D51FC" w:rsidRDefault="00E53FFA"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2021</w:t>
            </w:r>
          </w:p>
        </w:tc>
        <w:tc>
          <w:tcPr>
            <w:tcW w:w="0" w:type="auto"/>
            <w:hideMark/>
          </w:tcPr>
          <w:p w14:paraId="7EA02A8A" w14:textId="77777777" w:rsidR="00E53FFA" w:rsidRPr="000D51FC" w:rsidRDefault="00E53FFA"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0.85</w:t>
            </w:r>
          </w:p>
        </w:tc>
        <w:tc>
          <w:tcPr>
            <w:tcW w:w="0" w:type="auto"/>
            <w:hideMark/>
          </w:tcPr>
          <w:p w14:paraId="618CE1CC" w14:textId="77777777" w:rsidR="00E53FFA" w:rsidRPr="000D51FC" w:rsidRDefault="00E53FFA"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41.1</w:t>
            </w:r>
          </w:p>
        </w:tc>
        <w:tc>
          <w:tcPr>
            <w:tcW w:w="0" w:type="auto"/>
            <w:hideMark/>
          </w:tcPr>
          <w:p w14:paraId="74BF3E13" w14:textId="77777777" w:rsidR="00E53FFA" w:rsidRPr="000D51FC" w:rsidRDefault="00E53FFA"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0.46</w:t>
            </w:r>
          </w:p>
        </w:tc>
      </w:tr>
      <w:tr w:rsidR="00E53FFA" w:rsidRPr="000D51FC" w14:paraId="62DE2388" w14:textId="77777777" w:rsidTr="00E53F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04BFD5" w14:textId="77777777" w:rsidR="00E53FFA" w:rsidRPr="000D51FC" w:rsidRDefault="00E53FFA"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2022</w:t>
            </w:r>
          </w:p>
        </w:tc>
        <w:tc>
          <w:tcPr>
            <w:tcW w:w="0" w:type="auto"/>
            <w:hideMark/>
          </w:tcPr>
          <w:p w14:paraId="3C403987"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0.88</w:t>
            </w:r>
          </w:p>
        </w:tc>
        <w:tc>
          <w:tcPr>
            <w:tcW w:w="0" w:type="auto"/>
            <w:hideMark/>
          </w:tcPr>
          <w:p w14:paraId="06EBC025"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6.61</w:t>
            </w:r>
          </w:p>
        </w:tc>
        <w:tc>
          <w:tcPr>
            <w:tcW w:w="0" w:type="auto"/>
            <w:hideMark/>
          </w:tcPr>
          <w:p w14:paraId="1D370597"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0.47</w:t>
            </w:r>
          </w:p>
        </w:tc>
      </w:tr>
      <w:tr w:rsidR="00E53FFA" w:rsidRPr="000D51FC" w14:paraId="21E514D6" w14:textId="77777777" w:rsidTr="00E53FFA">
        <w:tc>
          <w:tcPr>
            <w:cnfStyle w:val="001000000000" w:firstRow="0" w:lastRow="0" w:firstColumn="1" w:lastColumn="0" w:oddVBand="0" w:evenVBand="0" w:oddHBand="0" w:evenHBand="0" w:firstRowFirstColumn="0" w:firstRowLastColumn="0" w:lastRowFirstColumn="0" w:lastRowLastColumn="0"/>
            <w:tcW w:w="0" w:type="auto"/>
            <w:hideMark/>
          </w:tcPr>
          <w:p w14:paraId="7F0602A7" w14:textId="77777777" w:rsidR="00E53FFA" w:rsidRPr="000D51FC" w:rsidRDefault="00E53FFA"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2023</w:t>
            </w:r>
          </w:p>
        </w:tc>
        <w:tc>
          <w:tcPr>
            <w:tcW w:w="0" w:type="auto"/>
            <w:hideMark/>
          </w:tcPr>
          <w:p w14:paraId="24A0B03D" w14:textId="77777777" w:rsidR="00E53FFA" w:rsidRPr="000D51FC" w:rsidRDefault="00E53FFA"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0.99</w:t>
            </w:r>
          </w:p>
        </w:tc>
        <w:tc>
          <w:tcPr>
            <w:tcW w:w="0" w:type="auto"/>
            <w:hideMark/>
          </w:tcPr>
          <w:p w14:paraId="4395D978" w14:textId="77777777" w:rsidR="00E53FFA" w:rsidRPr="000D51FC" w:rsidRDefault="00E53FFA"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-19.7</w:t>
            </w:r>
          </w:p>
        </w:tc>
        <w:tc>
          <w:tcPr>
            <w:tcW w:w="0" w:type="auto"/>
            <w:hideMark/>
          </w:tcPr>
          <w:p w14:paraId="66C4AB1B" w14:textId="77777777" w:rsidR="00E53FFA" w:rsidRPr="000D51FC" w:rsidRDefault="00E53FFA"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0.50</w:t>
            </w:r>
          </w:p>
        </w:tc>
      </w:tr>
      <w:tr w:rsidR="00E53FFA" w:rsidRPr="000D51FC" w14:paraId="412E085E" w14:textId="77777777" w:rsidTr="00E53F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5D0A0A" w14:textId="77777777" w:rsidR="00E53FFA" w:rsidRPr="000D51FC" w:rsidRDefault="00E53FFA"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2024</w:t>
            </w:r>
          </w:p>
        </w:tc>
        <w:tc>
          <w:tcPr>
            <w:tcW w:w="0" w:type="auto"/>
            <w:hideMark/>
          </w:tcPr>
          <w:p w14:paraId="48571998"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1.11</w:t>
            </w:r>
          </w:p>
        </w:tc>
        <w:tc>
          <w:tcPr>
            <w:tcW w:w="0" w:type="auto"/>
            <w:hideMark/>
          </w:tcPr>
          <w:p w14:paraId="507DAEB7"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-4.55</w:t>
            </w:r>
          </w:p>
        </w:tc>
        <w:tc>
          <w:tcPr>
            <w:tcW w:w="0" w:type="auto"/>
            <w:hideMark/>
          </w:tcPr>
          <w:p w14:paraId="00A47BCD" w14:textId="77777777" w:rsidR="00E53FFA" w:rsidRPr="000D51FC" w:rsidRDefault="00E53FFA"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0.53</w:t>
            </w:r>
          </w:p>
        </w:tc>
      </w:tr>
    </w:tbl>
    <w:p w14:paraId="692AEC03" w14:textId="77777777" w:rsidR="00C43FF9" w:rsidRPr="000D51FC" w:rsidRDefault="00C43FF9" w:rsidP="000D51FC">
      <w:pPr>
        <w:spacing w:before="160" w:after="160" w:line="360" w:lineRule="auto"/>
        <w:ind w:left="720" w:firstLine="0"/>
        <w:rPr>
          <w:rFonts w:ascii="Arial" w:hAnsi="Arial" w:cs="Arial"/>
        </w:rPr>
      </w:pPr>
    </w:p>
    <w:p w14:paraId="153EF485" w14:textId="24805A23" w:rsidR="006B3854" w:rsidRPr="000D51FC" w:rsidRDefault="006B3854" w:rsidP="000D51FC">
      <w:pPr>
        <w:spacing w:line="360" w:lineRule="auto"/>
        <w:rPr>
          <w:rFonts w:ascii="Arial" w:hAnsi="Arial" w:cs="Arial"/>
          <w:b/>
          <w:bCs/>
          <w:lang w:val="en-IN" w:eastAsia="en-GB"/>
        </w:rPr>
      </w:pPr>
      <w:r w:rsidRPr="000D51FC">
        <w:rPr>
          <w:rFonts w:ascii="Arial" w:hAnsi="Arial" w:cs="Arial"/>
          <w:b/>
          <w:bCs/>
          <w:lang w:val="en-IN" w:eastAsia="en-GB"/>
        </w:rPr>
        <w:t>Interpretation:</w:t>
      </w:r>
    </w:p>
    <w:p w14:paraId="02385187" w14:textId="55792B56" w:rsidR="006B3854" w:rsidRPr="000D51FC" w:rsidRDefault="006B3854" w:rsidP="000D51FC">
      <w:pPr>
        <w:spacing w:line="360" w:lineRule="auto"/>
        <w:rPr>
          <w:rFonts w:ascii="Arial" w:hAnsi="Arial" w:cs="Arial"/>
          <w:lang w:val="en-IN" w:eastAsia="en-GB"/>
        </w:rPr>
      </w:pPr>
      <w:r w:rsidRPr="000D51FC">
        <w:rPr>
          <w:rFonts w:ascii="Arial" w:hAnsi="Arial" w:cs="Arial"/>
          <w:lang w:val="en-IN" w:eastAsia="en-GB"/>
        </w:rPr>
        <w:t>Debt-to-equity has increased from 0.63 in 2020 to 1.11 in 2024, indicating greater use of debt financing relative to equity, thus heightening financial risk as well.</w:t>
      </w:r>
    </w:p>
    <w:p w14:paraId="17F1ABB4" w14:textId="7D12CE16" w:rsidR="006B3854" w:rsidRPr="000D51FC" w:rsidRDefault="006B3854" w:rsidP="000D51FC">
      <w:pPr>
        <w:spacing w:line="360" w:lineRule="auto"/>
        <w:rPr>
          <w:rFonts w:ascii="Arial" w:hAnsi="Arial" w:cs="Arial"/>
          <w:lang w:val="en-IN" w:eastAsia="en-GB"/>
        </w:rPr>
      </w:pPr>
      <w:r w:rsidRPr="000D51FC">
        <w:rPr>
          <w:rFonts w:ascii="Arial" w:hAnsi="Arial" w:cs="Arial"/>
          <w:lang w:val="en-IN" w:eastAsia="en-GB"/>
        </w:rPr>
        <w:t>Interest coverage dropped drastically, from 26.2x in 2020 to negative values in 2023 and 2024, at -19.7x and -4.55x, respectively, because of inadequate operating income to cover interest charges; this may indicate potential default risk. Atrill &amp; McLaney (2019)</w:t>
      </w:r>
    </w:p>
    <w:p w14:paraId="2B9ED87B" w14:textId="777C77F4" w:rsidR="006B3854" w:rsidRPr="000D51FC" w:rsidRDefault="006B3854" w:rsidP="000D51FC">
      <w:pPr>
        <w:spacing w:line="360" w:lineRule="auto"/>
        <w:rPr>
          <w:rFonts w:ascii="Arial" w:hAnsi="Arial" w:cs="Arial"/>
          <w:lang w:val="en-IN" w:eastAsia="en-GB"/>
        </w:rPr>
      </w:pPr>
      <w:r w:rsidRPr="000D51FC">
        <w:rPr>
          <w:rFonts w:ascii="Arial" w:hAnsi="Arial" w:cs="Arial"/>
          <w:lang w:val="en-IN" w:eastAsia="en-GB"/>
        </w:rPr>
        <w:t>Debt ratio increased from 0.39 in the year 2020 to 0.53 in 2024; this indicated that over half of the firm's assets were financed through liabilities, further increasing financial leverage and vulnerability. Brigham &amp; Ehrhardt, 2019</w:t>
      </w:r>
    </w:p>
    <w:p w14:paraId="6896B3BD" w14:textId="77777777" w:rsidR="00033AEE" w:rsidRPr="000D51FC" w:rsidRDefault="006B3854" w:rsidP="000D51FC">
      <w:pPr>
        <w:spacing w:line="360" w:lineRule="auto"/>
        <w:rPr>
          <w:rFonts w:ascii="Arial" w:hAnsi="Arial" w:cs="Arial"/>
          <w:lang w:val="en-IN" w:eastAsia="en-GB"/>
        </w:rPr>
      </w:pPr>
      <w:r w:rsidRPr="000D51FC">
        <w:rPr>
          <w:rFonts w:ascii="Arial" w:hAnsi="Arial" w:cs="Arial"/>
          <w:lang w:val="en-IN" w:eastAsia="en-GB"/>
        </w:rPr>
        <w:t>Overall, there has been a steady rise in the level of leverage of the firm, while its ability to service debt has continuously deteriorated. This combination puts creditors at serious risk; financial restructuring is needed to regain solvency and reduce the risk of default.</w:t>
      </w:r>
    </w:p>
    <w:p w14:paraId="6AFA3EC4" w14:textId="5B0E47F9" w:rsidR="006B3854" w:rsidRPr="000D51FC" w:rsidRDefault="00033A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1.5 </w:t>
      </w:r>
      <w:r w:rsidR="006B3854" w:rsidRPr="000D51FC">
        <w:rPr>
          <w:rFonts w:ascii="Arial" w:hAnsi="Arial" w:cs="Arial"/>
          <w:b/>
          <w:bCs/>
        </w:rPr>
        <w:t>Investment Ratios</w:t>
      </w:r>
    </w:p>
    <w:p w14:paraId="7BD86E0B" w14:textId="77777777" w:rsidR="00FB29A8" w:rsidRPr="000D51FC" w:rsidRDefault="00FB29A8" w:rsidP="000D51FC">
      <w:pPr>
        <w:spacing w:line="360" w:lineRule="auto"/>
        <w:rPr>
          <w:rFonts w:ascii="Arial" w:hAnsi="Arial" w:cs="Arial"/>
        </w:rPr>
      </w:pPr>
      <w:r w:rsidRPr="000D51FC">
        <w:rPr>
          <w:rFonts w:ascii="Arial" w:hAnsi="Arial" w:cs="Arial"/>
        </w:rPr>
        <w:t>Investment ratios measure shareholder returns and market confidence.</w:t>
      </w:r>
    </w:p>
    <w:p w14:paraId="70DC6B59" w14:textId="1EDB52D2" w:rsidR="00123AFA" w:rsidRPr="000D51FC" w:rsidRDefault="00123AFA" w:rsidP="000D51FC">
      <w:pPr>
        <w:pStyle w:val="ListParagraph"/>
        <w:spacing w:line="360" w:lineRule="auto"/>
        <w:ind w:firstLine="0"/>
        <w:jc w:val="center"/>
        <w:rPr>
          <w:rFonts w:ascii="Arial" w:hAnsi="Arial" w:cs="Arial"/>
        </w:rPr>
      </w:pPr>
      <w:r w:rsidRPr="000D51FC">
        <w:rPr>
          <w:rFonts w:ascii="Arial" w:hAnsi="Arial" w:cs="Arial"/>
          <w:b/>
          <w:bCs/>
        </w:rPr>
        <w:lastRenderedPageBreak/>
        <w:t xml:space="preserve">Table </w:t>
      </w:r>
      <w:r w:rsidRPr="000D51FC">
        <w:rPr>
          <w:rFonts w:ascii="Arial" w:hAnsi="Arial" w:cs="Arial"/>
          <w:b/>
          <w:bCs/>
        </w:rPr>
        <w:t>5</w:t>
      </w:r>
      <w:r w:rsidRPr="000D51FC">
        <w:rPr>
          <w:rFonts w:ascii="Arial" w:hAnsi="Arial" w:cs="Arial"/>
          <w:b/>
          <w:bCs/>
        </w:rPr>
        <w:t xml:space="preserve">: </w:t>
      </w:r>
      <w:r w:rsidRPr="000D51FC">
        <w:rPr>
          <w:rFonts w:ascii="Arial" w:hAnsi="Arial" w:cs="Arial"/>
          <w:b/>
          <w:bCs/>
          <w:lang w:val="en-US"/>
        </w:rPr>
        <w:t>Investment</w:t>
      </w:r>
      <w:r w:rsidRPr="000D51FC">
        <w:rPr>
          <w:rFonts w:ascii="Arial" w:hAnsi="Arial" w:cs="Arial"/>
          <w:b/>
          <w:bCs/>
          <w:lang w:val="en-US"/>
        </w:rPr>
        <w:t xml:space="preserve"> Ratios, 2020–2024</w:t>
      </w:r>
    </w:p>
    <w:tbl>
      <w:tblPr>
        <w:tblStyle w:val="GridTable5Dark-Accent4"/>
        <w:tblW w:w="8230" w:type="dxa"/>
        <w:jc w:val="center"/>
        <w:tblLook w:val="04A0" w:firstRow="1" w:lastRow="0" w:firstColumn="1" w:lastColumn="0" w:noHBand="0" w:noVBand="1"/>
      </w:tblPr>
      <w:tblGrid>
        <w:gridCol w:w="973"/>
        <w:gridCol w:w="1280"/>
        <w:gridCol w:w="2989"/>
        <w:gridCol w:w="2988"/>
      </w:tblGrid>
      <w:tr w:rsidR="00FB29A8" w:rsidRPr="000D51FC" w14:paraId="46F6686F" w14:textId="77777777" w:rsidTr="00FB29A8">
        <w:trPr>
          <w:cnfStyle w:val="100000000000" w:firstRow="1" w:lastRow="0" w:firstColumn="0" w:lastColumn="0" w:oddVBand="0" w:evenVBand="0" w:oddHBand="0" w:evenHBand="0" w:firstRowFirstColumn="0" w:firstRowLastColumn="0" w:lastRowFirstColumn="0" w:lastRowLastColumn="0"/>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155524" w14:textId="77777777" w:rsidR="00FB29A8" w:rsidRPr="000D51FC" w:rsidRDefault="00FB29A8" w:rsidP="000D51FC">
            <w:pPr>
              <w:spacing w:after="160" w:line="360" w:lineRule="auto"/>
              <w:jc w:val="center"/>
              <w:rPr>
                <w:rFonts w:ascii="Arial" w:hAnsi="Arial" w:cs="Arial"/>
              </w:rPr>
            </w:pPr>
            <w:r w:rsidRPr="000D51FC">
              <w:rPr>
                <w:rFonts w:ascii="Arial" w:hAnsi="Arial" w:cs="Arial"/>
              </w:rPr>
              <w:t>Year</w:t>
            </w:r>
          </w:p>
        </w:tc>
        <w:tc>
          <w:tcPr>
            <w:tcW w:w="0" w:type="auto"/>
            <w:hideMark/>
          </w:tcPr>
          <w:p w14:paraId="2C70241D" w14:textId="77777777" w:rsidR="00FB29A8" w:rsidRPr="000D51FC" w:rsidRDefault="00FB29A8" w:rsidP="000D51F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EPS (£)</w:t>
            </w:r>
          </w:p>
        </w:tc>
        <w:tc>
          <w:tcPr>
            <w:tcW w:w="0" w:type="auto"/>
            <w:hideMark/>
          </w:tcPr>
          <w:p w14:paraId="652644E0" w14:textId="77777777" w:rsidR="00FB29A8" w:rsidRPr="000D51FC" w:rsidRDefault="00FB29A8" w:rsidP="000D51F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Dividend per Share (£)</w:t>
            </w:r>
          </w:p>
        </w:tc>
        <w:tc>
          <w:tcPr>
            <w:tcW w:w="0" w:type="auto"/>
            <w:hideMark/>
          </w:tcPr>
          <w:p w14:paraId="082D2523" w14:textId="77777777" w:rsidR="00FB29A8" w:rsidRPr="000D51FC" w:rsidRDefault="00FB29A8" w:rsidP="000D51F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Dividend Payout Ratio</w:t>
            </w:r>
          </w:p>
        </w:tc>
      </w:tr>
      <w:tr w:rsidR="00FB29A8" w:rsidRPr="000D51FC" w14:paraId="16D87AB6" w14:textId="77777777" w:rsidTr="00FB29A8">
        <w:trPr>
          <w:cnfStyle w:val="000000100000" w:firstRow="0" w:lastRow="0" w:firstColumn="0" w:lastColumn="0" w:oddVBand="0" w:evenVBand="0" w:oddHBand="1" w:evenHBand="0" w:firstRowFirstColumn="0" w:firstRowLastColumn="0" w:lastRowFirstColumn="0" w:lastRowLastColumn="0"/>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11576B" w14:textId="77777777" w:rsidR="00FB29A8" w:rsidRPr="000D51FC" w:rsidRDefault="00FB29A8" w:rsidP="000D51FC">
            <w:pPr>
              <w:spacing w:after="160" w:line="360" w:lineRule="auto"/>
              <w:jc w:val="center"/>
              <w:rPr>
                <w:rFonts w:ascii="Arial" w:hAnsi="Arial" w:cs="Arial"/>
              </w:rPr>
            </w:pPr>
            <w:r w:rsidRPr="000D51FC">
              <w:rPr>
                <w:rFonts w:ascii="Arial" w:hAnsi="Arial" w:cs="Arial"/>
              </w:rPr>
              <w:t>2020</w:t>
            </w:r>
          </w:p>
        </w:tc>
        <w:tc>
          <w:tcPr>
            <w:tcW w:w="0" w:type="auto"/>
            <w:hideMark/>
          </w:tcPr>
          <w:p w14:paraId="12538FB2"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2.78</w:t>
            </w:r>
          </w:p>
        </w:tc>
        <w:tc>
          <w:tcPr>
            <w:tcW w:w="0" w:type="auto"/>
            <w:hideMark/>
          </w:tcPr>
          <w:p w14:paraId="2ABC61D4"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1.20</w:t>
            </w:r>
          </w:p>
        </w:tc>
        <w:tc>
          <w:tcPr>
            <w:tcW w:w="0" w:type="auto"/>
            <w:hideMark/>
          </w:tcPr>
          <w:p w14:paraId="1801C468"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43%</w:t>
            </w:r>
          </w:p>
        </w:tc>
      </w:tr>
      <w:tr w:rsidR="00FB29A8" w:rsidRPr="000D51FC" w14:paraId="470B8049" w14:textId="77777777" w:rsidTr="00FB29A8">
        <w:trPr>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E8630D" w14:textId="77777777" w:rsidR="00FB29A8" w:rsidRPr="000D51FC" w:rsidRDefault="00FB29A8" w:rsidP="000D51FC">
            <w:pPr>
              <w:spacing w:after="160" w:line="360" w:lineRule="auto"/>
              <w:jc w:val="center"/>
              <w:rPr>
                <w:rFonts w:ascii="Arial" w:hAnsi="Arial" w:cs="Arial"/>
              </w:rPr>
            </w:pPr>
            <w:r w:rsidRPr="000D51FC">
              <w:rPr>
                <w:rFonts w:ascii="Arial" w:hAnsi="Arial" w:cs="Arial"/>
              </w:rPr>
              <w:t>2021</w:t>
            </w:r>
          </w:p>
        </w:tc>
        <w:tc>
          <w:tcPr>
            <w:tcW w:w="0" w:type="auto"/>
            <w:hideMark/>
          </w:tcPr>
          <w:p w14:paraId="332C8F6A" w14:textId="77777777" w:rsidR="00FB29A8" w:rsidRPr="000D51FC" w:rsidRDefault="00FB29A8"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0.39</w:t>
            </w:r>
          </w:p>
        </w:tc>
        <w:tc>
          <w:tcPr>
            <w:tcW w:w="0" w:type="auto"/>
            <w:hideMark/>
          </w:tcPr>
          <w:p w14:paraId="4F8696FF" w14:textId="77777777" w:rsidR="00FB29A8" w:rsidRPr="000D51FC" w:rsidRDefault="00FB29A8"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0.15</w:t>
            </w:r>
          </w:p>
        </w:tc>
        <w:tc>
          <w:tcPr>
            <w:tcW w:w="0" w:type="auto"/>
            <w:hideMark/>
          </w:tcPr>
          <w:p w14:paraId="795B8508" w14:textId="77777777" w:rsidR="00FB29A8" w:rsidRPr="000D51FC" w:rsidRDefault="00FB29A8"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38%</w:t>
            </w:r>
          </w:p>
        </w:tc>
      </w:tr>
      <w:tr w:rsidR="00FB29A8" w:rsidRPr="000D51FC" w14:paraId="12B27EB3" w14:textId="77777777" w:rsidTr="00FB29A8">
        <w:trPr>
          <w:cnfStyle w:val="000000100000" w:firstRow="0" w:lastRow="0" w:firstColumn="0" w:lastColumn="0" w:oddVBand="0" w:evenVBand="0" w:oddHBand="1" w:evenHBand="0" w:firstRowFirstColumn="0" w:firstRowLastColumn="0" w:lastRowFirstColumn="0" w:lastRowLastColumn="0"/>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455E71" w14:textId="77777777" w:rsidR="00FB29A8" w:rsidRPr="000D51FC" w:rsidRDefault="00FB29A8" w:rsidP="000D51FC">
            <w:pPr>
              <w:spacing w:after="160" w:line="360" w:lineRule="auto"/>
              <w:jc w:val="center"/>
              <w:rPr>
                <w:rFonts w:ascii="Arial" w:hAnsi="Arial" w:cs="Arial"/>
              </w:rPr>
            </w:pPr>
            <w:r w:rsidRPr="000D51FC">
              <w:rPr>
                <w:rFonts w:ascii="Arial" w:hAnsi="Arial" w:cs="Arial"/>
              </w:rPr>
              <w:t>2022</w:t>
            </w:r>
          </w:p>
        </w:tc>
        <w:tc>
          <w:tcPr>
            <w:tcW w:w="0" w:type="auto"/>
            <w:hideMark/>
          </w:tcPr>
          <w:p w14:paraId="4344DA6F"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0.03</w:t>
            </w:r>
          </w:p>
        </w:tc>
        <w:tc>
          <w:tcPr>
            <w:tcW w:w="0" w:type="auto"/>
            <w:hideMark/>
          </w:tcPr>
          <w:p w14:paraId="437CB5CE"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0.00</w:t>
            </w:r>
          </w:p>
        </w:tc>
        <w:tc>
          <w:tcPr>
            <w:tcW w:w="0" w:type="auto"/>
            <w:hideMark/>
          </w:tcPr>
          <w:p w14:paraId="225785BE"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0%</w:t>
            </w:r>
          </w:p>
        </w:tc>
      </w:tr>
      <w:tr w:rsidR="00FB29A8" w:rsidRPr="000D51FC" w14:paraId="14285303" w14:textId="77777777" w:rsidTr="00FB29A8">
        <w:trPr>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B3671A" w14:textId="77777777" w:rsidR="00FB29A8" w:rsidRPr="000D51FC" w:rsidRDefault="00FB29A8" w:rsidP="000D51FC">
            <w:pPr>
              <w:spacing w:after="160" w:line="360" w:lineRule="auto"/>
              <w:jc w:val="center"/>
              <w:rPr>
                <w:rFonts w:ascii="Arial" w:hAnsi="Arial" w:cs="Arial"/>
              </w:rPr>
            </w:pPr>
            <w:r w:rsidRPr="000D51FC">
              <w:rPr>
                <w:rFonts w:ascii="Arial" w:hAnsi="Arial" w:cs="Arial"/>
              </w:rPr>
              <w:t>2023</w:t>
            </w:r>
          </w:p>
        </w:tc>
        <w:tc>
          <w:tcPr>
            <w:tcW w:w="0" w:type="auto"/>
            <w:hideMark/>
          </w:tcPr>
          <w:p w14:paraId="518734A0" w14:textId="77777777" w:rsidR="00FB29A8" w:rsidRPr="000D51FC" w:rsidRDefault="00FB29A8"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-7.64</w:t>
            </w:r>
          </w:p>
        </w:tc>
        <w:tc>
          <w:tcPr>
            <w:tcW w:w="0" w:type="auto"/>
            <w:hideMark/>
          </w:tcPr>
          <w:p w14:paraId="4AFAB258" w14:textId="77777777" w:rsidR="00FB29A8" w:rsidRPr="000D51FC" w:rsidRDefault="00FB29A8"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0.00</w:t>
            </w:r>
          </w:p>
        </w:tc>
        <w:tc>
          <w:tcPr>
            <w:tcW w:w="0" w:type="auto"/>
            <w:hideMark/>
          </w:tcPr>
          <w:p w14:paraId="0E98BA1B" w14:textId="77777777" w:rsidR="00FB29A8" w:rsidRPr="000D51FC" w:rsidRDefault="00FB29A8"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w:t>
            </w:r>
          </w:p>
        </w:tc>
      </w:tr>
      <w:tr w:rsidR="00FB29A8" w:rsidRPr="000D51FC" w14:paraId="6C2ED495" w14:textId="77777777" w:rsidTr="00FB29A8">
        <w:trPr>
          <w:cnfStyle w:val="000000100000" w:firstRow="0" w:lastRow="0" w:firstColumn="0" w:lastColumn="0" w:oddVBand="0" w:evenVBand="0" w:oddHBand="1" w:evenHBand="0" w:firstRowFirstColumn="0" w:firstRowLastColumn="0" w:lastRowFirstColumn="0" w:lastRowLastColumn="0"/>
          <w:trHeight w:val="69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054C37" w14:textId="77777777" w:rsidR="00FB29A8" w:rsidRPr="000D51FC" w:rsidRDefault="00FB29A8" w:rsidP="000D51FC">
            <w:pPr>
              <w:spacing w:after="160" w:line="360" w:lineRule="auto"/>
              <w:jc w:val="center"/>
              <w:rPr>
                <w:rFonts w:ascii="Arial" w:hAnsi="Arial" w:cs="Arial"/>
              </w:rPr>
            </w:pPr>
            <w:r w:rsidRPr="000D51FC">
              <w:rPr>
                <w:rFonts w:ascii="Arial" w:hAnsi="Arial" w:cs="Arial"/>
              </w:rPr>
              <w:t>2024</w:t>
            </w:r>
          </w:p>
        </w:tc>
        <w:tc>
          <w:tcPr>
            <w:tcW w:w="0" w:type="auto"/>
            <w:hideMark/>
          </w:tcPr>
          <w:p w14:paraId="6849C7AC"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-1.85</w:t>
            </w:r>
          </w:p>
        </w:tc>
        <w:tc>
          <w:tcPr>
            <w:tcW w:w="0" w:type="auto"/>
            <w:hideMark/>
          </w:tcPr>
          <w:p w14:paraId="717E0EB0"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0.00</w:t>
            </w:r>
          </w:p>
        </w:tc>
        <w:tc>
          <w:tcPr>
            <w:tcW w:w="0" w:type="auto"/>
            <w:hideMark/>
          </w:tcPr>
          <w:p w14:paraId="0C0663C9" w14:textId="77777777" w:rsidR="00FB29A8" w:rsidRPr="000D51FC" w:rsidRDefault="00FB29A8"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w:t>
            </w:r>
          </w:p>
        </w:tc>
      </w:tr>
    </w:tbl>
    <w:p w14:paraId="0971652E" w14:textId="77777777" w:rsidR="006B3854" w:rsidRPr="000D51FC" w:rsidRDefault="006B3854" w:rsidP="000D51FC">
      <w:pPr>
        <w:spacing w:line="360" w:lineRule="auto"/>
        <w:rPr>
          <w:rFonts w:ascii="Arial" w:hAnsi="Arial" w:cs="Arial"/>
          <w:lang w:val="en-IN" w:eastAsia="en-GB"/>
        </w:rPr>
      </w:pPr>
    </w:p>
    <w:p w14:paraId="0CB91D94" w14:textId="5950FD34" w:rsidR="0048753A" w:rsidRPr="000D51FC" w:rsidRDefault="0048753A" w:rsidP="000D51FC">
      <w:pPr>
        <w:spacing w:line="360" w:lineRule="auto"/>
        <w:rPr>
          <w:rFonts w:ascii="Arial" w:hAnsi="Arial" w:cs="Arial"/>
          <w:b/>
          <w:bCs/>
          <w:lang w:val="en-IN" w:eastAsia="en-GB"/>
        </w:rPr>
      </w:pPr>
      <w:r w:rsidRPr="000D51FC">
        <w:rPr>
          <w:rFonts w:ascii="Arial" w:hAnsi="Arial" w:cs="Arial"/>
          <w:b/>
          <w:bCs/>
          <w:lang w:val="en-IN" w:eastAsia="en-GB"/>
        </w:rPr>
        <w:t>Interpretation:</w:t>
      </w:r>
    </w:p>
    <w:p w14:paraId="70081143" w14:textId="6BAD0CB0" w:rsidR="0048753A" w:rsidRPr="000D51FC" w:rsidRDefault="0048753A" w:rsidP="000D51FC">
      <w:pPr>
        <w:spacing w:line="360" w:lineRule="auto"/>
        <w:rPr>
          <w:rFonts w:ascii="Arial" w:hAnsi="Arial" w:cs="Arial"/>
          <w:lang w:val="en-IN" w:eastAsia="en-GB"/>
        </w:rPr>
      </w:pPr>
      <w:r w:rsidRPr="000D51FC">
        <w:rPr>
          <w:rFonts w:ascii="Arial" w:hAnsi="Arial" w:cs="Arial"/>
          <w:lang w:val="en-IN" w:eastAsia="en-GB"/>
        </w:rPr>
        <w:t xml:space="preserve">EPS decreased drastically from £2.78 in 2020 to -£7.64 in 2023 and -£1.85 in 2024, reflecting large net losses and severe erosion of shareholder value (Brigham &amp; Ehrhardt, 2019). </w:t>
      </w:r>
    </w:p>
    <w:p w14:paraId="73891329" w14:textId="792908A3" w:rsidR="0048753A" w:rsidRPr="000D51FC" w:rsidRDefault="0048753A" w:rsidP="000D51FC">
      <w:pPr>
        <w:spacing w:line="360" w:lineRule="auto"/>
        <w:rPr>
          <w:rFonts w:ascii="Arial" w:hAnsi="Arial" w:cs="Arial"/>
          <w:lang w:val="en-IN" w:eastAsia="en-GB"/>
        </w:rPr>
      </w:pPr>
      <w:r w:rsidRPr="000D51FC">
        <w:rPr>
          <w:rFonts w:ascii="Arial" w:hAnsi="Arial" w:cs="Arial"/>
          <w:lang w:val="en-IN" w:eastAsia="en-GB"/>
        </w:rPr>
        <w:t>The dividend per share decreased from £1.20 in 2020 to zero by 2022, which indicates that the company stopped paying dividends in order to retain more cash during financial distress.</w:t>
      </w:r>
    </w:p>
    <w:p w14:paraId="5D10707A" w14:textId="366367CC" w:rsidR="0048753A" w:rsidRPr="000D51FC" w:rsidRDefault="0048753A" w:rsidP="000D51FC">
      <w:pPr>
        <w:spacing w:line="360" w:lineRule="auto"/>
        <w:rPr>
          <w:rFonts w:ascii="Arial" w:hAnsi="Arial" w:cs="Arial"/>
          <w:lang w:val="en-IN" w:eastAsia="en-GB"/>
        </w:rPr>
      </w:pPr>
      <w:r w:rsidRPr="000D51FC">
        <w:rPr>
          <w:rFonts w:ascii="Arial" w:hAnsi="Arial" w:cs="Arial"/>
          <w:lang w:val="en-IN" w:eastAsia="en-GB"/>
        </w:rPr>
        <w:t>The dividend payout ratio was at 43% in 2020, which decreased to 0% in 2022-2024. This consistency expresses the suspension of dividends and negative earnings, meaning no cash returns are received by shareholders during the loss-making period. It is commented on by Sinaga et al. (2023).</w:t>
      </w:r>
    </w:p>
    <w:p w14:paraId="32209338" w14:textId="77777777" w:rsidR="00033AEE" w:rsidRPr="000D51FC" w:rsidRDefault="0048753A" w:rsidP="000D51FC">
      <w:pPr>
        <w:spacing w:line="360" w:lineRule="auto"/>
        <w:rPr>
          <w:rFonts w:ascii="Arial" w:hAnsi="Arial" w:cs="Arial"/>
          <w:lang w:val="en-IN" w:eastAsia="en-GB"/>
        </w:rPr>
      </w:pPr>
      <w:r w:rsidRPr="000D51FC">
        <w:rPr>
          <w:rFonts w:ascii="Arial" w:hAnsi="Arial" w:cs="Arial"/>
          <w:lang w:val="en-IN" w:eastAsia="en-GB"/>
        </w:rPr>
        <w:t>In general, the sharp decline in EPS and the suspension of dividend payments all indicate the critical decline of the Company's financial performance, which hurts investor confidence and limits future access to equity financing.</w:t>
      </w:r>
    </w:p>
    <w:p w14:paraId="2BC79534" w14:textId="3843ABE6" w:rsidR="008A6499" w:rsidRPr="000D51FC" w:rsidRDefault="00033A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1.6 </w:t>
      </w:r>
      <w:r w:rsidR="00D50D97" w:rsidRPr="000D51FC">
        <w:rPr>
          <w:rFonts w:ascii="Arial" w:hAnsi="Arial" w:cs="Arial"/>
          <w:b/>
          <w:bCs/>
        </w:rPr>
        <w:t>Cash Flow Analysis</w:t>
      </w:r>
    </w:p>
    <w:p w14:paraId="22B3AB6F" w14:textId="6348B2B5" w:rsidR="008A6499" w:rsidRPr="000D51FC" w:rsidRDefault="008A6499" w:rsidP="000D51FC">
      <w:pPr>
        <w:spacing w:line="360" w:lineRule="auto"/>
        <w:rPr>
          <w:rFonts w:ascii="Arial" w:hAnsi="Arial" w:cs="Arial"/>
          <w:lang w:val="en-IN" w:eastAsia="en-GB"/>
        </w:rPr>
      </w:pPr>
      <w:r w:rsidRPr="000D51FC">
        <w:rPr>
          <w:rFonts w:ascii="Arial" w:hAnsi="Arial" w:cs="Arial"/>
          <w:lang w:val="en-IN" w:eastAsia="en-GB"/>
        </w:rPr>
        <w:t xml:space="preserve">Operations cash flow, therefore, fell to £14,822m in 2024 after a decline in profitability, unstable inventory levels, and uneven collection of receivables. Continued heavy use of credit lines to finance activities has seen net repayments </w:t>
      </w:r>
      <w:r w:rsidRPr="000D51FC">
        <w:rPr>
          <w:rFonts w:ascii="Arial" w:hAnsi="Arial" w:cs="Arial"/>
          <w:lang w:val="en-IN" w:eastAsia="en-GB"/>
        </w:rPr>
        <w:lastRenderedPageBreak/>
        <w:t>amount to £17,807m in 2024, therefore further tightening liquidity. Overall, the negative net income coupled with poor operating cash flows means increased insolvency risk.</w:t>
      </w:r>
    </w:p>
    <w:p w14:paraId="61C475FF" w14:textId="77777777" w:rsidR="008A6499" w:rsidRPr="000D51FC" w:rsidRDefault="008A6499" w:rsidP="000D51FC">
      <w:pPr>
        <w:spacing w:line="360" w:lineRule="auto"/>
        <w:rPr>
          <w:rFonts w:ascii="Arial" w:hAnsi="Arial" w:cs="Arial"/>
          <w:b/>
          <w:bCs/>
          <w:lang w:val="en-IN" w:eastAsia="en-GB"/>
        </w:rPr>
      </w:pPr>
      <w:r w:rsidRPr="000D51FC">
        <w:rPr>
          <w:rFonts w:ascii="Arial" w:hAnsi="Arial" w:cs="Arial"/>
          <w:b/>
          <w:bCs/>
          <w:lang w:val="en-IN" w:eastAsia="en-GB"/>
        </w:rPr>
        <w:t>Altman Z-Score</w:t>
      </w:r>
    </w:p>
    <w:p w14:paraId="48EFAC13" w14:textId="77777777" w:rsidR="008A6499" w:rsidRPr="000D51FC" w:rsidRDefault="008A6499" w:rsidP="000D51FC">
      <w:pPr>
        <w:spacing w:line="360" w:lineRule="auto"/>
        <w:rPr>
          <w:rFonts w:ascii="Arial" w:hAnsi="Arial" w:cs="Arial"/>
          <w:lang w:val="en-IN" w:eastAsia="en-GB"/>
        </w:rPr>
      </w:pPr>
      <w:r w:rsidRPr="000D51FC">
        <w:rPr>
          <w:rFonts w:ascii="Arial" w:hAnsi="Arial" w:cs="Arial"/>
          <w:lang w:val="en-IN" w:eastAsia="en-GB"/>
        </w:rPr>
        <w:t>The Altman Z-score represents one of the most widely applied models for bankruptcy prediction (Rashid et al. 2023).</w:t>
      </w:r>
    </w:p>
    <w:p w14:paraId="2DA93915" w14:textId="77777777" w:rsidR="008A6499" w:rsidRPr="000D51FC" w:rsidRDefault="008A6499" w:rsidP="000D51FC">
      <w:pPr>
        <w:spacing w:line="360" w:lineRule="auto"/>
        <w:rPr>
          <w:rFonts w:ascii="Arial" w:hAnsi="Arial" w:cs="Arial"/>
          <w:lang w:val="en-IN" w:eastAsia="en-GB"/>
        </w:rPr>
      </w:pPr>
      <w:r w:rsidRPr="000D51FC">
        <w:rPr>
          <w:rFonts w:ascii="Arial" w:hAnsi="Arial" w:cs="Arial"/>
          <w:lang w:val="en-IN" w:eastAsia="en-GB"/>
        </w:rPr>
        <w:t>Formula adjusted for non-manufacturers:</w:t>
      </w:r>
    </w:p>
    <w:p w14:paraId="4FFFAED9" w14:textId="77777777" w:rsidR="008A6499" w:rsidRPr="000D51FC" w:rsidRDefault="008A6499" w:rsidP="000D51FC">
      <w:pPr>
        <w:spacing w:line="360" w:lineRule="auto"/>
        <w:rPr>
          <w:rFonts w:ascii="Arial" w:hAnsi="Arial" w:cs="Arial"/>
          <w:lang w:val="en-IN" w:eastAsia="en-GB"/>
        </w:rPr>
      </w:pPr>
      <w:r w:rsidRPr="000D51FC">
        <w:rPr>
          <w:rFonts w:ascii="Arial" w:hAnsi="Arial" w:cs="Arial"/>
          <w:lang w:val="en-IN" w:eastAsia="en-GB"/>
        </w:rPr>
        <w:t>Z = 6.56*(Working Capital/Total Assets) + 3.26*(Retained Earnings/Total Assets) + 6.72*(EBIT/Total Assets) + 1.05*(Book Value of Equity/Total Liabilities)</w:t>
      </w:r>
    </w:p>
    <w:p w14:paraId="1EE39AF8" w14:textId="77777777" w:rsidR="008A6499" w:rsidRPr="000D51FC" w:rsidRDefault="008A6499" w:rsidP="000D51FC">
      <w:pPr>
        <w:spacing w:line="360" w:lineRule="auto"/>
        <w:rPr>
          <w:rFonts w:ascii="Arial" w:hAnsi="Arial" w:cs="Arial"/>
          <w:lang w:val="en-IN" w:eastAsia="en-GB"/>
        </w:rPr>
      </w:pPr>
      <w:r w:rsidRPr="000D51FC">
        <w:rPr>
          <w:rFonts w:ascii="Arial" w:hAnsi="Arial" w:cs="Arial"/>
          <w:lang w:val="en-IN" w:eastAsia="en-GB"/>
        </w:rPr>
        <w:t>Using 2024 data:</w:t>
      </w:r>
    </w:p>
    <w:p w14:paraId="1CBCD14C" w14:textId="77777777" w:rsidR="008A6499" w:rsidRPr="000D51FC" w:rsidRDefault="008A6499" w:rsidP="000D51FC">
      <w:pPr>
        <w:spacing w:line="360" w:lineRule="auto"/>
        <w:rPr>
          <w:rFonts w:ascii="Arial" w:hAnsi="Arial" w:cs="Arial"/>
          <w:lang w:val="en-IN" w:eastAsia="en-GB"/>
        </w:rPr>
      </w:pPr>
      <w:r w:rsidRPr="000D51FC">
        <w:rPr>
          <w:rFonts w:ascii="Arial" w:hAnsi="Arial" w:cs="Arial"/>
          <w:lang w:val="en-IN" w:eastAsia="en-GB"/>
        </w:rPr>
        <w:t>Working capital / Total assets = 84,203 / 323,354 = 0.26</w:t>
      </w:r>
    </w:p>
    <w:p w14:paraId="12B602BD" w14:textId="0FC70469" w:rsidR="008A6499" w:rsidRPr="000D51FC" w:rsidRDefault="008A6499" w:rsidP="000D51FC">
      <w:pPr>
        <w:pStyle w:val="ListParagraph"/>
        <w:numPr>
          <w:ilvl w:val="0"/>
          <w:numId w:val="19"/>
        </w:numPr>
        <w:spacing w:line="360" w:lineRule="auto"/>
        <w:rPr>
          <w:rFonts w:ascii="Arial" w:hAnsi="Arial" w:cs="Arial"/>
          <w:lang w:val="en-IN" w:eastAsia="en-GB"/>
        </w:rPr>
      </w:pPr>
      <w:r w:rsidRPr="000D51FC">
        <w:rPr>
          <w:rFonts w:ascii="Arial" w:hAnsi="Arial" w:cs="Arial"/>
          <w:lang w:val="en-IN" w:eastAsia="en-GB"/>
        </w:rPr>
        <w:t>Retained Earnings/Total Assets = 208,431 / 323,354 = 0.64</w:t>
      </w:r>
    </w:p>
    <w:p w14:paraId="6B93D3FD" w14:textId="6485C1CD" w:rsidR="008A6499" w:rsidRPr="000D51FC" w:rsidRDefault="008A6499" w:rsidP="000D51FC">
      <w:pPr>
        <w:pStyle w:val="ListParagraph"/>
        <w:numPr>
          <w:ilvl w:val="0"/>
          <w:numId w:val="19"/>
        </w:numPr>
        <w:spacing w:line="360" w:lineRule="auto"/>
        <w:rPr>
          <w:rFonts w:ascii="Arial" w:hAnsi="Arial" w:cs="Arial"/>
          <w:lang w:val="en-IN" w:eastAsia="en-GB"/>
        </w:rPr>
      </w:pPr>
      <w:r w:rsidRPr="000D51FC">
        <w:rPr>
          <w:rFonts w:ascii="Arial" w:hAnsi="Arial" w:cs="Arial"/>
          <w:lang w:val="en-IN" w:eastAsia="en-GB"/>
        </w:rPr>
        <w:t>EBIT/Total Assets = -15,297 / 323,354 = -0.047</w:t>
      </w:r>
    </w:p>
    <w:p w14:paraId="21388E1E" w14:textId="08B2F4F6" w:rsidR="008A6499" w:rsidRPr="000D51FC" w:rsidRDefault="008A6499" w:rsidP="000D51FC">
      <w:pPr>
        <w:pStyle w:val="ListParagraph"/>
        <w:numPr>
          <w:ilvl w:val="0"/>
          <w:numId w:val="19"/>
        </w:numPr>
        <w:spacing w:line="360" w:lineRule="auto"/>
        <w:rPr>
          <w:rFonts w:ascii="Arial" w:hAnsi="Arial" w:cs="Arial"/>
          <w:lang w:val="en-IN" w:eastAsia="en-GB"/>
        </w:rPr>
      </w:pPr>
      <w:r w:rsidRPr="000D51FC">
        <w:rPr>
          <w:rFonts w:ascii="Arial" w:hAnsi="Arial" w:cs="Arial"/>
          <w:lang w:val="en-IN" w:eastAsia="en-GB"/>
        </w:rPr>
        <w:t>Equity/Liabilities = 153,105 / 170,249 = 0.90</w:t>
      </w:r>
    </w:p>
    <w:p w14:paraId="11B0DC75" w14:textId="77777777" w:rsidR="008A6499" w:rsidRPr="000D51FC" w:rsidRDefault="008A6499" w:rsidP="000D51FC">
      <w:pPr>
        <w:spacing w:line="360" w:lineRule="auto"/>
        <w:rPr>
          <w:rFonts w:ascii="Arial" w:hAnsi="Arial" w:cs="Arial"/>
          <w:lang w:val="en-IN" w:eastAsia="en-GB"/>
        </w:rPr>
      </w:pPr>
      <w:r w:rsidRPr="000D51FC">
        <w:rPr>
          <w:rFonts w:ascii="Arial" w:hAnsi="Arial" w:cs="Arial"/>
          <w:lang w:val="en-IN" w:eastAsia="en-GB"/>
        </w:rPr>
        <w:t>Z = (6.560.26) + (3.260.64) + (6.72*-0.047) + (1.05*0.90)</w:t>
      </w:r>
    </w:p>
    <w:p w14:paraId="490639E3" w14:textId="77777777" w:rsidR="008A6499" w:rsidRPr="000D51FC" w:rsidRDefault="008A6499" w:rsidP="000D51FC">
      <w:pPr>
        <w:spacing w:line="360" w:lineRule="auto"/>
        <w:rPr>
          <w:rFonts w:ascii="Arial" w:hAnsi="Arial" w:cs="Arial"/>
          <w:lang w:val="en-IN" w:eastAsia="en-GB"/>
        </w:rPr>
      </w:pPr>
      <w:r w:rsidRPr="000D51FC">
        <w:rPr>
          <w:rFonts w:ascii="Arial" w:hAnsi="Arial" w:cs="Arial"/>
          <w:lang w:val="en-IN" w:eastAsia="en-GB"/>
        </w:rPr>
        <w:t>Z = 1.71 + 2.09 - 0.32 + 0.95 = 4.43</w:t>
      </w:r>
    </w:p>
    <w:p w14:paraId="5D306DB6" w14:textId="3CCE2332" w:rsidR="00E80045" w:rsidRPr="000D51FC" w:rsidRDefault="008A6499" w:rsidP="000D51FC">
      <w:pPr>
        <w:spacing w:line="360" w:lineRule="auto"/>
        <w:rPr>
          <w:rFonts w:ascii="Arial" w:hAnsi="Arial" w:cs="Arial"/>
          <w:lang w:val="en-IN" w:eastAsia="en-GB"/>
        </w:rPr>
      </w:pPr>
      <w:r w:rsidRPr="000D51FC">
        <w:rPr>
          <w:rFonts w:ascii="Arial" w:hAnsi="Arial" w:cs="Arial"/>
          <w:lang w:val="en-IN" w:eastAsia="en-GB"/>
        </w:rPr>
        <w:t>The high value of the Z-score of &gt;2.99 shows that the company falls within the safe zone. However, in this case the result is misleading because the large retained earnings amount compared to the assets overstates the score despite there being consistent net losses. Adjusted analyses show that this is a case of a high insolvency risk if no corrective measure is taken.</w:t>
      </w:r>
    </w:p>
    <w:p w14:paraId="2A6B5631" w14:textId="075766DD" w:rsidR="005C60E4" w:rsidRPr="000D51FC" w:rsidRDefault="005C60E4" w:rsidP="000D51FC">
      <w:pPr>
        <w:pStyle w:val="Heading1"/>
        <w:spacing w:line="360" w:lineRule="auto"/>
        <w:ind w:left="-5"/>
        <w:jc w:val="left"/>
        <w:rPr>
          <w:rFonts w:ascii="Arial" w:hAnsi="Arial" w:cs="Arial"/>
        </w:rPr>
      </w:pPr>
      <w:bookmarkStart w:id="3" w:name="_Toc214851163"/>
      <w:r w:rsidRPr="000D51FC">
        <w:rPr>
          <w:rFonts w:ascii="Arial" w:hAnsi="Arial" w:cs="Arial"/>
        </w:rPr>
        <w:t>2</w:t>
      </w:r>
      <w:r w:rsidRPr="000D51FC">
        <w:rPr>
          <w:rFonts w:ascii="Arial" w:hAnsi="Arial" w:cs="Arial"/>
        </w:rPr>
        <w:t xml:space="preserve">. </w:t>
      </w:r>
      <w:r w:rsidR="00E80045" w:rsidRPr="000D51FC">
        <w:rPr>
          <w:rFonts w:ascii="Arial" w:hAnsi="Arial" w:cs="Arial"/>
        </w:rPr>
        <w:t>Working Capital Management</w:t>
      </w:r>
      <w:bookmarkEnd w:id="3"/>
    </w:p>
    <w:p w14:paraId="19E9FCD9" w14:textId="77777777" w:rsidR="00033AEE" w:rsidRPr="000D51FC" w:rsidRDefault="009E66DE" w:rsidP="000D51FC">
      <w:pPr>
        <w:spacing w:line="360" w:lineRule="auto"/>
        <w:rPr>
          <w:rFonts w:ascii="Arial" w:hAnsi="Arial" w:cs="Arial"/>
          <w:lang w:val="en-IN" w:eastAsia="en-GB"/>
        </w:rPr>
      </w:pPr>
      <w:r w:rsidRPr="000D51FC">
        <w:rPr>
          <w:rFonts w:ascii="Arial" w:hAnsi="Arial" w:cs="Arial"/>
          <w:lang w:val="en-IN" w:eastAsia="en-GB"/>
        </w:rPr>
        <w:t xml:space="preserve">Effective working capital management implies the capability of a firm to finance day-to-day operational requirements while sustaining short-term financial stability. In the case of General Electronics, declining profitability and reduced equity of shareholders have heightened the pressure on short-term liquidity. Although the current ratio has consistently remained above 1.5 between 2020 and 2024-that is, the current assets are adequate to cover current liabilities-dependency has shifted increasingly towards receivables and inventory rather than cash. This is reflected in </w:t>
      </w:r>
      <w:r w:rsidRPr="000D51FC">
        <w:rPr>
          <w:rFonts w:ascii="Arial" w:hAnsi="Arial" w:cs="Arial"/>
          <w:lang w:val="en-IN" w:eastAsia="en-GB"/>
        </w:rPr>
        <w:lastRenderedPageBreak/>
        <w:t>the cash ratio, which has fallen sharply from 0.32 in 2020 to 0.17 in 2024, indicating a weakening immediate liquidity position. Where a business is already suffering from sustained net losses, inefficient working capital management can substantially aggravate financial vulnerability and result in risks of insolvency (Atrill and McLaney, 2023).</w:t>
      </w:r>
    </w:p>
    <w:p w14:paraId="3F528F10" w14:textId="3F10CACD" w:rsidR="009E66DE" w:rsidRPr="000D51FC" w:rsidRDefault="00033A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2.1 </w:t>
      </w:r>
      <w:r w:rsidR="009E66DE" w:rsidRPr="000D51FC">
        <w:rPr>
          <w:rFonts w:ascii="Arial" w:hAnsi="Arial" w:cs="Arial"/>
          <w:b/>
          <w:bCs/>
        </w:rPr>
        <w:t>Cash Conversion Cycle</w:t>
      </w:r>
    </w:p>
    <w:p w14:paraId="396AFF24" w14:textId="780DBFC7" w:rsidR="009E66DE" w:rsidRPr="000D51FC" w:rsidRDefault="009E66DE" w:rsidP="000D51FC">
      <w:pPr>
        <w:spacing w:line="360" w:lineRule="auto"/>
        <w:rPr>
          <w:rFonts w:ascii="Arial" w:hAnsi="Arial" w:cs="Arial"/>
          <w:lang w:val="en-IN" w:eastAsia="en-GB"/>
        </w:rPr>
      </w:pPr>
      <w:r w:rsidRPr="000D51FC">
        <w:rPr>
          <w:rFonts w:ascii="Arial" w:hAnsi="Arial" w:cs="Arial"/>
          <w:lang w:val="en-IN" w:eastAsia="en-GB"/>
        </w:rPr>
        <w:t>The Cash Conversion Cycle refers to the time taken by funds to get tied up in inventory and receivables before being collected in cash. In General Electronics, however, the CCC has been stretched out because of major inefficiencies in the recovery of receivables. This was evidenced by the receivable collection days, which increased from 77 days in 2020 to 106 days in 2024, implying that the company has to wait for over three months to get cash from customers. These delays mean a weakening of credit discipline and loss of market control.</w:t>
      </w:r>
    </w:p>
    <w:p w14:paraId="75A99DCB" w14:textId="77777777" w:rsidR="00033AEE" w:rsidRPr="000D51FC" w:rsidRDefault="009E66DE" w:rsidP="000D51FC">
      <w:pPr>
        <w:spacing w:line="360" w:lineRule="auto"/>
        <w:rPr>
          <w:rFonts w:ascii="Arial" w:hAnsi="Arial" w:cs="Arial"/>
          <w:lang w:val="en-IN" w:eastAsia="en-GB"/>
        </w:rPr>
      </w:pPr>
      <w:r w:rsidRPr="000D51FC">
        <w:rPr>
          <w:rFonts w:ascii="Arial" w:hAnsi="Arial" w:cs="Arial"/>
          <w:lang w:val="en-IN" w:eastAsia="en-GB"/>
        </w:rPr>
        <w:t>Inventory levels, though from their peak, remain high. Inventory turnover slowed down to 3.35 times in 2024, which means inventory is held for an extended period before being sold. The fact that £79,355m is tied up in inventories indicates the liquidity being locked up in working capital. The outcome includes other risks such as obsolescence and markdown losses associated with rapid technological changes in the electronic industry (Munyaka and Yadavalli 2022). Indeed, together with the lack of full information regarding payable days, the available indicators confirm that the cash cycle is still long and inefficient.</w:t>
      </w:r>
    </w:p>
    <w:p w14:paraId="2BC049DD" w14:textId="0CD01438" w:rsidR="009E66DE" w:rsidRPr="000D51FC" w:rsidRDefault="00033A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2.2 </w:t>
      </w:r>
      <w:r w:rsidR="009E66DE" w:rsidRPr="000D51FC">
        <w:rPr>
          <w:rFonts w:ascii="Arial" w:hAnsi="Arial" w:cs="Arial"/>
          <w:b/>
          <w:bCs/>
        </w:rPr>
        <w:t>Receivables Management</w:t>
      </w:r>
    </w:p>
    <w:p w14:paraId="05707844" w14:textId="4B290616" w:rsidR="009E66DE" w:rsidRPr="000D51FC" w:rsidRDefault="009E66DE" w:rsidP="000D51FC">
      <w:pPr>
        <w:spacing w:line="360" w:lineRule="auto"/>
        <w:rPr>
          <w:rFonts w:ascii="Arial" w:hAnsi="Arial" w:cs="Arial"/>
          <w:lang w:val="en-IN" w:eastAsia="en-GB"/>
        </w:rPr>
      </w:pPr>
      <w:r w:rsidRPr="000D51FC">
        <w:rPr>
          <w:rFonts w:ascii="Arial" w:hAnsi="Arial" w:cs="Arial"/>
          <w:lang w:val="en-IN" w:eastAsia="en-GB"/>
        </w:rPr>
        <w:t>One of the most critical warning signals is the consistent rise in receivables days. While revenues are declining, the company's receivables performance has been continuously worsening, indicating a weakening credit policy with limited enforcement mechanisms. In an effort to regain control of cash inflow, General Electronics should:</w:t>
      </w:r>
    </w:p>
    <w:p w14:paraId="46C28133" w14:textId="256FD1E3" w:rsidR="009E66DE" w:rsidRPr="000D51FC" w:rsidRDefault="009E66DE" w:rsidP="000D51FC">
      <w:pPr>
        <w:pStyle w:val="ListParagraph"/>
        <w:numPr>
          <w:ilvl w:val="0"/>
          <w:numId w:val="18"/>
        </w:numPr>
        <w:spacing w:line="360" w:lineRule="auto"/>
        <w:rPr>
          <w:rFonts w:ascii="Arial" w:hAnsi="Arial" w:cs="Arial"/>
          <w:lang w:val="en-IN" w:eastAsia="en-GB"/>
        </w:rPr>
      </w:pPr>
      <w:r w:rsidRPr="000D51FC">
        <w:rPr>
          <w:rFonts w:ascii="Arial" w:hAnsi="Arial" w:cs="Arial"/>
          <w:lang w:val="en-IN" w:eastAsia="en-GB"/>
        </w:rPr>
        <w:t>Introduce stricter customer credit scoring</w:t>
      </w:r>
    </w:p>
    <w:p w14:paraId="2EE359B8" w14:textId="66CA8C11" w:rsidR="009E66DE" w:rsidRPr="000D51FC" w:rsidRDefault="009E66DE" w:rsidP="000D51FC">
      <w:pPr>
        <w:pStyle w:val="ListParagraph"/>
        <w:numPr>
          <w:ilvl w:val="0"/>
          <w:numId w:val="18"/>
        </w:numPr>
        <w:spacing w:line="360" w:lineRule="auto"/>
        <w:rPr>
          <w:rFonts w:ascii="Arial" w:hAnsi="Arial" w:cs="Arial"/>
          <w:lang w:val="en-IN" w:eastAsia="en-GB"/>
        </w:rPr>
      </w:pPr>
      <w:r w:rsidRPr="000D51FC">
        <w:rPr>
          <w:rFonts w:ascii="Arial" w:hAnsi="Arial" w:cs="Arial"/>
          <w:lang w:val="en-IN" w:eastAsia="en-GB"/>
        </w:rPr>
        <w:t>Implement automated invoicing and follow-ups</w:t>
      </w:r>
    </w:p>
    <w:p w14:paraId="07E09616" w14:textId="4F0199B4" w:rsidR="009E66DE" w:rsidRPr="000D51FC" w:rsidRDefault="009E66DE" w:rsidP="000D51FC">
      <w:pPr>
        <w:pStyle w:val="ListParagraph"/>
        <w:numPr>
          <w:ilvl w:val="0"/>
          <w:numId w:val="18"/>
        </w:numPr>
        <w:spacing w:line="360" w:lineRule="auto"/>
        <w:rPr>
          <w:rFonts w:ascii="Arial" w:hAnsi="Arial" w:cs="Arial"/>
          <w:lang w:val="en-IN" w:eastAsia="en-GB"/>
        </w:rPr>
      </w:pPr>
      <w:r w:rsidRPr="000D51FC">
        <w:rPr>
          <w:rFonts w:ascii="Arial" w:hAnsi="Arial" w:cs="Arial"/>
          <w:lang w:val="en-IN" w:eastAsia="en-GB"/>
        </w:rPr>
        <w:t>Offer a discount for early payment</w:t>
      </w:r>
    </w:p>
    <w:p w14:paraId="3AA23653" w14:textId="2F7B47FA" w:rsidR="009E66DE" w:rsidRPr="000D51FC" w:rsidRDefault="009E66DE" w:rsidP="000D51FC">
      <w:pPr>
        <w:pStyle w:val="ListParagraph"/>
        <w:numPr>
          <w:ilvl w:val="0"/>
          <w:numId w:val="18"/>
        </w:numPr>
        <w:spacing w:line="360" w:lineRule="auto"/>
        <w:rPr>
          <w:rFonts w:ascii="Arial" w:hAnsi="Arial" w:cs="Arial"/>
          <w:lang w:val="en-IN" w:eastAsia="en-GB"/>
        </w:rPr>
      </w:pPr>
      <w:r w:rsidRPr="000D51FC">
        <w:rPr>
          <w:rFonts w:ascii="Arial" w:hAnsi="Arial" w:cs="Arial"/>
          <w:lang w:val="en-IN" w:eastAsia="en-GB"/>
        </w:rPr>
        <w:t>Charge penalties on late settlement</w:t>
      </w:r>
    </w:p>
    <w:p w14:paraId="3C8C5E95" w14:textId="77777777" w:rsidR="00033AEE" w:rsidRPr="000D51FC" w:rsidRDefault="009E66DE" w:rsidP="000D51FC">
      <w:pPr>
        <w:spacing w:line="360" w:lineRule="auto"/>
        <w:rPr>
          <w:rFonts w:ascii="Arial" w:hAnsi="Arial" w:cs="Arial"/>
          <w:lang w:val="en-IN" w:eastAsia="en-GB"/>
        </w:rPr>
      </w:pPr>
      <w:r w:rsidRPr="000D51FC">
        <w:rPr>
          <w:rFonts w:ascii="Arial" w:hAnsi="Arial" w:cs="Arial"/>
          <w:lang w:val="en-IN" w:eastAsia="en-GB"/>
        </w:rPr>
        <w:lastRenderedPageBreak/>
        <w:t>Industry benchmarks indicate that leading electronics manufacturers collect receivables within 45-60 days, which would put General Electronics significantly behind best practice. Even receivable days as high as 80-90 days could unlock billions of dollars in currently trapped liquidity that could support internal financing needs.</w:t>
      </w:r>
    </w:p>
    <w:p w14:paraId="7FFE8294" w14:textId="64012574" w:rsidR="00B13A99" w:rsidRPr="000D51FC" w:rsidRDefault="00033A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2.3 </w:t>
      </w:r>
      <w:r w:rsidR="00B13A99" w:rsidRPr="000D51FC">
        <w:rPr>
          <w:rFonts w:ascii="Arial" w:hAnsi="Arial" w:cs="Arial"/>
          <w:b/>
          <w:bCs/>
        </w:rPr>
        <w:t>Inventory Management</w:t>
      </w:r>
    </w:p>
    <w:p w14:paraId="1F151E54" w14:textId="65EE0AB0" w:rsidR="00F92439" w:rsidRPr="000D51FC" w:rsidRDefault="00F92439" w:rsidP="000D51FC">
      <w:pPr>
        <w:spacing w:line="360" w:lineRule="auto"/>
        <w:rPr>
          <w:rFonts w:ascii="Arial" w:hAnsi="Arial" w:cs="Arial"/>
          <w:lang w:val="en-IN" w:eastAsia="en-GB"/>
        </w:rPr>
      </w:pPr>
      <w:r w:rsidRPr="000D51FC">
        <w:rPr>
          <w:rFonts w:ascii="Arial" w:hAnsi="Arial" w:cs="Arial"/>
          <w:lang w:val="en-IN" w:eastAsia="en-GB"/>
        </w:rPr>
        <w:t>Although having improved somewhat since 2022, inventory is still excessive relative to the declining demand level. High inventory contributes directly to liquidity strain because the costs of storage, insurance, and handling increase as cash remains tied up (Mohamed, 2024). A 10% reduction in current stockholding would release roughly £8,000m in cash that would significantly improve operating liquidity.</w:t>
      </w:r>
    </w:p>
    <w:p w14:paraId="083930E6" w14:textId="77777777" w:rsidR="00F92439" w:rsidRPr="000D51FC" w:rsidRDefault="00F92439" w:rsidP="000D51FC">
      <w:pPr>
        <w:spacing w:line="360" w:lineRule="auto"/>
        <w:rPr>
          <w:rFonts w:ascii="Arial" w:hAnsi="Arial" w:cs="Arial"/>
          <w:lang w:val="en-IN" w:eastAsia="en-GB"/>
        </w:rPr>
      </w:pPr>
      <w:r w:rsidRPr="000D51FC">
        <w:rPr>
          <w:rFonts w:ascii="Arial" w:hAnsi="Arial" w:cs="Arial"/>
          <w:lang w:val="en-IN" w:eastAsia="en-GB"/>
        </w:rPr>
        <w:t>Recommended inventory reforms include:</w:t>
      </w:r>
    </w:p>
    <w:p w14:paraId="15158A66" w14:textId="7FC05559" w:rsidR="00F92439" w:rsidRPr="000D51FC" w:rsidRDefault="00F92439" w:rsidP="000D51FC">
      <w:pPr>
        <w:pStyle w:val="ListParagraph"/>
        <w:numPr>
          <w:ilvl w:val="0"/>
          <w:numId w:val="20"/>
        </w:numPr>
        <w:spacing w:line="360" w:lineRule="auto"/>
        <w:rPr>
          <w:rFonts w:ascii="Arial" w:hAnsi="Arial" w:cs="Arial"/>
          <w:lang w:val="en-IN" w:eastAsia="en-GB"/>
        </w:rPr>
      </w:pPr>
      <w:r w:rsidRPr="000D51FC">
        <w:rPr>
          <w:rFonts w:ascii="Arial" w:hAnsi="Arial" w:cs="Arial"/>
          <w:lang w:val="en-IN" w:eastAsia="en-GB"/>
        </w:rPr>
        <w:t>Adoption of demand-driven planning technologies</w:t>
      </w:r>
    </w:p>
    <w:p w14:paraId="09285A6E" w14:textId="1692A1D2" w:rsidR="00F92439" w:rsidRPr="000D51FC" w:rsidRDefault="00F92439" w:rsidP="000D51FC">
      <w:pPr>
        <w:pStyle w:val="ListParagraph"/>
        <w:numPr>
          <w:ilvl w:val="0"/>
          <w:numId w:val="20"/>
        </w:numPr>
        <w:spacing w:line="360" w:lineRule="auto"/>
        <w:rPr>
          <w:rFonts w:ascii="Arial" w:hAnsi="Arial" w:cs="Arial"/>
          <w:lang w:val="en-IN" w:eastAsia="en-GB"/>
        </w:rPr>
      </w:pPr>
      <w:r w:rsidRPr="000D51FC">
        <w:rPr>
          <w:rFonts w:ascii="Arial" w:hAnsi="Arial" w:cs="Arial"/>
          <w:lang w:val="en-IN" w:eastAsia="en-GB"/>
        </w:rPr>
        <w:t>Expanding just-in-time (JIT) arrangements with key suppliers</w:t>
      </w:r>
    </w:p>
    <w:p w14:paraId="6DE0342E" w14:textId="563D32AA" w:rsidR="00F92439" w:rsidRPr="000D51FC" w:rsidRDefault="00F92439" w:rsidP="000D51FC">
      <w:pPr>
        <w:pStyle w:val="ListParagraph"/>
        <w:numPr>
          <w:ilvl w:val="0"/>
          <w:numId w:val="20"/>
        </w:numPr>
        <w:spacing w:line="360" w:lineRule="auto"/>
        <w:rPr>
          <w:rFonts w:ascii="Arial" w:hAnsi="Arial" w:cs="Arial"/>
          <w:lang w:val="en-IN" w:eastAsia="en-GB"/>
        </w:rPr>
      </w:pPr>
      <w:r w:rsidRPr="000D51FC">
        <w:rPr>
          <w:rFonts w:ascii="Arial" w:hAnsi="Arial" w:cs="Arial"/>
          <w:lang w:val="en-IN" w:eastAsia="en-GB"/>
        </w:rPr>
        <w:t>Product rationalization in slow-moving and obsolete products</w:t>
      </w:r>
    </w:p>
    <w:p w14:paraId="7B6119C1" w14:textId="7E595A3E" w:rsidR="00F92439" w:rsidRPr="000D51FC" w:rsidRDefault="00F92439" w:rsidP="000D51FC">
      <w:pPr>
        <w:pStyle w:val="ListParagraph"/>
        <w:numPr>
          <w:ilvl w:val="0"/>
          <w:numId w:val="20"/>
        </w:numPr>
        <w:spacing w:line="360" w:lineRule="auto"/>
        <w:rPr>
          <w:rFonts w:ascii="Arial" w:hAnsi="Arial" w:cs="Arial"/>
          <w:lang w:val="en-IN" w:eastAsia="en-GB"/>
        </w:rPr>
      </w:pPr>
      <w:r w:rsidRPr="000D51FC">
        <w:rPr>
          <w:rFonts w:ascii="Arial" w:hAnsi="Arial" w:cs="Arial"/>
          <w:lang w:val="en-IN" w:eastAsia="en-GB"/>
        </w:rPr>
        <w:t>Improved coordination between procurement and sales forecasting</w:t>
      </w:r>
    </w:p>
    <w:p w14:paraId="7F14CB2D" w14:textId="77777777" w:rsidR="00033AEE" w:rsidRDefault="00F92439" w:rsidP="000D51FC">
      <w:pPr>
        <w:spacing w:line="360" w:lineRule="auto"/>
        <w:rPr>
          <w:rFonts w:ascii="Arial" w:hAnsi="Arial" w:cs="Arial"/>
          <w:lang w:val="en-IN" w:eastAsia="en-GB"/>
        </w:rPr>
      </w:pPr>
      <w:r w:rsidRPr="000D51FC">
        <w:rPr>
          <w:rFonts w:ascii="Arial" w:hAnsi="Arial" w:cs="Arial"/>
          <w:lang w:val="en-IN" w:eastAsia="en-GB"/>
        </w:rPr>
        <w:t>These changes would eventually shorten the CCC and curb cash leakage via unnecessary holding costs.</w:t>
      </w:r>
    </w:p>
    <w:p w14:paraId="4E6C0ED2" w14:textId="77777777" w:rsidR="00384BEF" w:rsidRPr="000D51FC" w:rsidRDefault="00384BEF" w:rsidP="000D51FC">
      <w:pPr>
        <w:spacing w:line="360" w:lineRule="auto"/>
        <w:rPr>
          <w:rFonts w:ascii="Arial" w:hAnsi="Arial" w:cs="Arial"/>
          <w:lang w:val="en-IN" w:eastAsia="en-GB"/>
        </w:rPr>
      </w:pPr>
    </w:p>
    <w:p w14:paraId="0C30E682" w14:textId="4E0D3AB7" w:rsidR="00584208" w:rsidRPr="000D51FC" w:rsidRDefault="00033A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2.4 </w:t>
      </w:r>
      <w:r w:rsidR="00584208" w:rsidRPr="000D51FC">
        <w:rPr>
          <w:rFonts w:ascii="Arial" w:hAnsi="Arial" w:cs="Arial"/>
          <w:b/>
          <w:bCs/>
        </w:rPr>
        <w:t>Payables</w:t>
      </w:r>
      <w:r w:rsidR="00584208" w:rsidRPr="000D51FC">
        <w:rPr>
          <w:rFonts w:ascii="Arial" w:hAnsi="Arial" w:cs="Arial"/>
          <w:b/>
          <w:bCs/>
        </w:rPr>
        <w:t xml:space="preserve"> Management</w:t>
      </w:r>
    </w:p>
    <w:p w14:paraId="54789EEE" w14:textId="7C6217AE" w:rsidR="00584208" w:rsidRPr="000D51FC" w:rsidRDefault="00584208" w:rsidP="000D51FC">
      <w:pPr>
        <w:spacing w:line="360" w:lineRule="auto"/>
        <w:rPr>
          <w:rFonts w:ascii="Arial" w:hAnsi="Arial" w:cs="Arial"/>
          <w:lang w:val="en-IN" w:eastAsia="en-GB"/>
        </w:rPr>
      </w:pPr>
      <w:r w:rsidRPr="000D51FC">
        <w:rPr>
          <w:rFonts w:ascii="Arial" w:hAnsi="Arial" w:cs="Arial"/>
          <w:lang w:val="en-IN" w:eastAsia="en-GB"/>
        </w:rPr>
        <w:t>General Electronics reported accounts payable of £72,031m in 2024-outturn value stable but not growing sufficiently to compensate for increases in the level of receivables. Poor suppliers' management might improve short-term cash flows by delayed payments; however, it could result in the jeopardizing of relations and reduced reliability of the supply chain. Nyamongo, 2023 Thus, the business should:</w:t>
      </w:r>
    </w:p>
    <w:p w14:paraId="7281C86F" w14:textId="5A990248" w:rsidR="00584208" w:rsidRPr="000D51FC" w:rsidRDefault="00584208" w:rsidP="000D51FC">
      <w:pPr>
        <w:pStyle w:val="ListParagraph"/>
        <w:numPr>
          <w:ilvl w:val="0"/>
          <w:numId w:val="21"/>
        </w:numPr>
        <w:spacing w:line="360" w:lineRule="auto"/>
        <w:rPr>
          <w:rFonts w:ascii="Arial" w:hAnsi="Arial" w:cs="Arial"/>
          <w:lang w:val="en-IN" w:eastAsia="en-GB"/>
        </w:rPr>
      </w:pPr>
      <w:r w:rsidRPr="000D51FC">
        <w:rPr>
          <w:rFonts w:ascii="Arial" w:hAnsi="Arial" w:cs="Arial"/>
          <w:lang w:val="en-IN" w:eastAsia="en-GB"/>
        </w:rPr>
        <w:t>Negotiate longer but agreed-upon supplier terms</w:t>
      </w:r>
    </w:p>
    <w:p w14:paraId="47E1586F" w14:textId="1DB668F3" w:rsidR="00584208" w:rsidRPr="000D51FC" w:rsidRDefault="00584208" w:rsidP="000D51FC">
      <w:pPr>
        <w:pStyle w:val="ListParagraph"/>
        <w:numPr>
          <w:ilvl w:val="0"/>
          <w:numId w:val="21"/>
        </w:numPr>
        <w:spacing w:line="360" w:lineRule="auto"/>
        <w:rPr>
          <w:rFonts w:ascii="Arial" w:hAnsi="Arial" w:cs="Arial"/>
          <w:lang w:val="en-IN" w:eastAsia="en-GB"/>
        </w:rPr>
      </w:pPr>
      <w:r w:rsidRPr="000D51FC">
        <w:rPr>
          <w:rFonts w:ascii="Arial" w:hAnsi="Arial" w:cs="Arial"/>
          <w:lang w:val="en-IN" w:eastAsia="en-GB"/>
        </w:rPr>
        <w:t>Enter into supply-chain finance arrangements</w:t>
      </w:r>
    </w:p>
    <w:p w14:paraId="49B890B5" w14:textId="2998AB21" w:rsidR="00584208" w:rsidRPr="000D51FC" w:rsidRDefault="00584208" w:rsidP="000D51FC">
      <w:pPr>
        <w:pStyle w:val="ListParagraph"/>
        <w:numPr>
          <w:ilvl w:val="0"/>
          <w:numId w:val="21"/>
        </w:numPr>
        <w:spacing w:line="360" w:lineRule="auto"/>
        <w:rPr>
          <w:rFonts w:ascii="Arial" w:hAnsi="Arial" w:cs="Arial"/>
          <w:lang w:val="en-IN" w:eastAsia="en-GB"/>
        </w:rPr>
      </w:pPr>
      <w:r w:rsidRPr="000D51FC">
        <w:rPr>
          <w:rFonts w:ascii="Arial" w:hAnsi="Arial" w:cs="Arial"/>
          <w:lang w:val="en-IN" w:eastAsia="en-GB"/>
        </w:rPr>
        <w:t>Strengthen strategic partnership contracts</w:t>
      </w:r>
    </w:p>
    <w:p w14:paraId="2C6CA886" w14:textId="77777777" w:rsidR="00033AEE" w:rsidRPr="000D51FC" w:rsidRDefault="00584208" w:rsidP="000D51FC">
      <w:pPr>
        <w:spacing w:line="360" w:lineRule="auto"/>
        <w:rPr>
          <w:rFonts w:ascii="Arial" w:hAnsi="Arial" w:cs="Arial"/>
          <w:lang w:val="en-IN" w:eastAsia="en-GB"/>
        </w:rPr>
      </w:pPr>
      <w:r w:rsidRPr="000D51FC">
        <w:rPr>
          <w:rFonts w:ascii="Arial" w:hAnsi="Arial" w:cs="Arial"/>
          <w:lang w:val="en-IN" w:eastAsia="en-GB"/>
        </w:rPr>
        <w:t>If leveraged well, supplier credit can ease liquidity stress without taking on more debt.</w:t>
      </w:r>
    </w:p>
    <w:p w14:paraId="4748965D" w14:textId="2D588875" w:rsidR="00584208" w:rsidRPr="000D51FC" w:rsidRDefault="00033A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lastRenderedPageBreak/>
        <w:t xml:space="preserve">2.5 </w:t>
      </w:r>
      <w:r w:rsidR="00584208" w:rsidRPr="000D51FC">
        <w:rPr>
          <w:rFonts w:ascii="Arial" w:hAnsi="Arial" w:cs="Arial"/>
          <w:b/>
          <w:bCs/>
        </w:rPr>
        <w:t>Short-Term vs Long-Term</w:t>
      </w:r>
      <w:r w:rsidR="00584208" w:rsidRPr="000D51FC">
        <w:rPr>
          <w:rFonts w:ascii="Arial" w:hAnsi="Arial" w:cs="Arial"/>
          <w:b/>
          <w:bCs/>
        </w:rPr>
        <w:t xml:space="preserve"> </w:t>
      </w:r>
      <w:r w:rsidR="00584208" w:rsidRPr="000D51FC">
        <w:rPr>
          <w:rFonts w:ascii="Arial" w:hAnsi="Arial" w:cs="Arial"/>
          <w:b/>
          <w:bCs/>
        </w:rPr>
        <w:t>Financing</w:t>
      </w:r>
    </w:p>
    <w:p w14:paraId="1F4E06E5" w14:textId="77777777" w:rsidR="00033AEE" w:rsidRPr="000D51FC" w:rsidRDefault="00AB4180" w:rsidP="000D51FC">
      <w:pPr>
        <w:spacing w:line="360" w:lineRule="auto"/>
        <w:rPr>
          <w:rFonts w:ascii="Arial" w:hAnsi="Arial" w:cs="Arial"/>
          <w:lang w:val="en-IN" w:eastAsia="en-GB"/>
        </w:rPr>
      </w:pPr>
      <w:r w:rsidRPr="000D51FC">
        <w:rPr>
          <w:rFonts w:ascii="Arial" w:hAnsi="Arial" w:cs="Arial"/>
          <w:lang w:val="en-IN" w:eastAsia="en-GB"/>
        </w:rPr>
        <w:t>The company has significantly utilized credit lines that reached the peak of £ 88,000m in 2022 but then decreased to £ 36,960m in 2024. This reduction already shows deleveraging; however, such financing brings significant risk of refinancing, especially during turbulent market periods or increasing rates. To improve liquidity resilience and minimize risks of unexpected funding pull-back, it would be better to switch to other more stable sources, such as equity financing, medium-term bonds, or asset-backed borrowing.</w:t>
      </w:r>
    </w:p>
    <w:p w14:paraId="2E242CD6" w14:textId="2654AAFA" w:rsidR="00AB4180" w:rsidRPr="000D51FC" w:rsidRDefault="00033A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2.6 </w:t>
      </w:r>
      <w:r w:rsidR="00AB4180" w:rsidRPr="000D51FC">
        <w:rPr>
          <w:rFonts w:ascii="Arial" w:hAnsi="Arial" w:cs="Arial"/>
          <w:b/>
          <w:bCs/>
        </w:rPr>
        <w:t>Cash Flow Implication</w:t>
      </w:r>
    </w:p>
    <w:p w14:paraId="4255B72F" w14:textId="5F33C438" w:rsidR="00CD4A28" w:rsidRPr="000D51FC" w:rsidRDefault="002D73DD" w:rsidP="00384BEF">
      <w:pPr>
        <w:spacing w:line="360" w:lineRule="auto"/>
        <w:rPr>
          <w:rFonts w:ascii="Arial" w:hAnsi="Arial" w:cs="Arial"/>
          <w:lang w:val="en-IN" w:eastAsia="en-GB"/>
        </w:rPr>
      </w:pPr>
      <w:r w:rsidRPr="000D51FC">
        <w:rPr>
          <w:rFonts w:ascii="Arial" w:hAnsi="Arial" w:cs="Arial"/>
          <w:lang w:val="en-IN" w:eastAsia="en-GB"/>
        </w:rPr>
        <w:t>Operating cash flows declined sharply from £73,392m in 2020 to £14,822m in 2024 due to the high level of volatility in the movements of inventory and receivables. Such volatility in operating cash flow underlines the absence of any systematic working capital policy and makes it progressively difficult to finance core operations without borrowing. Improvement in the reliability of liquidity is called for to continue capital investment in the company and avoid increasing dependence on credit facilities with third parties.</w:t>
      </w:r>
    </w:p>
    <w:p w14:paraId="05C5C358" w14:textId="44D14C3D" w:rsidR="002D73DD" w:rsidRPr="000D51FC" w:rsidRDefault="002D73DD" w:rsidP="000D51FC">
      <w:pPr>
        <w:spacing w:line="360" w:lineRule="auto"/>
        <w:rPr>
          <w:rFonts w:ascii="Arial" w:hAnsi="Arial" w:cs="Arial"/>
          <w:b/>
          <w:bCs/>
          <w:lang w:val="en-IN" w:eastAsia="en-GB"/>
        </w:rPr>
      </w:pPr>
      <w:r w:rsidRPr="000D51FC">
        <w:rPr>
          <w:rFonts w:ascii="Arial" w:hAnsi="Arial" w:cs="Arial"/>
          <w:b/>
          <w:bCs/>
          <w:lang w:val="en-IN" w:eastAsia="en-GB"/>
        </w:rPr>
        <w:t>Strategic Recommendations</w:t>
      </w:r>
    </w:p>
    <w:p w14:paraId="596D64C7" w14:textId="1A8DE171" w:rsidR="00317529" w:rsidRPr="000D51FC" w:rsidRDefault="00317529" w:rsidP="000D51FC">
      <w:pPr>
        <w:spacing w:line="360" w:lineRule="auto"/>
        <w:rPr>
          <w:rFonts w:ascii="Arial" w:hAnsi="Arial" w:cs="Arial"/>
          <w:lang w:val="en-IN" w:eastAsia="en-GB"/>
        </w:rPr>
      </w:pPr>
      <w:r w:rsidRPr="000D51FC">
        <w:rPr>
          <w:rFonts w:ascii="Arial" w:hAnsi="Arial" w:cs="Arial"/>
          <w:lang w:val="en-IN" w:eastAsia="en-GB"/>
        </w:rPr>
        <w:t>Re</w:t>
      </w:r>
      <w:r w:rsidRPr="000D51FC">
        <w:rPr>
          <w:rFonts w:ascii="Arial" w:hAnsi="Arial" w:cs="Arial"/>
          <w:lang w:val="en-IN" w:eastAsia="en-GB"/>
        </w:rPr>
        <w:t>duction in the collection period of receivables by 20–30 days will expedite internal cash inflows through the reduction in delays between credit sales and cash receipts. This reform directly increases liquidity and reduces dependence on short-term borrowing. The estimated reduction in inventory levels of 8–12% will release around £6–9 billion in cash, currently tied up in stock. This improves operational working capital and does not compromise supply continuity.</w:t>
      </w:r>
    </w:p>
    <w:p w14:paraId="63C975EB" w14:textId="1D28D8AC" w:rsidR="00317529" w:rsidRPr="000D51FC" w:rsidRDefault="00317529" w:rsidP="000D51FC">
      <w:pPr>
        <w:spacing w:line="360" w:lineRule="auto"/>
        <w:rPr>
          <w:rFonts w:ascii="Arial" w:hAnsi="Arial" w:cs="Arial"/>
          <w:lang w:val="en-IN" w:eastAsia="en-GB"/>
        </w:rPr>
      </w:pPr>
      <w:r w:rsidRPr="000D51FC">
        <w:rPr>
          <w:rFonts w:ascii="Arial" w:hAnsi="Arial" w:cs="Arial"/>
          <w:lang w:val="en-IN" w:eastAsia="en-GB"/>
        </w:rPr>
        <w:t>Enhancing supplier financing arrangements through the negotiation of longer payment windows and utilizing supply-chain finance instruments, such as reverse factoring, will ease demands on immediate cash resources and help to normalize short-term liquidity. Ahmad (2021) argues that, lastly, long-term financing instruments should be given attention in an effort to reduce refinancing risk and avoid exposures to rising interest rates. Though equity or long-term debt restructuring may introduce new costs or minor ownership dilution, it provides a more stable capital base on which operational recovery may be based. Alvarez et al. (2021)</w:t>
      </w:r>
      <w:r w:rsidR="002B3EF0" w:rsidRPr="000D51FC">
        <w:rPr>
          <w:rFonts w:ascii="Arial" w:hAnsi="Arial" w:cs="Arial"/>
          <w:lang w:val="en-IN" w:eastAsia="en-GB"/>
        </w:rPr>
        <w:t>.</w:t>
      </w:r>
    </w:p>
    <w:p w14:paraId="78C13190" w14:textId="42BDB3A1" w:rsidR="002D73DD" w:rsidRPr="000D51FC" w:rsidRDefault="00317529" w:rsidP="000D51FC">
      <w:pPr>
        <w:spacing w:line="360" w:lineRule="auto"/>
        <w:rPr>
          <w:rFonts w:ascii="Arial" w:hAnsi="Arial" w:cs="Arial"/>
          <w:lang w:val="en-IN" w:eastAsia="en-GB"/>
        </w:rPr>
      </w:pPr>
      <w:r w:rsidRPr="000D51FC">
        <w:rPr>
          <w:rFonts w:ascii="Arial" w:hAnsi="Arial" w:cs="Arial"/>
          <w:lang w:val="en-IN" w:eastAsia="en-GB"/>
        </w:rPr>
        <w:lastRenderedPageBreak/>
        <w:t>Taken together, these actions will reduce the cash conversion cycle, enhance cash availability, and put General Electronics in a better position to withstand the turnaround process.</w:t>
      </w:r>
    </w:p>
    <w:p w14:paraId="1ACB02B2" w14:textId="63E7893E" w:rsidR="00317529" w:rsidRPr="000D51FC" w:rsidRDefault="00317529" w:rsidP="000D51FC">
      <w:pPr>
        <w:pStyle w:val="Heading1"/>
        <w:spacing w:line="360" w:lineRule="auto"/>
        <w:ind w:left="-5"/>
        <w:jc w:val="left"/>
        <w:rPr>
          <w:rFonts w:ascii="Arial" w:hAnsi="Arial" w:cs="Arial"/>
        </w:rPr>
      </w:pPr>
      <w:bookmarkStart w:id="4" w:name="_Toc214851164"/>
      <w:r w:rsidRPr="000D51FC">
        <w:rPr>
          <w:rFonts w:ascii="Arial" w:hAnsi="Arial" w:cs="Arial"/>
        </w:rPr>
        <w:t>3</w:t>
      </w:r>
      <w:r w:rsidRPr="000D51FC">
        <w:rPr>
          <w:rFonts w:ascii="Arial" w:hAnsi="Arial" w:cs="Arial"/>
        </w:rPr>
        <w:t xml:space="preserve">. </w:t>
      </w:r>
      <w:r w:rsidRPr="000D51FC">
        <w:rPr>
          <w:rFonts w:ascii="Arial" w:hAnsi="Arial" w:cs="Arial"/>
        </w:rPr>
        <w:t>Strategic Financial Restructuring Plan</w:t>
      </w:r>
      <w:bookmarkEnd w:id="4"/>
    </w:p>
    <w:p w14:paraId="28984664" w14:textId="1893356E" w:rsidR="004124BC" w:rsidRPr="000D51FC" w:rsidRDefault="004124BC" w:rsidP="000D51FC">
      <w:pPr>
        <w:spacing w:line="360" w:lineRule="auto"/>
        <w:rPr>
          <w:rFonts w:ascii="Arial" w:hAnsi="Arial" w:cs="Arial"/>
          <w:lang w:val="en-IN" w:eastAsia="en-GB"/>
        </w:rPr>
      </w:pPr>
      <w:r w:rsidRPr="000D51FC">
        <w:rPr>
          <w:rFonts w:ascii="Arial" w:hAnsi="Arial" w:cs="Arial"/>
          <w:lang w:val="en-IN" w:eastAsia="en-GB"/>
        </w:rPr>
        <w:t>General Electronics is experiencing severe financial deterioration, as manifested in declining profitability, weakening liquidity, and deteriorating solvency. The back-to-back losses from operations reported during 2023 and 2024, with falling equity for shareholders and negative earnings per share, prove that the current financial model is no longer viable. What is needed is a strong strategic financial restructuring plan to get the company back on its feet, recovering its competitive strength to achieve a long-term growth trajectory. This restructuring should not only solve short-term cash pressures but also improve strategic positioning within the highly competitive consumer electronics sector.</w:t>
      </w:r>
    </w:p>
    <w:p w14:paraId="3D342640" w14:textId="77777777" w:rsidR="00CD4A28" w:rsidRDefault="004124BC" w:rsidP="000D51FC">
      <w:pPr>
        <w:spacing w:line="360" w:lineRule="auto"/>
        <w:rPr>
          <w:rFonts w:ascii="Arial" w:hAnsi="Arial" w:cs="Arial"/>
          <w:lang w:val="en-IN" w:eastAsia="en-GB"/>
        </w:rPr>
      </w:pPr>
      <w:r w:rsidRPr="000D51FC">
        <w:rPr>
          <w:rFonts w:ascii="Arial" w:hAnsi="Arial" w:cs="Arial"/>
          <w:lang w:val="en-IN" w:eastAsia="en-GB"/>
        </w:rPr>
        <w:t>This section deals with major restructuring strategies such as selective divestitures, strategic alliances or mergers, equity recapitalisation, and debt restructuring, while evaluating their impact on shareholder value, debt structure, and operational efficiencies, along with integrating ethical and global perspectives such as taxation, inflation, foreign exchange exposure, and CSR commitments.</w:t>
      </w:r>
    </w:p>
    <w:p w14:paraId="25FFBE49" w14:textId="77777777" w:rsidR="00384BEF" w:rsidRPr="000D51FC" w:rsidRDefault="00384BEF" w:rsidP="000D51FC">
      <w:pPr>
        <w:spacing w:line="360" w:lineRule="auto"/>
        <w:rPr>
          <w:rFonts w:ascii="Arial" w:hAnsi="Arial" w:cs="Arial"/>
          <w:lang w:val="en-IN" w:eastAsia="en-GB"/>
        </w:rPr>
      </w:pPr>
    </w:p>
    <w:p w14:paraId="6D61FFBF" w14:textId="3F2234BA" w:rsidR="002A389D" w:rsidRPr="000D51FC" w:rsidRDefault="00CD4A28"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3.1 </w:t>
      </w:r>
      <w:r w:rsidR="002A389D" w:rsidRPr="000D51FC">
        <w:rPr>
          <w:rFonts w:ascii="Arial" w:hAnsi="Arial" w:cs="Arial"/>
          <w:b/>
          <w:bCs/>
        </w:rPr>
        <w:t>Divestiture of Assets</w:t>
      </w:r>
    </w:p>
    <w:p w14:paraId="337EF9E2" w14:textId="7C0A76AE" w:rsidR="004124BC" w:rsidRPr="000D51FC" w:rsidRDefault="004124BC" w:rsidP="000D51FC">
      <w:pPr>
        <w:spacing w:line="360" w:lineRule="auto"/>
        <w:rPr>
          <w:rFonts w:ascii="Arial" w:hAnsi="Arial" w:cs="Arial"/>
          <w:lang w:val="en-IN" w:eastAsia="en-GB"/>
        </w:rPr>
      </w:pPr>
      <w:r w:rsidRPr="000D51FC">
        <w:rPr>
          <w:rFonts w:ascii="Arial" w:hAnsi="Arial" w:cs="Arial"/>
          <w:lang w:val="en-IN" w:eastAsia="en-GB"/>
        </w:rPr>
        <w:t>General Electronics has a significant asset base; it has property, plant, and equipment amounting to £34,207 million and intangible assets of £24,038 million as of 2024. Many of these assets, such as legacy manufacturing facilities and product technologies that are no longer the latest, have a limited potential to contribute to sustainable profitability. Disposing off underperforming assets would:</w:t>
      </w:r>
    </w:p>
    <w:p w14:paraId="5AF72C75" w14:textId="75DB9DF4" w:rsidR="004124BC" w:rsidRPr="000D51FC" w:rsidRDefault="004124BC" w:rsidP="000D51FC">
      <w:pPr>
        <w:pStyle w:val="ListParagraph"/>
        <w:numPr>
          <w:ilvl w:val="0"/>
          <w:numId w:val="23"/>
        </w:numPr>
        <w:spacing w:line="360" w:lineRule="auto"/>
        <w:rPr>
          <w:rFonts w:ascii="Arial" w:hAnsi="Arial" w:cs="Arial"/>
          <w:lang w:val="en-IN" w:eastAsia="en-GB"/>
        </w:rPr>
      </w:pPr>
      <w:r w:rsidRPr="000D51FC">
        <w:rPr>
          <w:rFonts w:ascii="Arial" w:hAnsi="Arial" w:cs="Arial"/>
          <w:lang w:val="en-IN" w:eastAsia="en-GB"/>
        </w:rPr>
        <w:t>Generate immediate liquidity required to support operations</w:t>
      </w:r>
    </w:p>
    <w:p w14:paraId="36A9E032" w14:textId="784BD8EA" w:rsidR="004124BC" w:rsidRPr="000D51FC" w:rsidRDefault="004124BC" w:rsidP="000D51FC">
      <w:pPr>
        <w:pStyle w:val="ListParagraph"/>
        <w:numPr>
          <w:ilvl w:val="0"/>
          <w:numId w:val="23"/>
        </w:numPr>
        <w:spacing w:line="360" w:lineRule="auto"/>
        <w:rPr>
          <w:rFonts w:ascii="Arial" w:hAnsi="Arial" w:cs="Arial"/>
          <w:lang w:val="en-IN" w:eastAsia="en-GB"/>
        </w:rPr>
      </w:pPr>
      <w:r w:rsidRPr="000D51FC">
        <w:rPr>
          <w:rFonts w:ascii="Arial" w:hAnsi="Arial" w:cs="Arial"/>
          <w:lang w:val="en-IN" w:eastAsia="en-GB"/>
        </w:rPr>
        <w:t>Reduce depreciation and overhead costs</w:t>
      </w:r>
    </w:p>
    <w:p w14:paraId="6D8C6129" w14:textId="0AD61245" w:rsidR="004124BC" w:rsidRPr="000D51FC" w:rsidRDefault="004124BC" w:rsidP="000D51FC">
      <w:pPr>
        <w:pStyle w:val="ListParagraph"/>
        <w:numPr>
          <w:ilvl w:val="0"/>
          <w:numId w:val="23"/>
        </w:numPr>
        <w:spacing w:line="360" w:lineRule="auto"/>
        <w:rPr>
          <w:rFonts w:ascii="Arial" w:hAnsi="Arial" w:cs="Arial"/>
          <w:lang w:val="en-IN" w:eastAsia="en-GB"/>
        </w:rPr>
      </w:pPr>
      <w:r w:rsidRPr="000D51FC">
        <w:rPr>
          <w:rFonts w:ascii="Arial" w:hAnsi="Arial" w:cs="Arial"/>
          <w:lang w:val="en-IN" w:eastAsia="en-GB"/>
        </w:rPr>
        <w:t>Allow reinvestment into fast-growing markets such as smart devices and robotics.</w:t>
      </w:r>
    </w:p>
    <w:p w14:paraId="1D63D28A" w14:textId="77777777" w:rsidR="00CD4A28" w:rsidRPr="000D51FC" w:rsidRDefault="004124BC" w:rsidP="000D51FC">
      <w:pPr>
        <w:spacing w:line="360" w:lineRule="auto"/>
        <w:rPr>
          <w:rFonts w:ascii="Arial" w:hAnsi="Arial" w:cs="Arial"/>
          <w:lang w:val="en-IN" w:eastAsia="en-GB"/>
        </w:rPr>
      </w:pPr>
      <w:r w:rsidRPr="000D51FC">
        <w:rPr>
          <w:rFonts w:ascii="Arial" w:hAnsi="Arial" w:cs="Arial"/>
          <w:lang w:val="en-IN" w:eastAsia="en-GB"/>
        </w:rPr>
        <w:lastRenderedPageBreak/>
        <w:t>Divesting assets valued at approximately £12,000 million could, for example, reduce leverage and improve the solvency ratio. Decisions about divestiture should, however, be based upon fair market valuations in order to avoid distressed selling and irrecoverable loss in capabilities. Proper impact assessments should ensure operational continuity remains intact.</w:t>
      </w:r>
    </w:p>
    <w:p w14:paraId="3FB9B2EE" w14:textId="35EF27D3" w:rsidR="00923A82" w:rsidRPr="000D51FC" w:rsidRDefault="00CD4A28"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3.2</w:t>
      </w:r>
      <w:r w:rsidR="004335EE" w:rsidRPr="000D51FC">
        <w:rPr>
          <w:rFonts w:ascii="Arial" w:hAnsi="Arial" w:cs="Arial"/>
          <w:b/>
          <w:bCs/>
          <w:lang w:val="en-IN" w:eastAsia="en-GB"/>
        </w:rPr>
        <w:t xml:space="preserve"> </w:t>
      </w:r>
      <w:r w:rsidR="00EE7117" w:rsidRPr="000D51FC">
        <w:rPr>
          <w:rFonts w:ascii="Arial" w:hAnsi="Arial" w:cs="Arial"/>
          <w:b/>
          <w:bCs/>
        </w:rPr>
        <w:t>Mergers and Strategic Alliance</w:t>
      </w:r>
    </w:p>
    <w:p w14:paraId="3E2BE797" w14:textId="192E962B" w:rsidR="00754947" w:rsidRPr="000D51FC" w:rsidRDefault="00754947" w:rsidP="000D51FC">
      <w:pPr>
        <w:spacing w:line="360" w:lineRule="auto"/>
        <w:rPr>
          <w:rFonts w:ascii="Arial" w:hAnsi="Arial" w:cs="Arial"/>
          <w:lang w:val="en-IN" w:eastAsia="en-GB"/>
        </w:rPr>
      </w:pPr>
      <w:r w:rsidRPr="000D51FC">
        <w:rPr>
          <w:rFonts w:ascii="Arial" w:hAnsi="Arial" w:cs="Arial"/>
          <w:lang w:val="en-IN" w:eastAsia="en-GB"/>
        </w:rPr>
        <w:t>Mergers and strategic alliances are one of the avenues for scale efficiency improvement and enhancement of technological competitiveness relevant to the electronics industry. The sector requires high R&amp;D expenditure and strong bargaining power in global supply chains — which are also the two areas where General Electronics is weakened.</w:t>
      </w:r>
    </w:p>
    <w:p w14:paraId="4AD7559E" w14:textId="70C28431" w:rsidR="00754947" w:rsidRPr="000D51FC" w:rsidRDefault="00754947" w:rsidP="000D51FC">
      <w:pPr>
        <w:spacing w:line="360" w:lineRule="auto"/>
        <w:rPr>
          <w:rFonts w:ascii="Arial" w:hAnsi="Arial" w:cs="Arial"/>
          <w:lang w:val="en-IN" w:eastAsia="en-GB"/>
        </w:rPr>
      </w:pPr>
      <w:r w:rsidRPr="000D51FC">
        <w:rPr>
          <w:rFonts w:ascii="Arial" w:hAnsi="Arial" w:cs="Arial"/>
          <w:lang w:val="en-IN" w:eastAsia="en-GB"/>
        </w:rPr>
        <w:t>A merger with a regional electronics manufacturer or a strategic collaboration with a global tech innovator could:</w:t>
      </w:r>
    </w:p>
    <w:p w14:paraId="09FB8C10" w14:textId="6319D30D" w:rsidR="00754947" w:rsidRPr="000D51FC" w:rsidRDefault="00754947" w:rsidP="000D51FC">
      <w:pPr>
        <w:pStyle w:val="ListParagraph"/>
        <w:numPr>
          <w:ilvl w:val="0"/>
          <w:numId w:val="24"/>
        </w:numPr>
        <w:spacing w:line="360" w:lineRule="auto"/>
        <w:rPr>
          <w:rFonts w:ascii="Arial" w:hAnsi="Arial" w:cs="Arial"/>
          <w:lang w:val="en-IN" w:eastAsia="en-GB"/>
        </w:rPr>
      </w:pPr>
      <w:r w:rsidRPr="000D51FC">
        <w:rPr>
          <w:rFonts w:ascii="Arial" w:hAnsi="Arial" w:cs="Arial"/>
          <w:lang w:val="en-IN" w:eastAsia="en-GB"/>
        </w:rPr>
        <w:t>Improve access to sophisticated technologies and patent portfolios</w:t>
      </w:r>
    </w:p>
    <w:p w14:paraId="2D07767D" w14:textId="2E3165D4" w:rsidR="00754947" w:rsidRPr="000D51FC" w:rsidRDefault="00754947" w:rsidP="000D51FC">
      <w:pPr>
        <w:pStyle w:val="ListParagraph"/>
        <w:numPr>
          <w:ilvl w:val="0"/>
          <w:numId w:val="24"/>
        </w:numPr>
        <w:spacing w:line="360" w:lineRule="auto"/>
        <w:rPr>
          <w:rFonts w:ascii="Arial" w:hAnsi="Arial" w:cs="Arial"/>
          <w:lang w:val="en-IN" w:eastAsia="en-GB"/>
        </w:rPr>
      </w:pPr>
      <w:r w:rsidRPr="000D51FC">
        <w:rPr>
          <w:rFonts w:ascii="Arial" w:hAnsi="Arial" w:cs="Arial"/>
          <w:lang w:val="en-IN" w:eastAsia="en-GB"/>
        </w:rPr>
        <w:t>Expanding the presence in international markets</w:t>
      </w:r>
    </w:p>
    <w:p w14:paraId="0B1A81C6" w14:textId="27A8EB5D" w:rsidR="00754947" w:rsidRPr="000D51FC" w:rsidRDefault="00754947" w:rsidP="000D51FC">
      <w:pPr>
        <w:pStyle w:val="ListParagraph"/>
        <w:numPr>
          <w:ilvl w:val="0"/>
          <w:numId w:val="24"/>
        </w:numPr>
        <w:spacing w:line="360" w:lineRule="auto"/>
        <w:rPr>
          <w:rFonts w:ascii="Arial" w:hAnsi="Arial" w:cs="Arial"/>
          <w:lang w:val="en-IN" w:eastAsia="en-GB"/>
        </w:rPr>
      </w:pPr>
      <w:r w:rsidRPr="000D51FC">
        <w:rPr>
          <w:rFonts w:ascii="Arial" w:hAnsi="Arial" w:cs="Arial"/>
          <w:lang w:val="en-IN" w:eastAsia="en-GB"/>
        </w:rPr>
        <w:t>Lower unit production costs through economies of scale</w:t>
      </w:r>
    </w:p>
    <w:p w14:paraId="4A933FDE" w14:textId="71565045" w:rsidR="00754947" w:rsidRPr="000D51FC" w:rsidRDefault="00754947" w:rsidP="000D51FC">
      <w:pPr>
        <w:pStyle w:val="ListParagraph"/>
        <w:numPr>
          <w:ilvl w:val="0"/>
          <w:numId w:val="24"/>
        </w:numPr>
        <w:spacing w:line="360" w:lineRule="auto"/>
        <w:rPr>
          <w:rFonts w:ascii="Arial" w:hAnsi="Arial" w:cs="Arial"/>
          <w:lang w:val="en-IN" w:eastAsia="en-GB"/>
        </w:rPr>
      </w:pPr>
      <w:r w:rsidRPr="000D51FC">
        <w:rPr>
          <w:rFonts w:ascii="Arial" w:hAnsi="Arial" w:cs="Arial"/>
          <w:lang w:val="en-IN" w:eastAsia="en-GB"/>
        </w:rPr>
        <w:t>Better creditworthiness from increased market stability (Garzella and Fiorentino, 2020)</w:t>
      </w:r>
    </w:p>
    <w:p w14:paraId="4CED1451" w14:textId="77777777" w:rsidR="004335EE" w:rsidRPr="000D51FC" w:rsidRDefault="00754947" w:rsidP="000D51FC">
      <w:pPr>
        <w:spacing w:line="360" w:lineRule="auto"/>
        <w:rPr>
          <w:rFonts w:ascii="Arial" w:hAnsi="Arial" w:cs="Arial"/>
          <w:lang w:val="en-IN" w:eastAsia="en-GB"/>
        </w:rPr>
      </w:pPr>
      <w:r w:rsidRPr="000D51FC">
        <w:rPr>
          <w:rFonts w:ascii="Arial" w:hAnsi="Arial" w:cs="Arial"/>
          <w:lang w:val="en-IN" w:eastAsia="en-GB"/>
        </w:rPr>
        <w:t>Merger synergies can enhance profitability and shareholder value, but there are also integration issues to be faced, such as cultural misalignment and restructuring costs. Strategic alliances perhaps offer a less risky route where joint innovation can be achieved without full acquisition.</w:t>
      </w:r>
    </w:p>
    <w:p w14:paraId="1B786449" w14:textId="66930741" w:rsidR="00667C43" w:rsidRPr="000D51FC" w:rsidRDefault="004335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3.3 </w:t>
      </w:r>
      <w:r w:rsidR="00452197" w:rsidRPr="000D51FC">
        <w:rPr>
          <w:rFonts w:ascii="Arial" w:hAnsi="Arial" w:cs="Arial"/>
          <w:b/>
          <w:bCs/>
        </w:rPr>
        <w:t>Equity Injection</w:t>
      </w:r>
    </w:p>
    <w:p w14:paraId="7CCC3D7D" w14:textId="6F06E167" w:rsidR="00452197" w:rsidRPr="000D51FC" w:rsidRDefault="00452197" w:rsidP="000D51FC">
      <w:pPr>
        <w:spacing w:line="360" w:lineRule="auto"/>
        <w:rPr>
          <w:rFonts w:ascii="Arial" w:hAnsi="Arial" w:cs="Arial"/>
          <w:lang w:val="en-IN" w:eastAsia="en-GB"/>
        </w:rPr>
      </w:pPr>
      <w:r w:rsidRPr="000D51FC">
        <w:rPr>
          <w:rFonts w:ascii="Arial" w:hAnsi="Arial" w:cs="Arial"/>
          <w:lang w:val="en-IN" w:eastAsia="en-GB"/>
        </w:rPr>
        <w:t>The consequence of persistent losses has significantly diminished retained earnings as well as shareholders' funds. It is, therefore, prudent to raise new equity to reduce overdependence on debt financing and regain market confidence. According to Haque (2023), this may be realized through:</w:t>
      </w:r>
    </w:p>
    <w:p w14:paraId="730EB593" w14:textId="21E4AE9A" w:rsidR="00452197" w:rsidRPr="000D51FC" w:rsidRDefault="00452197" w:rsidP="000D51FC">
      <w:pPr>
        <w:pStyle w:val="ListParagraph"/>
        <w:numPr>
          <w:ilvl w:val="0"/>
          <w:numId w:val="25"/>
        </w:numPr>
        <w:spacing w:line="360" w:lineRule="auto"/>
        <w:rPr>
          <w:rFonts w:ascii="Arial" w:hAnsi="Arial" w:cs="Arial"/>
          <w:lang w:val="en-IN" w:eastAsia="en-GB"/>
        </w:rPr>
      </w:pPr>
      <w:r w:rsidRPr="000D51FC">
        <w:rPr>
          <w:rFonts w:ascii="Arial" w:hAnsi="Arial" w:cs="Arial"/>
          <w:lang w:val="en-IN" w:eastAsia="en-GB"/>
        </w:rPr>
        <w:t>Rights issue: protecting ownership of existing shareholders</w:t>
      </w:r>
    </w:p>
    <w:p w14:paraId="640F76EB" w14:textId="691C3200" w:rsidR="00452197" w:rsidRPr="000D51FC" w:rsidRDefault="00452197" w:rsidP="000D51FC">
      <w:pPr>
        <w:pStyle w:val="ListParagraph"/>
        <w:numPr>
          <w:ilvl w:val="0"/>
          <w:numId w:val="25"/>
        </w:numPr>
        <w:spacing w:line="360" w:lineRule="auto"/>
        <w:rPr>
          <w:rFonts w:ascii="Arial" w:hAnsi="Arial" w:cs="Arial"/>
          <w:lang w:val="en-IN" w:eastAsia="en-GB"/>
        </w:rPr>
      </w:pPr>
      <w:r w:rsidRPr="000D51FC">
        <w:rPr>
          <w:rFonts w:ascii="Arial" w:hAnsi="Arial" w:cs="Arial"/>
          <w:lang w:val="en-IN" w:eastAsia="en-GB"/>
        </w:rPr>
        <w:t>Private placement targets institutional or international investors.</w:t>
      </w:r>
    </w:p>
    <w:p w14:paraId="23BFCBDE" w14:textId="1A2FD801" w:rsidR="00452197" w:rsidRPr="000D51FC" w:rsidRDefault="00452197" w:rsidP="000D51FC">
      <w:pPr>
        <w:spacing w:line="360" w:lineRule="auto"/>
        <w:rPr>
          <w:rFonts w:ascii="Arial" w:hAnsi="Arial" w:cs="Arial"/>
          <w:lang w:val="en-IN" w:eastAsia="en-GB"/>
        </w:rPr>
      </w:pPr>
      <w:r w:rsidRPr="000D51FC">
        <w:rPr>
          <w:rFonts w:ascii="Arial" w:hAnsi="Arial" w:cs="Arial"/>
          <w:lang w:val="en-IN" w:eastAsia="en-GB"/>
        </w:rPr>
        <w:lastRenderedPageBreak/>
        <w:t xml:space="preserve">For example, an equity injection of £25,000 million would strengthen liquidity, </w:t>
      </w:r>
      <w:r w:rsidR="006C488B" w:rsidRPr="000D51FC">
        <w:rPr>
          <w:rFonts w:ascii="Arial" w:hAnsi="Arial" w:cs="Arial"/>
          <w:lang w:val="en-IN" w:eastAsia="en-GB"/>
        </w:rPr>
        <w:t>reduce</w:t>
      </w:r>
      <w:r w:rsidRPr="000D51FC">
        <w:rPr>
          <w:rFonts w:ascii="Arial" w:hAnsi="Arial" w:cs="Arial"/>
          <w:lang w:val="en-IN" w:eastAsia="en-GB"/>
        </w:rPr>
        <w:t xml:space="preserve"> the debt-to-equity ratio and </w:t>
      </w:r>
      <w:r w:rsidR="006C488B" w:rsidRPr="000D51FC">
        <w:rPr>
          <w:rFonts w:ascii="Arial" w:hAnsi="Arial" w:cs="Arial"/>
          <w:lang w:val="en-IN" w:eastAsia="en-GB"/>
        </w:rPr>
        <w:t>support</w:t>
      </w:r>
      <w:r w:rsidRPr="000D51FC">
        <w:rPr>
          <w:rFonts w:ascii="Arial" w:hAnsi="Arial" w:cs="Arial"/>
          <w:lang w:val="en-IN" w:eastAsia="en-GB"/>
        </w:rPr>
        <w:t xml:space="preserve"> investments in enhancing product competitiveness. New share issuance might temporarily dilute the ownership percentage, but the improved financial sustainability is expected to deliver long-term value appreciation.</w:t>
      </w:r>
    </w:p>
    <w:p w14:paraId="335BDA84" w14:textId="77777777" w:rsidR="004335EE" w:rsidRPr="000D51FC" w:rsidRDefault="00452197" w:rsidP="000D51FC">
      <w:pPr>
        <w:spacing w:line="360" w:lineRule="auto"/>
        <w:rPr>
          <w:rFonts w:ascii="Arial" w:hAnsi="Arial" w:cs="Arial"/>
          <w:lang w:val="en-IN" w:eastAsia="en-GB"/>
        </w:rPr>
      </w:pPr>
      <w:r w:rsidRPr="000D51FC">
        <w:rPr>
          <w:rFonts w:ascii="Arial" w:hAnsi="Arial" w:cs="Arial"/>
          <w:lang w:val="en-IN" w:eastAsia="en-GB"/>
        </w:rPr>
        <w:t>The company also needs to improve governance transparency and articulate the turnaround strategy to attract investors.</w:t>
      </w:r>
    </w:p>
    <w:p w14:paraId="1F630978" w14:textId="6A560709" w:rsidR="00452197" w:rsidRPr="000D51FC" w:rsidRDefault="004335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3.4 </w:t>
      </w:r>
      <w:r w:rsidR="00452197" w:rsidRPr="000D51FC">
        <w:rPr>
          <w:rFonts w:ascii="Arial" w:hAnsi="Arial" w:cs="Arial"/>
          <w:b/>
          <w:bCs/>
        </w:rPr>
        <w:t xml:space="preserve">Debt </w:t>
      </w:r>
      <w:r w:rsidR="00B512AC" w:rsidRPr="000D51FC">
        <w:rPr>
          <w:rFonts w:ascii="Arial" w:hAnsi="Arial" w:cs="Arial"/>
          <w:b/>
          <w:bCs/>
        </w:rPr>
        <w:t>Reorganization</w:t>
      </w:r>
    </w:p>
    <w:p w14:paraId="53CE6207" w14:textId="7CD0E911" w:rsidR="00452197" w:rsidRPr="000D51FC" w:rsidRDefault="00452197" w:rsidP="000D51FC">
      <w:pPr>
        <w:spacing w:line="360" w:lineRule="auto"/>
        <w:rPr>
          <w:rFonts w:ascii="Arial" w:hAnsi="Arial" w:cs="Arial"/>
          <w:lang w:val="en-IN" w:eastAsia="en-GB"/>
        </w:rPr>
      </w:pPr>
      <w:r w:rsidRPr="000D51FC">
        <w:rPr>
          <w:rFonts w:ascii="Arial" w:hAnsi="Arial" w:cs="Arial"/>
          <w:lang w:val="en-IN" w:eastAsia="en-GB"/>
        </w:rPr>
        <w:t>The leverage and negative interest coverage ratios indicate that current debt levels are unsustainable for General Electronics. Hence, debt restructuring is of prime importance to preserve financial stability. Options can be sought from</w:t>
      </w:r>
    </w:p>
    <w:p w14:paraId="47C26C02" w14:textId="222CB61A" w:rsidR="00452197" w:rsidRPr="000D51FC" w:rsidRDefault="00452197" w:rsidP="000D51FC">
      <w:pPr>
        <w:pStyle w:val="ListParagraph"/>
        <w:numPr>
          <w:ilvl w:val="0"/>
          <w:numId w:val="26"/>
        </w:numPr>
        <w:spacing w:line="360" w:lineRule="auto"/>
        <w:rPr>
          <w:rFonts w:ascii="Arial" w:hAnsi="Arial" w:cs="Arial"/>
          <w:lang w:val="en-IN" w:eastAsia="en-GB"/>
        </w:rPr>
      </w:pPr>
      <w:r w:rsidRPr="000D51FC">
        <w:rPr>
          <w:rFonts w:ascii="Arial" w:hAnsi="Arial" w:cs="Arial"/>
          <w:lang w:val="en-IN" w:eastAsia="en-GB"/>
        </w:rPr>
        <w:t>Renegotiating existing loans to obtain lower interest rates</w:t>
      </w:r>
    </w:p>
    <w:p w14:paraId="57634CAF" w14:textId="39827A0B" w:rsidR="00452197" w:rsidRPr="000D51FC" w:rsidRDefault="00452197" w:rsidP="000D51FC">
      <w:pPr>
        <w:pStyle w:val="ListParagraph"/>
        <w:numPr>
          <w:ilvl w:val="0"/>
          <w:numId w:val="26"/>
        </w:numPr>
        <w:spacing w:line="360" w:lineRule="auto"/>
        <w:rPr>
          <w:rFonts w:ascii="Arial" w:hAnsi="Arial" w:cs="Arial"/>
          <w:lang w:val="en-IN" w:eastAsia="en-GB"/>
        </w:rPr>
      </w:pPr>
      <w:r w:rsidRPr="000D51FC">
        <w:rPr>
          <w:rFonts w:ascii="Arial" w:hAnsi="Arial" w:cs="Arial"/>
          <w:lang w:val="en-IN" w:eastAsia="en-GB"/>
        </w:rPr>
        <w:t>Extending maturities to decrease short-term repayment pressures</w:t>
      </w:r>
    </w:p>
    <w:p w14:paraId="66A6167F" w14:textId="75456EA8" w:rsidR="00452197" w:rsidRPr="000D51FC" w:rsidRDefault="00452197" w:rsidP="000D51FC">
      <w:pPr>
        <w:pStyle w:val="ListParagraph"/>
        <w:numPr>
          <w:ilvl w:val="0"/>
          <w:numId w:val="26"/>
        </w:numPr>
        <w:spacing w:line="360" w:lineRule="auto"/>
        <w:rPr>
          <w:rFonts w:ascii="Arial" w:hAnsi="Arial" w:cs="Arial"/>
          <w:lang w:val="en-IN" w:eastAsia="en-GB"/>
        </w:rPr>
      </w:pPr>
      <w:r w:rsidRPr="000D51FC">
        <w:rPr>
          <w:rFonts w:ascii="Arial" w:hAnsi="Arial" w:cs="Arial"/>
          <w:lang w:val="en-IN" w:eastAsia="en-GB"/>
        </w:rPr>
        <w:t>Conversion of some of the long-term debts into equity holdings (Lau, 2023)</w:t>
      </w:r>
    </w:p>
    <w:p w14:paraId="5292E2D4" w14:textId="03B3099D" w:rsidR="00452197" w:rsidRPr="000D51FC" w:rsidRDefault="00452197" w:rsidP="000D51FC">
      <w:pPr>
        <w:spacing w:line="360" w:lineRule="auto"/>
        <w:rPr>
          <w:rFonts w:ascii="Arial" w:hAnsi="Arial" w:cs="Arial"/>
          <w:lang w:val="en-IN" w:eastAsia="en-GB"/>
        </w:rPr>
      </w:pPr>
      <w:r w:rsidRPr="000D51FC">
        <w:rPr>
          <w:rFonts w:ascii="Arial" w:hAnsi="Arial" w:cs="Arial"/>
          <w:lang w:val="en-IN" w:eastAsia="en-GB"/>
        </w:rPr>
        <w:t>For example, it would strengthen the capital structure without cash outflow if £10,000 million of debt was converted into equity. This would alleviate immediate financing pressures but preserve future equity flexibility by using hybrid instruments such as convertible bonds.</w:t>
      </w:r>
    </w:p>
    <w:p w14:paraId="71741CDA" w14:textId="77777777" w:rsidR="004335EE" w:rsidRDefault="00452197" w:rsidP="000D51FC">
      <w:pPr>
        <w:spacing w:line="360" w:lineRule="auto"/>
        <w:rPr>
          <w:rFonts w:ascii="Arial" w:hAnsi="Arial" w:cs="Arial"/>
          <w:lang w:val="en-IN" w:eastAsia="en-GB"/>
        </w:rPr>
      </w:pPr>
      <w:r w:rsidRPr="000D51FC">
        <w:rPr>
          <w:rFonts w:ascii="Arial" w:hAnsi="Arial" w:cs="Arial"/>
          <w:lang w:val="en-IN" w:eastAsia="en-GB"/>
        </w:rPr>
        <w:t>Successful restructuring would ensure higher ratings, therefore improving access to cheaper finance for innovation.</w:t>
      </w:r>
    </w:p>
    <w:p w14:paraId="0DFDD551" w14:textId="77777777" w:rsidR="00384BEF" w:rsidRDefault="00384BEF" w:rsidP="000D51FC">
      <w:pPr>
        <w:spacing w:line="360" w:lineRule="auto"/>
        <w:rPr>
          <w:rFonts w:ascii="Arial" w:hAnsi="Arial" w:cs="Arial"/>
          <w:lang w:val="en-IN" w:eastAsia="en-GB"/>
        </w:rPr>
      </w:pPr>
    </w:p>
    <w:p w14:paraId="735AC9FF" w14:textId="77777777" w:rsidR="00384BEF" w:rsidRPr="000D51FC" w:rsidRDefault="00384BEF" w:rsidP="000D51FC">
      <w:pPr>
        <w:spacing w:line="360" w:lineRule="auto"/>
        <w:rPr>
          <w:rFonts w:ascii="Arial" w:hAnsi="Arial" w:cs="Arial"/>
          <w:lang w:val="en-IN" w:eastAsia="en-GB"/>
        </w:rPr>
      </w:pPr>
    </w:p>
    <w:p w14:paraId="76126BBB" w14:textId="495AA452" w:rsidR="00722ACD" w:rsidRPr="000D51FC" w:rsidRDefault="004335EE"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3.5 </w:t>
      </w:r>
      <w:r w:rsidR="00082182" w:rsidRPr="000D51FC">
        <w:rPr>
          <w:rFonts w:ascii="Arial" w:hAnsi="Arial" w:cs="Arial"/>
          <w:b/>
          <w:bCs/>
        </w:rPr>
        <w:t>International and Ethical Considerations</w:t>
      </w:r>
    </w:p>
    <w:p w14:paraId="17B62824" w14:textId="6AA7638C" w:rsidR="004206AD" w:rsidRPr="000D51FC" w:rsidRDefault="004206AD" w:rsidP="000D51FC">
      <w:pPr>
        <w:spacing w:line="360" w:lineRule="auto"/>
        <w:rPr>
          <w:rFonts w:ascii="Arial" w:hAnsi="Arial" w:cs="Arial"/>
          <w:lang w:val="en-IN" w:eastAsia="en-GB"/>
        </w:rPr>
      </w:pPr>
      <w:r w:rsidRPr="000D51FC">
        <w:rPr>
          <w:rFonts w:ascii="Arial" w:hAnsi="Arial" w:cs="Arial"/>
          <w:lang w:val="en-IN" w:eastAsia="en-GB"/>
        </w:rPr>
        <w:t>T</w:t>
      </w:r>
      <w:r w:rsidRPr="000D51FC">
        <w:rPr>
          <w:rFonts w:ascii="Arial" w:hAnsi="Arial" w:cs="Arial"/>
          <w:lang w:val="en-IN" w:eastAsia="en-GB"/>
        </w:rPr>
        <w:t xml:space="preserve">he financial restructuring should be done in a manner that is in compliance with international rulings and norms of ethical business operation. The company should strive for optimum taxation by carefully planned divestitures and equity arrangements so that double taxation liabilities, which are not needed, can be avoided or reduced to a minimum (de Oliveira Neto, 2021). As General Electronics works globally, it is also highly vulnerable to foreign currency market fluctuations-particularly the ones relating to US dollars and Asian currencies. Hence, hedging operations such as </w:t>
      </w:r>
      <w:r w:rsidRPr="000D51FC">
        <w:rPr>
          <w:rFonts w:ascii="Arial" w:hAnsi="Arial" w:cs="Arial"/>
          <w:lang w:val="en-IN" w:eastAsia="en-GB"/>
        </w:rPr>
        <w:lastRenderedPageBreak/>
        <w:t>forward exchange contracts need to be performed to safeguard the company against currency fluctuation factors.</w:t>
      </w:r>
    </w:p>
    <w:p w14:paraId="4C83875F" w14:textId="6222147A" w:rsidR="004206AD" w:rsidRPr="000D51FC" w:rsidRDefault="004206AD" w:rsidP="000D51FC">
      <w:pPr>
        <w:spacing w:line="360" w:lineRule="auto"/>
        <w:rPr>
          <w:rFonts w:ascii="Arial" w:hAnsi="Arial" w:cs="Arial"/>
          <w:lang w:val="en-IN" w:eastAsia="en-GB"/>
        </w:rPr>
      </w:pPr>
      <w:r w:rsidRPr="000D51FC">
        <w:rPr>
          <w:rFonts w:ascii="Arial" w:hAnsi="Arial" w:cs="Arial"/>
          <w:lang w:val="en-IN" w:eastAsia="en-GB"/>
        </w:rPr>
        <w:t>Besides, inflation is another obstacle because it heightens the cost of borrowing and diminishes the real returns on investment. Such an issue calls for the consideration of long-term fixed-rate borrowing arrangements in a restructuring package with cost-effective supply chain reforms. Ethical and sustainability issues should also be at the core of the restructuring process. That is, asset sales should not result in severe exploitation of the workforce; labour practices should be upheld during merger or alliance cases. It is also important that new investments be directed towards environmentally responsible innovative technologies. Reputation is enhanced by such CSR-friendly actions; it boosts the confidence of stakeholders in the business and also builds long-term resilience.</w:t>
      </w:r>
    </w:p>
    <w:p w14:paraId="3D3CD7F6" w14:textId="08A3715B" w:rsidR="008400D6" w:rsidRPr="000D51FC" w:rsidRDefault="008400D6" w:rsidP="000D51FC">
      <w:pPr>
        <w:spacing w:line="360" w:lineRule="auto"/>
        <w:rPr>
          <w:rFonts w:ascii="Arial" w:hAnsi="Arial" w:cs="Arial"/>
          <w:b/>
          <w:bCs/>
          <w:lang w:val="en-IN" w:eastAsia="en-GB"/>
        </w:rPr>
      </w:pPr>
      <w:r w:rsidRPr="000D51FC">
        <w:rPr>
          <w:rFonts w:ascii="Arial" w:hAnsi="Arial" w:cs="Arial"/>
          <w:b/>
          <w:bCs/>
          <w:lang w:val="en-IN" w:eastAsia="en-GB"/>
        </w:rPr>
        <w:t>Evaluation of Impact</w:t>
      </w:r>
    </w:p>
    <w:p w14:paraId="1C57460B" w14:textId="77777777" w:rsidR="008400D6" w:rsidRPr="000D51FC" w:rsidRDefault="008400D6" w:rsidP="000D51FC">
      <w:pPr>
        <w:spacing w:line="360" w:lineRule="auto"/>
        <w:rPr>
          <w:rFonts w:ascii="Arial" w:hAnsi="Arial" w:cs="Arial"/>
          <w:lang w:val="en-IN" w:eastAsia="en-GB"/>
        </w:rPr>
      </w:pPr>
      <w:r w:rsidRPr="000D51FC">
        <w:rPr>
          <w:rFonts w:ascii="Arial" w:hAnsi="Arial" w:cs="Arial"/>
          <w:lang w:val="en-IN" w:eastAsia="en-GB"/>
        </w:rPr>
        <w:t xml:space="preserve">The proposed restructuring can be expected to yield a number of salutary benefits. </w:t>
      </w:r>
    </w:p>
    <w:p w14:paraId="4C8BA3D4" w14:textId="77777777" w:rsidR="0088056C" w:rsidRPr="000D51FC" w:rsidRDefault="008400D6" w:rsidP="000D51FC">
      <w:pPr>
        <w:pStyle w:val="ListParagraph"/>
        <w:numPr>
          <w:ilvl w:val="0"/>
          <w:numId w:val="27"/>
        </w:numPr>
        <w:spacing w:line="360" w:lineRule="auto"/>
        <w:rPr>
          <w:rFonts w:ascii="Arial" w:hAnsi="Arial" w:cs="Arial"/>
          <w:lang w:val="en-IN" w:eastAsia="en-GB"/>
        </w:rPr>
      </w:pPr>
      <w:r w:rsidRPr="000D51FC">
        <w:rPr>
          <w:rFonts w:ascii="Arial" w:hAnsi="Arial" w:cs="Arial"/>
          <w:lang w:val="en-IN" w:eastAsia="en-GB"/>
        </w:rPr>
        <w:t xml:space="preserve">Firstly, shareholder value should benefit from the stabilization of profitability and the strengthening of the equity base, possibly feeding through into share price performance. </w:t>
      </w:r>
    </w:p>
    <w:p w14:paraId="66BD10A5" w14:textId="77777777" w:rsidR="0088056C" w:rsidRPr="000D51FC" w:rsidRDefault="008400D6" w:rsidP="000D51FC">
      <w:pPr>
        <w:pStyle w:val="ListParagraph"/>
        <w:numPr>
          <w:ilvl w:val="0"/>
          <w:numId w:val="27"/>
        </w:numPr>
        <w:spacing w:line="360" w:lineRule="auto"/>
        <w:rPr>
          <w:rFonts w:ascii="Arial" w:hAnsi="Arial" w:cs="Arial"/>
          <w:lang w:val="en-IN" w:eastAsia="en-GB"/>
        </w:rPr>
      </w:pPr>
      <w:r w:rsidRPr="000D51FC">
        <w:rPr>
          <w:rFonts w:ascii="Arial" w:hAnsi="Arial" w:cs="Arial"/>
          <w:lang w:val="en-IN" w:eastAsia="en-GB"/>
        </w:rPr>
        <w:t xml:space="preserve">Secondly, reduced over-borrowing, allied to better refinancing terms, will improve solvency and enhance the company's credit rating. </w:t>
      </w:r>
    </w:p>
    <w:p w14:paraId="653E2287" w14:textId="22C2CE9F" w:rsidR="008400D6" w:rsidRPr="000D51FC" w:rsidRDefault="008400D6" w:rsidP="000D51FC">
      <w:pPr>
        <w:pStyle w:val="ListParagraph"/>
        <w:numPr>
          <w:ilvl w:val="0"/>
          <w:numId w:val="27"/>
        </w:numPr>
        <w:spacing w:line="360" w:lineRule="auto"/>
        <w:rPr>
          <w:rFonts w:ascii="Arial" w:hAnsi="Arial" w:cs="Arial"/>
          <w:lang w:val="en-IN" w:eastAsia="en-GB"/>
        </w:rPr>
      </w:pPr>
      <w:r w:rsidRPr="000D51FC">
        <w:rPr>
          <w:rFonts w:ascii="Arial" w:hAnsi="Arial" w:cs="Arial"/>
          <w:lang w:val="en-IN" w:eastAsia="en-GB"/>
        </w:rPr>
        <w:t>Finally, divestment of inefficient assets, combined with partnerships or alliances, will make operations more flexible, allowing faster decision-making and more effective resource utilization.</w:t>
      </w:r>
    </w:p>
    <w:p w14:paraId="757D9996" w14:textId="01603285" w:rsidR="00515A8A" w:rsidRPr="000D51FC" w:rsidRDefault="008400D6" w:rsidP="000D51FC">
      <w:pPr>
        <w:spacing w:line="360" w:lineRule="auto"/>
        <w:rPr>
          <w:rFonts w:ascii="Arial" w:hAnsi="Arial" w:cs="Arial"/>
          <w:lang w:val="en-IN" w:eastAsia="en-GB"/>
        </w:rPr>
      </w:pPr>
      <w:r w:rsidRPr="000D51FC">
        <w:rPr>
          <w:rFonts w:ascii="Arial" w:hAnsi="Arial" w:cs="Arial"/>
          <w:lang w:val="en-IN" w:eastAsia="en-GB"/>
        </w:rPr>
        <w:t>Although some short-term disruptions may occur—particularly during integration phases—the long-term advantages far outweigh the temporary challenges, allowing the company to operate more competitively in the global market (Song, 2023).</w:t>
      </w:r>
    </w:p>
    <w:p w14:paraId="36D86C02" w14:textId="6B3A6506" w:rsidR="0088056C" w:rsidRPr="000D51FC" w:rsidRDefault="0088056C" w:rsidP="000D51FC">
      <w:pPr>
        <w:spacing w:line="360" w:lineRule="auto"/>
        <w:rPr>
          <w:rFonts w:ascii="Arial" w:hAnsi="Arial" w:cs="Arial"/>
          <w:b/>
          <w:bCs/>
          <w:lang w:val="en-IN" w:eastAsia="en-GB"/>
        </w:rPr>
      </w:pPr>
      <w:r w:rsidRPr="000D51FC">
        <w:rPr>
          <w:rFonts w:ascii="Arial" w:hAnsi="Arial" w:cs="Arial"/>
          <w:b/>
          <w:bCs/>
          <w:lang w:val="en-IN" w:eastAsia="en-GB"/>
        </w:rPr>
        <w:t>Strategic Roadmap</w:t>
      </w:r>
    </w:p>
    <w:p w14:paraId="29FF3521" w14:textId="51DF9652" w:rsidR="0088056C" w:rsidRPr="000D51FC" w:rsidRDefault="0088056C" w:rsidP="000D51FC">
      <w:pPr>
        <w:spacing w:line="360" w:lineRule="auto"/>
        <w:ind w:left="221" w:firstLine="0"/>
        <w:rPr>
          <w:rFonts w:ascii="Arial" w:hAnsi="Arial" w:cs="Arial"/>
          <w:lang w:val="en-IN" w:eastAsia="en-GB"/>
        </w:rPr>
      </w:pPr>
      <w:r w:rsidRPr="000D51FC">
        <w:rPr>
          <w:rFonts w:ascii="Arial" w:hAnsi="Arial" w:cs="Arial"/>
          <w:lang w:val="en-IN" w:eastAsia="en-GB"/>
        </w:rPr>
        <w:t>It is advisable to have a phased restructuring roadmap for maximum effectiveness.</w:t>
      </w:r>
      <w:r w:rsidRPr="000D51FC">
        <w:rPr>
          <w:rFonts w:ascii="Arial" w:hAnsi="Arial" w:cs="Arial"/>
          <w:lang w:val="en-IN" w:eastAsia="en-GB"/>
        </w:rPr>
        <w:t xml:space="preserve"> </w:t>
      </w:r>
      <w:r w:rsidRPr="000D51FC">
        <w:rPr>
          <w:rFonts w:ascii="Arial" w:hAnsi="Arial" w:cs="Arial"/>
          <w:lang w:val="en-IN" w:eastAsia="en-GB"/>
        </w:rPr>
        <w:t xml:space="preserve">The priorities should include: </w:t>
      </w:r>
    </w:p>
    <w:p w14:paraId="3EA5FEF7" w14:textId="56F8FA9B" w:rsidR="0088056C" w:rsidRPr="000D51FC" w:rsidRDefault="0088056C" w:rsidP="000D51FC">
      <w:pPr>
        <w:pStyle w:val="ListParagraph"/>
        <w:numPr>
          <w:ilvl w:val="0"/>
          <w:numId w:val="28"/>
        </w:numPr>
        <w:spacing w:line="360" w:lineRule="auto"/>
        <w:rPr>
          <w:rFonts w:ascii="Arial" w:hAnsi="Arial" w:cs="Arial"/>
          <w:lang w:val="en-IN" w:eastAsia="en-GB"/>
        </w:rPr>
      </w:pPr>
      <w:r w:rsidRPr="000D51FC">
        <w:rPr>
          <w:rFonts w:ascii="Arial" w:hAnsi="Arial" w:cs="Arial"/>
          <w:lang w:val="en-IN" w:eastAsia="en-GB"/>
        </w:rPr>
        <w:t>S</w:t>
      </w:r>
      <w:r w:rsidRPr="000D51FC">
        <w:rPr>
          <w:rFonts w:ascii="Arial" w:hAnsi="Arial" w:cs="Arial"/>
          <w:lang w:val="en-IN" w:eastAsia="en-GB"/>
        </w:rPr>
        <w:t>hort term, 0–12 months, stabilising liquidity through divestment of non-core assets and renegotiation of urgent debt arrangements.</w:t>
      </w:r>
    </w:p>
    <w:p w14:paraId="38FFF91D" w14:textId="77777777" w:rsidR="0088056C" w:rsidRPr="000D51FC" w:rsidRDefault="0088056C" w:rsidP="000D51FC">
      <w:pPr>
        <w:pStyle w:val="ListParagraph"/>
        <w:numPr>
          <w:ilvl w:val="0"/>
          <w:numId w:val="28"/>
        </w:numPr>
        <w:spacing w:line="360" w:lineRule="auto"/>
        <w:rPr>
          <w:rFonts w:ascii="Arial" w:hAnsi="Arial" w:cs="Arial"/>
          <w:lang w:val="en-IN" w:eastAsia="en-GB"/>
        </w:rPr>
      </w:pPr>
      <w:r w:rsidRPr="000D51FC">
        <w:rPr>
          <w:rFonts w:ascii="Arial" w:hAnsi="Arial" w:cs="Arial"/>
          <w:lang w:val="en-IN" w:eastAsia="en-GB"/>
        </w:rPr>
        <w:lastRenderedPageBreak/>
        <w:t xml:space="preserve">Medium-term: within a period of 12–24 months, the company should introduce equity injections, strength in the capital base, and strategic alliances in order to expand market influence. </w:t>
      </w:r>
    </w:p>
    <w:p w14:paraId="24B9BEC0" w14:textId="3BD36CC1" w:rsidR="0088056C" w:rsidRPr="000D51FC" w:rsidRDefault="0088056C" w:rsidP="000D51FC">
      <w:pPr>
        <w:pStyle w:val="ListParagraph"/>
        <w:numPr>
          <w:ilvl w:val="0"/>
          <w:numId w:val="28"/>
        </w:numPr>
        <w:spacing w:line="360" w:lineRule="auto"/>
        <w:rPr>
          <w:rFonts w:ascii="Arial" w:hAnsi="Arial" w:cs="Arial"/>
          <w:lang w:val="en-IN" w:eastAsia="en-GB"/>
        </w:rPr>
      </w:pPr>
      <w:r w:rsidRPr="000D51FC">
        <w:rPr>
          <w:rFonts w:ascii="Arial" w:hAnsi="Arial" w:cs="Arial"/>
          <w:lang w:val="en-IN" w:eastAsia="en-GB"/>
        </w:rPr>
        <w:t>Finally, in the long run, after 24–36 months, General Electronics can identify merger opportunities and thus fully restructure its capital to achieve financial sustainability and competitive growth that is long-lasting.</w:t>
      </w:r>
    </w:p>
    <w:p w14:paraId="7EEA3869" w14:textId="0F8A45E6" w:rsidR="00A12697" w:rsidRPr="000D51FC" w:rsidRDefault="00A12697" w:rsidP="000D51FC">
      <w:pPr>
        <w:pStyle w:val="Heading1"/>
        <w:spacing w:line="360" w:lineRule="auto"/>
        <w:ind w:left="-5"/>
        <w:jc w:val="left"/>
        <w:rPr>
          <w:rFonts w:ascii="Arial" w:hAnsi="Arial" w:cs="Arial"/>
        </w:rPr>
      </w:pPr>
      <w:bookmarkStart w:id="5" w:name="_Toc214851165"/>
      <w:r w:rsidRPr="000D51FC">
        <w:rPr>
          <w:rFonts w:ascii="Arial" w:hAnsi="Arial" w:cs="Arial"/>
        </w:rPr>
        <w:t>4</w:t>
      </w:r>
      <w:r w:rsidRPr="000D51FC">
        <w:rPr>
          <w:rFonts w:ascii="Arial" w:hAnsi="Arial" w:cs="Arial"/>
        </w:rPr>
        <w:t xml:space="preserve">. </w:t>
      </w:r>
      <w:r w:rsidRPr="000D51FC">
        <w:rPr>
          <w:rFonts w:ascii="Arial" w:hAnsi="Arial" w:cs="Arial"/>
        </w:rPr>
        <w:t>Investment Appraisal and Capital Budgeting</w:t>
      </w:r>
      <w:bookmarkEnd w:id="5"/>
    </w:p>
    <w:p w14:paraId="4B3DB952" w14:textId="596D16B4" w:rsidR="00077F1B" w:rsidRPr="000D51FC" w:rsidRDefault="00077F1B" w:rsidP="000D51FC">
      <w:pPr>
        <w:spacing w:line="360" w:lineRule="auto"/>
        <w:rPr>
          <w:rFonts w:ascii="Arial" w:hAnsi="Arial" w:cs="Arial"/>
          <w:lang w:val="en-IN" w:eastAsia="en-GB"/>
        </w:rPr>
      </w:pPr>
      <w:r w:rsidRPr="000D51FC">
        <w:rPr>
          <w:rFonts w:ascii="Arial" w:hAnsi="Arial" w:cs="Arial"/>
          <w:lang w:val="en-IN" w:eastAsia="en-GB"/>
        </w:rPr>
        <w:t>Capital budgeting is the process by which an organization selects where to allocate its limited funds in order to create long-term benefits for the shareholders. By Al-Majali et al. (2024), investment decisions facing currently less profitable General Electronics with tightened liquidity must guarantee not only attractive returns but also support financial stability and recovery efforts.</w:t>
      </w:r>
    </w:p>
    <w:p w14:paraId="1B4CD033" w14:textId="4BFFEDA6" w:rsidR="00F808D2" w:rsidRPr="000D51FC" w:rsidRDefault="00077F1B" w:rsidP="00B40CA1">
      <w:pPr>
        <w:spacing w:line="360" w:lineRule="auto"/>
        <w:rPr>
          <w:rFonts w:ascii="Arial" w:hAnsi="Arial" w:cs="Arial"/>
          <w:lang w:val="en-IN" w:eastAsia="en-GB"/>
        </w:rPr>
      </w:pPr>
      <w:r w:rsidRPr="000D51FC">
        <w:rPr>
          <w:rFonts w:ascii="Arial" w:hAnsi="Arial" w:cs="Arial"/>
          <w:lang w:val="en-IN" w:eastAsia="en-GB"/>
        </w:rPr>
        <w:t>This section appraises three investment opportunities (Projects A, B, and C) with the use of five appraisal methods: Payback Period (PBP), Accounting Rate of Return (ARR), Net Present Value (NPV), Profitability Index (PI), and Internal Rate of Return (IRR). Since only £60 million is available for investment, the decision must consider capital rationing.</w:t>
      </w:r>
    </w:p>
    <w:p w14:paraId="653432D3" w14:textId="3FBB0D73" w:rsidR="00823077" w:rsidRPr="000D51FC" w:rsidRDefault="00896026" w:rsidP="000D51FC">
      <w:pPr>
        <w:spacing w:line="360" w:lineRule="auto"/>
        <w:ind w:left="0" w:firstLine="0"/>
        <w:rPr>
          <w:rFonts w:ascii="Arial" w:hAnsi="Arial" w:cs="Arial"/>
          <w:b/>
          <w:bCs/>
          <w:lang w:val="en-IN" w:eastAsia="en-GB"/>
        </w:rPr>
      </w:pPr>
      <w:r w:rsidRPr="000D51FC">
        <w:rPr>
          <w:rFonts w:ascii="Arial" w:hAnsi="Arial" w:cs="Arial"/>
          <w:b/>
          <w:bCs/>
          <w:lang w:val="en-IN" w:eastAsia="en-GB"/>
        </w:rPr>
        <w:t xml:space="preserve">1. </w:t>
      </w:r>
      <w:r w:rsidR="00823077" w:rsidRPr="000D51FC">
        <w:rPr>
          <w:rFonts w:ascii="Arial" w:hAnsi="Arial" w:cs="Arial"/>
          <w:b/>
          <w:bCs/>
        </w:rPr>
        <w:t>Payback Period</w:t>
      </w:r>
    </w:p>
    <w:p w14:paraId="75F03D82" w14:textId="3E90BD00" w:rsidR="00823077" w:rsidRDefault="006C488B" w:rsidP="000D51FC">
      <w:pPr>
        <w:spacing w:line="360" w:lineRule="auto"/>
        <w:rPr>
          <w:rFonts w:ascii="Arial" w:hAnsi="Arial" w:cs="Arial"/>
          <w:lang w:eastAsia="en-GB"/>
        </w:rPr>
      </w:pPr>
      <w:r w:rsidRPr="000D51FC">
        <w:rPr>
          <w:rFonts w:ascii="Arial" w:hAnsi="Arial" w:cs="Arial"/>
          <w:lang w:eastAsia="en-GB"/>
        </w:rPr>
        <w:t>The Payback Period helps determine how quickly the initial cost of a project is regained through cash inflows (Atrill and McLaney, 2022).</w:t>
      </w:r>
    </w:p>
    <w:p w14:paraId="48DE1504" w14:textId="77777777" w:rsidR="00B40CA1" w:rsidRPr="000D51FC" w:rsidRDefault="00B40CA1" w:rsidP="000D51FC">
      <w:pPr>
        <w:spacing w:line="360" w:lineRule="auto"/>
        <w:rPr>
          <w:rFonts w:ascii="Arial" w:hAnsi="Arial" w:cs="Arial"/>
          <w:lang w:eastAsia="en-GB"/>
        </w:rPr>
      </w:pPr>
    </w:p>
    <w:p w14:paraId="2E3CB4AA" w14:textId="77777777" w:rsidR="006C488B" w:rsidRPr="000D51FC" w:rsidRDefault="006C488B" w:rsidP="000D51FC">
      <w:pPr>
        <w:spacing w:line="360" w:lineRule="auto"/>
        <w:rPr>
          <w:rFonts w:ascii="Arial" w:hAnsi="Arial" w:cs="Arial"/>
        </w:rPr>
      </w:pPr>
      <w:r w:rsidRPr="000D51FC">
        <w:rPr>
          <w:rFonts w:ascii="Arial" w:hAnsi="Arial" w:cs="Arial"/>
          <w:b/>
          <w:bCs/>
        </w:rPr>
        <w:t>Project A:</w:t>
      </w:r>
    </w:p>
    <w:p w14:paraId="69EBB725" w14:textId="77777777" w:rsidR="006C488B" w:rsidRPr="000D51FC" w:rsidRDefault="006C488B" w:rsidP="000D51FC">
      <w:pPr>
        <w:pStyle w:val="ListParagraph"/>
        <w:numPr>
          <w:ilvl w:val="1"/>
          <w:numId w:val="29"/>
        </w:numPr>
        <w:spacing w:before="160" w:after="160" w:line="360" w:lineRule="auto"/>
        <w:rPr>
          <w:rFonts w:ascii="Arial" w:hAnsi="Arial" w:cs="Arial"/>
        </w:rPr>
      </w:pPr>
      <w:r w:rsidRPr="000D51FC">
        <w:rPr>
          <w:rFonts w:ascii="Arial" w:hAnsi="Arial" w:cs="Arial"/>
        </w:rPr>
        <w:t>Yr 1 = £10m; cumulative = £10m</w:t>
      </w:r>
    </w:p>
    <w:p w14:paraId="12DDFB08" w14:textId="77777777" w:rsidR="006C488B" w:rsidRPr="000D51FC" w:rsidRDefault="006C488B" w:rsidP="000D51FC">
      <w:pPr>
        <w:pStyle w:val="ListParagraph"/>
        <w:numPr>
          <w:ilvl w:val="1"/>
          <w:numId w:val="29"/>
        </w:numPr>
        <w:spacing w:before="160" w:after="160" w:line="360" w:lineRule="auto"/>
        <w:rPr>
          <w:rFonts w:ascii="Arial" w:hAnsi="Arial" w:cs="Arial"/>
        </w:rPr>
      </w:pPr>
      <w:r w:rsidRPr="000D51FC">
        <w:rPr>
          <w:rFonts w:ascii="Arial" w:hAnsi="Arial" w:cs="Arial"/>
        </w:rPr>
        <w:t>Yr 2 = £12m; cumulative = £22m</w:t>
      </w:r>
    </w:p>
    <w:p w14:paraId="68F42DA8" w14:textId="77777777" w:rsidR="006C488B" w:rsidRPr="000D51FC" w:rsidRDefault="006C488B" w:rsidP="000D51FC">
      <w:pPr>
        <w:pStyle w:val="ListParagraph"/>
        <w:numPr>
          <w:ilvl w:val="1"/>
          <w:numId w:val="29"/>
        </w:numPr>
        <w:spacing w:before="160" w:after="160" w:line="360" w:lineRule="auto"/>
        <w:rPr>
          <w:rFonts w:ascii="Arial" w:hAnsi="Arial" w:cs="Arial"/>
        </w:rPr>
      </w:pPr>
      <w:r w:rsidRPr="000D51FC">
        <w:rPr>
          <w:rFonts w:ascii="Arial" w:hAnsi="Arial" w:cs="Arial"/>
        </w:rPr>
        <w:t>Yr 3 = £14m; cumulative = £36m</w:t>
      </w:r>
    </w:p>
    <w:p w14:paraId="7A88785E" w14:textId="77777777" w:rsidR="006C488B" w:rsidRPr="000D51FC" w:rsidRDefault="006C488B" w:rsidP="000D51FC">
      <w:pPr>
        <w:pStyle w:val="ListParagraph"/>
        <w:numPr>
          <w:ilvl w:val="1"/>
          <w:numId w:val="29"/>
        </w:numPr>
        <w:spacing w:before="160" w:after="160" w:line="360" w:lineRule="auto"/>
        <w:rPr>
          <w:rFonts w:ascii="Arial" w:hAnsi="Arial" w:cs="Arial"/>
        </w:rPr>
      </w:pPr>
      <w:r w:rsidRPr="000D51FC">
        <w:rPr>
          <w:rFonts w:ascii="Arial" w:hAnsi="Arial" w:cs="Arial"/>
        </w:rPr>
        <w:t>Yr 4 = £10m; cumulative = £46m</w:t>
      </w:r>
    </w:p>
    <w:p w14:paraId="607EB564" w14:textId="77777777" w:rsidR="006C488B" w:rsidRPr="000D51FC" w:rsidRDefault="006C488B" w:rsidP="000D51FC">
      <w:pPr>
        <w:pStyle w:val="ListParagraph"/>
        <w:numPr>
          <w:ilvl w:val="1"/>
          <w:numId w:val="29"/>
        </w:numPr>
        <w:spacing w:before="160" w:after="160" w:line="360" w:lineRule="auto"/>
        <w:rPr>
          <w:rFonts w:ascii="Arial" w:hAnsi="Arial" w:cs="Arial"/>
        </w:rPr>
      </w:pPr>
      <w:r w:rsidRPr="000D51FC">
        <w:rPr>
          <w:rFonts w:ascii="Arial" w:hAnsi="Arial" w:cs="Arial"/>
        </w:rPr>
        <w:t>Investment of £40m is recovered during Year 4.</w:t>
      </w:r>
    </w:p>
    <w:p w14:paraId="7801B848" w14:textId="77777777" w:rsidR="006C488B" w:rsidRPr="000D51FC" w:rsidRDefault="006C488B" w:rsidP="000D51FC">
      <w:pPr>
        <w:pStyle w:val="ListParagraph"/>
        <w:numPr>
          <w:ilvl w:val="1"/>
          <w:numId w:val="29"/>
        </w:numPr>
        <w:spacing w:before="160" w:after="160" w:line="360" w:lineRule="auto"/>
        <w:rPr>
          <w:rFonts w:ascii="Arial" w:hAnsi="Arial" w:cs="Arial"/>
        </w:rPr>
      </w:pPr>
      <w:r w:rsidRPr="000D51FC">
        <w:rPr>
          <w:rFonts w:ascii="Arial" w:hAnsi="Arial" w:cs="Arial"/>
        </w:rPr>
        <w:t xml:space="preserve">PBP = 3 years + (£4m / £10m) = </w:t>
      </w:r>
      <w:r w:rsidRPr="000D51FC">
        <w:rPr>
          <w:rFonts w:ascii="Arial" w:hAnsi="Arial" w:cs="Arial"/>
          <w:b/>
          <w:bCs/>
        </w:rPr>
        <w:t>3.4 years</w:t>
      </w:r>
    </w:p>
    <w:p w14:paraId="7507A521" w14:textId="77777777" w:rsidR="006C488B" w:rsidRPr="000D51FC" w:rsidRDefault="006C488B" w:rsidP="000D51FC">
      <w:pPr>
        <w:spacing w:line="360" w:lineRule="auto"/>
        <w:rPr>
          <w:rFonts w:ascii="Arial" w:hAnsi="Arial" w:cs="Arial"/>
        </w:rPr>
      </w:pPr>
      <w:r w:rsidRPr="000D51FC">
        <w:rPr>
          <w:rFonts w:ascii="Arial" w:hAnsi="Arial" w:cs="Arial"/>
          <w:b/>
          <w:bCs/>
        </w:rPr>
        <w:t>Project B:</w:t>
      </w:r>
    </w:p>
    <w:p w14:paraId="4156D04F" w14:textId="77777777" w:rsidR="006C488B" w:rsidRPr="000D51FC" w:rsidRDefault="006C488B" w:rsidP="000D51FC">
      <w:pPr>
        <w:numPr>
          <w:ilvl w:val="1"/>
          <w:numId w:val="30"/>
        </w:numPr>
        <w:spacing w:before="160" w:after="160" w:line="360" w:lineRule="auto"/>
        <w:rPr>
          <w:rFonts w:ascii="Arial" w:hAnsi="Arial" w:cs="Arial"/>
        </w:rPr>
      </w:pPr>
      <w:r w:rsidRPr="000D51FC">
        <w:rPr>
          <w:rFonts w:ascii="Arial" w:hAnsi="Arial" w:cs="Arial"/>
        </w:rPr>
        <w:lastRenderedPageBreak/>
        <w:t>£6m annually; cumulative recovery of £30m after Year 5.</w:t>
      </w:r>
    </w:p>
    <w:p w14:paraId="3A824123" w14:textId="77777777" w:rsidR="006C488B" w:rsidRPr="000D51FC" w:rsidRDefault="006C488B" w:rsidP="000D51FC">
      <w:pPr>
        <w:numPr>
          <w:ilvl w:val="1"/>
          <w:numId w:val="30"/>
        </w:numPr>
        <w:spacing w:before="160" w:after="160" w:line="360" w:lineRule="auto"/>
        <w:rPr>
          <w:rFonts w:ascii="Arial" w:hAnsi="Arial" w:cs="Arial"/>
        </w:rPr>
      </w:pPr>
      <w:r w:rsidRPr="000D51FC">
        <w:rPr>
          <w:rFonts w:ascii="Arial" w:hAnsi="Arial" w:cs="Arial"/>
        </w:rPr>
        <w:t xml:space="preserve">PBP = </w:t>
      </w:r>
      <w:r w:rsidRPr="000D51FC">
        <w:rPr>
          <w:rFonts w:ascii="Arial" w:hAnsi="Arial" w:cs="Arial"/>
          <w:b/>
          <w:bCs/>
        </w:rPr>
        <w:t>5 years</w:t>
      </w:r>
    </w:p>
    <w:p w14:paraId="3209BEC5" w14:textId="77777777" w:rsidR="006C488B" w:rsidRPr="000D51FC" w:rsidRDefault="006C488B" w:rsidP="000D51FC">
      <w:pPr>
        <w:spacing w:line="360" w:lineRule="auto"/>
        <w:rPr>
          <w:rFonts w:ascii="Arial" w:hAnsi="Arial" w:cs="Arial"/>
        </w:rPr>
      </w:pPr>
      <w:r w:rsidRPr="000D51FC">
        <w:rPr>
          <w:rFonts w:ascii="Arial" w:hAnsi="Arial" w:cs="Arial"/>
          <w:b/>
          <w:bCs/>
        </w:rPr>
        <w:t>Project C:</w:t>
      </w:r>
    </w:p>
    <w:p w14:paraId="3AE86A5A" w14:textId="77777777" w:rsidR="006C488B" w:rsidRPr="000D51FC" w:rsidRDefault="006C488B" w:rsidP="000D51FC">
      <w:pPr>
        <w:pStyle w:val="ListParagraph"/>
        <w:numPr>
          <w:ilvl w:val="2"/>
          <w:numId w:val="31"/>
        </w:numPr>
        <w:spacing w:before="160" w:after="160" w:line="360" w:lineRule="auto"/>
        <w:rPr>
          <w:rFonts w:ascii="Arial" w:hAnsi="Arial" w:cs="Arial"/>
        </w:rPr>
      </w:pPr>
      <w:r w:rsidRPr="000D51FC">
        <w:rPr>
          <w:rFonts w:ascii="Arial" w:hAnsi="Arial" w:cs="Arial"/>
        </w:rPr>
        <w:t>Yr 1 = £5m; cumulative = £5m</w:t>
      </w:r>
    </w:p>
    <w:p w14:paraId="0144CFEC" w14:textId="77777777" w:rsidR="006C488B" w:rsidRPr="000D51FC" w:rsidRDefault="006C488B" w:rsidP="000D51FC">
      <w:pPr>
        <w:pStyle w:val="ListParagraph"/>
        <w:numPr>
          <w:ilvl w:val="2"/>
          <w:numId w:val="31"/>
        </w:numPr>
        <w:spacing w:before="160" w:after="160" w:line="360" w:lineRule="auto"/>
        <w:rPr>
          <w:rFonts w:ascii="Arial" w:hAnsi="Arial" w:cs="Arial"/>
        </w:rPr>
      </w:pPr>
      <w:r w:rsidRPr="000D51FC">
        <w:rPr>
          <w:rFonts w:ascii="Arial" w:hAnsi="Arial" w:cs="Arial"/>
        </w:rPr>
        <w:t>Yr 2 = £10m; cumulative = £15m</w:t>
      </w:r>
    </w:p>
    <w:p w14:paraId="47E94050" w14:textId="77777777" w:rsidR="006C488B" w:rsidRPr="000D51FC" w:rsidRDefault="006C488B" w:rsidP="000D51FC">
      <w:pPr>
        <w:pStyle w:val="ListParagraph"/>
        <w:numPr>
          <w:ilvl w:val="2"/>
          <w:numId w:val="31"/>
        </w:numPr>
        <w:spacing w:before="160" w:after="160" w:line="360" w:lineRule="auto"/>
        <w:rPr>
          <w:rFonts w:ascii="Arial" w:hAnsi="Arial" w:cs="Arial"/>
        </w:rPr>
      </w:pPr>
      <w:r w:rsidRPr="000D51FC">
        <w:rPr>
          <w:rFonts w:ascii="Arial" w:hAnsi="Arial" w:cs="Arial"/>
        </w:rPr>
        <w:t>Yr 3 = £20m; cumulative = £35m</w:t>
      </w:r>
    </w:p>
    <w:p w14:paraId="5A552404" w14:textId="77777777" w:rsidR="006C488B" w:rsidRPr="000D51FC" w:rsidRDefault="006C488B" w:rsidP="000D51FC">
      <w:pPr>
        <w:pStyle w:val="ListParagraph"/>
        <w:numPr>
          <w:ilvl w:val="2"/>
          <w:numId w:val="31"/>
        </w:numPr>
        <w:spacing w:before="160" w:after="160" w:line="360" w:lineRule="auto"/>
        <w:rPr>
          <w:rFonts w:ascii="Arial" w:hAnsi="Arial" w:cs="Arial"/>
        </w:rPr>
      </w:pPr>
      <w:r w:rsidRPr="000D51FC">
        <w:rPr>
          <w:rFonts w:ascii="Arial" w:hAnsi="Arial" w:cs="Arial"/>
        </w:rPr>
        <w:t>Yr 4 = £25m; cumulative = £60m</w:t>
      </w:r>
    </w:p>
    <w:p w14:paraId="0F53826D" w14:textId="77777777" w:rsidR="006C488B" w:rsidRPr="000D51FC" w:rsidRDefault="006C488B" w:rsidP="000D51FC">
      <w:pPr>
        <w:pStyle w:val="ListParagraph"/>
        <w:numPr>
          <w:ilvl w:val="2"/>
          <w:numId w:val="31"/>
        </w:numPr>
        <w:spacing w:before="160" w:after="160" w:line="360" w:lineRule="auto"/>
        <w:rPr>
          <w:rFonts w:ascii="Arial" w:hAnsi="Arial" w:cs="Arial"/>
        </w:rPr>
      </w:pPr>
      <w:r w:rsidRPr="000D51FC">
        <w:rPr>
          <w:rFonts w:ascii="Arial" w:hAnsi="Arial" w:cs="Arial"/>
        </w:rPr>
        <w:t>£50m is recovered during Year 4.</w:t>
      </w:r>
    </w:p>
    <w:p w14:paraId="11BF4254" w14:textId="77777777" w:rsidR="006C488B" w:rsidRPr="000D51FC" w:rsidRDefault="006C488B" w:rsidP="000D51FC">
      <w:pPr>
        <w:pStyle w:val="ListParagraph"/>
        <w:numPr>
          <w:ilvl w:val="2"/>
          <w:numId w:val="31"/>
        </w:numPr>
        <w:spacing w:before="160" w:after="160" w:line="360" w:lineRule="auto"/>
        <w:rPr>
          <w:rFonts w:ascii="Arial" w:hAnsi="Arial" w:cs="Arial"/>
        </w:rPr>
      </w:pPr>
      <w:r w:rsidRPr="000D51FC">
        <w:rPr>
          <w:rFonts w:ascii="Arial" w:hAnsi="Arial" w:cs="Arial"/>
        </w:rPr>
        <w:t xml:space="preserve">PBP = 3 years + (£15m / £25m) = </w:t>
      </w:r>
      <w:r w:rsidRPr="000D51FC">
        <w:rPr>
          <w:rFonts w:ascii="Arial" w:hAnsi="Arial" w:cs="Arial"/>
          <w:b/>
          <w:bCs/>
        </w:rPr>
        <w:t>3.6 years</w:t>
      </w:r>
    </w:p>
    <w:p w14:paraId="35FD1882" w14:textId="77777777" w:rsidR="00896026" w:rsidRPr="000D51FC" w:rsidRDefault="006C488B" w:rsidP="000D51FC">
      <w:pPr>
        <w:spacing w:line="360" w:lineRule="auto"/>
        <w:rPr>
          <w:rFonts w:ascii="Arial" w:hAnsi="Arial" w:cs="Arial"/>
        </w:rPr>
      </w:pPr>
      <w:r w:rsidRPr="000D51FC">
        <w:rPr>
          <w:rFonts w:ascii="Arial" w:hAnsi="Arial" w:cs="Arial"/>
          <w:b/>
          <w:bCs/>
        </w:rPr>
        <w:t>Ranking (best to worst):</w:t>
      </w:r>
      <w:r w:rsidRPr="000D51FC">
        <w:rPr>
          <w:rFonts w:ascii="Arial" w:hAnsi="Arial" w:cs="Arial"/>
        </w:rPr>
        <w:t xml:space="preserve"> A (3.4 yrs), C (3.6 yrs), B (5 yrs).</w:t>
      </w:r>
    </w:p>
    <w:p w14:paraId="36416057" w14:textId="23C227EB" w:rsidR="006C488B" w:rsidRPr="000D51FC" w:rsidRDefault="00896026" w:rsidP="000D51FC">
      <w:pPr>
        <w:spacing w:line="360" w:lineRule="auto"/>
        <w:ind w:left="0" w:firstLine="0"/>
        <w:rPr>
          <w:rFonts w:ascii="Arial" w:hAnsi="Arial" w:cs="Arial"/>
        </w:rPr>
      </w:pPr>
      <w:r w:rsidRPr="000D51FC">
        <w:rPr>
          <w:rFonts w:ascii="Arial" w:hAnsi="Arial" w:cs="Arial"/>
          <w:b/>
          <w:bCs/>
        </w:rPr>
        <w:t xml:space="preserve">2. </w:t>
      </w:r>
      <w:r w:rsidR="006C488B" w:rsidRPr="000D51FC">
        <w:rPr>
          <w:rFonts w:ascii="Arial" w:hAnsi="Arial" w:cs="Arial"/>
          <w:b/>
          <w:bCs/>
        </w:rPr>
        <w:t>Accounting Rate of Return (ARR)</w:t>
      </w:r>
    </w:p>
    <w:p w14:paraId="75A63EB5" w14:textId="77777777" w:rsidR="00E3503F" w:rsidRPr="000D51FC" w:rsidRDefault="00E3503F" w:rsidP="000D51FC">
      <w:pPr>
        <w:spacing w:line="360" w:lineRule="auto"/>
        <w:rPr>
          <w:rFonts w:ascii="Arial" w:hAnsi="Arial" w:cs="Arial"/>
        </w:rPr>
      </w:pPr>
      <w:r w:rsidRPr="000D51FC">
        <w:rPr>
          <w:rFonts w:ascii="Arial" w:hAnsi="Arial" w:cs="Arial"/>
        </w:rPr>
        <w:t>ARR = Average Accounting Profit / Initial Investment.</w:t>
      </w:r>
    </w:p>
    <w:p w14:paraId="05C09B65" w14:textId="77777777" w:rsidR="00E3503F" w:rsidRPr="000D51FC" w:rsidRDefault="00E3503F" w:rsidP="000D51FC">
      <w:pPr>
        <w:spacing w:line="360" w:lineRule="auto"/>
        <w:rPr>
          <w:rFonts w:ascii="Arial" w:hAnsi="Arial" w:cs="Arial"/>
        </w:rPr>
      </w:pPr>
      <w:r w:rsidRPr="000D51FC">
        <w:rPr>
          <w:rFonts w:ascii="Arial" w:hAnsi="Arial" w:cs="Arial"/>
        </w:rPr>
        <w:t>Assuming accounting profit = cash inflow – depreciation.</w:t>
      </w:r>
    </w:p>
    <w:p w14:paraId="49162C0F" w14:textId="77777777" w:rsidR="00E3503F" w:rsidRPr="000D51FC" w:rsidRDefault="00E3503F" w:rsidP="000D51FC">
      <w:pPr>
        <w:spacing w:line="360" w:lineRule="auto"/>
        <w:rPr>
          <w:rFonts w:ascii="Arial" w:hAnsi="Arial" w:cs="Arial"/>
        </w:rPr>
      </w:pPr>
      <w:r w:rsidRPr="000D51FC">
        <w:rPr>
          <w:rFonts w:ascii="Arial" w:hAnsi="Arial" w:cs="Arial"/>
          <w:b/>
          <w:bCs/>
        </w:rPr>
        <w:t>Project A:</w:t>
      </w:r>
    </w:p>
    <w:p w14:paraId="72A52864" w14:textId="77777777" w:rsidR="00E3503F" w:rsidRPr="000D51FC" w:rsidRDefault="00E3503F" w:rsidP="000D51FC">
      <w:pPr>
        <w:pStyle w:val="ListParagraph"/>
        <w:numPr>
          <w:ilvl w:val="1"/>
          <w:numId w:val="32"/>
        </w:numPr>
        <w:spacing w:before="160" w:after="160" w:line="360" w:lineRule="auto"/>
        <w:rPr>
          <w:rFonts w:ascii="Arial" w:hAnsi="Arial" w:cs="Arial"/>
        </w:rPr>
      </w:pPr>
      <w:r w:rsidRPr="000D51FC">
        <w:rPr>
          <w:rFonts w:ascii="Arial" w:hAnsi="Arial" w:cs="Arial"/>
        </w:rPr>
        <w:t>Depreciation = £40m/5 = £8m per year.</w:t>
      </w:r>
    </w:p>
    <w:p w14:paraId="450B8894" w14:textId="77777777" w:rsidR="00E3503F" w:rsidRPr="000D51FC" w:rsidRDefault="00E3503F" w:rsidP="000D51FC">
      <w:pPr>
        <w:pStyle w:val="ListParagraph"/>
        <w:numPr>
          <w:ilvl w:val="1"/>
          <w:numId w:val="32"/>
        </w:numPr>
        <w:spacing w:before="160" w:after="160" w:line="360" w:lineRule="auto"/>
        <w:rPr>
          <w:rFonts w:ascii="Arial" w:hAnsi="Arial" w:cs="Arial"/>
        </w:rPr>
      </w:pPr>
      <w:r w:rsidRPr="000D51FC">
        <w:rPr>
          <w:rFonts w:ascii="Arial" w:hAnsi="Arial" w:cs="Arial"/>
        </w:rPr>
        <w:t>Profits = (10–8, 12–8, 14–8, 10–8, 8–8) = £2m, £4m, £6m, £2m, £0m.</w:t>
      </w:r>
    </w:p>
    <w:p w14:paraId="6683602B" w14:textId="77777777" w:rsidR="00E3503F" w:rsidRPr="000D51FC" w:rsidRDefault="00E3503F" w:rsidP="000D51FC">
      <w:pPr>
        <w:pStyle w:val="ListParagraph"/>
        <w:numPr>
          <w:ilvl w:val="1"/>
          <w:numId w:val="32"/>
        </w:numPr>
        <w:spacing w:before="160" w:after="160" w:line="360" w:lineRule="auto"/>
        <w:rPr>
          <w:rFonts w:ascii="Arial" w:hAnsi="Arial" w:cs="Arial"/>
        </w:rPr>
      </w:pPr>
      <w:r w:rsidRPr="000D51FC">
        <w:rPr>
          <w:rFonts w:ascii="Arial" w:hAnsi="Arial" w:cs="Arial"/>
        </w:rPr>
        <w:t>Average = (£14m / 5) = £2.8m.</w:t>
      </w:r>
    </w:p>
    <w:p w14:paraId="195693F9" w14:textId="4C9808BB" w:rsidR="00D75EF1" w:rsidRPr="00B40CA1" w:rsidRDefault="00E3503F" w:rsidP="000D51FC">
      <w:pPr>
        <w:pStyle w:val="ListParagraph"/>
        <w:numPr>
          <w:ilvl w:val="1"/>
          <w:numId w:val="32"/>
        </w:numPr>
        <w:spacing w:before="160" w:after="160" w:line="360" w:lineRule="auto"/>
        <w:rPr>
          <w:rFonts w:ascii="Arial" w:hAnsi="Arial" w:cs="Arial"/>
        </w:rPr>
      </w:pPr>
      <w:r w:rsidRPr="000D51FC">
        <w:rPr>
          <w:rFonts w:ascii="Arial" w:hAnsi="Arial" w:cs="Arial"/>
        </w:rPr>
        <w:t xml:space="preserve">ARR = £2.8m / £40m = </w:t>
      </w:r>
      <w:r w:rsidRPr="000D51FC">
        <w:rPr>
          <w:rFonts w:ascii="Arial" w:hAnsi="Arial" w:cs="Arial"/>
          <w:b/>
          <w:bCs/>
        </w:rPr>
        <w:t>7%</w:t>
      </w:r>
    </w:p>
    <w:p w14:paraId="474517E4" w14:textId="77777777" w:rsidR="00B40CA1" w:rsidRPr="00B40CA1" w:rsidRDefault="00B40CA1" w:rsidP="00B40CA1">
      <w:pPr>
        <w:spacing w:before="160" w:after="160" w:line="360" w:lineRule="auto"/>
        <w:ind w:left="450" w:firstLine="0"/>
        <w:rPr>
          <w:rFonts w:ascii="Arial" w:hAnsi="Arial" w:cs="Arial"/>
        </w:rPr>
      </w:pPr>
    </w:p>
    <w:p w14:paraId="6B686718" w14:textId="77777777" w:rsidR="00E3503F" w:rsidRPr="000D51FC" w:rsidRDefault="00E3503F" w:rsidP="000D51FC">
      <w:pPr>
        <w:spacing w:line="360" w:lineRule="auto"/>
        <w:rPr>
          <w:rFonts w:ascii="Arial" w:hAnsi="Arial" w:cs="Arial"/>
        </w:rPr>
      </w:pPr>
      <w:r w:rsidRPr="000D51FC">
        <w:rPr>
          <w:rFonts w:ascii="Arial" w:hAnsi="Arial" w:cs="Arial"/>
          <w:b/>
          <w:bCs/>
        </w:rPr>
        <w:t>Project B:</w:t>
      </w:r>
    </w:p>
    <w:p w14:paraId="1F47F7DC" w14:textId="77777777" w:rsidR="00E3503F" w:rsidRPr="000D51FC" w:rsidRDefault="00E3503F" w:rsidP="000D51FC">
      <w:pPr>
        <w:numPr>
          <w:ilvl w:val="1"/>
          <w:numId w:val="33"/>
        </w:numPr>
        <w:spacing w:before="160" w:after="160" w:line="360" w:lineRule="auto"/>
        <w:rPr>
          <w:rFonts w:ascii="Arial" w:hAnsi="Arial" w:cs="Arial"/>
        </w:rPr>
      </w:pPr>
      <w:r w:rsidRPr="000D51FC">
        <w:rPr>
          <w:rFonts w:ascii="Arial" w:hAnsi="Arial" w:cs="Arial"/>
        </w:rPr>
        <w:t>Depreciation = £30m/5 = £6m per year.</w:t>
      </w:r>
    </w:p>
    <w:p w14:paraId="26FC7B61" w14:textId="77777777" w:rsidR="00E3503F" w:rsidRPr="000D51FC" w:rsidRDefault="00E3503F" w:rsidP="000D51FC">
      <w:pPr>
        <w:numPr>
          <w:ilvl w:val="1"/>
          <w:numId w:val="33"/>
        </w:numPr>
        <w:spacing w:before="160" w:after="160" w:line="360" w:lineRule="auto"/>
        <w:rPr>
          <w:rFonts w:ascii="Arial" w:hAnsi="Arial" w:cs="Arial"/>
        </w:rPr>
      </w:pPr>
      <w:r w:rsidRPr="000D51FC">
        <w:rPr>
          <w:rFonts w:ascii="Arial" w:hAnsi="Arial" w:cs="Arial"/>
        </w:rPr>
        <w:t>Profits = inflows – depreciation = £0m each year.</w:t>
      </w:r>
    </w:p>
    <w:p w14:paraId="3F160484" w14:textId="77777777" w:rsidR="00E3503F" w:rsidRPr="000D51FC" w:rsidRDefault="00E3503F" w:rsidP="000D51FC">
      <w:pPr>
        <w:numPr>
          <w:ilvl w:val="1"/>
          <w:numId w:val="33"/>
        </w:numPr>
        <w:spacing w:before="160" w:after="160" w:line="360" w:lineRule="auto"/>
        <w:rPr>
          <w:rFonts w:ascii="Arial" w:hAnsi="Arial" w:cs="Arial"/>
        </w:rPr>
      </w:pPr>
      <w:r w:rsidRPr="000D51FC">
        <w:rPr>
          <w:rFonts w:ascii="Arial" w:hAnsi="Arial" w:cs="Arial"/>
        </w:rPr>
        <w:t xml:space="preserve">ARR = </w:t>
      </w:r>
      <w:r w:rsidRPr="000D51FC">
        <w:rPr>
          <w:rFonts w:ascii="Arial" w:hAnsi="Arial" w:cs="Arial"/>
          <w:b/>
          <w:bCs/>
        </w:rPr>
        <w:t>0%</w:t>
      </w:r>
    </w:p>
    <w:p w14:paraId="4AB81258" w14:textId="77777777" w:rsidR="00E3503F" w:rsidRPr="000D51FC" w:rsidRDefault="00E3503F" w:rsidP="000D51FC">
      <w:pPr>
        <w:spacing w:line="360" w:lineRule="auto"/>
        <w:rPr>
          <w:rFonts w:ascii="Arial" w:hAnsi="Arial" w:cs="Arial"/>
        </w:rPr>
      </w:pPr>
      <w:r w:rsidRPr="000D51FC">
        <w:rPr>
          <w:rFonts w:ascii="Arial" w:hAnsi="Arial" w:cs="Arial"/>
          <w:b/>
          <w:bCs/>
        </w:rPr>
        <w:t>Project C:</w:t>
      </w:r>
    </w:p>
    <w:p w14:paraId="12A4A45F" w14:textId="77777777" w:rsidR="00E3503F" w:rsidRPr="000D51FC" w:rsidRDefault="00E3503F" w:rsidP="000D51FC">
      <w:pPr>
        <w:pStyle w:val="ListParagraph"/>
        <w:numPr>
          <w:ilvl w:val="2"/>
          <w:numId w:val="34"/>
        </w:numPr>
        <w:spacing w:before="160" w:after="160" w:line="360" w:lineRule="auto"/>
        <w:rPr>
          <w:rFonts w:ascii="Arial" w:hAnsi="Arial" w:cs="Arial"/>
        </w:rPr>
      </w:pPr>
      <w:r w:rsidRPr="000D51FC">
        <w:rPr>
          <w:rFonts w:ascii="Arial" w:hAnsi="Arial" w:cs="Arial"/>
        </w:rPr>
        <w:t>Depreciation = £50m/5 = £10m per year.</w:t>
      </w:r>
    </w:p>
    <w:p w14:paraId="5142814A" w14:textId="77777777" w:rsidR="00E3503F" w:rsidRPr="000D51FC" w:rsidRDefault="00E3503F" w:rsidP="000D51FC">
      <w:pPr>
        <w:pStyle w:val="ListParagraph"/>
        <w:numPr>
          <w:ilvl w:val="2"/>
          <w:numId w:val="34"/>
        </w:numPr>
        <w:spacing w:before="160" w:after="160" w:line="360" w:lineRule="auto"/>
        <w:rPr>
          <w:rFonts w:ascii="Arial" w:hAnsi="Arial" w:cs="Arial"/>
        </w:rPr>
      </w:pPr>
      <w:r w:rsidRPr="000D51FC">
        <w:rPr>
          <w:rFonts w:ascii="Arial" w:hAnsi="Arial" w:cs="Arial"/>
        </w:rPr>
        <w:t>Profits = (-5m, 0m, 10m, 15m, 5m).</w:t>
      </w:r>
    </w:p>
    <w:p w14:paraId="7F66D73C" w14:textId="77777777" w:rsidR="00E3503F" w:rsidRPr="000D51FC" w:rsidRDefault="00E3503F" w:rsidP="000D51FC">
      <w:pPr>
        <w:pStyle w:val="ListParagraph"/>
        <w:numPr>
          <w:ilvl w:val="2"/>
          <w:numId w:val="34"/>
        </w:numPr>
        <w:spacing w:before="160" w:after="160" w:line="360" w:lineRule="auto"/>
        <w:rPr>
          <w:rFonts w:ascii="Arial" w:hAnsi="Arial" w:cs="Arial"/>
        </w:rPr>
      </w:pPr>
      <w:r w:rsidRPr="000D51FC">
        <w:rPr>
          <w:rFonts w:ascii="Arial" w:hAnsi="Arial" w:cs="Arial"/>
        </w:rPr>
        <w:t>Average = £25m / 5 = £5m.</w:t>
      </w:r>
    </w:p>
    <w:p w14:paraId="275C1375" w14:textId="77777777" w:rsidR="00E3503F" w:rsidRPr="000D51FC" w:rsidRDefault="00E3503F" w:rsidP="000D51FC">
      <w:pPr>
        <w:pStyle w:val="ListParagraph"/>
        <w:numPr>
          <w:ilvl w:val="2"/>
          <w:numId w:val="34"/>
        </w:numPr>
        <w:spacing w:before="160" w:after="160" w:line="360" w:lineRule="auto"/>
        <w:rPr>
          <w:rFonts w:ascii="Arial" w:hAnsi="Arial" w:cs="Arial"/>
        </w:rPr>
      </w:pPr>
      <w:r w:rsidRPr="000D51FC">
        <w:rPr>
          <w:rFonts w:ascii="Arial" w:hAnsi="Arial" w:cs="Arial"/>
        </w:rPr>
        <w:lastRenderedPageBreak/>
        <w:t xml:space="preserve">ARR = £5m / £50m = </w:t>
      </w:r>
      <w:r w:rsidRPr="000D51FC">
        <w:rPr>
          <w:rFonts w:ascii="Arial" w:hAnsi="Arial" w:cs="Arial"/>
          <w:b/>
          <w:bCs/>
        </w:rPr>
        <w:t>10%</w:t>
      </w:r>
    </w:p>
    <w:p w14:paraId="31DF5364" w14:textId="77777777" w:rsidR="00896026" w:rsidRPr="000D51FC" w:rsidRDefault="00E3503F" w:rsidP="000D51FC">
      <w:pPr>
        <w:spacing w:line="360" w:lineRule="auto"/>
        <w:rPr>
          <w:rFonts w:ascii="Arial" w:hAnsi="Arial" w:cs="Arial"/>
        </w:rPr>
      </w:pPr>
      <w:r w:rsidRPr="000D51FC">
        <w:rPr>
          <w:rFonts w:ascii="Arial" w:hAnsi="Arial" w:cs="Arial"/>
          <w:b/>
          <w:bCs/>
        </w:rPr>
        <w:t>Ranking:</w:t>
      </w:r>
      <w:r w:rsidRPr="000D51FC">
        <w:rPr>
          <w:rFonts w:ascii="Arial" w:hAnsi="Arial" w:cs="Arial"/>
        </w:rPr>
        <w:t xml:space="preserve"> C (10%), A (7%), B (0%).</w:t>
      </w:r>
    </w:p>
    <w:p w14:paraId="34363858" w14:textId="5589279A" w:rsidR="00E3503F" w:rsidRPr="000D51FC" w:rsidRDefault="00896026" w:rsidP="000D51FC">
      <w:pPr>
        <w:spacing w:line="360" w:lineRule="auto"/>
        <w:ind w:left="0" w:firstLine="0"/>
        <w:rPr>
          <w:rFonts w:ascii="Arial" w:hAnsi="Arial" w:cs="Arial"/>
        </w:rPr>
      </w:pPr>
      <w:r w:rsidRPr="000D51FC">
        <w:rPr>
          <w:rFonts w:ascii="Arial" w:hAnsi="Arial" w:cs="Arial"/>
          <w:b/>
          <w:bCs/>
        </w:rPr>
        <w:t xml:space="preserve">3. </w:t>
      </w:r>
      <w:r w:rsidR="00E3503F" w:rsidRPr="000D51FC">
        <w:rPr>
          <w:rFonts w:ascii="Arial" w:hAnsi="Arial" w:cs="Arial"/>
          <w:b/>
          <w:bCs/>
        </w:rPr>
        <w:t>Net Present Value (NPV)</w:t>
      </w:r>
    </w:p>
    <w:p w14:paraId="5B7A223D" w14:textId="77777777" w:rsidR="00E3503F" w:rsidRPr="000D51FC" w:rsidRDefault="00E3503F" w:rsidP="000D51FC">
      <w:pPr>
        <w:spacing w:line="360" w:lineRule="auto"/>
        <w:rPr>
          <w:rFonts w:ascii="Arial" w:hAnsi="Arial" w:cs="Arial"/>
        </w:rPr>
      </w:pPr>
      <w:r w:rsidRPr="000D51FC">
        <w:rPr>
          <w:rFonts w:ascii="Arial" w:hAnsi="Arial" w:cs="Arial"/>
        </w:rPr>
        <w:t>NPV = Present Value (PV) of inflows – Initial Investment. Discount rate = 10%.</w:t>
      </w:r>
    </w:p>
    <w:p w14:paraId="7780772B" w14:textId="77777777" w:rsidR="00E3503F" w:rsidRPr="000D51FC" w:rsidRDefault="00E3503F" w:rsidP="000D51FC">
      <w:pPr>
        <w:spacing w:line="360" w:lineRule="auto"/>
        <w:rPr>
          <w:rFonts w:ascii="Arial" w:hAnsi="Arial" w:cs="Arial"/>
        </w:rPr>
      </w:pPr>
      <w:r w:rsidRPr="000D51FC">
        <w:rPr>
          <w:rFonts w:ascii="Arial" w:hAnsi="Arial" w:cs="Arial"/>
          <w:b/>
          <w:bCs/>
        </w:rPr>
        <w:t>Project A:</w:t>
      </w:r>
    </w:p>
    <w:p w14:paraId="166893E0" w14:textId="77777777" w:rsidR="00E3503F" w:rsidRPr="000D51FC" w:rsidRDefault="00E3503F" w:rsidP="000D51FC">
      <w:pPr>
        <w:numPr>
          <w:ilvl w:val="1"/>
          <w:numId w:val="35"/>
        </w:numPr>
        <w:spacing w:before="160" w:after="160" w:line="360" w:lineRule="auto"/>
        <w:rPr>
          <w:rFonts w:ascii="Arial" w:hAnsi="Arial" w:cs="Arial"/>
        </w:rPr>
      </w:pPr>
      <w:r w:rsidRPr="000D51FC">
        <w:rPr>
          <w:rFonts w:ascii="Arial" w:hAnsi="Arial" w:cs="Arial"/>
        </w:rPr>
        <w:t>Yr 1: £10m / 1.1 = £9.09m</w:t>
      </w:r>
    </w:p>
    <w:p w14:paraId="44FDB78A" w14:textId="77777777" w:rsidR="00E3503F" w:rsidRPr="000D51FC" w:rsidRDefault="00E3503F" w:rsidP="000D51FC">
      <w:pPr>
        <w:numPr>
          <w:ilvl w:val="1"/>
          <w:numId w:val="35"/>
        </w:numPr>
        <w:spacing w:before="160" w:after="160" w:line="360" w:lineRule="auto"/>
        <w:rPr>
          <w:rFonts w:ascii="Arial" w:hAnsi="Arial" w:cs="Arial"/>
        </w:rPr>
      </w:pPr>
      <w:r w:rsidRPr="000D51FC">
        <w:rPr>
          <w:rFonts w:ascii="Arial" w:hAnsi="Arial" w:cs="Arial"/>
        </w:rPr>
        <w:t>Yr 2: £12m / 1.21 = £9.92m</w:t>
      </w:r>
    </w:p>
    <w:p w14:paraId="547707B1" w14:textId="77777777" w:rsidR="00E3503F" w:rsidRPr="000D51FC" w:rsidRDefault="00E3503F" w:rsidP="000D51FC">
      <w:pPr>
        <w:numPr>
          <w:ilvl w:val="1"/>
          <w:numId w:val="35"/>
        </w:numPr>
        <w:spacing w:before="160" w:after="160" w:line="360" w:lineRule="auto"/>
        <w:rPr>
          <w:rFonts w:ascii="Arial" w:hAnsi="Arial" w:cs="Arial"/>
        </w:rPr>
      </w:pPr>
      <w:r w:rsidRPr="000D51FC">
        <w:rPr>
          <w:rFonts w:ascii="Arial" w:hAnsi="Arial" w:cs="Arial"/>
        </w:rPr>
        <w:t>Yr 3: £14m / 1.331 = £10.52m</w:t>
      </w:r>
    </w:p>
    <w:p w14:paraId="756EF3FA" w14:textId="77777777" w:rsidR="00E3503F" w:rsidRPr="000D51FC" w:rsidRDefault="00E3503F" w:rsidP="000D51FC">
      <w:pPr>
        <w:numPr>
          <w:ilvl w:val="1"/>
          <w:numId w:val="35"/>
        </w:numPr>
        <w:spacing w:before="160" w:after="160" w:line="360" w:lineRule="auto"/>
        <w:rPr>
          <w:rFonts w:ascii="Arial" w:hAnsi="Arial" w:cs="Arial"/>
        </w:rPr>
      </w:pPr>
      <w:r w:rsidRPr="000D51FC">
        <w:rPr>
          <w:rFonts w:ascii="Arial" w:hAnsi="Arial" w:cs="Arial"/>
        </w:rPr>
        <w:t>Yr 4: £10m / 1.464 = £6.83m</w:t>
      </w:r>
    </w:p>
    <w:p w14:paraId="3C92C67D" w14:textId="77777777" w:rsidR="00E3503F" w:rsidRPr="000D51FC" w:rsidRDefault="00E3503F" w:rsidP="000D51FC">
      <w:pPr>
        <w:numPr>
          <w:ilvl w:val="1"/>
          <w:numId w:val="35"/>
        </w:numPr>
        <w:spacing w:before="160" w:after="160" w:line="360" w:lineRule="auto"/>
        <w:rPr>
          <w:rFonts w:ascii="Arial" w:hAnsi="Arial" w:cs="Arial"/>
        </w:rPr>
      </w:pPr>
      <w:r w:rsidRPr="000D51FC">
        <w:rPr>
          <w:rFonts w:ascii="Arial" w:hAnsi="Arial" w:cs="Arial"/>
        </w:rPr>
        <w:t>Yr 5: £8m / 1.610 = £4.97m</w:t>
      </w:r>
    </w:p>
    <w:p w14:paraId="65D58F3C" w14:textId="77777777" w:rsidR="00E3503F" w:rsidRPr="000D51FC" w:rsidRDefault="00E3503F" w:rsidP="000D51FC">
      <w:pPr>
        <w:numPr>
          <w:ilvl w:val="1"/>
          <w:numId w:val="35"/>
        </w:numPr>
        <w:spacing w:before="160" w:after="160" w:line="360" w:lineRule="auto"/>
        <w:rPr>
          <w:rFonts w:ascii="Arial" w:hAnsi="Arial" w:cs="Arial"/>
        </w:rPr>
      </w:pPr>
      <w:r w:rsidRPr="000D51FC">
        <w:rPr>
          <w:rFonts w:ascii="Arial" w:hAnsi="Arial" w:cs="Arial"/>
        </w:rPr>
        <w:t>Total PV = £41.33m</w:t>
      </w:r>
    </w:p>
    <w:p w14:paraId="4CE4EB3B" w14:textId="77777777" w:rsidR="00E3503F" w:rsidRPr="000D51FC" w:rsidRDefault="00E3503F" w:rsidP="000D51FC">
      <w:pPr>
        <w:numPr>
          <w:ilvl w:val="1"/>
          <w:numId w:val="35"/>
        </w:numPr>
        <w:spacing w:before="160" w:after="160" w:line="360" w:lineRule="auto"/>
        <w:rPr>
          <w:rFonts w:ascii="Arial" w:hAnsi="Arial" w:cs="Arial"/>
        </w:rPr>
      </w:pPr>
      <w:r w:rsidRPr="000D51FC">
        <w:rPr>
          <w:rFonts w:ascii="Arial" w:hAnsi="Arial" w:cs="Arial"/>
        </w:rPr>
        <w:t xml:space="preserve">NPV = £41.33m – £40m = </w:t>
      </w:r>
      <w:r w:rsidRPr="000D51FC">
        <w:rPr>
          <w:rFonts w:ascii="Arial" w:hAnsi="Arial" w:cs="Arial"/>
          <w:b/>
          <w:bCs/>
        </w:rPr>
        <w:t>£1.33m</w:t>
      </w:r>
    </w:p>
    <w:p w14:paraId="052108A2" w14:textId="77777777" w:rsidR="00E3503F" w:rsidRPr="000D51FC" w:rsidRDefault="00E3503F" w:rsidP="000D51FC">
      <w:pPr>
        <w:spacing w:line="360" w:lineRule="auto"/>
        <w:rPr>
          <w:rFonts w:ascii="Arial" w:hAnsi="Arial" w:cs="Arial"/>
        </w:rPr>
      </w:pPr>
      <w:r w:rsidRPr="000D51FC">
        <w:rPr>
          <w:rFonts w:ascii="Arial" w:hAnsi="Arial" w:cs="Arial"/>
          <w:b/>
          <w:bCs/>
        </w:rPr>
        <w:t>Project B:</w:t>
      </w:r>
    </w:p>
    <w:p w14:paraId="5F54EC4B" w14:textId="77777777" w:rsidR="00E3503F" w:rsidRPr="000D51FC" w:rsidRDefault="00E3503F" w:rsidP="000D51FC">
      <w:pPr>
        <w:numPr>
          <w:ilvl w:val="1"/>
          <w:numId w:val="36"/>
        </w:numPr>
        <w:spacing w:before="160" w:after="160" w:line="360" w:lineRule="auto"/>
        <w:rPr>
          <w:rFonts w:ascii="Arial" w:hAnsi="Arial" w:cs="Arial"/>
        </w:rPr>
      </w:pPr>
      <w:r w:rsidRPr="000D51FC">
        <w:rPr>
          <w:rFonts w:ascii="Arial" w:hAnsi="Arial" w:cs="Arial"/>
        </w:rPr>
        <w:t>Each inflow = £6m. PV factor (annuity 5 yrs, 10%) = 3.791.</w:t>
      </w:r>
    </w:p>
    <w:p w14:paraId="57F9D0FC" w14:textId="77777777" w:rsidR="00E3503F" w:rsidRPr="000D51FC" w:rsidRDefault="00E3503F" w:rsidP="000D51FC">
      <w:pPr>
        <w:numPr>
          <w:ilvl w:val="1"/>
          <w:numId w:val="36"/>
        </w:numPr>
        <w:spacing w:before="160" w:after="160" w:line="360" w:lineRule="auto"/>
        <w:rPr>
          <w:rFonts w:ascii="Arial" w:hAnsi="Arial" w:cs="Arial"/>
        </w:rPr>
      </w:pPr>
      <w:r w:rsidRPr="000D51FC">
        <w:rPr>
          <w:rFonts w:ascii="Arial" w:hAnsi="Arial" w:cs="Arial"/>
        </w:rPr>
        <w:t>PV = £6m × 3.791 = £22.75m</w:t>
      </w:r>
    </w:p>
    <w:p w14:paraId="25D34849" w14:textId="77777777" w:rsidR="00E3503F" w:rsidRPr="000D51FC" w:rsidRDefault="00E3503F" w:rsidP="000D51FC">
      <w:pPr>
        <w:numPr>
          <w:ilvl w:val="1"/>
          <w:numId w:val="36"/>
        </w:numPr>
        <w:spacing w:before="160" w:after="160" w:line="360" w:lineRule="auto"/>
        <w:rPr>
          <w:rFonts w:ascii="Arial" w:hAnsi="Arial" w:cs="Arial"/>
        </w:rPr>
      </w:pPr>
      <w:r w:rsidRPr="000D51FC">
        <w:rPr>
          <w:rFonts w:ascii="Arial" w:hAnsi="Arial" w:cs="Arial"/>
        </w:rPr>
        <w:t xml:space="preserve">NPV = £22.75m – £30m = </w:t>
      </w:r>
      <w:r w:rsidRPr="000D51FC">
        <w:rPr>
          <w:rFonts w:ascii="Arial" w:hAnsi="Arial" w:cs="Arial"/>
          <w:b/>
          <w:bCs/>
        </w:rPr>
        <w:t>–£7.25m</w:t>
      </w:r>
    </w:p>
    <w:p w14:paraId="3588F236" w14:textId="77777777" w:rsidR="00E3503F" w:rsidRPr="000D51FC" w:rsidRDefault="00E3503F" w:rsidP="000D51FC">
      <w:pPr>
        <w:spacing w:line="360" w:lineRule="auto"/>
        <w:rPr>
          <w:rFonts w:ascii="Arial" w:hAnsi="Arial" w:cs="Arial"/>
        </w:rPr>
      </w:pPr>
      <w:r w:rsidRPr="000D51FC">
        <w:rPr>
          <w:rFonts w:ascii="Arial" w:hAnsi="Arial" w:cs="Arial"/>
          <w:b/>
          <w:bCs/>
        </w:rPr>
        <w:t>Project C:</w:t>
      </w:r>
    </w:p>
    <w:p w14:paraId="61C0C55A" w14:textId="77777777" w:rsidR="00E3503F" w:rsidRPr="000D51FC" w:rsidRDefault="00E3503F" w:rsidP="000D51FC">
      <w:pPr>
        <w:pStyle w:val="ListParagraph"/>
        <w:numPr>
          <w:ilvl w:val="2"/>
          <w:numId w:val="37"/>
        </w:numPr>
        <w:spacing w:before="160" w:after="160" w:line="360" w:lineRule="auto"/>
        <w:rPr>
          <w:rFonts w:ascii="Arial" w:hAnsi="Arial" w:cs="Arial"/>
        </w:rPr>
      </w:pPr>
      <w:r w:rsidRPr="000D51FC">
        <w:rPr>
          <w:rFonts w:ascii="Arial" w:hAnsi="Arial" w:cs="Arial"/>
        </w:rPr>
        <w:t>Yr 1: £5m / 1.1 = £4.55m</w:t>
      </w:r>
    </w:p>
    <w:p w14:paraId="3B5FEF54" w14:textId="77777777" w:rsidR="00E3503F" w:rsidRPr="000D51FC" w:rsidRDefault="00E3503F" w:rsidP="000D51FC">
      <w:pPr>
        <w:pStyle w:val="ListParagraph"/>
        <w:numPr>
          <w:ilvl w:val="2"/>
          <w:numId w:val="37"/>
        </w:numPr>
        <w:spacing w:before="160" w:after="160" w:line="360" w:lineRule="auto"/>
        <w:rPr>
          <w:rFonts w:ascii="Arial" w:hAnsi="Arial" w:cs="Arial"/>
        </w:rPr>
      </w:pPr>
      <w:r w:rsidRPr="000D51FC">
        <w:rPr>
          <w:rFonts w:ascii="Arial" w:hAnsi="Arial" w:cs="Arial"/>
        </w:rPr>
        <w:t>Yr 2: £10m / 1.21 = £8.26m</w:t>
      </w:r>
    </w:p>
    <w:p w14:paraId="6A6D36FD" w14:textId="77777777" w:rsidR="00E3503F" w:rsidRPr="000D51FC" w:rsidRDefault="00E3503F" w:rsidP="000D51FC">
      <w:pPr>
        <w:pStyle w:val="ListParagraph"/>
        <w:numPr>
          <w:ilvl w:val="2"/>
          <w:numId w:val="37"/>
        </w:numPr>
        <w:spacing w:before="160" w:after="160" w:line="360" w:lineRule="auto"/>
        <w:rPr>
          <w:rFonts w:ascii="Arial" w:hAnsi="Arial" w:cs="Arial"/>
        </w:rPr>
      </w:pPr>
      <w:r w:rsidRPr="000D51FC">
        <w:rPr>
          <w:rFonts w:ascii="Arial" w:hAnsi="Arial" w:cs="Arial"/>
        </w:rPr>
        <w:t>Yr 3: £20m / 1.331 = £15.03m</w:t>
      </w:r>
    </w:p>
    <w:p w14:paraId="7AE38111" w14:textId="77777777" w:rsidR="00E3503F" w:rsidRPr="000D51FC" w:rsidRDefault="00E3503F" w:rsidP="000D51FC">
      <w:pPr>
        <w:pStyle w:val="ListParagraph"/>
        <w:numPr>
          <w:ilvl w:val="2"/>
          <w:numId w:val="37"/>
        </w:numPr>
        <w:spacing w:before="160" w:after="160" w:line="360" w:lineRule="auto"/>
        <w:rPr>
          <w:rFonts w:ascii="Arial" w:hAnsi="Arial" w:cs="Arial"/>
        </w:rPr>
      </w:pPr>
      <w:r w:rsidRPr="000D51FC">
        <w:rPr>
          <w:rFonts w:ascii="Arial" w:hAnsi="Arial" w:cs="Arial"/>
        </w:rPr>
        <w:t>Yr 4: £25m / 1.464 = £17.09m</w:t>
      </w:r>
    </w:p>
    <w:p w14:paraId="04DB5E5E" w14:textId="77777777" w:rsidR="00E3503F" w:rsidRPr="000D51FC" w:rsidRDefault="00E3503F" w:rsidP="000D51FC">
      <w:pPr>
        <w:pStyle w:val="ListParagraph"/>
        <w:numPr>
          <w:ilvl w:val="2"/>
          <w:numId w:val="37"/>
        </w:numPr>
        <w:spacing w:before="160" w:after="160" w:line="360" w:lineRule="auto"/>
        <w:rPr>
          <w:rFonts w:ascii="Arial" w:hAnsi="Arial" w:cs="Arial"/>
        </w:rPr>
      </w:pPr>
      <w:r w:rsidRPr="000D51FC">
        <w:rPr>
          <w:rFonts w:ascii="Arial" w:hAnsi="Arial" w:cs="Arial"/>
        </w:rPr>
        <w:t>Yr 5: £15m / 1.610 = £9.32m</w:t>
      </w:r>
    </w:p>
    <w:p w14:paraId="6EBFF2EB" w14:textId="77777777" w:rsidR="00E3503F" w:rsidRPr="000D51FC" w:rsidRDefault="00E3503F" w:rsidP="000D51FC">
      <w:pPr>
        <w:pStyle w:val="ListParagraph"/>
        <w:numPr>
          <w:ilvl w:val="2"/>
          <w:numId w:val="37"/>
        </w:numPr>
        <w:spacing w:before="160" w:after="160" w:line="360" w:lineRule="auto"/>
        <w:rPr>
          <w:rFonts w:ascii="Arial" w:hAnsi="Arial" w:cs="Arial"/>
        </w:rPr>
      </w:pPr>
      <w:r w:rsidRPr="000D51FC">
        <w:rPr>
          <w:rFonts w:ascii="Arial" w:hAnsi="Arial" w:cs="Arial"/>
        </w:rPr>
        <w:t>Total PV = £54.25m</w:t>
      </w:r>
    </w:p>
    <w:p w14:paraId="54D7191B" w14:textId="77777777" w:rsidR="00E3503F" w:rsidRPr="000D51FC" w:rsidRDefault="00E3503F" w:rsidP="000D51FC">
      <w:pPr>
        <w:pStyle w:val="ListParagraph"/>
        <w:numPr>
          <w:ilvl w:val="2"/>
          <w:numId w:val="37"/>
        </w:numPr>
        <w:spacing w:before="160" w:after="160" w:line="360" w:lineRule="auto"/>
        <w:rPr>
          <w:rFonts w:ascii="Arial" w:hAnsi="Arial" w:cs="Arial"/>
        </w:rPr>
      </w:pPr>
      <w:r w:rsidRPr="000D51FC">
        <w:rPr>
          <w:rFonts w:ascii="Arial" w:hAnsi="Arial" w:cs="Arial"/>
        </w:rPr>
        <w:t xml:space="preserve">NPV = £54.25m – £50m = </w:t>
      </w:r>
      <w:r w:rsidRPr="000D51FC">
        <w:rPr>
          <w:rFonts w:ascii="Arial" w:hAnsi="Arial" w:cs="Arial"/>
          <w:b/>
          <w:bCs/>
        </w:rPr>
        <w:t>£4.25m</w:t>
      </w:r>
    </w:p>
    <w:p w14:paraId="20603055" w14:textId="77777777" w:rsidR="00896026" w:rsidRPr="000D51FC" w:rsidRDefault="00E3503F" w:rsidP="000D51FC">
      <w:pPr>
        <w:spacing w:line="360" w:lineRule="auto"/>
        <w:rPr>
          <w:rFonts w:ascii="Arial" w:hAnsi="Arial" w:cs="Arial"/>
        </w:rPr>
      </w:pPr>
      <w:r w:rsidRPr="000D51FC">
        <w:rPr>
          <w:rFonts w:ascii="Arial" w:hAnsi="Arial" w:cs="Arial"/>
          <w:b/>
          <w:bCs/>
        </w:rPr>
        <w:t>Ranking:</w:t>
      </w:r>
      <w:r w:rsidRPr="000D51FC">
        <w:rPr>
          <w:rFonts w:ascii="Arial" w:hAnsi="Arial" w:cs="Arial"/>
        </w:rPr>
        <w:t xml:space="preserve"> C (£4.25m), A (£1.33m), B (–£7.25m).</w:t>
      </w:r>
    </w:p>
    <w:p w14:paraId="6B4FA246" w14:textId="78740E5E" w:rsidR="00E3503F" w:rsidRPr="000D51FC" w:rsidRDefault="00896026" w:rsidP="000D51FC">
      <w:pPr>
        <w:spacing w:line="360" w:lineRule="auto"/>
        <w:ind w:left="0" w:firstLine="0"/>
        <w:rPr>
          <w:rFonts w:ascii="Arial" w:hAnsi="Arial" w:cs="Arial"/>
        </w:rPr>
      </w:pPr>
      <w:r w:rsidRPr="000D51FC">
        <w:rPr>
          <w:rFonts w:ascii="Arial" w:hAnsi="Arial" w:cs="Arial"/>
          <w:b/>
          <w:bCs/>
        </w:rPr>
        <w:lastRenderedPageBreak/>
        <w:t xml:space="preserve">4. </w:t>
      </w:r>
      <w:r w:rsidR="00E3503F" w:rsidRPr="000D51FC">
        <w:rPr>
          <w:rFonts w:ascii="Arial" w:hAnsi="Arial" w:cs="Arial"/>
          <w:b/>
          <w:bCs/>
        </w:rPr>
        <w:t>Profitability Index (PI)</w:t>
      </w:r>
    </w:p>
    <w:p w14:paraId="7D94B376" w14:textId="77777777" w:rsidR="00E3503F" w:rsidRPr="000D51FC" w:rsidRDefault="00E3503F" w:rsidP="000D51FC">
      <w:pPr>
        <w:spacing w:line="360" w:lineRule="auto"/>
        <w:rPr>
          <w:rFonts w:ascii="Arial" w:hAnsi="Arial" w:cs="Arial"/>
        </w:rPr>
      </w:pPr>
      <w:r w:rsidRPr="000D51FC">
        <w:rPr>
          <w:rFonts w:ascii="Arial" w:hAnsi="Arial" w:cs="Arial"/>
        </w:rPr>
        <w:t>PI = PV of inflows / Initial Investment.</w:t>
      </w:r>
    </w:p>
    <w:p w14:paraId="4CB5AF2D" w14:textId="77777777" w:rsidR="00E3503F" w:rsidRPr="000D51FC" w:rsidRDefault="00E3503F" w:rsidP="000D51FC">
      <w:pPr>
        <w:numPr>
          <w:ilvl w:val="0"/>
          <w:numId w:val="38"/>
        </w:numPr>
        <w:spacing w:before="160" w:after="160" w:line="360" w:lineRule="auto"/>
        <w:rPr>
          <w:rFonts w:ascii="Arial" w:hAnsi="Arial" w:cs="Arial"/>
        </w:rPr>
      </w:pPr>
      <w:r w:rsidRPr="000D51FC">
        <w:rPr>
          <w:rFonts w:ascii="Arial" w:hAnsi="Arial" w:cs="Arial"/>
          <w:b/>
          <w:bCs/>
        </w:rPr>
        <w:t>Project A:</w:t>
      </w:r>
      <w:r w:rsidRPr="000D51FC">
        <w:rPr>
          <w:rFonts w:ascii="Arial" w:hAnsi="Arial" w:cs="Arial"/>
        </w:rPr>
        <w:t xml:space="preserve"> £41.33m / £40m = </w:t>
      </w:r>
      <w:r w:rsidRPr="000D51FC">
        <w:rPr>
          <w:rFonts w:ascii="Arial" w:hAnsi="Arial" w:cs="Arial"/>
          <w:b/>
          <w:bCs/>
        </w:rPr>
        <w:t>1.03</w:t>
      </w:r>
    </w:p>
    <w:p w14:paraId="710E2E2E" w14:textId="77777777" w:rsidR="00E3503F" w:rsidRPr="000D51FC" w:rsidRDefault="00E3503F" w:rsidP="000D51FC">
      <w:pPr>
        <w:numPr>
          <w:ilvl w:val="0"/>
          <w:numId w:val="38"/>
        </w:numPr>
        <w:spacing w:before="160" w:after="160" w:line="360" w:lineRule="auto"/>
        <w:rPr>
          <w:rFonts w:ascii="Arial" w:hAnsi="Arial" w:cs="Arial"/>
        </w:rPr>
      </w:pPr>
      <w:r w:rsidRPr="000D51FC">
        <w:rPr>
          <w:rFonts w:ascii="Arial" w:hAnsi="Arial" w:cs="Arial"/>
          <w:b/>
          <w:bCs/>
        </w:rPr>
        <w:t>Project B:</w:t>
      </w:r>
      <w:r w:rsidRPr="000D51FC">
        <w:rPr>
          <w:rFonts w:ascii="Arial" w:hAnsi="Arial" w:cs="Arial"/>
        </w:rPr>
        <w:t xml:space="preserve"> £22.75m / £30m = </w:t>
      </w:r>
      <w:r w:rsidRPr="000D51FC">
        <w:rPr>
          <w:rFonts w:ascii="Arial" w:hAnsi="Arial" w:cs="Arial"/>
          <w:b/>
          <w:bCs/>
        </w:rPr>
        <w:t>0.76</w:t>
      </w:r>
    </w:p>
    <w:p w14:paraId="480E9CF0" w14:textId="77777777" w:rsidR="00E3503F" w:rsidRPr="000D51FC" w:rsidRDefault="00E3503F" w:rsidP="000D51FC">
      <w:pPr>
        <w:numPr>
          <w:ilvl w:val="0"/>
          <w:numId w:val="38"/>
        </w:numPr>
        <w:spacing w:before="160" w:after="160" w:line="360" w:lineRule="auto"/>
        <w:rPr>
          <w:rFonts w:ascii="Arial" w:hAnsi="Arial" w:cs="Arial"/>
        </w:rPr>
      </w:pPr>
      <w:r w:rsidRPr="000D51FC">
        <w:rPr>
          <w:rFonts w:ascii="Arial" w:hAnsi="Arial" w:cs="Arial"/>
          <w:b/>
          <w:bCs/>
        </w:rPr>
        <w:t>Project C:</w:t>
      </w:r>
      <w:r w:rsidRPr="000D51FC">
        <w:rPr>
          <w:rFonts w:ascii="Arial" w:hAnsi="Arial" w:cs="Arial"/>
        </w:rPr>
        <w:t xml:space="preserve"> £54.25m / £50m = </w:t>
      </w:r>
      <w:r w:rsidRPr="000D51FC">
        <w:rPr>
          <w:rFonts w:ascii="Arial" w:hAnsi="Arial" w:cs="Arial"/>
          <w:b/>
          <w:bCs/>
        </w:rPr>
        <w:t>1.08</w:t>
      </w:r>
    </w:p>
    <w:p w14:paraId="633AB091" w14:textId="77777777" w:rsidR="00896026" w:rsidRPr="000D51FC" w:rsidRDefault="00E3503F" w:rsidP="000D51FC">
      <w:pPr>
        <w:spacing w:line="360" w:lineRule="auto"/>
        <w:rPr>
          <w:rFonts w:ascii="Arial" w:hAnsi="Arial" w:cs="Arial"/>
        </w:rPr>
      </w:pPr>
      <w:r w:rsidRPr="000D51FC">
        <w:rPr>
          <w:rFonts w:ascii="Arial" w:hAnsi="Arial" w:cs="Arial"/>
          <w:b/>
          <w:bCs/>
        </w:rPr>
        <w:t>Ranking:</w:t>
      </w:r>
      <w:r w:rsidRPr="000D51FC">
        <w:rPr>
          <w:rFonts w:ascii="Arial" w:hAnsi="Arial" w:cs="Arial"/>
        </w:rPr>
        <w:t xml:space="preserve"> C (1.08), A (1.03), B (0.76).</w:t>
      </w:r>
    </w:p>
    <w:p w14:paraId="6B21750F" w14:textId="263308F3" w:rsidR="00E3503F" w:rsidRPr="000D51FC" w:rsidRDefault="00896026" w:rsidP="000D51FC">
      <w:pPr>
        <w:spacing w:line="360" w:lineRule="auto"/>
        <w:ind w:left="0" w:firstLine="0"/>
        <w:rPr>
          <w:rFonts w:ascii="Arial" w:hAnsi="Arial" w:cs="Arial"/>
          <w:b/>
          <w:bCs/>
        </w:rPr>
      </w:pPr>
      <w:r w:rsidRPr="000D51FC">
        <w:rPr>
          <w:rFonts w:ascii="Arial" w:hAnsi="Arial" w:cs="Arial"/>
          <w:b/>
          <w:bCs/>
        </w:rPr>
        <w:t xml:space="preserve">5. </w:t>
      </w:r>
      <w:r w:rsidR="00E3503F" w:rsidRPr="000D51FC">
        <w:rPr>
          <w:rFonts w:ascii="Arial" w:hAnsi="Arial" w:cs="Arial"/>
          <w:b/>
          <w:bCs/>
        </w:rPr>
        <w:t>Internal Rate of Return (IRR)</w:t>
      </w:r>
    </w:p>
    <w:p w14:paraId="66FE9C09" w14:textId="77777777" w:rsidR="00E3503F" w:rsidRPr="000D51FC" w:rsidRDefault="00E3503F" w:rsidP="000D51FC">
      <w:pPr>
        <w:spacing w:line="360" w:lineRule="auto"/>
        <w:rPr>
          <w:rFonts w:ascii="Arial" w:hAnsi="Arial" w:cs="Arial"/>
        </w:rPr>
      </w:pPr>
      <w:r w:rsidRPr="000D51FC">
        <w:rPr>
          <w:rFonts w:ascii="Arial" w:hAnsi="Arial" w:cs="Arial"/>
        </w:rPr>
        <w:t>IRR is the discount rate at which NPV = 0.</w:t>
      </w:r>
    </w:p>
    <w:p w14:paraId="50B4E8EC" w14:textId="77777777" w:rsidR="00E3503F" w:rsidRPr="000D51FC" w:rsidRDefault="00E3503F" w:rsidP="000D51FC">
      <w:pPr>
        <w:numPr>
          <w:ilvl w:val="0"/>
          <w:numId w:val="39"/>
        </w:numPr>
        <w:spacing w:before="160" w:after="160" w:line="360" w:lineRule="auto"/>
        <w:rPr>
          <w:rFonts w:ascii="Arial" w:hAnsi="Arial" w:cs="Arial"/>
        </w:rPr>
      </w:pPr>
      <w:r w:rsidRPr="000D51FC">
        <w:rPr>
          <w:rFonts w:ascii="Arial" w:hAnsi="Arial" w:cs="Arial"/>
          <w:b/>
          <w:bCs/>
        </w:rPr>
        <w:t>Project A:</w:t>
      </w:r>
      <w:r w:rsidRPr="000D51FC">
        <w:rPr>
          <w:rFonts w:ascii="Arial" w:hAnsi="Arial" w:cs="Arial"/>
        </w:rPr>
        <w:t xml:space="preserve"> At 10%, NPV = +£1.33m; at 15%, NPV ≈ –£3m.</w:t>
      </w:r>
    </w:p>
    <w:p w14:paraId="475895E7" w14:textId="77777777" w:rsidR="00E3503F" w:rsidRPr="000D51FC" w:rsidRDefault="00E3503F" w:rsidP="000D51FC">
      <w:pPr>
        <w:spacing w:before="160" w:after="160" w:line="360" w:lineRule="auto"/>
        <w:ind w:left="1440" w:firstLine="0"/>
        <w:rPr>
          <w:rFonts w:ascii="Arial" w:hAnsi="Arial" w:cs="Arial"/>
        </w:rPr>
      </w:pPr>
      <w:r w:rsidRPr="000D51FC">
        <w:rPr>
          <w:rFonts w:ascii="Arial" w:hAnsi="Arial" w:cs="Arial"/>
        </w:rPr>
        <w:t>IRR ≈ 11–12%.</w:t>
      </w:r>
    </w:p>
    <w:p w14:paraId="2C7B9589" w14:textId="77777777" w:rsidR="00E3503F" w:rsidRPr="000D51FC" w:rsidRDefault="00E3503F" w:rsidP="000D51FC">
      <w:pPr>
        <w:numPr>
          <w:ilvl w:val="0"/>
          <w:numId w:val="39"/>
        </w:numPr>
        <w:spacing w:before="160" w:after="160" w:line="360" w:lineRule="auto"/>
        <w:rPr>
          <w:rFonts w:ascii="Arial" w:hAnsi="Arial" w:cs="Arial"/>
        </w:rPr>
      </w:pPr>
      <w:r w:rsidRPr="000D51FC">
        <w:rPr>
          <w:rFonts w:ascii="Arial" w:hAnsi="Arial" w:cs="Arial"/>
          <w:b/>
          <w:bCs/>
        </w:rPr>
        <w:t>Project B:</w:t>
      </w:r>
      <w:r w:rsidRPr="000D51FC">
        <w:rPr>
          <w:rFonts w:ascii="Arial" w:hAnsi="Arial" w:cs="Arial"/>
        </w:rPr>
        <w:t xml:space="preserve"> Always negative (NPV &lt; 0 at 10%), IRR &lt; 10%. Approx. </w:t>
      </w:r>
      <w:r w:rsidRPr="000D51FC">
        <w:rPr>
          <w:rFonts w:ascii="Arial" w:hAnsi="Arial" w:cs="Arial"/>
          <w:b/>
          <w:bCs/>
        </w:rPr>
        <w:t>4–5%</w:t>
      </w:r>
      <w:r w:rsidRPr="000D51FC">
        <w:rPr>
          <w:rFonts w:ascii="Arial" w:hAnsi="Arial" w:cs="Arial"/>
        </w:rPr>
        <w:t>.</w:t>
      </w:r>
    </w:p>
    <w:p w14:paraId="1C2481B6" w14:textId="77777777" w:rsidR="00E3503F" w:rsidRPr="000D51FC" w:rsidRDefault="00E3503F" w:rsidP="000D51FC">
      <w:pPr>
        <w:numPr>
          <w:ilvl w:val="0"/>
          <w:numId w:val="39"/>
        </w:numPr>
        <w:spacing w:before="160" w:after="160" w:line="360" w:lineRule="auto"/>
        <w:rPr>
          <w:rFonts w:ascii="Arial" w:hAnsi="Arial" w:cs="Arial"/>
        </w:rPr>
      </w:pPr>
      <w:r w:rsidRPr="000D51FC">
        <w:rPr>
          <w:rFonts w:ascii="Arial" w:hAnsi="Arial" w:cs="Arial"/>
          <w:b/>
          <w:bCs/>
        </w:rPr>
        <w:t>Project C:</w:t>
      </w:r>
      <w:r w:rsidRPr="000D51FC">
        <w:rPr>
          <w:rFonts w:ascii="Arial" w:hAnsi="Arial" w:cs="Arial"/>
        </w:rPr>
        <w:t xml:space="preserve"> At 10%, NPV = +£4.25m; at 15%, NPV ≈ –£2m.</w:t>
      </w:r>
    </w:p>
    <w:p w14:paraId="3F90EDE5" w14:textId="77777777" w:rsidR="00E3503F" w:rsidRPr="000D51FC" w:rsidRDefault="00E3503F" w:rsidP="000D51FC">
      <w:pPr>
        <w:spacing w:before="160" w:after="160" w:line="360" w:lineRule="auto"/>
        <w:ind w:left="1440" w:firstLine="0"/>
        <w:rPr>
          <w:rFonts w:ascii="Arial" w:hAnsi="Arial" w:cs="Arial"/>
        </w:rPr>
      </w:pPr>
      <w:r w:rsidRPr="000D51FC">
        <w:rPr>
          <w:rFonts w:ascii="Arial" w:hAnsi="Arial" w:cs="Arial"/>
        </w:rPr>
        <w:t>IRR ≈ 12–13%.</w:t>
      </w:r>
    </w:p>
    <w:p w14:paraId="0D40FA3A" w14:textId="48571DE2" w:rsidR="0070740D" w:rsidRPr="000D51FC" w:rsidRDefault="00E3503F" w:rsidP="00D70911">
      <w:pPr>
        <w:spacing w:line="360" w:lineRule="auto"/>
        <w:rPr>
          <w:rFonts w:ascii="Arial" w:hAnsi="Arial" w:cs="Arial"/>
        </w:rPr>
      </w:pPr>
      <w:r w:rsidRPr="000D51FC">
        <w:rPr>
          <w:rFonts w:ascii="Arial" w:hAnsi="Arial" w:cs="Arial"/>
          <w:b/>
          <w:bCs/>
        </w:rPr>
        <w:t>Ranking:</w:t>
      </w:r>
      <w:r w:rsidRPr="000D51FC">
        <w:rPr>
          <w:rFonts w:ascii="Arial" w:hAnsi="Arial" w:cs="Arial"/>
        </w:rPr>
        <w:t xml:space="preserve"> C (12–13%), A (11–12%), B (4–5%).</w:t>
      </w:r>
    </w:p>
    <w:p w14:paraId="14917FB9" w14:textId="0DD2A260" w:rsidR="000D5FE7" w:rsidRPr="000D51FC" w:rsidRDefault="000D5FE7" w:rsidP="000D51FC">
      <w:pPr>
        <w:spacing w:line="360" w:lineRule="auto"/>
        <w:jc w:val="center"/>
        <w:rPr>
          <w:rFonts w:ascii="Arial" w:hAnsi="Arial" w:cs="Arial"/>
          <w:b/>
          <w:bCs/>
        </w:rPr>
      </w:pPr>
      <w:r w:rsidRPr="000D51FC">
        <w:rPr>
          <w:rFonts w:ascii="Arial" w:hAnsi="Arial" w:cs="Arial"/>
          <w:b/>
          <w:bCs/>
        </w:rPr>
        <w:t xml:space="preserve">Table </w:t>
      </w:r>
      <w:r w:rsidRPr="000D51FC">
        <w:rPr>
          <w:rFonts w:ascii="Arial" w:hAnsi="Arial" w:cs="Arial"/>
          <w:b/>
          <w:bCs/>
        </w:rPr>
        <w:fldChar w:fldCharType="begin"/>
      </w:r>
      <w:r w:rsidRPr="000D51FC">
        <w:rPr>
          <w:rFonts w:ascii="Arial" w:hAnsi="Arial" w:cs="Arial"/>
          <w:b/>
          <w:bCs/>
        </w:rPr>
        <w:instrText xml:space="preserve"> SEQ Table \* ARABIC </w:instrText>
      </w:r>
      <w:r w:rsidRPr="000D51FC">
        <w:rPr>
          <w:rFonts w:ascii="Arial" w:hAnsi="Arial" w:cs="Arial"/>
          <w:b/>
          <w:bCs/>
        </w:rPr>
        <w:fldChar w:fldCharType="separate"/>
      </w:r>
      <w:r w:rsidRPr="000D51FC">
        <w:rPr>
          <w:rFonts w:ascii="Arial" w:hAnsi="Arial" w:cs="Arial"/>
          <w:b/>
          <w:bCs/>
          <w:noProof/>
        </w:rPr>
        <w:t>6</w:t>
      </w:r>
      <w:r w:rsidRPr="000D51FC">
        <w:rPr>
          <w:rFonts w:ascii="Arial" w:hAnsi="Arial" w:cs="Arial"/>
          <w:b/>
          <w:bCs/>
          <w:noProof/>
        </w:rPr>
        <w:fldChar w:fldCharType="end"/>
      </w:r>
      <w:r w:rsidRPr="000D51FC">
        <w:rPr>
          <w:rFonts w:ascii="Arial" w:hAnsi="Arial" w:cs="Arial"/>
          <w:b/>
          <w:bCs/>
          <w:lang w:val="en-US"/>
        </w:rPr>
        <w:t xml:space="preserve">: Comparative </w:t>
      </w:r>
      <w:r w:rsidRPr="000D51FC">
        <w:rPr>
          <w:rFonts w:ascii="Arial" w:hAnsi="Arial" w:cs="Arial"/>
          <w:b/>
          <w:bCs/>
          <w:lang w:val="en-US"/>
        </w:rPr>
        <w:t>Analysis</w:t>
      </w:r>
    </w:p>
    <w:tbl>
      <w:tblPr>
        <w:tblStyle w:val="GridTable5Dark-Accent4"/>
        <w:tblW w:w="6745" w:type="dxa"/>
        <w:jc w:val="center"/>
        <w:tblLook w:val="04A0" w:firstRow="1" w:lastRow="0" w:firstColumn="1" w:lastColumn="0" w:noHBand="0" w:noVBand="1"/>
      </w:tblPr>
      <w:tblGrid>
        <w:gridCol w:w="1377"/>
        <w:gridCol w:w="1782"/>
        <w:gridCol w:w="1793"/>
        <w:gridCol w:w="1793"/>
      </w:tblGrid>
      <w:tr w:rsidR="000D5FE7" w:rsidRPr="000D51FC" w14:paraId="525DD9FC" w14:textId="77777777" w:rsidTr="00A64D0F">
        <w:trPr>
          <w:cnfStyle w:val="100000000000" w:firstRow="1" w:lastRow="0" w:firstColumn="0" w:lastColumn="0" w:oddVBand="0" w:evenVBand="0" w:oddHBand="0" w:evenHBand="0" w:firstRowFirstColumn="0" w:firstRowLastColumn="0" w:lastRowFirstColumn="0" w:lastRowLastColumn="0"/>
          <w:trHeight w:val="66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E935CF" w14:textId="77777777" w:rsidR="000D5FE7" w:rsidRPr="000D51FC" w:rsidRDefault="000D5FE7" w:rsidP="000D51FC">
            <w:pPr>
              <w:spacing w:after="160" w:line="360" w:lineRule="auto"/>
              <w:rPr>
                <w:rFonts w:ascii="Arial" w:hAnsi="Arial" w:cs="Arial"/>
                <w:color w:val="FFFFFF" w:themeColor="background1"/>
              </w:rPr>
            </w:pPr>
            <w:r w:rsidRPr="000D51FC">
              <w:rPr>
                <w:rFonts w:ascii="Arial" w:hAnsi="Arial" w:cs="Arial"/>
                <w:color w:val="FFFFFF" w:themeColor="background1"/>
              </w:rPr>
              <w:t>Metric</w:t>
            </w:r>
          </w:p>
        </w:tc>
        <w:tc>
          <w:tcPr>
            <w:tcW w:w="0" w:type="auto"/>
            <w:hideMark/>
          </w:tcPr>
          <w:p w14:paraId="0EC249E4" w14:textId="77777777" w:rsidR="000D5FE7" w:rsidRPr="000D51FC" w:rsidRDefault="000D5FE7" w:rsidP="000D51F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0D51FC">
              <w:rPr>
                <w:rFonts w:ascii="Arial" w:hAnsi="Arial" w:cs="Arial"/>
                <w:color w:val="FFFFFF" w:themeColor="background1"/>
              </w:rPr>
              <w:t>Project A</w:t>
            </w:r>
          </w:p>
        </w:tc>
        <w:tc>
          <w:tcPr>
            <w:tcW w:w="0" w:type="auto"/>
            <w:hideMark/>
          </w:tcPr>
          <w:p w14:paraId="4E99591D" w14:textId="77777777" w:rsidR="000D5FE7" w:rsidRPr="000D51FC" w:rsidRDefault="000D5FE7" w:rsidP="000D51F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0D51FC">
              <w:rPr>
                <w:rFonts w:ascii="Arial" w:hAnsi="Arial" w:cs="Arial"/>
                <w:color w:val="FFFFFF" w:themeColor="background1"/>
              </w:rPr>
              <w:t>Project B</w:t>
            </w:r>
          </w:p>
        </w:tc>
        <w:tc>
          <w:tcPr>
            <w:tcW w:w="0" w:type="auto"/>
            <w:hideMark/>
          </w:tcPr>
          <w:p w14:paraId="6BFC8A98" w14:textId="77777777" w:rsidR="000D5FE7" w:rsidRPr="000D51FC" w:rsidRDefault="000D5FE7" w:rsidP="000D51F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0D51FC">
              <w:rPr>
                <w:rFonts w:ascii="Arial" w:hAnsi="Arial" w:cs="Arial"/>
                <w:color w:val="FFFFFF" w:themeColor="background1"/>
              </w:rPr>
              <w:t>Project C</w:t>
            </w:r>
          </w:p>
        </w:tc>
      </w:tr>
      <w:tr w:rsidR="000D5FE7" w:rsidRPr="000D51FC" w14:paraId="6D775EA1" w14:textId="77777777" w:rsidTr="00A64D0F">
        <w:trPr>
          <w:cnfStyle w:val="000000100000" w:firstRow="0" w:lastRow="0" w:firstColumn="0" w:lastColumn="0" w:oddVBand="0" w:evenVBand="0" w:oddHBand="1" w:evenHBand="0" w:firstRowFirstColumn="0" w:firstRowLastColumn="0" w:lastRowFirstColumn="0" w:lastRowLastColumn="0"/>
          <w:trHeight w:val="65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80809F" w14:textId="77777777" w:rsidR="000D5FE7" w:rsidRPr="000D51FC" w:rsidRDefault="000D5FE7" w:rsidP="000D51FC">
            <w:pPr>
              <w:spacing w:after="160" w:line="360" w:lineRule="auto"/>
              <w:rPr>
                <w:rFonts w:ascii="Arial" w:hAnsi="Arial" w:cs="Arial"/>
                <w:color w:val="FFFFFF" w:themeColor="background1"/>
              </w:rPr>
            </w:pPr>
            <w:r w:rsidRPr="000D51FC">
              <w:rPr>
                <w:rFonts w:ascii="Arial" w:hAnsi="Arial" w:cs="Arial"/>
                <w:color w:val="FFFFFF" w:themeColor="background1"/>
              </w:rPr>
              <w:t>PBP</w:t>
            </w:r>
          </w:p>
        </w:tc>
        <w:tc>
          <w:tcPr>
            <w:tcW w:w="0" w:type="auto"/>
            <w:hideMark/>
          </w:tcPr>
          <w:p w14:paraId="5DD33910"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3.4 yrs</w:t>
            </w:r>
          </w:p>
        </w:tc>
        <w:tc>
          <w:tcPr>
            <w:tcW w:w="0" w:type="auto"/>
            <w:hideMark/>
          </w:tcPr>
          <w:p w14:paraId="0B410AD5"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5 yrs</w:t>
            </w:r>
          </w:p>
        </w:tc>
        <w:tc>
          <w:tcPr>
            <w:tcW w:w="0" w:type="auto"/>
            <w:hideMark/>
          </w:tcPr>
          <w:p w14:paraId="5949560F"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3.6 yrs</w:t>
            </w:r>
          </w:p>
        </w:tc>
      </w:tr>
      <w:tr w:rsidR="000D5FE7" w:rsidRPr="000D51FC" w14:paraId="2E63B958" w14:textId="77777777" w:rsidTr="00A64D0F">
        <w:trPr>
          <w:trHeight w:val="66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7636E2" w14:textId="77777777" w:rsidR="000D5FE7" w:rsidRPr="000D51FC" w:rsidRDefault="000D5FE7" w:rsidP="000D51FC">
            <w:pPr>
              <w:spacing w:after="160" w:line="360" w:lineRule="auto"/>
              <w:rPr>
                <w:rFonts w:ascii="Arial" w:hAnsi="Arial" w:cs="Arial"/>
                <w:color w:val="FFFFFF" w:themeColor="background1"/>
              </w:rPr>
            </w:pPr>
            <w:r w:rsidRPr="000D51FC">
              <w:rPr>
                <w:rFonts w:ascii="Arial" w:hAnsi="Arial" w:cs="Arial"/>
                <w:color w:val="FFFFFF" w:themeColor="background1"/>
              </w:rPr>
              <w:t>ARR</w:t>
            </w:r>
          </w:p>
        </w:tc>
        <w:tc>
          <w:tcPr>
            <w:tcW w:w="0" w:type="auto"/>
            <w:hideMark/>
          </w:tcPr>
          <w:p w14:paraId="2D244143" w14:textId="77777777" w:rsidR="000D5FE7" w:rsidRPr="000D51FC" w:rsidRDefault="000D5FE7"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7%</w:t>
            </w:r>
          </w:p>
        </w:tc>
        <w:tc>
          <w:tcPr>
            <w:tcW w:w="0" w:type="auto"/>
            <w:hideMark/>
          </w:tcPr>
          <w:p w14:paraId="62E873EA" w14:textId="77777777" w:rsidR="000D5FE7" w:rsidRPr="000D51FC" w:rsidRDefault="000D5FE7"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w:t>
            </w:r>
          </w:p>
        </w:tc>
        <w:tc>
          <w:tcPr>
            <w:tcW w:w="0" w:type="auto"/>
            <w:hideMark/>
          </w:tcPr>
          <w:p w14:paraId="0AB3CA47" w14:textId="77777777" w:rsidR="000D5FE7" w:rsidRPr="000D51FC" w:rsidRDefault="000D5FE7"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10%</w:t>
            </w:r>
          </w:p>
        </w:tc>
      </w:tr>
      <w:tr w:rsidR="000D5FE7" w:rsidRPr="000D51FC" w14:paraId="460968CA" w14:textId="77777777" w:rsidTr="00A64D0F">
        <w:trPr>
          <w:cnfStyle w:val="000000100000" w:firstRow="0" w:lastRow="0" w:firstColumn="0" w:lastColumn="0" w:oddVBand="0" w:evenVBand="0" w:oddHBand="1" w:evenHBand="0" w:firstRowFirstColumn="0" w:firstRowLastColumn="0" w:lastRowFirstColumn="0" w:lastRowLastColumn="0"/>
          <w:trHeight w:val="65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CA3D9C" w14:textId="77777777" w:rsidR="000D5FE7" w:rsidRPr="000D51FC" w:rsidRDefault="000D5FE7" w:rsidP="000D51FC">
            <w:pPr>
              <w:spacing w:after="160" w:line="360" w:lineRule="auto"/>
              <w:rPr>
                <w:rFonts w:ascii="Arial" w:hAnsi="Arial" w:cs="Arial"/>
                <w:color w:val="FFFFFF" w:themeColor="background1"/>
              </w:rPr>
            </w:pPr>
            <w:r w:rsidRPr="000D51FC">
              <w:rPr>
                <w:rFonts w:ascii="Arial" w:hAnsi="Arial" w:cs="Arial"/>
                <w:color w:val="FFFFFF" w:themeColor="background1"/>
              </w:rPr>
              <w:t>NPV</w:t>
            </w:r>
          </w:p>
        </w:tc>
        <w:tc>
          <w:tcPr>
            <w:tcW w:w="0" w:type="auto"/>
            <w:hideMark/>
          </w:tcPr>
          <w:p w14:paraId="63AA5EF0"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£1.33m</w:t>
            </w:r>
          </w:p>
        </w:tc>
        <w:tc>
          <w:tcPr>
            <w:tcW w:w="0" w:type="auto"/>
            <w:hideMark/>
          </w:tcPr>
          <w:p w14:paraId="1A091227"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–£7.25m</w:t>
            </w:r>
          </w:p>
        </w:tc>
        <w:tc>
          <w:tcPr>
            <w:tcW w:w="0" w:type="auto"/>
            <w:hideMark/>
          </w:tcPr>
          <w:p w14:paraId="690A2A66"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£4.25m</w:t>
            </w:r>
          </w:p>
        </w:tc>
      </w:tr>
      <w:tr w:rsidR="000D5FE7" w:rsidRPr="000D51FC" w14:paraId="75D88A08" w14:textId="77777777" w:rsidTr="00A64D0F">
        <w:trPr>
          <w:trHeight w:val="66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05F023" w14:textId="77777777" w:rsidR="000D5FE7" w:rsidRPr="000D51FC" w:rsidRDefault="000D5FE7" w:rsidP="000D51FC">
            <w:pPr>
              <w:spacing w:after="160" w:line="360" w:lineRule="auto"/>
              <w:rPr>
                <w:rFonts w:ascii="Arial" w:hAnsi="Arial" w:cs="Arial"/>
                <w:color w:val="FFFFFF" w:themeColor="background1"/>
              </w:rPr>
            </w:pPr>
            <w:r w:rsidRPr="000D51FC">
              <w:rPr>
                <w:rFonts w:ascii="Arial" w:hAnsi="Arial" w:cs="Arial"/>
                <w:color w:val="FFFFFF" w:themeColor="background1"/>
              </w:rPr>
              <w:t>PI</w:t>
            </w:r>
          </w:p>
        </w:tc>
        <w:tc>
          <w:tcPr>
            <w:tcW w:w="0" w:type="auto"/>
            <w:hideMark/>
          </w:tcPr>
          <w:p w14:paraId="68DA57FD" w14:textId="77777777" w:rsidR="000D5FE7" w:rsidRPr="000D51FC" w:rsidRDefault="000D5FE7"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1.03</w:t>
            </w:r>
          </w:p>
        </w:tc>
        <w:tc>
          <w:tcPr>
            <w:tcW w:w="0" w:type="auto"/>
            <w:hideMark/>
          </w:tcPr>
          <w:p w14:paraId="1B6E66B2" w14:textId="77777777" w:rsidR="000D5FE7" w:rsidRPr="000D51FC" w:rsidRDefault="000D5FE7"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0.76</w:t>
            </w:r>
          </w:p>
        </w:tc>
        <w:tc>
          <w:tcPr>
            <w:tcW w:w="0" w:type="auto"/>
            <w:hideMark/>
          </w:tcPr>
          <w:p w14:paraId="75666FB6" w14:textId="77777777" w:rsidR="000D5FE7" w:rsidRPr="000D51FC" w:rsidRDefault="000D5FE7"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1.08</w:t>
            </w:r>
          </w:p>
        </w:tc>
      </w:tr>
      <w:tr w:rsidR="000D5FE7" w:rsidRPr="000D51FC" w14:paraId="67A5F493" w14:textId="77777777" w:rsidTr="00A64D0F">
        <w:trPr>
          <w:cnfStyle w:val="000000100000" w:firstRow="0" w:lastRow="0" w:firstColumn="0" w:lastColumn="0" w:oddVBand="0" w:evenVBand="0" w:oddHBand="1" w:evenHBand="0" w:firstRowFirstColumn="0" w:firstRowLastColumn="0" w:lastRowFirstColumn="0" w:lastRowLastColumn="0"/>
          <w:trHeight w:val="65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344AEC" w14:textId="77777777" w:rsidR="000D5FE7" w:rsidRPr="000D51FC" w:rsidRDefault="000D5FE7" w:rsidP="000D51FC">
            <w:pPr>
              <w:spacing w:after="160" w:line="360" w:lineRule="auto"/>
              <w:rPr>
                <w:rFonts w:ascii="Arial" w:hAnsi="Arial" w:cs="Arial"/>
                <w:color w:val="FFFFFF" w:themeColor="background1"/>
              </w:rPr>
            </w:pPr>
            <w:r w:rsidRPr="000D51FC">
              <w:rPr>
                <w:rFonts w:ascii="Arial" w:hAnsi="Arial" w:cs="Arial"/>
                <w:color w:val="FFFFFF" w:themeColor="background1"/>
              </w:rPr>
              <w:t>IRR</w:t>
            </w:r>
          </w:p>
        </w:tc>
        <w:tc>
          <w:tcPr>
            <w:tcW w:w="0" w:type="auto"/>
            <w:hideMark/>
          </w:tcPr>
          <w:p w14:paraId="642AF681"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11–12%</w:t>
            </w:r>
          </w:p>
        </w:tc>
        <w:tc>
          <w:tcPr>
            <w:tcW w:w="0" w:type="auto"/>
            <w:hideMark/>
          </w:tcPr>
          <w:p w14:paraId="5F3FAA99"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4–5%</w:t>
            </w:r>
          </w:p>
        </w:tc>
        <w:tc>
          <w:tcPr>
            <w:tcW w:w="0" w:type="auto"/>
            <w:hideMark/>
          </w:tcPr>
          <w:p w14:paraId="28809377" w14:textId="77777777" w:rsidR="000D5FE7" w:rsidRPr="000D51FC" w:rsidRDefault="000D5FE7"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12–13%</w:t>
            </w:r>
          </w:p>
        </w:tc>
      </w:tr>
    </w:tbl>
    <w:p w14:paraId="50BF71B6" w14:textId="77777777" w:rsidR="00E3503F" w:rsidRPr="000D51FC" w:rsidRDefault="00E3503F" w:rsidP="000D51FC">
      <w:pPr>
        <w:spacing w:line="360" w:lineRule="auto"/>
        <w:ind w:left="0" w:firstLine="0"/>
        <w:rPr>
          <w:rFonts w:ascii="Arial" w:hAnsi="Arial" w:cs="Arial"/>
          <w:lang w:val="en-IN" w:eastAsia="en-GB"/>
        </w:rPr>
      </w:pPr>
    </w:p>
    <w:p w14:paraId="76170053" w14:textId="77777777" w:rsidR="00115D74" w:rsidRPr="000D51FC" w:rsidRDefault="00115D74" w:rsidP="000D51FC">
      <w:pPr>
        <w:spacing w:line="360" w:lineRule="auto"/>
        <w:ind w:left="0" w:firstLine="0"/>
        <w:rPr>
          <w:rFonts w:ascii="Arial" w:hAnsi="Arial" w:cs="Arial"/>
        </w:rPr>
      </w:pPr>
      <w:r w:rsidRPr="000D51FC">
        <w:rPr>
          <w:rFonts w:ascii="Arial" w:hAnsi="Arial" w:cs="Arial"/>
        </w:rPr>
        <w:t>Project C certainly outperforms on nearly all measures: highest return, highest value creation, and best profitability indicators.</w:t>
      </w:r>
    </w:p>
    <w:p w14:paraId="6DEA3AA9" w14:textId="531C73B4" w:rsidR="00115D74" w:rsidRPr="000D51FC" w:rsidRDefault="00115D74" w:rsidP="000D51FC">
      <w:pPr>
        <w:spacing w:line="360" w:lineRule="auto"/>
        <w:ind w:left="0" w:firstLine="0"/>
        <w:rPr>
          <w:rFonts w:ascii="Arial" w:hAnsi="Arial" w:cs="Arial"/>
        </w:rPr>
      </w:pPr>
      <w:r w:rsidRPr="000D51FC">
        <w:rPr>
          <w:rFonts w:ascii="Arial" w:hAnsi="Arial" w:cs="Arial"/>
        </w:rPr>
        <w:lastRenderedPageBreak/>
        <w:t xml:space="preserve">Project A is acceptable but does not </w:t>
      </w:r>
      <w:r w:rsidR="00473434" w:rsidRPr="000D51FC">
        <w:rPr>
          <w:rFonts w:ascii="Arial" w:hAnsi="Arial" w:cs="Arial"/>
        </w:rPr>
        <w:t>maximize</w:t>
      </w:r>
      <w:r w:rsidRPr="000D51FC">
        <w:rPr>
          <w:rFonts w:ascii="Arial" w:hAnsi="Arial" w:cs="Arial"/>
        </w:rPr>
        <w:t xml:space="preserve"> limited resources.</w:t>
      </w:r>
    </w:p>
    <w:p w14:paraId="12FC8772" w14:textId="3AB9A917" w:rsidR="000D1FE3" w:rsidRPr="000D51FC" w:rsidRDefault="00115D74" w:rsidP="000D51FC">
      <w:pPr>
        <w:spacing w:line="360" w:lineRule="auto"/>
        <w:ind w:left="0" w:firstLine="0"/>
        <w:rPr>
          <w:rFonts w:ascii="Arial" w:hAnsi="Arial" w:cs="Arial"/>
        </w:rPr>
      </w:pPr>
      <w:r w:rsidRPr="000D51FC">
        <w:rPr>
          <w:rFonts w:ascii="Arial" w:hAnsi="Arial" w:cs="Arial"/>
        </w:rPr>
        <w:t>Project B should be rejected outright; it diminishes shareholder value.</w:t>
      </w:r>
    </w:p>
    <w:p w14:paraId="0D6319CE" w14:textId="51118B04" w:rsidR="00115D74" w:rsidRPr="000D51FC" w:rsidRDefault="00115D74" w:rsidP="000D51FC">
      <w:pPr>
        <w:spacing w:line="360" w:lineRule="auto"/>
        <w:ind w:left="0" w:firstLine="0"/>
        <w:rPr>
          <w:rFonts w:ascii="Arial" w:hAnsi="Arial" w:cs="Arial"/>
          <w:b/>
          <w:bCs/>
        </w:rPr>
      </w:pPr>
      <w:r w:rsidRPr="000D51FC">
        <w:rPr>
          <w:rFonts w:ascii="Arial" w:hAnsi="Arial" w:cs="Arial"/>
          <w:b/>
          <w:bCs/>
        </w:rPr>
        <w:t>Risk Analysis</w:t>
      </w:r>
    </w:p>
    <w:p w14:paraId="5054F3B9" w14:textId="3EC64220" w:rsidR="00115D74" w:rsidRPr="000D51FC" w:rsidRDefault="00115D74" w:rsidP="000D51FC">
      <w:pPr>
        <w:pStyle w:val="ListParagraph"/>
        <w:numPr>
          <w:ilvl w:val="0"/>
          <w:numId w:val="40"/>
        </w:numPr>
        <w:spacing w:line="360" w:lineRule="auto"/>
        <w:rPr>
          <w:rFonts w:ascii="Arial" w:hAnsi="Arial" w:cs="Arial"/>
        </w:rPr>
      </w:pPr>
      <w:r w:rsidRPr="000D51FC">
        <w:rPr>
          <w:rFonts w:ascii="Arial" w:hAnsi="Arial" w:cs="Arial"/>
        </w:rPr>
        <w:t>Project A offers stable and predictable cash flows relevant in the current liquidity crisis.</w:t>
      </w:r>
    </w:p>
    <w:p w14:paraId="164A6970" w14:textId="18207BDC" w:rsidR="00115D74" w:rsidRPr="000D51FC" w:rsidRDefault="00115D74" w:rsidP="000D51FC">
      <w:pPr>
        <w:pStyle w:val="ListParagraph"/>
        <w:numPr>
          <w:ilvl w:val="0"/>
          <w:numId w:val="40"/>
        </w:numPr>
        <w:spacing w:line="360" w:lineRule="auto"/>
        <w:rPr>
          <w:rFonts w:ascii="Arial" w:hAnsi="Arial" w:cs="Arial"/>
        </w:rPr>
      </w:pPr>
      <w:r w:rsidRPr="000D51FC">
        <w:rPr>
          <w:rFonts w:ascii="Arial" w:hAnsi="Arial" w:cs="Arial"/>
        </w:rPr>
        <w:t>Project C provides higher returns, the early years exhibit inflows that are on the low side, which could lead to short-term cash stress. This risk could be mitigated by improvements in working capital and availability of short-term borrowing lines.</w:t>
      </w:r>
    </w:p>
    <w:p w14:paraId="6A9CAE0D" w14:textId="053C0D48" w:rsidR="00473434" w:rsidRPr="000D51FC" w:rsidRDefault="00115D74" w:rsidP="000D51FC">
      <w:pPr>
        <w:pStyle w:val="ListParagraph"/>
        <w:numPr>
          <w:ilvl w:val="0"/>
          <w:numId w:val="40"/>
        </w:numPr>
        <w:spacing w:line="360" w:lineRule="auto"/>
        <w:rPr>
          <w:rFonts w:ascii="Arial" w:hAnsi="Arial" w:cs="Arial"/>
        </w:rPr>
      </w:pPr>
      <w:r w:rsidRPr="000D51FC">
        <w:rPr>
          <w:rFonts w:ascii="Arial" w:hAnsi="Arial" w:cs="Arial"/>
        </w:rPr>
        <w:t>Project B has a high risk with inadequate return.</w:t>
      </w:r>
    </w:p>
    <w:p w14:paraId="552BF657" w14:textId="238E22FF" w:rsidR="00115D74" w:rsidRPr="000D51FC" w:rsidRDefault="00115D74" w:rsidP="000D51FC">
      <w:pPr>
        <w:spacing w:line="360" w:lineRule="auto"/>
        <w:ind w:left="0" w:firstLine="0"/>
        <w:rPr>
          <w:rFonts w:ascii="Arial" w:hAnsi="Arial" w:cs="Arial"/>
          <w:b/>
          <w:bCs/>
        </w:rPr>
      </w:pPr>
      <w:r w:rsidRPr="000D51FC">
        <w:rPr>
          <w:rFonts w:ascii="Arial" w:hAnsi="Arial" w:cs="Arial"/>
          <w:b/>
          <w:bCs/>
        </w:rPr>
        <w:t>Capital Rationing Conclusion</w:t>
      </w:r>
    </w:p>
    <w:p w14:paraId="2D393778" w14:textId="1EE1683B" w:rsidR="00115D74" w:rsidRPr="000D51FC" w:rsidRDefault="00115D74" w:rsidP="000D51FC">
      <w:pPr>
        <w:spacing w:line="360" w:lineRule="auto"/>
        <w:ind w:left="0" w:firstLine="0"/>
        <w:rPr>
          <w:rFonts w:ascii="Arial" w:hAnsi="Arial" w:cs="Arial"/>
        </w:rPr>
      </w:pPr>
      <w:r w:rsidRPr="000D51FC">
        <w:rPr>
          <w:rFonts w:ascii="Arial" w:hAnsi="Arial" w:cs="Arial"/>
        </w:rPr>
        <w:t>Given only £60m is available:</w:t>
      </w:r>
    </w:p>
    <w:p w14:paraId="66A9ED08" w14:textId="77777777" w:rsidR="00115D74" w:rsidRPr="000D51FC" w:rsidRDefault="00115D74" w:rsidP="000D51FC">
      <w:pPr>
        <w:pStyle w:val="ListParagraph"/>
        <w:numPr>
          <w:ilvl w:val="0"/>
          <w:numId w:val="43"/>
        </w:numPr>
        <w:spacing w:before="160" w:after="160" w:line="360" w:lineRule="auto"/>
        <w:rPr>
          <w:rFonts w:ascii="Arial" w:hAnsi="Arial" w:cs="Arial"/>
        </w:rPr>
      </w:pPr>
      <w:r w:rsidRPr="000D51FC">
        <w:rPr>
          <w:rFonts w:ascii="Arial" w:hAnsi="Arial" w:cs="Arial"/>
          <w:b/>
          <w:bCs/>
        </w:rPr>
        <w:t>A + B = £70m (not feasible)</w:t>
      </w:r>
    </w:p>
    <w:p w14:paraId="1FF73CD3" w14:textId="77777777" w:rsidR="00115D74" w:rsidRPr="000D51FC" w:rsidRDefault="00115D74" w:rsidP="000D51FC">
      <w:pPr>
        <w:pStyle w:val="ListParagraph"/>
        <w:numPr>
          <w:ilvl w:val="0"/>
          <w:numId w:val="43"/>
        </w:numPr>
        <w:spacing w:before="160" w:after="160" w:line="360" w:lineRule="auto"/>
        <w:rPr>
          <w:rFonts w:ascii="Arial" w:hAnsi="Arial" w:cs="Arial"/>
        </w:rPr>
      </w:pPr>
      <w:r w:rsidRPr="000D51FC">
        <w:rPr>
          <w:rFonts w:ascii="Arial" w:hAnsi="Arial" w:cs="Arial"/>
          <w:b/>
          <w:bCs/>
        </w:rPr>
        <w:t>A + C = £90m (not feasible)</w:t>
      </w:r>
    </w:p>
    <w:p w14:paraId="6AE53A39" w14:textId="77777777" w:rsidR="00115D74" w:rsidRPr="000D51FC" w:rsidRDefault="00115D74" w:rsidP="000D51FC">
      <w:pPr>
        <w:pStyle w:val="ListParagraph"/>
        <w:numPr>
          <w:ilvl w:val="0"/>
          <w:numId w:val="43"/>
        </w:numPr>
        <w:spacing w:before="160" w:after="160" w:line="360" w:lineRule="auto"/>
        <w:rPr>
          <w:rFonts w:ascii="Arial" w:hAnsi="Arial" w:cs="Arial"/>
        </w:rPr>
      </w:pPr>
      <w:r w:rsidRPr="000D51FC">
        <w:rPr>
          <w:rFonts w:ascii="Arial" w:hAnsi="Arial" w:cs="Arial"/>
          <w:b/>
          <w:bCs/>
        </w:rPr>
        <w:t>B + C = £80m (not feasible)</w:t>
      </w:r>
    </w:p>
    <w:p w14:paraId="76F79929" w14:textId="77777777" w:rsidR="00115D74" w:rsidRPr="000D51FC" w:rsidRDefault="00115D74" w:rsidP="000D51FC">
      <w:pPr>
        <w:pStyle w:val="ListParagraph"/>
        <w:numPr>
          <w:ilvl w:val="0"/>
          <w:numId w:val="43"/>
        </w:numPr>
        <w:spacing w:before="160" w:after="160" w:line="360" w:lineRule="auto"/>
        <w:rPr>
          <w:rFonts w:ascii="Arial" w:hAnsi="Arial" w:cs="Arial"/>
        </w:rPr>
      </w:pPr>
      <w:r w:rsidRPr="000D51FC">
        <w:rPr>
          <w:rFonts w:ascii="Arial" w:hAnsi="Arial" w:cs="Arial"/>
          <w:b/>
          <w:bCs/>
        </w:rPr>
        <w:t>Only A (£40m)</w:t>
      </w:r>
    </w:p>
    <w:p w14:paraId="13BBAEDC" w14:textId="77777777" w:rsidR="00115D74" w:rsidRPr="000D51FC" w:rsidRDefault="00115D74" w:rsidP="000D51FC">
      <w:pPr>
        <w:pStyle w:val="ListParagraph"/>
        <w:numPr>
          <w:ilvl w:val="0"/>
          <w:numId w:val="43"/>
        </w:numPr>
        <w:spacing w:before="160" w:after="160" w:line="360" w:lineRule="auto"/>
        <w:rPr>
          <w:rFonts w:ascii="Arial" w:hAnsi="Arial" w:cs="Arial"/>
        </w:rPr>
      </w:pPr>
      <w:r w:rsidRPr="000D51FC">
        <w:rPr>
          <w:rFonts w:ascii="Arial" w:hAnsi="Arial" w:cs="Arial"/>
          <w:b/>
          <w:bCs/>
        </w:rPr>
        <w:t>Only B (£30m)</w:t>
      </w:r>
    </w:p>
    <w:p w14:paraId="7F47202A" w14:textId="76FCD6FF" w:rsidR="00115D74" w:rsidRPr="000D51FC" w:rsidRDefault="00115D74" w:rsidP="000D51FC">
      <w:pPr>
        <w:pStyle w:val="ListParagraph"/>
        <w:numPr>
          <w:ilvl w:val="0"/>
          <w:numId w:val="43"/>
        </w:numPr>
        <w:spacing w:before="160" w:after="160" w:line="360" w:lineRule="auto"/>
        <w:rPr>
          <w:rFonts w:ascii="Arial" w:hAnsi="Arial" w:cs="Arial"/>
        </w:rPr>
      </w:pPr>
      <w:r w:rsidRPr="000D51FC">
        <w:rPr>
          <w:rFonts w:ascii="Arial" w:hAnsi="Arial" w:cs="Arial"/>
          <w:b/>
          <w:bCs/>
        </w:rPr>
        <w:t>Only C (£50m)</w:t>
      </w:r>
    </w:p>
    <w:p w14:paraId="7C2FFC17" w14:textId="57DD221C" w:rsidR="00115D74" w:rsidRPr="000D51FC" w:rsidRDefault="00115D74" w:rsidP="000D51FC">
      <w:pPr>
        <w:spacing w:line="360" w:lineRule="auto"/>
        <w:rPr>
          <w:rFonts w:ascii="Arial" w:hAnsi="Arial" w:cs="Arial"/>
        </w:rPr>
      </w:pPr>
      <w:r w:rsidRPr="000D51FC">
        <w:rPr>
          <w:rFonts w:ascii="Arial" w:hAnsi="Arial" w:cs="Arial"/>
        </w:rPr>
        <w:t>No combination of two projects is affordable</w:t>
      </w:r>
      <w:r w:rsidRPr="000D51FC">
        <w:rPr>
          <w:rFonts w:ascii="Arial" w:hAnsi="Arial" w:cs="Arial"/>
        </w:rPr>
        <w:t xml:space="preserve">, </w:t>
      </w:r>
      <w:r w:rsidR="00473434" w:rsidRPr="000D51FC">
        <w:rPr>
          <w:rFonts w:ascii="Arial" w:hAnsi="Arial" w:cs="Arial"/>
        </w:rPr>
        <w:t>only</w:t>
      </w:r>
      <w:r w:rsidRPr="000D51FC">
        <w:rPr>
          <w:rFonts w:ascii="Arial" w:hAnsi="Arial" w:cs="Arial"/>
        </w:rPr>
        <w:t xml:space="preserve"> one project can be selected.</w:t>
      </w:r>
    </w:p>
    <w:p w14:paraId="6195C43A" w14:textId="1229FA5C" w:rsidR="00115D74" w:rsidRPr="000D51FC" w:rsidRDefault="00115D74" w:rsidP="000D51FC">
      <w:pPr>
        <w:spacing w:line="360" w:lineRule="auto"/>
        <w:rPr>
          <w:rFonts w:ascii="Arial" w:hAnsi="Arial" w:cs="Arial"/>
        </w:rPr>
      </w:pPr>
      <w:r w:rsidRPr="000D51FC">
        <w:rPr>
          <w:rFonts w:ascii="Arial" w:hAnsi="Arial" w:cs="Arial"/>
        </w:rPr>
        <w:t>The financially and strategically best option is Project C.</w:t>
      </w:r>
    </w:p>
    <w:p w14:paraId="3D2A1C27" w14:textId="4995CD5F" w:rsidR="00115D74" w:rsidRPr="000D51FC" w:rsidRDefault="00115D74" w:rsidP="000D51FC">
      <w:pPr>
        <w:spacing w:line="360" w:lineRule="auto"/>
        <w:ind w:left="0" w:firstLine="0"/>
        <w:rPr>
          <w:rFonts w:ascii="Arial" w:hAnsi="Arial" w:cs="Arial"/>
        </w:rPr>
      </w:pPr>
      <w:r w:rsidRPr="000D51FC">
        <w:rPr>
          <w:rFonts w:ascii="Arial" w:hAnsi="Arial" w:cs="Arial"/>
        </w:rPr>
        <w:t>It maximizes shareholder return, secures long-term competitiveness, and is also in line with the overall restructuring strategy.</w:t>
      </w:r>
    </w:p>
    <w:p w14:paraId="4B0A0617" w14:textId="2FCE789D" w:rsidR="00955619" w:rsidRPr="000D51FC" w:rsidRDefault="00955619" w:rsidP="000D51FC">
      <w:pPr>
        <w:spacing w:line="360" w:lineRule="auto"/>
        <w:ind w:left="0" w:firstLine="0"/>
        <w:rPr>
          <w:rFonts w:ascii="Arial" w:hAnsi="Arial" w:cs="Arial"/>
          <w:b/>
          <w:bCs/>
        </w:rPr>
      </w:pPr>
      <w:r w:rsidRPr="000D51FC">
        <w:rPr>
          <w:rFonts w:ascii="Arial" w:hAnsi="Arial" w:cs="Arial"/>
          <w:b/>
          <w:bCs/>
        </w:rPr>
        <w:t>Final Recommendation</w:t>
      </w:r>
    </w:p>
    <w:p w14:paraId="6577C3CA" w14:textId="15C02741" w:rsidR="00955619" w:rsidRPr="000D51FC" w:rsidRDefault="00955619" w:rsidP="000D51FC">
      <w:pPr>
        <w:spacing w:line="360" w:lineRule="auto"/>
        <w:ind w:left="0" w:firstLine="0"/>
        <w:rPr>
          <w:rFonts w:ascii="Arial" w:hAnsi="Arial" w:cs="Arial"/>
        </w:rPr>
      </w:pPr>
      <w:r w:rsidRPr="000D51FC">
        <w:rPr>
          <w:rFonts w:ascii="Arial" w:hAnsi="Arial" w:cs="Arial"/>
        </w:rPr>
        <w:t>General Electronics should invest in Project C and reject Projects A and B</w:t>
      </w:r>
      <w:r w:rsidRPr="000D51FC">
        <w:rPr>
          <w:rFonts w:ascii="Arial" w:hAnsi="Arial" w:cs="Arial"/>
        </w:rPr>
        <w:t xml:space="preserve">, </w:t>
      </w:r>
      <w:r w:rsidRPr="000D51FC">
        <w:rPr>
          <w:rFonts w:ascii="Arial" w:hAnsi="Arial" w:cs="Arial"/>
        </w:rPr>
        <w:t xml:space="preserve">because it </w:t>
      </w:r>
      <w:r w:rsidR="00473434" w:rsidRPr="000D51FC">
        <w:rPr>
          <w:rFonts w:ascii="Arial" w:hAnsi="Arial" w:cs="Arial"/>
        </w:rPr>
        <w:t>maximizes</w:t>
      </w:r>
      <w:r w:rsidRPr="000D51FC">
        <w:rPr>
          <w:rFonts w:ascii="Arial" w:hAnsi="Arial" w:cs="Arial"/>
        </w:rPr>
        <w:t xml:space="preserve"> shareholder value with the maximum NPV (£4.25m), PI (1.08), and IRR (12-13%). Though Project C demands careful liquidity management in its initial phases, it is the only option that maximizes value, enhances profitability in the future, and supports financial recovery.</w:t>
      </w:r>
    </w:p>
    <w:p w14:paraId="6B90668B" w14:textId="3BB38AAD" w:rsidR="00E86CA5" w:rsidRPr="000D51FC" w:rsidRDefault="00E86CA5" w:rsidP="000D51FC">
      <w:pPr>
        <w:pStyle w:val="Heading1"/>
        <w:spacing w:after="214" w:line="360" w:lineRule="auto"/>
        <w:ind w:left="-5" w:right="12"/>
        <w:jc w:val="both"/>
        <w:rPr>
          <w:rFonts w:ascii="Arial" w:hAnsi="Arial" w:cs="Arial"/>
        </w:rPr>
      </w:pPr>
      <w:bookmarkStart w:id="6" w:name="_Toc214851166"/>
      <w:r w:rsidRPr="000D51FC">
        <w:rPr>
          <w:rFonts w:ascii="Arial" w:hAnsi="Arial" w:cs="Arial"/>
        </w:rPr>
        <w:lastRenderedPageBreak/>
        <w:t>Conclusion</w:t>
      </w:r>
      <w:bookmarkEnd w:id="6"/>
    </w:p>
    <w:p w14:paraId="144176D4" w14:textId="7AE83795" w:rsidR="000C02D5" w:rsidRPr="000D51FC" w:rsidRDefault="000C02D5" w:rsidP="000D51FC">
      <w:pPr>
        <w:spacing w:line="360" w:lineRule="auto"/>
        <w:rPr>
          <w:rFonts w:ascii="Arial" w:hAnsi="Arial" w:cs="Arial"/>
          <w:lang w:val="en-IN" w:eastAsia="en-GB"/>
        </w:rPr>
      </w:pPr>
      <w:r w:rsidRPr="000D51FC">
        <w:rPr>
          <w:rFonts w:ascii="Arial" w:hAnsi="Arial" w:cs="Arial"/>
          <w:lang w:val="en-IN" w:eastAsia="en-GB"/>
        </w:rPr>
        <w:t>This financial analysis has identified a number of key problems the business is presently facing, relating to its falling profitability, poor earnings, and underlying capital structure issues that have raised its financial risk. Earnings per share have continued to show large fluctuations and negative returns in recent years, which indicate lower levels of value generated for shareholders. In addition, there are signs of solvency pressures due to increasing levels of debt and a restricted liquidity position that gives little choice for operational flexibility.</w:t>
      </w:r>
      <w:r w:rsidRPr="000D51FC">
        <w:rPr>
          <w:rFonts w:ascii="Arial" w:hAnsi="Arial" w:cs="Arial"/>
          <w:lang w:val="en-IN" w:eastAsia="en-GB"/>
        </w:rPr>
        <w:t xml:space="preserve"> </w:t>
      </w:r>
      <w:r w:rsidRPr="000D51FC">
        <w:rPr>
          <w:rFonts w:ascii="Arial" w:hAnsi="Arial" w:cs="Arial"/>
          <w:lang w:val="en-IN" w:eastAsia="en-GB"/>
        </w:rPr>
        <w:t>(Brealey et al., 2020).</w:t>
      </w:r>
    </w:p>
    <w:p w14:paraId="5CC2AD1A" w14:textId="16311517" w:rsidR="000C02D5" w:rsidRPr="000D51FC" w:rsidRDefault="000C02D5" w:rsidP="000D51FC">
      <w:pPr>
        <w:spacing w:line="360" w:lineRule="auto"/>
        <w:rPr>
          <w:rFonts w:ascii="Arial" w:hAnsi="Arial" w:cs="Arial"/>
          <w:lang w:val="en-IN" w:eastAsia="en-GB"/>
        </w:rPr>
      </w:pPr>
      <w:r w:rsidRPr="000D51FC">
        <w:rPr>
          <w:rFonts w:ascii="Arial" w:hAnsi="Arial" w:cs="Arial"/>
          <w:lang w:val="en-IN" w:eastAsia="en-GB"/>
        </w:rPr>
        <w:t>It is expected that these turnaround initiatives will have a stabilising effect by restoring short-term cash flow and long-term financial resilience. Such initiatives as reduction of inventory level, enhancement of receivables collection, and restructuring of financing will enhance liquidity and reduce dependence on high-cost debt. Capital investment appraisal results also suggest that focusing on value-enhancing projects with positive NPV and strong IRR performance will support long-term strategic growth and improved shareholder returns.</w:t>
      </w:r>
      <w:r w:rsidRPr="000D51FC">
        <w:rPr>
          <w:rFonts w:ascii="Arial" w:hAnsi="Arial" w:cs="Arial"/>
          <w:lang w:val="en-IN" w:eastAsia="en-GB"/>
        </w:rPr>
        <w:t xml:space="preserve"> </w:t>
      </w:r>
      <w:r w:rsidRPr="000D51FC">
        <w:rPr>
          <w:rFonts w:ascii="Arial" w:hAnsi="Arial" w:cs="Arial"/>
          <w:lang w:val="en-IN" w:eastAsia="en-GB"/>
        </w:rPr>
        <w:t>(Brigham &amp; Ehrhardt, 2022).</w:t>
      </w:r>
    </w:p>
    <w:p w14:paraId="667D041C" w14:textId="3377B715" w:rsidR="000C02D5" w:rsidRPr="000D51FC" w:rsidRDefault="000C02D5" w:rsidP="000D51FC">
      <w:pPr>
        <w:spacing w:line="360" w:lineRule="auto"/>
        <w:rPr>
          <w:rFonts w:ascii="Arial" w:hAnsi="Arial" w:cs="Arial"/>
          <w:lang w:val="en-IN" w:eastAsia="en-GB"/>
        </w:rPr>
      </w:pPr>
      <w:r w:rsidRPr="000D51FC">
        <w:rPr>
          <w:rFonts w:ascii="Arial" w:hAnsi="Arial" w:cs="Arial"/>
          <w:lang w:val="en-IN" w:eastAsia="en-GB"/>
        </w:rPr>
        <w:t>The future financial perspective may show signs of recovery if the company proceeds with strict cost discipline, operational efficiency, and profitable investment decisions. The re-establishment of steady dividends and earnings growth will be imperative in restoring investor confidence. The sum of operational improvement and disciplined capital management can thereby help the business to regain solvency and competitiveness in achieving an upward trajectory of sustainable growth in the future (Hillier et al., 2021).</w:t>
      </w:r>
    </w:p>
    <w:p w14:paraId="021E8CBD" w14:textId="77777777" w:rsidR="00D25916" w:rsidRDefault="00D25916" w:rsidP="0070740D">
      <w:pPr>
        <w:spacing w:line="360" w:lineRule="auto"/>
        <w:ind w:left="0" w:firstLine="0"/>
        <w:rPr>
          <w:rFonts w:ascii="Arial" w:hAnsi="Arial" w:cs="Arial"/>
          <w:lang w:val="en-IN" w:eastAsia="en-GB"/>
        </w:rPr>
      </w:pPr>
    </w:p>
    <w:p w14:paraId="287022C1" w14:textId="77777777" w:rsidR="00D70911" w:rsidRDefault="00D70911" w:rsidP="0070740D">
      <w:pPr>
        <w:spacing w:line="360" w:lineRule="auto"/>
        <w:ind w:left="0" w:firstLine="0"/>
        <w:rPr>
          <w:rFonts w:ascii="Arial" w:hAnsi="Arial" w:cs="Arial"/>
          <w:lang w:val="en-IN" w:eastAsia="en-GB"/>
        </w:rPr>
      </w:pPr>
    </w:p>
    <w:p w14:paraId="0F3479B1" w14:textId="77777777" w:rsidR="00D70911" w:rsidRDefault="00D70911" w:rsidP="0070740D">
      <w:pPr>
        <w:spacing w:line="360" w:lineRule="auto"/>
        <w:ind w:left="0" w:firstLine="0"/>
        <w:rPr>
          <w:rFonts w:ascii="Arial" w:hAnsi="Arial" w:cs="Arial"/>
          <w:lang w:val="en-IN" w:eastAsia="en-GB"/>
        </w:rPr>
      </w:pPr>
    </w:p>
    <w:p w14:paraId="5221FF46" w14:textId="77777777" w:rsidR="00D70911" w:rsidRDefault="00D70911" w:rsidP="0070740D">
      <w:pPr>
        <w:spacing w:line="360" w:lineRule="auto"/>
        <w:ind w:left="0" w:firstLine="0"/>
        <w:rPr>
          <w:rFonts w:ascii="Arial" w:hAnsi="Arial" w:cs="Arial"/>
          <w:lang w:val="en-IN" w:eastAsia="en-GB"/>
        </w:rPr>
      </w:pPr>
    </w:p>
    <w:p w14:paraId="29B81618" w14:textId="77777777" w:rsidR="00D70911" w:rsidRDefault="00D70911" w:rsidP="0070740D">
      <w:pPr>
        <w:spacing w:line="360" w:lineRule="auto"/>
        <w:ind w:left="0" w:firstLine="0"/>
        <w:rPr>
          <w:rFonts w:ascii="Arial" w:hAnsi="Arial" w:cs="Arial"/>
          <w:lang w:val="en-IN" w:eastAsia="en-GB"/>
        </w:rPr>
      </w:pPr>
    </w:p>
    <w:p w14:paraId="14677492" w14:textId="77777777" w:rsidR="00D70911" w:rsidRPr="000D51FC" w:rsidRDefault="00D70911" w:rsidP="0070740D">
      <w:pPr>
        <w:spacing w:line="360" w:lineRule="auto"/>
        <w:ind w:left="0" w:firstLine="0"/>
        <w:rPr>
          <w:rFonts w:ascii="Arial" w:hAnsi="Arial" w:cs="Arial"/>
          <w:lang w:val="en-IN" w:eastAsia="en-GB"/>
        </w:rPr>
      </w:pPr>
    </w:p>
    <w:p w14:paraId="0E6131A5" w14:textId="776D7342" w:rsidR="00D20632" w:rsidRPr="000D51FC" w:rsidRDefault="00D20632" w:rsidP="000D51FC">
      <w:pPr>
        <w:pStyle w:val="Heading1"/>
        <w:spacing w:after="214" w:line="360" w:lineRule="auto"/>
        <w:ind w:left="-5" w:right="12"/>
        <w:jc w:val="both"/>
        <w:rPr>
          <w:rFonts w:ascii="Arial" w:hAnsi="Arial" w:cs="Arial"/>
        </w:rPr>
      </w:pPr>
      <w:bookmarkStart w:id="7" w:name="_Toc214851167"/>
      <w:r w:rsidRPr="000D51FC">
        <w:rPr>
          <w:rFonts w:ascii="Arial" w:hAnsi="Arial" w:cs="Arial"/>
        </w:rPr>
        <w:lastRenderedPageBreak/>
        <w:t>Appen</w:t>
      </w:r>
      <w:r w:rsidR="00D25916" w:rsidRPr="000D51FC">
        <w:rPr>
          <w:rFonts w:ascii="Arial" w:hAnsi="Arial" w:cs="Arial"/>
        </w:rPr>
        <w:t>dices</w:t>
      </w:r>
      <w:bookmarkEnd w:id="7"/>
    </w:p>
    <w:p w14:paraId="284DDD22" w14:textId="201F3890" w:rsidR="00D20632" w:rsidRPr="000D51FC" w:rsidRDefault="00D25916" w:rsidP="000D51FC">
      <w:pPr>
        <w:spacing w:line="360" w:lineRule="auto"/>
        <w:rPr>
          <w:rFonts w:ascii="Arial" w:hAnsi="Arial" w:cs="Arial"/>
          <w:lang w:val="en-IN" w:eastAsia="en-GB"/>
        </w:rPr>
      </w:pPr>
      <w:r w:rsidRPr="000D51FC">
        <w:rPr>
          <w:rFonts w:ascii="Arial" w:hAnsi="Arial" w:cs="Arial"/>
          <w:lang w:val="en-IN" w:eastAsia="en-GB"/>
        </w:rPr>
        <w:t>Appendices: Full Ratio Tables</w:t>
      </w:r>
    </w:p>
    <w:p w14:paraId="41CC29E5" w14:textId="3C7439CC" w:rsidR="00D25916" w:rsidRPr="000D51FC" w:rsidRDefault="00BB7DDC" w:rsidP="000D51FC">
      <w:pPr>
        <w:spacing w:line="360" w:lineRule="auto"/>
        <w:jc w:val="center"/>
        <w:rPr>
          <w:rFonts w:ascii="Arial" w:hAnsi="Arial" w:cs="Arial"/>
          <w:b/>
          <w:bCs/>
          <w:lang w:val="en-IN" w:eastAsia="en-GB"/>
        </w:rPr>
      </w:pPr>
      <w:r w:rsidRPr="000D51FC">
        <w:rPr>
          <w:rFonts w:ascii="Arial" w:hAnsi="Arial" w:cs="Arial"/>
          <w:b/>
          <w:bCs/>
          <w:lang w:val="en-IN" w:eastAsia="en-GB"/>
        </w:rPr>
        <w:t>A</w:t>
      </w:r>
      <w:r w:rsidR="00D25916" w:rsidRPr="000D51FC">
        <w:rPr>
          <w:rFonts w:ascii="Arial" w:hAnsi="Arial" w:cs="Arial"/>
          <w:b/>
          <w:bCs/>
          <w:lang w:val="en-IN" w:eastAsia="en-GB"/>
        </w:rPr>
        <w:t>1. Profitability Ratios (2020 – 2024)</w:t>
      </w:r>
    </w:p>
    <w:tbl>
      <w:tblPr>
        <w:tblStyle w:val="GridTable5Dark-Accent4"/>
        <w:tblW w:w="10170" w:type="dxa"/>
        <w:jc w:val="center"/>
        <w:tblLook w:val="04A0" w:firstRow="1" w:lastRow="0" w:firstColumn="1" w:lastColumn="0" w:noHBand="0" w:noVBand="1"/>
      </w:tblPr>
      <w:tblGrid>
        <w:gridCol w:w="1470"/>
        <w:gridCol w:w="1723"/>
        <w:gridCol w:w="2070"/>
        <w:gridCol w:w="1723"/>
        <w:gridCol w:w="1461"/>
        <w:gridCol w:w="1723"/>
      </w:tblGrid>
      <w:tr w:rsidR="00D25916" w:rsidRPr="000D51FC" w14:paraId="4A389399" w14:textId="77777777" w:rsidTr="00D25916">
        <w:trPr>
          <w:cnfStyle w:val="100000000000" w:firstRow="1" w:lastRow="0" w:firstColumn="0" w:lastColumn="0" w:oddVBand="0" w:evenVBand="0" w:oddHBand="0" w:evenHBand="0" w:firstRowFirstColumn="0" w:firstRowLastColumn="0" w:lastRowFirstColumn="0" w:lastRowLastColumn="0"/>
          <w:trHeight w:val="1340"/>
          <w:jc w:val="center"/>
        </w:trPr>
        <w:tc>
          <w:tcPr>
            <w:cnfStyle w:val="001000000000" w:firstRow="0" w:lastRow="0" w:firstColumn="1" w:lastColumn="0" w:oddVBand="0" w:evenVBand="0" w:oddHBand="0" w:evenHBand="0" w:firstRowFirstColumn="0" w:firstRowLastColumn="0" w:lastRowFirstColumn="0" w:lastRowLastColumn="0"/>
            <w:tcW w:w="1470" w:type="dxa"/>
            <w:hideMark/>
          </w:tcPr>
          <w:p w14:paraId="6191CD13" w14:textId="77777777" w:rsidR="00D25916" w:rsidRPr="000D51FC" w:rsidRDefault="00D25916" w:rsidP="000D51FC">
            <w:pPr>
              <w:spacing w:before="160" w:after="160" w:line="360" w:lineRule="auto"/>
              <w:ind w:left="720" w:firstLine="0"/>
              <w:jc w:val="center"/>
              <w:rPr>
                <w:rFonts w:ascii="Arial" w:hAnsi="Arial" w:cs="Arial"/>
                <w:color w:val="F2F2F2" w:themeColor="background1" w:themeShade="F2"/>
                <w:lang w:val="en-IN"/>
              </w:rPr>
            </w:pPr>
            <w:r w:rsidRPr="000D51FC">
              <w:rPr>
                <w:rFonts w:ascii="Arial" w:hAnsi="Arial" w:cs="Arial"/>
                <w:color w:val="F2F2F2" w:themeColor="background1" w:themeShade="F2"/>
                <w:lang w:val="en-IN"/>
              </w:rPr>
              <w:t>Year</w:t>
            </w:r>
          </w:p>
        </w:tc>
        <w:tc>
          <w:tcPr>
            <w:tcW w:w="0" w:type="auto"/>
            <w:hideMark/>
          </w:tcPr>
          <w:p w14:paraId="317540B9" w14:textId="77777777" w:rsidR="00D25916" w:rsidRPr="000D51FC" w:rsidRDefault="00D25916"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Gross Profit Margin (%)</w:t>
            </w:r>
          </w:p>
        </w:tc>
        <w:tc>
          <w:tcPr>
            <w:tcW w:w="0" w:type="auto"/>
            <w:hideMark/>
          </w:tcPr>
          <w:p w14:paraId="7A40C57B" w14:textId="77777777" w:rsidR="00D25916" w:rsidRPr="000D51FC" w:rsidRDefault="00D25916"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Operating Margin (%)</w:t>
            </w:r>
          </w:p>
        </w:tc>
        <w:tc>
          <w:tcPr>
            <w:tcW w:w="0" w:type="auto"/>
            <w:hideMark/>
          </w:tcPr>
          <w:p w14:paraId="21E4FC71" w14:textId="77777777" w:rsidR="00D25916" w:rsidRPr="000D51FC" w:rsidRDefault="00D25916"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Net Profit Margin (%)</w:t>
            </w:r>
          </w:p>
        </w:tc>
        <w:tc>
          <w:tcPr>
            <w:tcW w:w="0" w:type="auto"/>
            <w:hideMark/>
          </w:tcPr>
          <w:p w14:paraId="68B53F29" w14:textId="77777777" w:rsidR="00D25916" w:rsidRPr="000D51FC" w:rsidRDefault="00D25916"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ROA (%)</w:t>
            </w:r>
          </w:p>
        </w:tc>
        <w:tc>
          <w:tcPr>
            <w:tcW w:w="1723" w:type="dxa"/>
            <w:hideMark/>
          </w:tcPr>
          <w:p w14:paraId="0C44E602" w14:textId="77777777" w:rsidR="00D25916" w:rsidRPr="000D51FC" w:rsidRDefault="00D25916"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ROE (%)</w:t>
            </w:r>
          </w:p>
        </w:tc>
      </w:tr>
      <w:tr w:rsidR="00D25916" w:rsidRPr="000D51FC" w14:paraId="78CBADB4" w14:textId="77777777" w:rsidTr="00D25916">
        <w:trPr>
          <w:cnfStyle w:val="000000100000" w:firstRow="0" w:lastRow="0" w:firstColumn="0" w:lastColumn="0" w:oddVBand="0" w:evenVBand="0" w:oddHBand="1" w:evenHBand="0" w:firstRowFirstColumn="0" w:firstRowLastColumn="0" w:lastRowFirstColumn="0" w:lastRowLastColumn="0"/>
          <w:trHeight w:val="588"/>
          <w:jc w:val="center"/>
        </w:trPr>
        <w:tc>
          <w:tcPr>
            <w:cnfStyle w:val="001000000000" w:firstRow="0" w:lastRow="0" w:firstColumn="1" w:lastColumn="0" w:oddVBand="0" w:evenVBand="0" w:oddHBand="0" w:evenHBand="0" w:firstRowFirstColumn="0" w:firstRowLastColumn="0" w:lastRowFirstColumn="0" w:lastRowLastColumn="0"/>
            <w:tcW w:w="1470" w:type="dxa"/>
            <w:hideMark/>
          </w:tcPr>
          <w:p w14:paraId="7783293F" w14:textId="77777777" w:rsidR="00D25916" w:rsidRPr="000D51FC" w:rsidRDefault="00D25916"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2020</w:t>
            </w:r>
          </w:p>
        </w:tc>
        <w:tc>
          <w:tcPr>
            <w:tcW w:w="0" w:type="auto"/>
            <w:hideMark/>
          </w:tcPr>
          <w:p w14:paraId="7DD25FD4"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28.68</w:t>
            </w:r>
          </w:p>
        </w:tc>
        <w:tc>
          <w:tcPr>
            <w:tcW w:w="0" w:type="auto"/>
            <w:hideMark/>
          </w:tcPr>
          <w:p w14:paraId="0AB3314B"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6.06</w:t>
            </w:r>
          </w:p>
        </w:tc>
        <w:tc>
          <w:tcPr>
            <w:tcW w:w="0" w:type="auto"/>
            <w:hideMark/>
          </w:tcPr>
          <w:p w14:paraId="1776C5AB"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6.28</w:t>
            </w:r>
          </w:p>
        </w:tc>
        <w:tc>
          <w:tcPr>
            <w:tcW w:w="0" w:type="auto"/>
            <w:hideMark/>
          </w:tcPr>
          <w:p w14:paraId="4289E62C"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7.56</w:t>
            </w:r>
          </w:p>
        </w:tc>
        <w:tc>
          <w:tcPr>
            <w:tcW w:w="1723" w:type="dxa"/>
            <w:hideMark/>
          </w:tcPr>
          <w:p w14:paraId="3F4FF08A"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12.31</w:t>
            </w:r>
          </w:p>
        </w:tc>
      </w:tr>
      <w:tr w:rsidR="00D25916" w:rsidRPr="000D51FC" w14:paraId="1AF49404" w14:textId="77777777" w:rsidTr="00D25916">
        <w:trPr>
          <w:trHeight w:val="594"/>
          <w:jc w:val="center"/>
        </w:trPr>
        <w:tc>
          <w:tcPr>
            <w:cnfStyle w:val="001000000000" w:firstRow="0" w:lastRow="0" w:firstColumn="1" w:lastColumn="0" w:oddVBand="0" w:evenVBand="0" w:oddHBand="0" w:evenHBand="0" w:firstRowFirstColumn="0" w:firstRowLastColumn="0" w:lastRowFirstColumn="0" w:lastRowLastColumn="0"/>
            <w:tcW w:w="1470" w:type="dxa"/>
            <w:hideMark/>
          </w:tcPr>
          <w:p w14:paraId="38D3CED9" w14:textId="77777777" w:rsidR="00D25916" w:rsidRPr="000D51FC" w:rsidRDefault="00D25916"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2021</w:t>
            </w:r>
          </w:p>
        </w:tc>
        <w:tc>
          <w:tcPr>
            <w:tcW w:w="0" w:type="auto"/>
            <w:hideMark/>
          </w:tcPr>
          <w:p w14:paraId="30B3296F"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28.75</w:t>
            </w:r>
          </w:p>
        </w:tc>
        <w:tc>
          <w:tcPr>
            <w:tcW w:w="0" w:type="auto"/>
            <w:hideMark/>
          </w:tcPr>
          <w:p w14:paraId="64494F8E"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3.87</w:t>
            </w:r>
          </w:p>
        </w:tc>
        <w:tc>
          <w:tcPr>
            <w:tcW w:w="0" w:type="auto"/>
            <w:hideMark/>
          </w:tcPr>
          <w:p w14:paraId="6B7DD852"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0.88</w:t>
            </w:r>
          </w:p>
        </w:tc>
        <w:tc>
          <w:tcPr>
            <w:tcW w:w="0" w:type="auto"/>
            <w:hideMark/>
          </w:tcPr>
          <w:p w14:paraId="55E0A48B"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1.04</w:t>
            </w:r>
          </w:p>
        </w:tc>
        <w:tc>
          <w:tcPr>
            <w:tcW w:w="1723" w:type="dxa"/>
            <w:hideMark/>
          </w:tcPr>
          <w:p w14:paraId="261551EC"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1.92</w:t>
            </w:r>
          </w:p>
        </w:tc>
      </w:tr>
      <w:tr w:rsidR="00D25916" w:rsidRPr="000D51FC" w14:paraId="16C5A255" w14:textId="77777777" w:rsidTr="00D25916">
        <w:trPr>
          <w:cnfStyle w:val="000000100000" w:firstRow="0" w:lastRow="0" w:firstColumn="0" w:lastColumn="0" w:oddVBand="0" w:evenVBand="0" w:oddHBand="1" w:evenHBand="0" w:firstRowFirstColumn="0" w:firstRowLastColumn="0" w:lastRowFirstColumn="0" w:lastRowLastColumn="0"/>
          <w:trHeight w:val="594"/>
          <w:jc w:val="center"/>
        </w:trPr>
        <w:tc>
          <w:tcPr>
            <w:cnfStyle w:val="001000000000" w:firstRow="0" w:lastRow="0" w:firstColumn="1" w:lastColumn="0" w:oddVBand="0" w:evenVBand="0" w:oddHBand="0" w:evenHBand="0" w:firstRowFirstColumn="0" w:firstRowLastColumn="0" w:lastRowFirstColumn="0" w:lastRowLastColumn="0"/>
            <w:tcW w:w="1470" w:type="dxa"/>
            <w:hideMark/>
          </w:tcPr>
          <w:p w14:paraId="33DF29A8" w14:textId="77777777" w:rsidR="00D25916" w:rsidRPr="000D51FC" w:rsidRDefault="00D25916"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2022</w:t>
            </w:r>
          </w:p>
        </w:tc>
        <w:tc>
          <w:tcPr>
            <w:tcW w:w="0" w:type="auto"/>
            <w:hideMark/>
          </w:tcPr>
          <w:p w14:paraId="134DE175"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28.06</w:t>
            </w:r>
          </w:p>
        </w:tc>
        <w:tc>
          <w:tcPr>
            <w:tcW w:w="0" w:type="auto"/>
            <w:hideMark/>
          </w:tcPr>
          <w:p w14:paraId="2DCF0DA9"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2.68</w:t>
            </w:r>
          </w:p>
        </w:tc>
        <w:tc>
          <w:tcPr>
            <w:tcW w:w="0" w:type="auto"/>
            <w:hideMark/>
          </w:tcPr>
          <w:p w14:paraId="7B4BE328"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0.08</w:t>
            </w:r>
          </w:p>
        </w:tc>
        <w:tc>
          <w:tcPr>
            <w:tcW w:w="0" w:type="auto"/>
            <w:hideMark/>
          </w:tcPr>
          <w:p w14:paraId="295682C6"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0.08</w:t>
            </w:r>
          </w:p>
        </w:tc>
        <w:tc>
          <w:tcPr>
            <w:tcW w:w="1723" w:type="dxa"/>
            <w:hideMark/>
          </w:tcPr>
          <w:p w14:paraId="76E3A88A"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0.15</w:t>
            </w:r>
          </w:p>
        </w:tc>
      </w:tr>
      <w:tr w:rsidR="00D25916" w:rsidRPr="000D51FC" w14:paraId="631351FD" w14:textId="77777777" w:rsidTr="00BB7DDC">
        <w:trPr>
          <w:trHeight w:val="799"/>
          <w:jc w:val="center"/>
        </w:trPr>
        <w:tc>
          <w:tcPr>
            <w:cnfStyle w:val="001000000000" w:firstRow="0" w:lastRow="0" w:firstColumn="1" w:lastColumn="0" w:oddVBand="0" w:evenVBand="0" w:oddHBand="0" w:evenHBand="0" w:firstRowFirstColumn="0" w:firstRowLastColumn="0" w:lastRowFirstColumn="0" w:lastRowLastColumn="0"/>
            <w:tcW w:w="1470" w:type="dxa"/>
            <w:hideMark/>
          </w:tcPr>
          <w:p w14:paraId="36F15572" w14:textId="77777777" w:rsidR="00D25916" w:rsidRPr="000D51FC" w:rsidRDefault="00D25916"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2023</w:t>
            </w:r>
          </w:p>
        </w:tc>
        <w:tc>
          <w:tcPr>
            <w:tcW w:w="0" w:type="auto"/>
            <w:hideMark/>
          </w:tcPr>
          <w:p w14:paraId="6367C397"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23.21</w:t>
            </w:r>
          </w:p>
        </w:tc>
        <w:tc>
          <w:tcPr>
            <w:tcW w:w="0" w:type="auto"/>
            <w:hideMark/>
          </w:tcPr>
          <w:p w14:paraId="1EC75525"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-20.29</w:t>
            </w:r>
          </w:p>
        </w:tc>
        <w:tc>
          <w:tcPr>
            <w:tcW w:w="0" w:type="auto"/>
            <w:hideMark/>
          </w:tcPr>
          <w:p w14:paraId="601A2563"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-23.37</w:t>
            </w:r>
          </w:p>
        </w:tc>
        <w:tc>
          <w:tcPr>
            <w:tcW w:w="0" w:type="auto"/>
            <w:hideMark/>
          </w:tcPr>
          <w:p w14:paraId="6619229A" w14:textId="77777777" w:rsidR="00D25916" w:rsidRPr="000D51FC" w:rsidRDefault="00D25916" w:rsidP="000D51FC">
            <w:pPr>
              <w:spacing w:before="160"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- 27.60</w:t>
            </w:r>
          </w:p>
        </w:tc>
        <w:tc>
          <w:tcPr>
            <w:tcW w:w="1723" w:type="dxa"/>
            <w:hideMark/>
          </w:tcPr>
          <w:p w14:paraId="6D514D67" w14:textId="77777777" w:rsidR="00D25916" w:rsidRPr="000D51FC" w:rsidRDefault="00D25916"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-54.89</w:t>
            </w:r>
          </w:p>
        </w:tc>
      </w:tr>
      <w:tr w:rsidR="00D25916" w:rsidRPr="000D51FC" w14:paraId="2CE794D4" w14:textId="77777777" w:rsidTr="00BB7DDC">
        <w:trPr>
          <w:cnfStyle w:val="000000100000" w:firstRow="0" w:lastRow="0" w:firstColumn="0" w:lastColumn="0" w:oddVBand="0" w:evenVBand="0" w:oddHBand="1" w:evenHBand="0" w:firstRowFirstColumn="0" w:firstRowLastColumn="0" w:lastRowFirstColumn="0" w:lastRowLastColumn="0"/>
          <w:trHeight w:val="696"/>
          <w:jc w:val="center"/>
        </w:trPr>
        <w:tc>
          <w:tcPr>
            <w:cnfStyle w:val="001000000000" w:firstRow="0" w:lastRow="0" w:firstColumn="1" w:lastColumn="0" w:oddVBand="0" w:evenVBand="0" w:oddHBand="0" w:evenHBand="0" w:firstRowFirstColumn="0" w:firstRowLastColumn="0" w:lastRowFirstColumn="0" w:lastRowLastColumn="0"/>
            <w:tcW w:w="1470" w:type="dxa"/>
            <w:hideMark/>
          </w:tcPr>
          <w:p w14:paraId="773D5490" w14:textId="77777777" w:rsidR="00D25916" w:rsidRPr="000D51FC" w:rsidRDefault="00D25916"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2024</w:t>
            </w:r>
          </w:p>
        </w:tc>
        <w:tc>
          <w:tcPr>
            <w:tcW w:w="0" w:type="auto"/>
            <w:hideMark/>
          </w:tcPr>
          <w:p w14:paraId="06E2099C"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28.87</w:t>
            </w:r>
          </w:p>
        </w:tc>
        <w:tc>
          <w:tcPr>
            <w:tcW w:w="0" w:type="auto"/>
            <w:hideMark/>
          </w:tcPr>
          <w:p w14:paraId="28974B5D"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-3.88</w:t>
            </w:r>
          </w:p>
        </w:tc>
        <w:tc>
          <w:tcPr>
            <w:tcW w:w="0" w:type="auto"/>
            <w:hideMark/>
          </w:tcPr>
          <w:p w14:paraId="4F32F046"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-6.09</w:t>
            </w:r>
          </w:p>
        </w:tc>
        <w:tc>
          <w:tcPr>
            <w:tcW w:w="0" w:type="auto"/>
            <w:hideMark/>
          </w:tcPr>
          <w:p w14:paraId="70387DD3"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-7.44</w:t>
            </w:r>
          </w:p>
        </w:tc>
        <w:tc>
          <w:tcPr>
            <w:tcW w:w="1723" w:type="dxa"/>
            <w:hideMark/>
          </w:tcPr>
          <w:p w14:paraId="42400409" w14:textId="77777777" w:rsidR="00D25916" w:rsidRPr="000D51FC" w:rsidRDefault="00D25916"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-15.70</w:t>
            </w:r>
          </w:p>
        </w:tc>
      </w:tr>
    </w:tbl>
    <w:p w14:paraId="6DAEAF8E" w14:textId="77777777" w:rsidR="00D25916" w:rsidRPr="000D51FC" w:rsidRDefault="00D25916" w:rsidP="000D51FC">
      <w:pPr>
        <w:spacing w:line="360" w:lineRule="auto"/>
        <w:rPr>
          <w:rFonts w:ascii="Arial" w:hAnsi="Arial" w:cs="Arial"/>
          <w:lang w:val="en-IN" w:eastAsia="en-GB"/>
        </w:rPr>
      </w:pPr>
    </w:p>
    <w:p w14:paraId="1207AB91" w14:textId="5C477584" w:rsidR="00BB7DDC" w:rsidRPr="000D51FC" w:rsidRDefault="00BB7DDC" w:rsidP="000D51FC">
      <w:pPr>
        <w:spacing w:line="360" w:lineRule="auto"/>
        <w:jc w:val="center"/>
        <w:rPr>
          <w:rFonts w:ascii="Arial" w:hAnsi="Arial" w:cs="Arial"/>
          <w:b/>
          <w:bCs/>
          <w:lang w:val="en-IN" w:eastAsia="en-GB"/>
        </w:rPr>
      </w:pPr>
      <w:r w:rsidRPr="000D51FC">
        <w:rPr>
          <w:rFonts w:ascii="Arial" w:hAnsi="Arial" w:cs="Arial"/>
          <w:b/>
          <w:bCs/>
          <w:lang w:val="en-IN" w:eastAsia="en-GB"/>
        </w:rPr>
        <w:t>A2. Liquidity Ratios (2020 – 2024)</w:t>
      </w:r>
    </w:p>
    <w:tbl>
      <w:tblPr>
        <w:tblStyle w:val="GridTable5Dark-Accent4"/>
        <w:tblW w:w="9338" w:type="dxa"/>
        <w:tblLook w:val="04A0" w:firstRow="1" w:lastRow="0" w:firstColumn="1" w:lastColumn="0" w:noHBand="0" w:noVBand="1"/>
      </w:tblPr>
      <w:tblGrid>
        <w:gridCol w:w="1395"/>
        <w:gridCol w:w="2832"/>
        <w:gridCol w:w="2544"/>
        <w:gridCol w:w="2567"/>
      </w:tblGrid>
      <w:tr w:rsidR="00BB7DDC" w:rsidRPr="000D51FC" w14:paraId="30FA2BCA" w14:textId="77777777" w:rsidTr="00BB7DDC">
        <w:trPr>
          <w:cnfStyle w:val="100000000000" w:firstRow="1" w:lastRow="0" w:firstColumn="0" w:lastColumn="0" w:oddVBand="0" w:evenVBand="0" w:oddHBand="0" w:evenHBand="0" w:firstRowFirstColumn="0" w:firstRowLastColumn="0" w:lastRowFirstColumn="0" w:lastRowLastColumn="0"/>
          <w:trHeight w:val="187"/>
        </w:trPr>
        <w:tc>
          <w:tcPr>
            <w:cnfStyle w:val="001000000000" w:firstRow="0" w:lastRow="0" w:firstColumn="1" w:lastColumn="0" w:oddVBand="0" w:evenVBand="0" w:oddHBand="0" w:evenHBand="0" w:firstRowFirstColumn="0" w:firstRowLastColumn="0" w:lastRowFirstColumn="0" w:lastRowLastColumn="0"/>
            <w:tcW w:w="0" w:type="auto"/>
            <w:hideMark/>
          </w:tcPr>
          <w:p w14:paraId="52CF3404" w14:textId="77777777" w:rsidR="00BB7DDC" w:rsidRPr="000D51FC" w:rsidRDefault="00BB7DDC" w:rsidP="000D51FC">
            <w:pPr>
              <w:spacing w:line="360" w:lineRule="auto"/>
              <w:ind w:left="0" w:firstLine="0"/>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Year</w:t>
            </w:r>
          </w:p>
        </w:tc>
        <w:tc>
          <w:tcPr>
            <w:tcW w:w="0" w:type="auto"/>
            <w:hideMark/>
          </w:tcPr>
          <w:p w14:paraId="720B7051" w14:textId="77777777" w:rsidR="00BB7DDC" w:rsidRPr="000D51FC" w:rsidRDefault="00BB7DDC"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Current Ratio</w:t>
            </w:r>
          </w:p>
        </w:tc>
        <w:tc>
          <w:tcPr>
            <w:tcW w:w="0" w:type="auto"/>
            <w:hideMark/>
          </w:tcPr>
          <w:p w14:paraId="3BE0BEB9" w14:textId="77777777" w:rsidR="00BB7DDC" w:rsidRPr="000D51FC" w:rsidRDefault="00BB7DDC"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Quick Ratio</w:t>
            </w:r>
          </w:p>
        </w:tc>
        <w:tc>
          <w:tcPr>
            <w:tcW w:w="2567" w:type="dxa"/>
            <w:hideMark/>
          </w:tcPr>
          <w:p w14:paraId="38019D3E" w14:textId="77777777" w:rsidR="00BB7DDC" w:rsidRPr="000D51FC" w:rsidRDefault="00BB7DDC"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Cash Ratio</w:t>
            </w:r>
          </w:p>
        </w:tc>
      </w:tr>
      <w:tr w:rsidR="00BB7DDC" w:rsidRPr="000D51FC" w14:paraId="701AC310" w14:textId="77777777" w:rsidTr="00BB7DDC">
        <w:trPr>
          <w:cnfStyle w:val="000000100000" w:firstRow="0" w:lastRow="0" w:firstColumn="0" w:lastColumn="0" w:oddVBand="0" w:evenVBand="0" w:oddHBand="1" w:evenHBand="0" w:firstRowFirstColumn="0" w:firstRowLastColumn="0" w:lastRowFirstColumn="0" w:lastRowLastColumn="0"/>
          <w:trHeight w:val="187"/>
        </w:trPr>
        <w:tc>
          <w:tcPr>
            <w:cnfStyle w:val="001000000000" w:firstRow="0" w:lastRow="0" w:firstColumn="1" w:lastColumn="0" w:oddVBand="0" w:evenVBand="0" w:oddHBand="0" w:evenHBand="0" w:firstRowFirstColumn="0" w:firstRowLastColumn="0" w:lastRowFirstColumn="0" w:lastRowLastColumn="0"/>
            <w:tcW w:w="0" w:type="auto"/>
            <w:hideMark/>
          </w:tcPr>
          <w:p w14:paraId="086EBD2D" w14:textId="77777777" w:rsidR="00BB7DDC" w:rsidRPr="000D51FC" w:rsidRDefault="00BB7DDC"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2020</w:t>
            </w:r>
          </w:p>
        </w:tc>
        <w:tc>
          <w:tcPr>
            <w:tcW w:w="0" w:type="auto"/>
            <w:hideMark/>
          </w:tcPr>
          <w:p w14:paraId="1B5C2431"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1.82</w:t>
            </w:r>
          </w:p>
        </w:tc>
        <w:tc>
          <w:tcPr>
            <w:tcW w:w="0" w:type="auto"/>
            <w:hideMark/>
          </w:tcPr>
          <w:p w14:paraId="38E53229"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1.15</w:t>
            </w:r>
          </w:p>
        </w:tc>
        <w:tc>
          <w:tcPr>
            <w:tcW w:w="2567" w:type="dxa"/>
            <w:hideMark/>
          </w:tcPr>
          <w:p w14:paraId="4BC217E0"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0.32</w:t>
            </w:r>
          </w:p>
        </w:tc>
      </w:tr>
      <w:tr w:rsidR="00BB7DDC" w:rsidRPr="000D51FC" w14:paraId="1F569F99" w14:textId="77777777" w:rsidTr="00BB7DDC">
        <w:trPr>
          <w:trHeight w:val="187"/>
        </w:trPr>
        <w:tc>
          <w:tcPr>
            <w:cnfStyle w:val="001000000000" w:firstRow="0" w:lastRow="0" w:firstColumn="1" w:lastColumn="0" w:oddVBand="0" w:evenVBand="0" w:oddHBand="0" w:evenHBand="0" w:firstRowFirstColumn="0" w:firstRowLastColumn="0" w:lastRowFirstColumn="0" w:lastRowLastColumn="0"/>
            <w:tcW w:w="0" w:type="auto"/>
            <w:hideMark/>
          </w:tcPr>
          <w:p w14:paraId="4DBA4315" w14:textId="77777777" w:rsidR="00BB7DDC" w:rsidRPr="000D51FC" w:rsidRDefault="00BB7DDC"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2021</w:t>
            </w:r>
          </w:p>
        </w:tc>
        <w:tc>
          <w:tcPr>
            <w:tcW w:w="0" w:type="auto"/>
            <w:hideMark/>
          </w:tcPr>
          <w:p w14:paraId="7DAC69A5"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1.56</w:t>
            </w:r>
          </w:p>
        </w:tc>
        <w:tc>
          <w:tcPr>
            <w:tcW w:w="0" w:type="auto"/>
            <w:hideMark/>
          </w:tcPr>
          <w:p w14:paraId="5A5DEA28"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0.94</w:t>
            </w:r>
          </w:p>
        </w:tc>
        <w:tc>
          <w:tcPr>
            <w:tcW w:w="2567" w:type="dxa"/>
            <w:hideMark/>
          </w:tcPr>
          <w:p w14:paraId="5FECED40"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0.28</w:t>
            </w:r>
          </w:p>
        </w:tc>
      </w:tr>
      <w:tr w:rsidR="00BB7DDC" w:rsidRPr="000D51FC" w14:paraId="4B2C9251" w14:textId="77777777" w:rsidTr="00BB7DDC">
        <w:trPr>
          <w:cnfStyle w:val="000000100000" w:firstRow="0" w:lastRow="0" w:firstColumn="0" w:lastColumn="0" w:oddVBand="0" w:evenVBand="0" w:oddHBand="1" w:evenHBand="0" w:firstRowFirstColumn="0" w:firstRowLastColumn="0" w:lastRowFirstColumn="0" w:lastRowLastColumn="0"/>
          <w:trHeight w:val="187"/>
        </w:trPr>
        <w:tc>
          <w:tcPr>
            <w:cnfStyle w:val="001000000000" w:firstRow="0" w:lastRow="0" w:firstColumn="1" w:lastColumn="0" w:oddVBand="0" w:evenVBand="0" w:oddHBand="0" w:evenHBand="0" w:firstRowFirstColumn="0" w:firstRowLastColumn="0" w:lastRowFirstColumn="0" w:lastRowLastColumn="0"/>
            <w:tcW w:w="0" w:type="auto"/>
            <w:hideMark/>
          </w:tcPr>
          <w:p w14:paraId="593560E9" w14:textId="77777777" w:rsidR="00BB7DDC" w:rsidRPr="000D51FC" w:rsidRDefault="00BB7DDC"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2022</w:t>
            </w:r>
          </w:p>
        </w:tc>
        <w:tc>
          <w:tcPr>
            <w:tcW w:w="0" w:type="auto"/>
            <w:hideMark/>
          </w:tcPr>
          <w:p w14:paraId="6FD3AA8D"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1.56</w:t>
            </w:r>
          </w:p>
        </w:tc>
        <w:tc>
          <w:tcPr>
            <w:tcW w:w="0" w:type="auto"/>
            <w:hideMark/>
          </w:tcPr>
          <w:p w14:paraId="2642D03F"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0.91</w:t>
            </w:r>
          </w:p>
        </w:tc>
        <w:tc>
          <w:tcPr>
            <w:tcW w:w="2567" w:type="dxa"/>
            <w:hideMark/>
          </w:tcPr>
          <w:p w14:paraId="6C3BBF73"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0.31</w:t>
            </w:r>
          </w:p>
        </w:tc>
      </w:tr>
      <w:tr w:rsidR="00BB7DDC" w:rsidRPr="000D51FC" w14:paraId="45C4FAED" w14:textId="77777777" w:rsidTr="00BB7DDC">
        <w:trPr>
          <w:trHeight w:val="183"/>
        </w:trPr>
        <w:tc>
          <w:tcPr>
            <w:cnfStyle w:val="001000000000" w:firstRow="0" w:lastRow="0" w:firstColumn="1" w:lastColumn="0" w:oddVBand="0" w:evenVBand="0" w:oddHBand="0" w:evenHBand="0" w:firstRowFirstColumn="0" w:firstRowLastColumn="0" w:lastRowFirstColumn="0" w:lastRowLastColumn="0"/>
            <w:tcW w:w="0" w:type="auto"/>
            <w:hideMark/>
          </w:tcPr>
          <w:p w14:paraId="07F60ADD" w14:textId="77777777" w:rsidR="00BB7DDC" w:rsidRPr="000D51FC" w:rsidRDefault="00BB7DDC"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2023</w:t>
            </w:r>
          </w:p>
        </w:tc>
        <w:tc>
          <w:tcPr>
            <w:tcW w:w="0" w:type="auto"/>
            <w:hideMark/>
          </w:tcPr>
          <w:p w14:paraId="050B872C"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1.61</w:t>
            </w:r>
          </w:p>
        </w:tc>
        <w:tc>
          <w:tcPr>
            <w:tcW w:w="0" w:type="auto"/>
            <w:hideMark/>
          </w:tcPr>
          <w:p w14:paraId="264D5005"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1.06</w:t>
            </w:r>
          </w:p>
        </w:tc>
        <w:tc>
          <w:tcPr>
            <w:tcW w:w="2567" w:type="dxa"/>
            <w:hideMark/>
          </w:tcPr>
          <w:p w14:paraId="7F0389A8"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0.27</w:t>
            </w:r>
          </w:p>
        </w:tc>
      </w:tr>
      <w:tr w:rsidR="00BB7DDC" w:rsidRPr="000D51FC" w14:paraId="4C536F11" w14:textId="77777777" w:rsidTr="00BB7DDC">
        <w:trPr>
          <w:cnfStyle w:val="000000100000" w:firstRow="0" w:lastRow="0" w:firstColumn="0" w:lastColumn="0" w:oddVBand="0" w:evenVBand="0" w:oddHBand="1" w:evenHBand="0" w:firstRowFirstColumn="0" w:firstRowLastColumn="0" w:lastRowFirstColumn="0" w:lastRowLastColumn="0"/>
          <w:trHeight w:val="707"/>
        </w:trPr>
        <w:tc>
          <w:tcPr>
            <w:cnfStyle w:val="001000000000" w:firstRow="0" w:lastRow="0" w:firstColumn="1" w:lastColumn="0" w:oddVBand="0" w:evenVBand="0" w:oddHBand="0" w:evenHBand="0" w:firstRowFirstColumn="0" w:firstRowLastColumn="0" w:lastRowFirstColumn="0" w:lastRowLastColumn="0"/>
            <w:tcW w:w="0" w:type="auto"/>
            <w:hideMark/>
          </w:tcPr>
          <w:p w14:paraId="30DB2A8B" w14:textId="77777777" w:rsidR="00BB7DDC" w:rsidRPr="000D51FC" w:rsidRDefault="00BB7DDC"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2024</w:t>
            </w:r>
          </w:p>
        </w:tc>
        <w:tc>
          <w:tcPr>
            <w:tcW w:w="0" w:type="auto"/>
            <w:hideMark/>
          </w:tcPr>
          <w:p w14:paraId="62FBE52B"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1.53</w:t>
            </w:r>
          </w:p>
        </w:tc>
        <w:tc>
          <w:tcPr>
            <w:tcW w:w="0" w:type="auto"/>
            <w:hideMark/>
          </w:tcPr>
          <w:p w14:paraId="7493982E"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1.03</w:t>
            </w:r>
          </w:p>
        </w:tc>
        <w:tc>
          <w:tcPr>
            <w:tcW w:w="2567" w:type="dxa"/>
            <w:hideMark/>
          </w:tcPr>
          <w:p w14:paraId="5D421CB0"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0.17</w:t>
            </w:r>
          </w:p>
        </w:tc>
      </w:tr>
    </w:tbl>
    <w:p w14:paraId="1D0BF724" w14:textId="77777777" w:rsidR="00D25916" w:rsidRPr="000D51FC" w:rsidRDefault="00D25916" w:rsidP="000D51FC">
      <w:pPr>
        <w:spacing w:line="360" w:lineRule="auto"/>
        <w:rPr>
          <w:rFonts w:ascii="Arial" w:hAnsi="Arial" w:cs="Arial"/>
          <w:lang w:val="en-IN" w:eastAsia="en-GB"/>
        </w:rPr>
      </w:pPr>
    </w:p>
    <w:p w14:paraId="7BB94A38" w14:textId="77777777" w:rsidR="00D20632" w:rsidRPr="000D51FC" w:rsidRDefault="00D20632" w:rsidP="000D51FC">
      <w:pPr>
        <w:spacing w:line="360" w:lineRule="auto"/>
        <w:ind w:left="0" w:firstLine="0"/>
        <w:rPr>
          <w:rFonts w:ascii="Arial" w:hAnsi="Arial" w:cs="Arial"/>
          <w:lang w:val="en-IN" w:eastAsia="en-GB"/>
        </w:rPr>
      </w:pPr>
    </w:p>
    <w:p w14:paraId="66B17223" w14:textId="0BCF6203" w:rsidR="00BB7DDC" w:rsidRPr="000D51FC" w:rsidRDefault="00BB7DDC" w:rsidP="000D51FC">
      <w:pPr>
        <w:spacing w:line="360" w:lineRule="auto"/>
        <w:ind w:left="0" w:firstLine="0"/>
        <w:jc w:val="center"/>
        <w:rPr>
          <w:rFonts w:ascii="Arial" w:hAnsi="Arial" w:cs="Arial"/>
          <w:b/>
          <w:bCs/>
          <w:lang w:val="en-IN" w:eastAsia="en-GB"/>
        </w:rPr>
      </w:pPr>
      <w:r w:rsidRPr="000D51FC">
        <w:rPr>
          <w:rFonts w:ascii="Arial" w:hAnsi="Arial" w:cs="Arial"/>
          <w:b/>
          <w:bCs/>
          <w:lang w:val="en-IN" w:eastAsia="en-GB"/>
        </w:rPr>
        <w:lastRenderedPageBreak/>
        <w:t>A3. Efficiency Ratios (2020 – 2024)</w:t>
      </w:r>
    </w:p>
    <w:tbl>
      <w:tblPr>
        <w:tblStyle w:val="GridTable5Dark-Accent4"/>
        <w:tblW w:w="8875" w:type="dxa"/>
        <w:jc w:val="center"/>
        <w:tblLook w:val="04A0" w:firstRow="1" w:lastRow="0" w:firstColumn="1" w:lastColumn="0" w:noHBand="0" w:noVBand="1"/>
      </w:tblPr>
      <w:tblGrid>
        <w:gridCol w:w="976"/>
        <w:gridCol w:w="2323"/>
        <w:gridCol w:w="3253"/>
        <w:gridCol w:w="2323"/>
      </w:tblGrid>
      <w:tr w:rsidR="00BB7DDC" w:rsidRPr="000D51FC" w14:paraId="4AE1212B" w14:textId="77777777" w:rsidTr="00A93F9C">
        <w:trPr>
          <w:cnfStyle w:val="100000000000" w:firstRow="1" w:lastRow="0" w:firstColumn="0" w:lastColumn="0" w:oddVBand="0" w:evenVBand="0" w:oddHBand="0" w:evenHBand="0" w:firstRowFirstColumn="0" w:firstRowLastColumn="0" w:lastRowFirstColumn="0" w:lastRowLastColumn="0"/>
          <w:trHeight w:val="134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70635CE" w14:textId="77777777" w:rsidR="00BB7DDC" w:rsidRPr="000D51FC" w:rsidRDefault="00BB7DDC" w:rsidP="000D51FC">
            <w:pPr>
              <w:spacing w:line="360" w:lineRule="auto"/>
              <w:jc w:val="center"/>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Year</w:t>
            </w:r>
          </w:p>
        </w:tc>
        <w:tc>
          <w:tcPr>
            <w:tcW w:w="0" w:type="auto"/>
            <w:hideMark/>
          </w:tcPr>
          <w:p w14:paraId="344AE273" w14:textId="77777777" w:rsidR="00BB7DDC" w:rsidRPr="000D51FC" w:rsidRDefault="00BB7DDC"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2F2F2" w:themeColor="background1" w:themeShade="F2"/>
                <w:lang w:val="en-IN" w:eastAsia="en-GB"/>
              </w:rPr>
            </w:pPr>
            <w:r w:rsidRPr="000D51FC">
              <w:rPr>
                <w:rFonts w:ascii="Arial" w:hAnsi="Arial" w:cs="Arial"/>
                <w:color w:val="F2F2F2" w:themeColor="background1" w:themeShade="F2"/>
                <w:lang w:val="en-IN" w:eastAsia="en-GB"/>
              </w:rPr>
              <w:t>Inventory</w:t>
            </w:r>
          </w:p>
          <w:p w14:paraId="37DE1B9D" w14:textId="77777777" w:rsidR="00BB7DDC" w:rsidRPr="000D51FC" w:rsidRDefault="00BB7DDC"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Turnover (times)</w:t>
            </w:r>
          </w:p>
        </w:tc>
        <w:tc>
          <w:tcPr>
            <w:tcW w:w="0" w:type="auto"/>
            <w:hideMark/>
          </w:tcPr>
          <w:p w14:paraId="5ED61499" w14:textId="77777777" w:rsidR="00BB7DDC" w:rsidRPr="000D51FC" w:rsidRDefault="00BB7DDC"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Receivables Days (days)</w:t>
            </w:r>
          </w:p>
        </w:tc>
        <w:tc>
          <w:tcPr>
            <w:tcW w:w="0" w:type="auto"/>
            <w:hideMark/>
          </w:tcPr>
          <w:p w14:paraId="55E1251F" w14:textId="77777777" w:rsidR="00BB7DDC" w:rsidRPr="000D51FC" w:rsidRDefault="00BB7DDC"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2F2F2" w:themeColor="background1" w:themeShade="F2"/>
                <w:lang w:val="en-IN" w:eastAsia="en-GB"/>
              </w:rPr>
            </w:pPr>
            <w:r w:rsidRPr="000D51FC">
              <w:rPr>
                <w:rFonts w:ascii="Arial" w:hAnsi="Arial" w:cs="Arial"/>
                <w:color w:val="F2F2F2" w:themeColor="background1" w:themeShade="F2"/>
                <w:lang w:val="en-IN" w:eastAsia="en-GB"/>
              </w:rPr>
              <w:t>Asset</w:t>
            </w:r>
          </w:p>
          <w:p w14:paraId="3959F38C" w14:textId="77777777" w:rsidR="00BB7DDC" w:rsidRPr="000D51FC" w:rsidRDefault="00BB7DDC" w:rsidP="000D51F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Turnover (times)</w:t>
            </w:r>
          </w:p>
        </w:tc>
      </w:tr>
      <w:tr w:rsidR="00BB7DDC" w:rsidRPr="000D51FC" w14:paraId="6BF001C2" w14:textId="77777777" w:rsidTr="00A93F9C">
        <w:trPr>
          <w:cnfStyle w:val="000000100000" w:firstRow="0" w:lastRow="0" w:firstColumn="0" w:lastColumn="0" w:oddVBand="0" w:evenVBand="0" w:oddHBand="1" w:evenHBand="0" w:firstRowFirstColumn="0" w:firstRowLastColumn="0" w:lastRowFirstColumn="0" w:lastRowLastColumn="0"/>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9C24A42" w14:textId="77777777" w:rsidR="00BB7DDC" w:rsidRPr="000D51FC" w:rsidRDefault="00BB7DDC"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2020</w:t>
            </w:r>
          </w:p>
        </w:tc>
        <w:tc>
          <w:tcPr>
            <w:tcW w:w="0" w:type="auto"/>
            <w:hideMark/>
          </w:tcPr>
          <w:p w14:paraId="6DA7A56F"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3.64</w:t>
            </w:r>
          </w:p>
        </w:tc>
        <w:tc>
          <w:tcPr>
            <w:tcW w:w="0" w:type="auto"/>
            <w:hideMark/>
          </w:tcPr>
          <w:p w14:paraId="53827CE6"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77</w:t>
            </w:r>
          </w:p>
        </w:tc>
        <w:tc>
          <w:tcPr>
            <w:tcW w:w="0" w:type="auto"/>
            <w:hideMark/>
          </w:tcPr>
          <w:p w14:paraId="4FFE5AD8"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1.20</w:t>
            </w:r>
          </w:p>
        </w:tc>
      </w:tr>
      <w:tr w:rsidR="00BB7DDC" w:rsidRPr="000D51FC" w14:paraId="41D66BF3" w14:textId="77777777" w:rsidTr="00A93F9C">
        <w:trPr>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18061E4" w14:textId="77777777" w:rsidR="00BB7DDC" w:rsidRPr="000D51FC" w:rsidRDefault="00BB7DDC"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2021</w:t>
            </w:r>
          </w:p>
        </w:tc>
        <w:tc>
          <w:tcPr>
            <w:tcW w:w="0" w:type="auto"/>
            <w:hideMark/>
          </w:tcPr>
          <w:p w14:paraId="65384FC0"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3.36</w:t>
            </w:r>
          </w:p>
        </w:tc>
        <w:tc>
          <w:tcPr>
            <w:tcW w:w="0" w:type="auto"/>
            <w:hideMark/>
          </w:tcPr>
          <w:p w14:paraId="3C58768E"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78</w:t>
            </w:r>
          </w:p>
        </w:tc>
        <w:tc>
          <w:tcPr>
            <w:tcW w:w="0" w:type="auto"/>
            <w:hideMark/>
          </w:tcPr>
          <w:p w14:paraId="28C8FE74"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1.18</w:t>
            </w:r>
          </w:p>
        </w:tc>
      </w:tr>
      <w:tr w:rsidR="00BB7DDC" w:rsidRPr="000D51FC" w14:paraId="468FC7E2" w14:textId="77777777" w:rsidTr="00A93F9C">
        <w:trPr>
          <w:cnfStyle w:val="000000100000" w:firstRow="0" w:lastRow="0" w:firstColumn="0" w:lastColumn="0" w:oddVBand="0" w:evenVBand="0" w:oddHBand="1" w:evenHBand="0" w:firstRowFirstColumn="0" w:firstRowLastColumn="0" w:lastRowFirstColumn="0" w:lastRowLastColumn="0"/>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F831E0" w14:textId="77777777" w:rsidR="00BB7DDC" w:rsidRPr="000D51FC" w:rsidRDefault="00BB7DDC"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2022</w:t>
            </w:r>
          </w:p>
        </w:tc>
        <w:tc>
          <w:tcPr>
            <w:tcW w:w="0" w:type="auto"/>
            <w:hideMark/>
          </w:tcPr>
          <w:p w14:paraId="219E4E18"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2.84</w:t>
            </w:r>
          </w:p>
        </w:tc>
        <w:tc>
          <w:tcPr>
            <w:tcW w:w="0" w:type="auto"/>
            <w:hideMark/>
          </w:tcPr>
          <w:p w14:paraId="5126C1E3"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76</w:t>
            </w:r>
          </w:p>
        </w:tc>
        <w:tc>
          <w:tcPr>
            <w:tcW w:w="0" w:type="auto"/>
            <w:hideMark/>
          </w:tcPr>
          <w:p w14:paraId="56E91321"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1.08</w:t>
            </w:r>
          </w:p>
        </w:tc>
      </w:tr>
      <w:tr w:rsidR="00BB7DDC" w:rsidRPr="000D51FC" w14:paraId="101283EE" w14:textId="77777777" w:rsidTr="00A93F9C">
        <w:trPr>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F3FC5A" w14:textId="77777777" w:rsidR="00BB7DDC" w:rsidRPr="000D51FC" w:rsidRDefault="00BB7DDC"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2023</w:t>
            </w:r>
          </w:p>
        </w:tc>
        <w:tc>
          <w:tcPr>
            <w:tcW w:w="0" w:type="auto"/>
            <w:hideMark/>
          </w:tcPr>
          <w:p w14:paraId="6F24B49A"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2.83</w:t>
            </w:r>
          </w:p>
        </w:tc>
        <w:tc>
          <w:tcPr>
            <w:tcW w:w="0" w:type="auto"/>
            <w:hideMark/>
          </w:tcPr>
          <w:p w14:paraId="6E3162B7"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98</w:t>
            </w:r>
          </w:p>
        </w:tc>
        <w:tc>
          <w:tcPr>
            <w:tcW w:w="0" w:type="auto"/>
            <w:hideMark/>
          </w:tcPr>
          <w:p w14:paraId="77A50089" w14:textId="77777777" w:rsidR="00BB7DDC" w:rsidRPr="000D51FC" w:rsidRDefault="00BB7DDC" w:rsidP="000D5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1.18</w:t>
            </w:r>
          </w:p>
        </w:tc>
      </w:tr>
      <w:tr w:rsidR="00BB7DDC" w:rsidRPr="000D51FC" w14:paraId="3FAB6CF2" w14:textId="77777777" w:rsidTr="00A93F9C">
        <w:trPr>
          <w:cnfStyle w:val="000000100000" w:firstRow="0" w:lastRow="0" w:firstColumn="0" w:lastColumn="0" w:oddVBand="0" w:evenVBand="0" w:oddHBand="1" w:evenHBand="0" w:firstRowFirstColumn="0" w:firstRowLastColumn="0" w:lastRowFirstColumn="0" w:lastRowLastColumn="0"/>
          <w:trHeight w:val="65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5BF430" w14:textId="77777777" w:rsidR="00BB7DDC" w:rsidRPr="000D51FC" w:rsidRDefault="00BB7DDC" w:rsidP="000D51FC">
            <w:pPr>
              <w:spacing w:line="360" w:lineRule="auto"/>
              <w:rPr>
                <w:rFonts w:ascii="Arial" w:hAnsi="Arial" w:cs="Arial"/>
                <w:color w:val="F2F2F2" w:themeColor="background1" w:themeShade="F2"/>
                <w:lang w:val="en-IN" w:eastAsia="en-GB"/>
              </w:rPr>
            </w:pPr>
            <w:r w:rsidRPr="000D51FC">
              <w:rPr>
                <w:rFonts w:ascii="Arial" w:hAnsi="Arial" w:cs="Arial"/>
                <w:color w:val="F2F2F2" w:themeColor="background1" w:themeShade="F2"/>
                <w:lang w:val="en-IN" w:eastAsia="en-GB"/>
              </w:rPr>
              <w:t>2024</w:t>
            </w:r>
          </w:p>
        </w:tc>
        <w:tc>
          <w:tcPr>
            <w:tcW w:w="0" w:type="auto"/>
            <w:hideMark/>
          </w:tcPr>
          <w:p w14:paraId="2FB3AE27"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3.35</w:t>
            </w:r>
          </w:p>
        </w:tc>
        <w:tc>
          <w:tcPr>
            <w:tcW w:w="0" w:type="auto"/>
            <w:hideMark/>
          </w:tcPr>
          <w:p w14:paraId="1B2CEA68"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106</w:t>
            </w:r>
          </w:p>
        </w:tc>
        <w:tc>
          <w:tcPr>
            <w:tcW w:w="0" w:type="auto"/>
            <w:hideMark/>
          </w:tcPr>
          <w:p w14:paraId="25296243" w14:textId="77777777" w:rsidR="00BB7DDC" w:rsidRPr="000D51FC" w:rsidRDefault="00BB7DDC" w:rsidP="000D51F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0D51FC">
              <w:rPr>
                <w:rFonts w:ascii="Arial" w:hAnsi="Arial" w:cs="Arial"/>
                <w:lang w:val="en-IN" w:eastAsia="en-GB"/>
              </w:rPr>
              <w:t>1.22</w:t>
            </w:r>
          </w:p>
        </w:tc>
      </w:tr>
    </w:tbl>
    <w:p w14:paraId="5E7E9CA3" w14:textId="77777777" w:rsidR="00BB7DDC" w:rsidRPr="000D51FC" w:rsidRDefault="00BB7DDC" w:rsidP="000D51FC">
      <w:pPr>
        <w:spacing w:line="360" w:lineRule="auto"/>
        <w:ind w:left="0" w:firstLine="0"/>
        <w:rPr>
          <w:rFonts w:ascii="Arial" w:hAnsi="Arial" w:cs="Arial"/>
          <w:lang w:val="en-IN" w:eastAsia="en-GB"/>
        </w:rPr>
      </w:pPr>
    </w:p>
    <w:p w14:paraId="12DB0229" w14:textId="034D10B8" w:rsidR="00D053A5" w:rsidRPr="000D51FC" w:rsidRDefault="00D053A5" w:rsidP="000D51FC">
      <w:pPr>
        <w:spacing w:line="360" w:lineRule="auto"/>
        <w:ind w:left="0" w:firstLine="0"/>
        <w:jc w:val="center"/>
        <w:rPr>
          <w:rFonts w:ascii="Arial" w:hAnsi="Arial" w:cs="Arial"/>
          <w:b/>
          <w:bCs/>
          <w:lang w:val="en-IN" w:eastAsia="en-GB"/>
        </w:rPr>
      </w:pPr>
      <w:r w:rsidRPr="000D51FC">
        <w:rPr>
          <w:rFonts w:ascii="Arial" w:hAnsi="Arial" w:cs="Arial"/>
          <w:b/>
          <w:bCs/>
          <w:lang w:val="en-IN" w:eastAsia="en-GB"/>
        </w:rPr>
        <w:t>A4. Gearing – Leverage Ratios (2020 – 2024)</w:t>
      </w:r>
    </w:p>
    <w:tbl>
      <w:tblPr>
        <w:tblStyle w:val="GridTable5Dark-Accent4"/>
        <w:tblW w:w="0" w:type="auto"/>
        <w:tblLook w:val="04A0" w:firstRow="1" w:lastRow="0" w:firstColumn="1" w:lastColumn="0" w:noHBand="0" w:noVBand="1"/>
      </w:tblPr>
      <w:tblGrid>
        <w:gridCol w:w="1470"/>
        <w:gridCol w:w="2828"/>
        <w:gridCol w:w="2861"/>
        <w:gridCol w:w="1921"/>
      </w:tblGrid>
      <w:tr w:rsidR="00D053A5" w:rsidRPr="000D51FC" w14:paraId="2547E59B" w14:textId="77777777" w:rsidTr="00A93F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1E3E01" w14:textId="77777777" w:rsidR="00D053A5" w:rsidRPr="000D51FC" w:rsidRDefault="00D053A5"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Year</w:t>
            </w:r>
          </w:p>
        </w:tc>
        <w:tc>
          <w:tcPr>
            <w:tcW w:w="0" w:type="auto"/>
            <w:hideMark/>
          </w:tcPr>
          <w:p w14:paraId="313D9617" w14:textId="77777777" w:rsidR="00D053A5" w:rsidRPr="000D51FC" w:rsidRDefault="00D053A5"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Debt-to-Equity (times)</w:t>
            </w:r>
          </w:p>
        </w:tc>
        <w:tc>
          <w:tcPr>
            <w:tcW w:w="0" w:type="auto"/>
            <w:hideMark/>
          </w:tcPr>
          <w:p w14:paraId="22B3AF26" w14:textId="77777777" w:rsidR="00D053A5" w:rsidRPr="000D51FC" w:rsidRDefault="00D053A5"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Interest Coverage (x)</w:t>
            </w:r>
          </w:p>
        </w:tc>
        <w:tc>
          <w:tcPr>
            <w:tcW w:w="0" w:type="auto"/>
            <w:hideMark/>
          </w:tcPr>
          <w:p w14:paraId="62530085" w14:textId="77777777" w:rsidR="00D053A5" w:rsidRPr="000D51FC" w:rsidRDefault="00D053A5" w:rsidP="000D51FC">
            <w:pPr>
              <w:spacing w:before="160" w:after="160" w:line="360" w:lineRule="auto"/>
              <w:ind w:left="720"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color w:val="F2F2F2" w:themeColor="background1" w:themeShade="F2"/>
                <w:lang w:val="en-IN"/>
              </w:rPr>
            </w:pPr>
            <w:r w:rsidRPr="000D51FC">
              <w:rPr>
                <w:rFonts w:ascii="Arial" w:hAnsi="Arial" w:cs="Arial"/>
                <w:color w:val="F2F2F2" w:themeColor="background1" w:themeShade="F2"/>
                <w:lang w:val="en-IN"/>
              </w:rPr>
              <w:t>Debt Ratio</w:t>
            </w:r>
          </w:p>
        </w:tc>
      </w:tr>
      <w:tr w:rsidR="00D053A5" w:rsidRPr="000D51FC" w14:paraId="6FFA6F44" w14:textId="77777777" w:rsidTr="00A93F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402561" w14:textId="77777777" w:rsidR="00D053A5" w:rsidRPr="000D51FC" w:rsidRDefault="00D053A5"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2020</w:t>
            </w:r>
          </w:p>
        </w:tc>
        <w:tc>
          <w:tcPr>
            <w:tcW w:w="0" w:type="auto"/>
            <w:hideMark/>
          </w:tcPr>
          <w:p w14:paraId="01E6CB51"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0.63</w:t>
            </w:r>
          </w:p>
        </w:tc>
        <w:tc>
          <w:tcPr>
            <w:tcW w:w="0" w:type="auto"/>
            <w:hideMark/>
          </w:tcPr>
          <w:p w14:paraId="0E128412"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26.2</w:t>
            </w:r>
          </w:p>
        </w:tc>
        <w:tc>
          <w:tcPr>
            <w:tcW w:w="0" w:type="auto"/>
            <w:hideMark/>
          </w:tcPr>
          <w:p w14:paraId="77616F5E"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0.39</w:t>
            </w:r>
          </w:p>
        </w:tc>
      </w:tr>
      <w:tr w:rsidR="00D053A5" w:rsidRPr="000D51FC" w14:paraId="391CA3C4" w14:textId="77777777" w:rsidTr="00A93F9C">
        <w:tc>
          <w:tcPr>
            <w:cnfStyle w:val="001000000000" w:firstRow="0" w:lastRow="0" w:firstColumn="1" w:lastColumn="0" w:oddVBand="0" w:evenVBand="0" w:oddHBand="0" w:evenHBand="0" w:firstRowFirstColumn="0" w:firstRowLastColumn="0" w:lastRowFirstColumn="0" w:lastRowLastColumn="0"/>
            <w:tcW w:w="0" w:type="auto"/>
            <w:hideMark/>
          </w:tcPr>
          <w:p w14:paraId="758B894C" w14:textId="77777777" w:rsidR="00D053A5" w:rsidRPr="000D51FC" w:rsidRDefault="00D053A5"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2021</w:t>
            </w:r>
          </w:p>
        </w:tc>
        <w:tc>
          <w:tcPr>
            <w:tcW w:w="0" w:type="auto"/>
            <w:hideMark/>
          </w:tcPr>
          <w:p w14:paraId="051F23B8" w14:textId="77777777" w:rsidR="00D053A5" w:rsidRPr="000D51FC" w:rsidRDefault="00D053A5"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0.85</w:t>
            </w:r>
          </w:p>
        </w:tc>
        <w:tc>
          <w:tcPr>
            <w:tcW w:w="0" w:type="auto"/>
            <w:hideMark/>
          </w:tcPr>
          <w:p w14:paraId="16AA0E1B" w14:textId="77777777" w:rsidR="00D053A5" w:rsidRPr="000D51FC" w:rsidRDefault="00D053A5"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41.1</w:t>
            </w:r>
          </w:p>
        </w:tc>
        <w:tc>
          <w:tcPr>
            <w:tcW w:w="0" w:type="auto"/>
            <w:hideMark/>
          </w:tcPr>
          <w:p w14:paraId="14EBE77F" w14:textId="77777777" w:rsidR="00D053A5" w:rsidRPr="000D51FC" w:rsidRDefault="00D053A5"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0.46</w:t>
            </w:r>
          </w:p>
        </w:tc>
      </w:tr>
      <w:tr w:rsidR="00D053A5" w:rsidRPr="000D51FC" w14:paraId="23C591E9" w14:textId="77777777" w:rsidTr="00A93F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C36BA0" w14:textId="77777777" w:rsidR="00D053A5" w:rsidRPr="000D51FC" w:rsidRDefault="00D053A5"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2022</w:t>
            </w:r>
          </w:p>
        </w:tc>
        <w:tc>
          <w:tcPr>
            <w:tcW w:w="0" w:type="auto"/>
            <w:hideMark/>
          </w:tcPr>
          <w:p w14:paraId="56048F4C"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0.88</w:t>
            </w:r>
          </w:p>
        </w:tc>
        <w:tc>
          <w:tcPr>
            <w:tcW w:w="0" w:type="auto"/>
            <w:hideMark/>
          </w:tcPr>
          <w:p w14:paraId="07FA3CF7"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6.61</w:t>
            </w:r>
          </w:p>
        </w:tc>
        <w:tc>
          <w:tcPr>
            <w:tcW w:w="0" w:type="auto"/>
            <w:hideMark/>
          </w:tcPr>
          <w:p w14:paraId="260187DB"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0.47</w:t>
            </w:r>
          </w:p>
        </w:tc>
      </w:tr>
      <w:tr w:rsidR="00D053A5" w:rsidRPr="000D51FC" w14:paraId="2EB045C8" w14:textId="77777777" w:rsidTr="00A93F9C">
        <w:tc>
          <w:tcPr>
            <w:cnfStyle w:val="001000000000" w:firstRow="0" w:lastRow="0" w:firstColumn="1" w:lastColumn="0" w:oddVBand="0" w:evenVBand="0" w:oddHBand="0" w:evenHBand="0" w:firstRowFirstColumn="0" w:firstRowLastColumn="0" w:lastRowFirstColumn="0" w:lastRowLastColumn="0"/>
            <w:tcW w:w="0" w:type="auto"/>
            <w:hideMark/>
          </w:tcPr>
          <w:p w14:paraId="6D7B57B5" w14:textId="77777777" w:rsidR="00D053A5" w:rsidRPr="000D51FC" w:rsidRDefault="00D053A5"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2023</w:t>
            </w:r>
          </w:p>
        </w:tc>
        <w:tc>
          <w:tcPr>
            <w:tcW w:w="0" w:type="auto"/>
            <w:hideMark/>
          </w:tcPr>
          <w:p w14:paraId="2FE0A035" w14:textId="77777777" w:rsidR="00D053A5" w:rsidRPr="000D51FC" w:rsidRDefault="00D053A5"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0.99</w:t>
            </w:r>
          </w:p>
        </w:tc>
        <w:tc>
          <w:tcPr>
            <w:tcW w:w="0" w:type="auto"/>
            <w:hideMark/>
          </w:tcPr>
          <w:p w14:paraId="576EE8FE" w14:textId="77777777" w:rsidR="00D053A5" w:rsidRPr="000D51FC" w:rsidRDefault="00D053A5"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-19.7</w:t>
            </w:r>
          </w:p>
        </w:tc>
        <w:tc>
          <w:tcPr>
            <w:tcW w:w="0" w:type="auto"/>
            <w:hideMark/>
          </w:tcPr>
          <w:p w14:paraId="54ED4D03" w14:textId="77777777" w:rsidR="00D053A5" w:rsidRPr="000D51FC" w:rsidRDefault="00D053A5" w:rsidP="000D51FC">
            <w:pPr>
              <w:spacing w:before="160" w:after="160" w:line="360" w:lineRule="auto"/>
              <w:ind w:left="720"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D51FC">
              <w:rPr>
                <w:rFonts w:ascii="Arial" w:hAnsi="Arial" w:cs="Arial"/>
                <w:lang w:val="en-IN"/>
              </w:rPr>
              <w:t>0.50</w:t>
            </w:r>
          </w:p>
        </w:tc>
      </w:tr>
      <w:tr w:rsidR="00D053A5" w:rsidRPr="000D51FC" w14:paraId="6EDEF486" w14:textId="77777777" w:rsidTr="00A93F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71CD64" w14:textId="77777777" w:rsidR="00D053A5" w:rsidRPr="000D51FC" w:rsidRDefault="00D053A5" w:rsidP="000D51FC">
            <w:pPr>
              <w:spacing w:before="160" w:after="160" w:line="360" w:lineRule="auto"/>
              <w:ind w:left="720" w:firstLine="0"/>
              <w:rPr>
                <w:rFonts w:ascii="Arial" w:hAnsi="Arial" w:cs="Arial"/>
                <w:color w:val="F2F2F2" w:themeColor="background1" w:themeShade="F2"/>
                <w:lang w:val="en-IN"/>
              </w:rPr>
            </w:pPr>
            <w:r w:rsidRPr="000D51FC">
              <w:rPr>
                <w:rFonts w:ascii="Arial" w:hAnsi="Arial" w:cs="Arial"/>
                <w:color w:val="F2F2F2" w:themeColor="background1" w:themeShade="F2"/>
                <w:lang w:val="en-IN"/>
              </w:rPr>
              <w:t>2024</w:t>
            </w:r>
          </w:p>
        </w:tc>
        <w:tc>
          <w:tcPr>
            <w:tcW w:w="0" w:type="auto"/>
            <w:hideMark/>
          </w:tcPr>
          <w:p w14:paraId="17E156F6"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1.11</w:t>
            </w:r>
          </w:p>
        </w:tc>
        <w:tc>
          <w:tcPr>
            <w:tcW w:w="0" w:type="auto"/>
            <w:hideMark/>
          </w:tcPr>
          <w:p w14:paraId="3AD1E8D8"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-4.55</w:t>
            </w:r>
          </w:p>
        </w:tc>
        <w:tc>
          <w:tcPr>
            <w:tcW w:w="0" w:type="auto"/>
            <w:hideMark/>
          </w:tcPr>
          <w:p w14:paraId="21DE7944" w14:textId="77777777" w:rsidR="00D053A5" w:rsidRPr="000D51FC" w:rsidRDefault="00D053A5" w:rsidP="000D51FC">
            <w:pPr>
              <w:spacing w:before="160" w:after="160" w:line="360" w:lineRule="auto"/>
              <w:ind w:left="720"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D51FC">
              <w:rPr>
                <w:rFonts w:ascii="Arial" w:hAnsi="Arial" w:cs="Arial"/>
                <w:lang w:val="en-IN"/>
              </w:rPr>
              <w:t>0.53</w:t>
            </w:r>
          </w:p>
        </w:tc>
      </w:tr>
    </w:tbl>
    <w:p w14:paraId="63C0B511" w14:textId="77777777" w:rsidR="00BB7DDC" w:rsidRPr="000D51FC" w:rsidRDefault="00BB7DDC" w:rsidP="000D51FC">
      <w:pPr>
        <w:spacing w:line="360" w:lineRule="auto"/>
        <w:ind w:left="0" w:firstLine="0"/>
        <w:rPr>
          <w:rFonts w:ascii="Arial" w:hAnsi="Arial" w:cs="Arial"/>
          <w:lang w:val="en-IN" w:eastAsia="en-GB"/>
        </w:rPr>
      </w:pPr>
    </w:p>
    <w:p w14:paraId="0141B5E7" w14:textId="77777777" w:rsidR="00D053A5" w:rsidRPr="000D51FC" w:rsidRDefault="00D053A5" w:rsidP="000D51FC">
      <w:pPr>
        <w:spacing w:line="360" w:lineRule="auto"/>
        <w:ind w:left="0" w:firstLine="0"/>
        <w:rPr>
          <w:rFonts w:ascii="Arial" w:hAnsi="Arial" w:cs="Arial"/>
          <w:lang w:val="en-IN" w:eastAsia="en-GB"/>
        </w:rPr>
      </w:pPr>
    </w:p>
    <w:p w14:paraId="167D1C83" w14:textId="77777777" w:rsidR="00D053A5" w:rsidRPr="000D51FC" w:rsidRDefault="00D053A5" w:rsidP="000D51FC">
      <w:pPr>
        <w:spacing w:line="360" w:lineRule="auto"/>
        <w:ind w:left="0" w:firstLine="0"/>
        <w:rPr>
          <w:rFonts w:ascii="Arial" w:hAnsi="Arial" w:cs="Arial"/>
          <w:lang w:val="en-IN" w:eastAsia="en-GB"/>
        </w:rPr>
      </w:pPr>
    </w:p>
    <w:p w14:paraId="2CC635AD" w14:textId="77777777" w:rsidR="00D053A5" w:rsidRDefault="00D053A5" w:rsidP="000D51FC">
      <w:pPr>
        <w:spacing w:line="360" w:lineRule="auto"/>
        <w:ind w:left="0" w:firstLine="0"/>
        <w:rPr>
          <w:rFonts w:ascii="Arial" w:hAnsi="Arial" w:cs="Arial"/>
          <w:lang w:val="en-IN" w:eastAsia="en-GB"/>
        </w:rPr>
      </w:pPr>
    </w:p>
    <w:p w14:paraId="224C825B" w14:textId="77777777" w:rsidR="0070740D" w:rsidRPr="000D51FC" w:rsidRDefault="0070740D" w:rsidP="000D51FC">
      <w:pPr>
        <w:spacing w:line="360" w:lineRule="auto"/>
        <w:ind w:left="0" w:firstLine="0"/>
        <w:rPr>
          <w:rFonts w:ascii="Arial" w:hAnsi="Arial" w:cs="Arial"/>
          <w:lang w:val="en-IN" w:eastAsia="en-GB"/>
        </w:rPr>
      </w:pPr>
    </w:p>
    <w:p w14:paraId="3F9B910B" w14:textId="15006A85" w:rsidR="00D053A5" w:rsidRPr="000D51FC" w:rsidRDefault="00D053A5" w:rsidP="000D51FC">
      <w:pPr>
        <w:spacing w:line="360" w:lineRule="auto"/>
        <w:ind w:left="0" w:firstLine="0"/>
        <w:jc w:val="center"/>
        <w:rPr>
          <w:rFonts w:ascii="Arial" w:hAnsi="Arial" w:cs="Arial"/>
          <w:b/>
          <w:bCs/>
          <w:lang w:val="en-IN" w:eastAsia="en-GB"/>
        </w:rPr>
      </w:pPr>
      <w:r w:rsidRPr="000D51FC">
        <w:rPr>
          <w:rFonts w:ascii="Arial" w:hAnsi="Arial" w:cs="Arial"/>
          <w:b/>
          <w:bCs/>
          <w:lang w:val="en-IN" w:eastAsia="en-GB"/>
        </w:rPr>
        <w:lastRenderedPageBreak/>
        <w:t>A5. Investment Ratios (2020 – 2024)</w:t>
      </w:r>
    </w:p>
    <w:tbl>
      <w:tblPr>
        <w:tblStyle w:val="GridTable5Dark-Accent4"/>
        <w:tblW w:w="8230" w:type="dxa"/>
        <w:jc w:val="center"/>
        <w:tblLook w:val="04A0" w:firstRow="1" w:lastRow="0" w:firstColumn="1" w:lastColumn="0" w:noHBand="0" w:noVBand="1"/>
      </w:tblPr>
      <w:tblGrid>
        <w:gridCol w:w="973"/>
        <w:gridCol w:w="1280"/>
        <w:gridCol w:w="2989"/>
        <w:gridCol w:w="2988"/>
      </w:tblGrid>
      <w:tr w:rsidR="00D053A5" w:rsidRPr="000D51FC" w14:paraId="11C92806" w14:textId="77777777" w:rsidTr="00A93F9C">
        <w:trPr>
          <w:cnfStyle w:val="100000000000" w:firstRow="1" w:lastRow="0" w:firstColumn="0" w:lastColumn="0" w:oddVBand="0" w:evenVBand="0" w:oddHBand="0" w:evenHBand="0" w:firstRowFirstColumn="0" w:firstRowLastColumn="0" w:lastRowFirstColumn="0" w:lastRowLastColumn="0"/>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9C642E" w14:textId="77777777" w:rsidR="00D053A5" w:rsidRPr="000D51FC" w:rsidRDefault="00D053A5" w:rsidP="000D51FC">
            <w:pPr>
              <w:spacing w:after="160" w:line="360" w:lineRule="auto"/>
              <w:jc w:val="center"/>
              <w:rPr>
                <w:rFonts w:ascii="Arial" w:hAnsi="Arial" w:cs="Arial"/>
              </w:rPr>
            </w:pPr>
            <w:r w:rsidRPr="000D51FC">
              <w:rPr>
                <w:rFonts w:ascii="Arial" w:hAnsi="Arial" w:cs="Arial"/>
              </w:rPr>
              <w:t>Year</w:t>
            </w:r>
          </w:p>
        </w:tc>
        <w:tc>
          <w:tcPr>
            <w:tcW w:w="0" w:type="auto"/>
            <w:hideMark/>
          </w:tcPr>
          <w:p w14:paraId="63BC098F" w14:textId="77777777" w:rsidR="00D053A5" w:rsidRPr="000D51FC" w:rsidRDefault="00D053A5" w:rsidP="000D51F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EPS (£)</w:t>
            </w:r>
          </w:p>
        </w:tc>
        <w:tc>
          <w:tcPr>
            <w:tcW w:w="0" w:type="auto"/>
            <w:hideMark/>
          </w:tcPr>
          <w:p w14:paraId="3FC78C6A" w14:textId="77777777" w:rsidR="00D053A5" w:rsidRPr="000D51FC" w:rsidRDefault="00D053A5" w:rsidP="000D51F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Dividend per Share (£)</w:t>
            </w:r>
          </w:p>
        </w:tc>
        <w:tc>
          <w:tcPr>
            <w:tcW w:w="0" w:type="auto"/>
            <w:hideMark/>
          </w:tcPr>
          <w:p w14:paraId="656293B3" w14:textId="77777777" w:rsidR="00D053A5" w:rsidRPr="000D51FC" w:rsidRDefault="00D053A5" w:rsidP="000D51F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Dividend Payout Ratio</w:t>
            </w:r>
          </w:p>
        </w:tc>
      </w:tr>
      <w:tr w:rsidR="00D053A5" w:rsidRPr="000D51FC" w14:paraId="4DFF8324" w14:textId="77777777" w:rsidTr="00A93F9C">
        <w:trPr>
          <w:cnfStyle w:val="000000100000" w:firstRow="0" w:lastRow="0" w:firstColumn="0" w:lastColumn="0" w:oddVBand="0" w:evenVBand="0" w:oddHBand="1" w:evenHBand="0" w:firstRowFirstColumn="0" w:firstRowLastColumn="0" w:lastRowFirstColumn="0" w:lastRowLastColumn="0"/>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113A87" w14:textId="77777777" w:rsidR="00D053A5" w:rsidRPr="000D51FC" w:rsidRDefault="00D053A5" w:rsidP="000D51FC">
            <w:pPr>
              <w:spacing w:after="160" w:line="360" w:lineRule="auto"/>
              <w:jc w:val="center"/>
              <w:rPr>
                <w:rFonts w:ascii="Arial" w:hAnsi="Arial" w:cs="Arial"/>
              </w:rPr>
            </w:pPr>
            <w:r w:rsidRPr="000D51FC">
              <w:rPr>
                <w:rFonts w:ascii="Arial" w:hAnsi="Arial" w:cs="Arial"/>
              </w:rPr>
              <w:t>2020</w:t>
            </w:r>
          </w:p>
        </w:tc>
        <w:tc>
          <w:tcPr>
            <w:tcW w:w="0" w:type="auto"/>
            <w:hideMark/>
          </w:tcPr>
          <w:p w14:paraId="48FF50C4"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2.78</w:t>
            </w:r>
          </w:p>
        </w:tc>
        <w:tc>
          <w:tcPr>
            <w:tcW w:w="0" w:type="auto"/>
            <w:hideMark/>
          </w:tcPr>
          <w:p w14:paraId="05CA55A2"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1.20</w:t>
            </w:r>
          </w:p>
        </w:tc>
        <w:tc>
          <w:tcPr>
            <w:tcW w:w="0" w:type="auto"/>
            <w:hideMark/>
          </w:tcPr>
          <w:p w14:paraId="3E43E6F1"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43%</w:t>
            </w:r>
          </w:p>
        </w:tc>
      </w:tr>
      <w:tr w:rsidR="00D053A5" w:rsidRPr="000D51FC" w14:paraId="4ADC0B64" w14:textId="77777777" w:rsidTr="00A93F9C">
        <w:trPr>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56E2E1" w14:textId="77777777" w:rsidR="00D053A5" w:rsidRPr="000D51FC" w:rsidRDefault="00D053A5" w:rsidP="000D51FC">
            <w:pPr>
              <w:spacing w:after="160" w:line="360" w:lineRule="auto"/>
              <w:jc w:val="center"/>
              <w:rPr>
                <w:rFonts w:ascii="Arial" w:hAnsi="Arial" w:cs="Arial"/>
              </w:rPr>
            </w:pPr>
            <w:r w:rsidRPr="000D51FC">
              <w:rPr>
                <w:rFonts w:ascii="Arial" w:hAnsi="Arial" w:cs="Arial"/>
              </w:rPr>
              <w:t>2021</w:t>
            </w:r>
          </w:p>
        </w:tc>
        <w:tc>
          <w:tcPr>
            <w:tcW w:w="0" w:type="auto"/>
            <w:hideMark/>
          </w:tcPr>
          <w:p w14:paraId="464AB3AB" w14:textId="77777777" w:rsidR="00D053A5" w:rsidRPr="000D51FC" w:rsidRDefault="00D053A5"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0.39</w:t>
            </w:r>
          </w:p>
        </w:tc>
        <w:tc>
          <w:tcPr>
            <w:tcW w:w="0" w:type="auto"/>
            <w:hideMark/>
          </w:tcPr>
          <w:p w14:paraId="3ADB9079" w14:textId="77777777" w:rsidR="00D053A5" w:rsidRPr="000D51FC" w:rsidRDefault="00D053A5"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0.15</w:t>
            </w:r>
          </w:p>
        </w:tc>
        <w:tc>
          <w:tcPr>
            <w:tcW w:w="0" w:type="auto"/>
            <w:hideMark/>
          </w:tcPr>
          <w:p w14:paraId="14423446" w14:textId="77777777" w:rsidR="00D053A5" w:rsidRPr="000D51FC" w:rsidRDefault="00D053A5"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38%</w:t>
            </w:r>
          </w:p>
        </w:tc>
      </w:tr>
      <w:tr w:rsidR="00D053A5" w:rsidRPr="000D51FC" w14:paraId="59F75273" w14:textId="77777777" w:rsidTr="00A93F9C">
        <w:trPr>
          <w:cnfStyle w:val="000000100000" w:firstRow="0" w:lastRow="0" w:firstColumn="0" w:lastColumn="0" w:oddVBand="0" w:evenVBand="0" w:oddHBand="1" w:evenHBand="0" w:firstRowFirstColumn="0" w:firstRowLastColumn="0" w:lastRowFirstColumn="0" w:lastRowLastColumn="0"/>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ADCA60" w14:textId="77777777" w:rsidR="00D053A5" w:rsidRPr="000D51FC" w:rsidRDefault="00D053A5" w:rsidP="000D51FC">
            <w:pPr>
              <w:spacing w:after="160" w:line="360" w:lineRule="auto"/>
              <w:jc w:val="center"/>
              <w:rPr>
                <w:rFonts w:ascii="Arial" w:hAnsi="Arial" w:cs="Arial"/>
              </w:rPr>
            </w:pPr>
            <w:r w:rsidRPr="000D51FC">
              <w:rPr>
                <w:rFonts w:ascii="Arial" w:hAnsi="Arial" w:cs="Arial"/>
              </w:rPr>
              <w:t>2022</w:t>
            </w:r>
          </w:p>
        </w:tc>
        <w:tc>
          <w:tcPr>
            <w:tcW w:w="0" w:type="auto"/>
            <w:hideMark/>
          </w:tcPr>
          <w:p w14:paraId="0439B6EB"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0.03</w:t>
            </w:r>
          </w:p>
        </w:tc>
        <w:tc>
          <w:tcPr>
            <w:tcW w:w="0" w:type="auto"/>
            <w:hideMark/>
          </w:tcPr>
          <w:p w14:paraId="352B1A88"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0.00</w:t>
            </w:r>
          </w:p>
        </w:tc>
        <w:tc>
          <w:tcPr>
            <w:tcW w:w="0" w:type="auto"/>
            <w:hideMark/>
          </w:tcPr>
          <w:p w14:paraId="51A59FFB"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0%</w:t>
            </w:r>
          </w:p>
        </w:tc>
      </w:tr>
      <w:tr w:rsidR="00D053A5" w:rsidRPr="000D51FC" w14:paraId="604E2F3A" w14:textId="77777777" w:rsidTr="00A93F9C">
        <w:trPr>
          <w:trHeight w:val="71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22DFB2" w14:textId="77777777" w:rsidR="00D053A5" w:rsidRPr="000D51FC" w:rsidRDefault="00D053A5" w:rsidP="000D51FC">
            <w:pPr>
              <w:spacing w:after="160" w:line="360" w:lineRule="auto"/>
              <w:jc w:val="center"/>
              <w:rPr>
                <w:rFonts w:ascii="Arial" w:hAnsi="Arial" w:cs="Arial"/>
              </w:rPr>
            </w:pPr>
            <w:r w:rsidRPr="000D51FC">
              <w:rPr>
                <w:rFonts w:ascii="Arial" w:hAnsi="Arial" w:cs="Arial"/>
              </w:rPr>
              <w:t>2023</w:t>
            </w:r>
          </w:p>
        </w:tc>
        <w:tc>
          <w:tcPr>
            <w:tcW w:w="0" w:type="auto"/>
            <w:hideMark/>
          </w:tcPr>
          <w:p w14:paraId="54EC61F1" w14:textId="77777777" w:rsidR="00D053A5" w:rsidRPr="000D51FC" w:rsidRDefault="00D053A5"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-7.64</w:t>
            </w:r>
          </w:p>
        </w:tc>
        <w:tc>
          <w:tcPr>
            <w:tcW w:w="0" w:type="auto"/>
            <w:hideMark/>
          </w:tcPr>
          <w:p w14:paraId="0B762FD3" w14:textId="77777777" w:rsidR="00D053A5" w:rsidRPr="000D51FC" w:rsidRDefault="00D053A5"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0.00</w:t>
            </w:r>
          </w:p>
        </w:tc>
        <w:tc>
          <w:tcPr>
            <w:tcW w:w="0" w:type="auto"/>
            <w:hideMark/>
          </w:tcPr>
          <w:p w14:paraId="50156846" w14:textId="77777777" w:rsidR="00D053A5" w:rsidRPr="000D51FC" w:rsidRDefault="00D053A5" w:rsidP="000D51F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w:t>
            </w:r>
          </w:p>
        </w:tc>
      </w:tr>
      <w:tr w:rsidR="00D053A5" w:rsidRPr="000D51FC" w14:paraId="67A13EF4" w14:textId="77777777" w:rsidTr="00A93F9C">
        <w:trPr>
          <w:cnfStyle w:val="000000100000" w:firstRow="0" w:lastRow="0" w:firstColumn="0" w:lastColumn="0" w:oddVBand="0" w:evenVBand="0" w:oddHBand="1" w:evenHBand="0" w:firstRowFirstColumn="0" w:firstRowLastColumn="0" w:lastRowFirstColumn="0" w:lastRowLastColumn="0"/>
          <w:trHeight w:val="69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76B031" w14:textId="77777777" w:rsidR="00D053A5" w:rsidRPr="000D51FC" w:rsidRDefault="00D053A5" w:rsidP="000D51FC">
            <w:pPr>
              <w:spacing w:after="160" w:line="360" w:lineRule="auto"/>
              <w:jc w:val="center"/>
              <w:rPr>
                <w:rFonts w:ascii="Arial" w:hAnsi="Arial" w:cs="Arial"/>
              </w:rPr>
            </w:pPr>
            <w:r w:rsidRPr="000D51FC">
              <w:rPr>
                <w:rFonts w:ascii="Arial" w:hAnsi="Arial" w:cs="Arial"/>
              </w:rPr>
              <w:t>2024</w:t>
            </w:r>
          </w:p>
        </w:tc>
        <w:tc>
          <w:tcPr>
            <w:tcW w:w="0" w:type="auto"/>
            <w:hideMark/>
          </w:tcPr>
          <w:p w14:paraId="0E5225C4"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-1.85</w:t>
            </w:r>
          </w:p>
        </w:tc>
        <w:tc>
          <w:tcPr>
            <w:tcW w:w="0" w:type="auto"/>
            <w:hideMark/>
          </w:tcPr>
          <w:p w14:paraId="007F7B24"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0.00</w:t>
            </w:r>
          </w:p>
        </w:tc>
        <w:tc>
          <w:tcPr>
            <w:tcW w:w="0" w:type="auto"/>
            <w:hideMark/>
          </w:tcPr>
          <w:p w14:paraId="35A3CAA0" w14:textId="77777777" w:rsidR="00D053A5" w:rsidRPr="000D51FC" w:rsidRDefault="00D053A5" w:rsidP="000D51F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w:t>
            </w:r>
          </w:p>
        </w:tc>
      </w:tr>
    </w:tbl>
    <w:p w14:paraId="615E8338" w14:textId="77777777" w:rsidR="00D053A5" w:rsidRPr="000D51FC" w:rsidRDefault="00D053A5" w:rsidP="000D51FC">
      <w:pPr>
        <w:spacing w:line="360" w:lineRule="auto"/>
        <w:ind w:left="0" w:firstLine="0"/>
        <w:rPr>
          <w:rFonts w:ascii="Arial" w:hAnsi="Arial" w:cs="Arial"/>
          <w:lang w:val="en-IN" w:eastAsia="en-GB"/>
        </w:rPr>
      </w:pPr>
    </w:p>
    <w:p w14:paraId="1EC4C83F" w14:textId="28F72A44" w:rsidR="00CF4418" w:rsidRPr="000D51FC" w:rsidRDefault="00CF4418" w:rsidP="000D51FC">
      <w:pPr>
        <w:spacing w:line="360" w:lineRule="auto"/>
        <w:ind w:left="0" w:firstLine="0"/>
        <w:jc w:val="center"/>
        <w:rPr>
          <w:rFonts w:ascii="Arial" w:hAnsi="Arial" w:cs="Arial"/>
          <w:b/>
          <w:bCs/>
          <w:lang w:val="en-IN" w:eastAsia="en-GB"/>
        </w:rPr>
      </w:pPr>
      <w:r w:rsidRPr="000D51FC">
        <w:rPr>
          <w:rFonts w:ascii="Arial" w:hAnsi="Arial" w:cs="Arial"/>
          <w:b/>
          <w:bCs/>
          <w:lang w:val="en-IN" w:eastAsia="en-GB"/>
        </w:rPr>
        <w:t xml:space="preserve">A6. Comparative </w:t>
      </w:r>
      <w:proofErr w:type="spellStart"/>
      <w:r w:rsidRPr="000D51FC">
        <w:rPr>
          <w:rFonts w:ascii="Arial" w:hAnsi="Arial" w:cs="Arial"/>
          <w:b/>
          <w:bCs/>
          <w:lang w:val="en-IN" w:eastAsia="en-GB"/>
        </w:rPr>
        <w:t>Evalution</w:t>
      </w:r>
      <w:proofErr w:type="spellEnd"/>
    </w:p>
    <w:tbl>
      <w:tblPr>
        <w:tblStyle w:val="GridTable5Dark-Accent4"/>
        <w:tblW w:w="6745" w:type="dxa"/>
        <w:jc w:val="center"/>
        <w:tblLook w:val="04A0" w:firstRow="1" w:lastRow="0" w:firstColumn="1" w:lastColumn="0" w:noHBand="0" w:noVBand="1"/>
      </w:tblPr>
      <w:tblGrid>
        <w:gridCol w:w="1377"/>
        <w:gridCol w:w="1782"/>
        <w:gridCol w:w="1793"/>
        <w:gridCol w:w="1793"/>
      </w:tblGrid>
      <w:tr w:rsidR="00CF4418" w:rsidRPr="000D51FC" w14:paraId="00FBAF73" w14:textId="77777777" w:rsidTr="00A93F9C">
        <w:trPr>
          <w:cnfStyle w:val="100000000000" w:firstRow="1" w:lastRow="0" w:firstColumn="0" w:lastColumn="0" w:oddVBand="0" w:evenVBand="0" w:oddHBand="0" w:evenHBand="0" w:firstRowFirstColumn="0" w:firstRowLastColumn="0" w:lastRowFirstColumn="0" w:lastRowLastColumn="0"/>
          <w:trHeight w:val="66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4BE08B" w14:textId="77777777" w:rsidR="00CF4418" w:rsidRPr="000D51FC" w:rsidRDefault="00CF4418" w:rsidP="000D51FC">
            <w:pPr>
              <w:spacing w:after="160" w:line="360" w:lineRule="auto"/>
              <w:rPr>
                <w:rFonts w:ascii="Arial" w:hAnsi="Arial" w:cs="Arial"/>
                <w:color w:val="FFFFFF" w:themeColor="background1"/>
              </w:rPr>
            </w:pPr>
            <w:r w:rsidRPr="000D51FC">
              <w:rPr>
                <w:rFonts w:ascii="Arial" w:hAnsi="Arial" w:cs="Arial"/>
                <w:color w:val="FFFFFF" w:themeColor="background1"/>
              </w:rPr>
              <w:t>Metric</w:t>
            </w:r>
          </w:p>
        </w:tc>
        <w:tc>
          <w:tcPr>
            <w:tcW w:w="0" w:type="auto"/>
            <w:hideMark/>
          </w:tcPr>
          <w:p w14:paraId="7FF1FB3A" w14:textId="77777777" w:rsidR="00CF4418" w:rsidRPr="000D51FC" w:rsidRDefault="00CF4418" w:rsidP="000D51F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0D51FC">
              <w:rPr>
                <w:rFonts w:ascii="Arial" w:hAnsi="Arial" w:cs="Arial"/>
                <w:color w:val="FFFFFF" w:themeColor="background1"/>
              </w:rPr>
              <w:t>Project A</w:t>
            </w:r>
          </w:p>
        </w:tc>
        <w:tc>
          <w:tcPr>
            <w:tcW w:w="0" w:type="auto"/>
            <w:hideMark/>
          </w:tcPr>
          <w:p w14:paraId="013FCBE5" w14:textId="77777777" w:rsidR="00CF4418" w:rsidRPr="000D51FC" w:rsidRDefault="00CF4418" w:rsidP="000D51F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0D51FC">
              <w:rPr>
                <w:rFonts w:ascii="Arial" w:hAnsi="Arial" w:cs="Arial"/>
                <w:color w:val="FFFFFF" w:themeColor="background1"/>
              </w:rPr>
              <w:t>Project B</w:t>
            </w:r>
          </w:p>
        </w:tc>
        <w:tc>
          <w:tcPr>
            <w:tcW w:w="0" w:type="auto"/>
            <w:hideMark/>
          </w:tcPr>
          <w:p w14:paraId="077DD25B" w14:textId="77777777" w:rsidR="00CF4418" w:rsidRPr="000D51FC" w:rsidRDefault="00CF4418" w:rsidP="000D51F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0D51FC">
              <w:rPr>
                <w:rFonts w:ascii="Arial" w:hAnsi="Arial" w:cs="Arial"/>
                <w:color w:val="FFFFFF" w:themeColor="background1"/>
              </w:rPr>
              <w:t>Project C</w:t>
            </w:r>
          </w:p>
        </w:tc>
      </w:tr>
      <w:tr w:rsidR="00CF4418" w:rsidRPr="000D51FC" w14:paraId="5679D393" w14:textId="77777777" w:rsidTr="00A93F9C">
        <w:trPr>
          <w:cnfStyle w:val="000000100000" w:firstRow="0" w:lastRow="0" w:firstColumn="0" w:lastColumn="0" w:oddVBand="0" w:evenVBand="0" w:oddHBand="1" w:evenHBand="0" w:firstRowFirstColumn="0" w:firstRowLastColumn="0" w:lastRowFirstColumn="0" w:lastRowLastColumn="0"/>
          <w:trHeight w:val="65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868B35" w14:textId="77777777" w:rsidR="00CF4418" w:rsidRPr="000D51FC" w:rsidRDefault="00CF4418" w:rsidP="000D51FC">
            <w:pPr>
              <w:spacing w:after="160" w:line="360" w:lineRule="auto"/>
              <w:rPr>
                <w:rFonts w:ascii="Arial" w:hAnsi="Arial" w:cs="Arial"/>
                <w:color w:val="FFFFFF" w:themeColor="background1"/>
              </w:rPr>
            </w:pPr>
            <w:r w:rsidRPr="000D51FC">
              <w:rPr>
                <w:rFonts w:ascii="Arial" w:hAnsi="Arial" w:cs="Arial"/>
                <w:color w:val="FFFFFF" w:themeColor="background1"/>
              </w:rPr>
              <w:t>PBP</w:t>
            </w:r>
          </w:p>
        </w:tc>
        <w:tc>
          <w:tcPr>
            <w:tcW w:w="0" w:type="auto"/>
            <w:hideMark/>
          </w:tcPr>
          <w:p w14:paraId="0E9749D6"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3.4 yrs</w:t>
            </w:r>
          </w:p>
        </w:tc>
        <w:tc>
          <w:tcPr>
            <w:tcW w:w="0" w:type="auto"/>
            <w:hideMark/>
          </w:tcPr>
          <w:p w14:paraId="5CF84858"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5 yrs</w:t>
            </w:r>
          </w:p>
        </w:tc>
        <w:tc>
          <w:tcPr>
            <w:tcW w:w="0" w:type="auto"/>
            <w:hideMark/>
          </w:tcPr>
          <w:p w14:paraId="3BFC3B40"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3.6 yrs</w:t>
            </w:r>
          </w:p>
        </w:tc>
      </w:tr>
      <w:tr w:rsidR="00CF4418" w:rsidRPr="000D51FC" w14:paraId="58ADA8EC" w14:textId="77777777" w:rsidTr="00A93F9C">
        <w:trPr>
          <w:trHeight w:val="66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B699A1" w14:textId="77777777" w:rsidR="00CF4418" w:rsidRPr="000D51FC" w:rsidRDefault="00CF4418" w:rsidP="000D51FC">
            <w:pPr>
              <w:spacing w:after="160" w:line="360" w:lineRule="auto"/>
              <w:rPr>
                <w:rFonts w:ascii="Arial" w:hAnsi="Arial" w:cs="Arial"/>
                <w:color w:val="FFFFFF" w:themeColor="background1"/>
              </w:rPr>
            </w:pPr>
            <w:r w:rsidRPr="000D51FC">
              <w:rPr>
                <w:rFonts w:ascii="Arial" w:hAnsi="Arial" w:cs="Arial"/>
                <w:color w:val="FFFFFF" w:themeColor="background1"/>
              </w:rPr>
              <w:t>ARR</w:t>
            </w:r>
          </w:p>
        </w:tc>
        <w:tc>
          <w:tcPr>
            <w:tcW w:w="0" w:type="auto"/>
            <w:hideMark/>
          </w:tcPr>
          <w:p w14:paraId="6A306630" w14:textId="77777777" w:rsidR="00CF4418" w:rsidRPr="000D51FC" w:rsidRDefault="00CF4418"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7%</w:t>
            </w:r>
          </w:p>
        </w:tc>
        <w:tc>
          <w:tcPr>
            <w:tcW w:w="0" w:type="auto"/>
            <w:hideMark/>
          </w:tcPr>
          <w:p w14:paraId="5DCD4230" w14:textId="77777777" w:rsidR="00CF4418" w:rsidRPr="000D51FC" w:rsidRDefault="00CF4418"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w:t>
            </w:r>
          </w:p>
        </w:tc>
        <w:tc>
          <w:tcPr>
            <w:tcW w:w="0" w:type="auto"/>
            <w:hideMark/>
          </w:tcPr>
          <w:p w14:paraId="267103DB" w14:textId="77777777" w:rsidR="00CF4418" w:rsidRPr="000D51FC" w:rsidRDefault="00CF4418"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10%</w:t>
            </w:r>
          </w:p>
        </w:tc>
      </w:tr>
      <w:tr w:rsidR="00CF4418" w:rsidRPr="000D51FC" w14:paraId="707EF951" w14:textId="77777777" w:rsidTr="00A93F9C">
        <w:trPr>
          <w:cnfStyle w:val="000000100000" w:firstRow="0" w:lastRow="0" w:firstColumn="0" w:lastColumn="0" w:oddVBand="0" w:evenVBand="0" w:oddHBand="1" w:evenHBand="0" w:firstRowFirstColumn="0" w:firstRowLastColumn="0" w:lastRowFirstColumn="0" w:lastRowLastColumn="0"/>
          <w:trHeight w:val="65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3640B3" w14:textId="77777777" w:rsidR="00CF4418" w:rsidRPr="000D51FC" w:rsidRDefault="00CF4418" w:rsidP="000D51FC">
            <w:pPr>
              <w:spacing w:after="160" w:line="360" w:lineRule="auto"/>
              <w:rPr>
                <w:rFonts w:ascii="Arial" w:hAnsi="Arial" w:cs="Arial"/>
                <w:color w:val="FFFFFF" w:themeColor="background1"/>
              </w:rPr>
            </w:pPr>
            <w:r w:rsidRPr="000D51FC">
              <w:rPr>
                <w:rFonts w:ascii="Arial" w:hAnsi="Arial" w:cs="Arial"/>
                <w:color w:val="FFFFFF" w:themeColor="background1"/>
              </w:rPr>
              <w:t>NPV</w:t>
            </w:r>
          </w:p>
        </w:tc>
        <w:tc>
          <w:tcPr>
            <w:tcW w:w="0" w:type="auto"/>
            <w:hideMark/>
          </w:tcPr>
          <w:p w14:paraId="515CDA22"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£1.33m</w:t>
            </w:r>
          </w:p>
        </w:tc>
        <w:tc>
          <w:tcPr>
            <w:tcW w:w="0" w:type="auto"/>
            <w:hideMark/>
          </w:tcPr>
          <w:p w14:paraId="722932A6"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–£7.25m</w:t>
            </w:r>
          </w:p>
        </w:tc>
        <w:tc>
          <w:tcPr>
            <w:tcW w:w="0" w:type="auto"/>
            <w:hideMark/>
          </w:tcPr>
          <w:p w14:paraId="31890484"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£4.25m</w:t>
            </w:r>
          </w:p>
        </w:tc>
      </w:tr>
      <w:tr w:rsidR="00CF4418" w:rsidRPr="000D51FC" w14:paraId="40CB85E6" w14:textId="77777777" w:rsidTr="00A93F9C">
        <w:trPr>
          <w:trHeight w:val="66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2F8F90" w14:textId="77777777" w:rsidR="00CF4418" w:rsidRPr="000D51FC" w:rsidRDefault="00CF4418" w:rsidP="000D51FC">
            <w:pPr>
              <w:spacing w:after="160" w:line="360" w:lineRule="auto"/>
              <w:rPr>
                <w:rFonts w:ascii="Arial" w:hAnsi="Arial" w:cs="Arial"/>
                <w:color w:val="FFFFFF" w:themeColor="background1"/>
              </w:rPr>
            </w:pPr>
            <w:r w:rsidRPr="000D51FC">
              <w:rPr>
                <w:rFonts w:ascii="Arial" w:hAnsi="Arial" w:cs="Arial"/>
                <w:color w:val="FFFFFF" w:themeColor="background1"/>
              </w:rPr>
              <w:t>PI</w:t>
            </w:r>
          </w:p>
        </w:tc>
        <w:tc>
          <w:tcPr>
            <w:tcW w:w="0" w:type="auto"/>
            <w:hideMark/>
          </w:tcPr>
          <w:p w14:paraId="05A359F6" w14:textId="77777777" w:rsidR="00CF4418" w:rsidRPr="000D51FC" w:rsidRDefault="00CF4418"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1.03</w:t>
            </w:r>
          </w:p>
        </w:tc>
        <w:tc>
          <w:tcPr>
            <w:tcW w:w="0" w:type="auto"/>
            <w:hideMark/>
          </w:tcPr>
          <w:p w14:paraId="66BEF341" w14:textId="77777777" w:rsidR="00CF4418" w:rsidRPr="000D51FC" w:rsidRDefault="00CF4418"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0.76</w:t>
            </w:r>
          </w:p>
        </w:tc>
        <w:tc>
          <w:tcPr>
            <w:tcW w:w="0" w:type="auto"/>
            <w:hideMark/>
          </w:tcPr>
          <w:p w14:paraId="4686E9FE" w14:textId="77777777" w:rsidR="00CF4418" w:rsidRPr="000D51FC" w:rsidRDefault="00CF4418" w:rsidP="000D51F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D51FC">
              <w:rPr>
                <w:rFonts w:ascii="Arial" w:hAnsi="Arial" w:cs="Arial"/>
              </w:rPr>
              <w:t>1.08</w:t>
            </w:r>
          </w:p>
        </w:tc>
      </w:tr>
      <w:tr w:rsidR="00CF4418" w:rsidRPr="000D51FC" w14:paraId="307C995D" w14:textId="77777777" w:rsidTr="00A93F9C">
        <w:trPr>
          <w:cnfStyle w:val="000000100000" w:firstRow="0" w:lastRow="0" w:firstColumn="0" w:lastColumn="0" w:oddVBand="0" w:evenVBand="0" w:oddHBand="1" w:evenHBand="0" w:firstRowFirstColumn="0" w:firstRowLastColumn="0" w:lastRowFirstColumn="0" w:lastRowLastColumn="0"/>
          <w:trHeight w:val="65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ADC8D1D" w14:textId="77777777" w:rsidR="00CF4418" w:rsidRPr="000D51FC" w:rsidRDefault="00CF4418" w:rsidP="000D51FC">
            <w:pPr>
              <w:spacing w:after="160" w:line="360" w:lineRule="auto"/>
              <w:rPr>
                <w:rFonts w:ascii="Arial" w:hAnsi="Arial" w:cs="Arial"/>
                <w:color w:val="FFFFFF" w:themeColor="background1"/>
              </w:rPr>
            </w:pPr>
            <w:r w:rsidRPr="000D51FC">
              <w:rPr>
                <w:rFonts w:ascii="Arial" w:hAnsi="Arial" w:cs="Arial"/>
                <w:color w:val="FFFFFF" w:themeColor="background1"/>
              </w:rPr>
              <w:t>IRR</w:t>
            </w:r>
          </w:p>
        </w:tc>
        <w:tc>
          <w:tcPr>
            <w:tcW w:w="0" w:type="auto"/>
            <w:hideMark/>
          </w:tcPr>
          <w:p w14:paraId="5A1E7317"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11–12%</w:t>
            </w:r>
          </w:p>
        </w:tc>
        <w:tc>
          <w:tcPr>
            <w:tcW w:w="0" w:type="auto"/>
            <w:hideMark/>
          </w:tcPr>
          <w:p w14:paraId="5D32263A"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4–5%</w:t>
            </w:r>
          </w:p>
        </w:tc>
        <w:tc>
          <w:tcPr>
            <w:tcW w:w="0" w:type="auto"/>
            <w:hideMark/>
          </w:tcPr>
          <w:p w14:paraId="67F155FC" w14:textId="77777777" w:rsidR="00CF4418" w:rsidRPr="000D51FC" w:rsidRDefault="00CF4418" w:rsidP="000D51F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D51FC">
              <w:rPr>
                <w:rFonts w:ascii="Arial" w:hAnsi="Arial" w:cs="Arial"/>
              </w:rPr>
              <w:t>12–13%</w:t>
            </w:r>
          </w:p>
        </w:tc>
      </w:tr>
    </w:tbl>
    <w:p w14:paraId="6BDBCDC4" w14:textId="77777777" w:rsidR="00F45C66" w:rsidRPr="000D51FC" w:rsidRDefault="00F45C66" w:rsidP="000D51FC">
      <w:pPr>
        <w:spacing w:line="360" w:lineRule="auto"/>
        <w:ind w:left="0" w:firstLine="0"/>
        <w:rPr>
          <w:rFonts w:ascii="Arial" w:hAnsi="Arial" w:cs="Arial"/>
          <w:lang w:val="en-IN" w:eastAsia="en-GB"/>
        </w:rPr>
      </w:pPr>
    </w:p>
    <w:p w14:paraId="77DE776D" w14:textId="6C1E883C" w:rsidR="009A4FD2" w:rsidRPr="000D51FC" w:rsidRDefault="009A4FD2" w:rsidP="000D51FC">
      <w:pPr>
        <w:pStyle w:val="Heading1"/>
        <w:spacing w:after="214" w:line="360" w:lineRule="auto"/>
        <w:ind w:left="-5" w:right="12"/>
        <w:jc w:val="both"/>
        <w:rPr>
          <w:rFonts w:ascii="Arial" w:hAnsi="Arial" w:cs="Arial"/>
        </w:rPr>
      </w:pPr>
      <w:bookmarkStart w:id="8" w:name="_Toc214851168"/>
      <w:r w:rsidRPr="000D51FC">
        <w:rPr>
          <w:rFonts w:ascii="Arial" w:hAnsi="Arial" w:cs="Arial"/>
        </w:rPr>
        <w:t>Reference</w:t>
      </w:r>
      <w:bookmarkEnd w:id="8"/>
    </w:p>
    <w:p w14:paraId="344BA3C3" w14:textId="7140D06C" w:rsidR="00793776" w:rsidRPr="00793776" w:rsidRDefault="00793776" w:rsidP="000D51FC">
      <w:pPr>
        <w:spacing w:line="360" w:lineRule="auto"/>
        <w:rPr>
          <w:rFonts w:ascii="Arial" w:hAnsi="Arial" w:cs="Arial"/>
          <w:lang w:val="en-IN" w:eastAsia="en-GB"/>
        </w:rPr>
      </w:pPr>
      <w:r w:rsidRPr="00793776">
        <w:rPr>
          <w:rFonts w:ascii="Arial" w:hAnsi="Arial" w:cs="Arial"/>
          <w:lang w:val="en-IN" w:eastAsia="en-GB"/>
        </w:rPr>
        <w:t xml:space="preserve">Altman, E.I. (1968) ‘Financial ratios, discriminant analysis and the prediction of corporate bankruptcy’, </w:t>
      </w:r>
      <w:r w:rsidRPr="00793776">
        <w:rPr>
          <w:rFonts w:ascii="Arial" w:hAnsi="Arial" w:cs="Arial"/>
          <w:i/>
          <w:iCs/>
          <w:lang w:val="en-IN" w:eastAsia="en-GB"/>
        </w:rPr>
        <w:t>The Journal of Finance</w:t>
      </w:r>
      <w:r w:rsidRPr="00793776">
        <w:rPr>
          <w:rFonts w:ascii="Arial" w:hAnsi="Arial" w:cs="Arial"/>
          <w:lang w:val="en-IN" w:eastAsia="en-GB"/>
        </w:rPr>
        <w:t>, 23(4), pp. 589–609.</w:t>
      </w:r>
    </w:p>
    <w:p w14:paraId="54D634B3" w14:textId="11137AE1" w:rsidR="00793776" w:rsidRPr="00793776" w:rsidRDefault="00793776" w:rsidP="000D51FC">
      <w:pPr>
        <w:spacing w:line="360" w:lineRule="auto"/>
        <w:rPr>
          <w:rFonts w:ascii="Arial" w:hAnsi="Arial" w:cs="Arial"/>
          <w:lang w:val="en-IN" w:eastAsia="en-GB"/>
        </w:rPr>
      </w:pPr>
      <w:r w:rsidRPr="00793776">
        <w:rPr>
          <w:rFonts w:ascii="Arial" w:hAnsi="Arial" w:cs="Arial"/>
          <w:lang w:val="en-IN" w:eastAsia="en-GB"/>
        </w:rPr>
        <w:t xml:space="preserve">Atrill, P. and McLaney, E. (2023) </w:t>
      </w:r>
      <w:r w:rsidRPr="00793776">
        <w:rPr>
          <w:rFonts w:ascii="Arial" w:hAnsi="Arial" w:cs="Arial"/>
          <w:i/>
          <w:iCs/>
          <w:lang w:val="en-IN" w:eastAsia="en-GB"/>
        </w:rPr>
        <w:t>Accounting and finance for non-specialists</w:t>
      </w:r>
      <w:r w:rsidRPr="00793776">
        <w:rPr>
          <w:rFonts w:ascii="Arial" w:hAnsi="Arial" w:cs="Arial"/>
          <w:lang w:val="en-IN" w:eastAsia="en-GB"/>
        </w:rPr>
        <w:t>. 12th edn. Harlow: Pearson.</w:t>
      </w:r>
    </w:p>
    <w:p w14:paraId="38B08E18" w14:textId="608699B9" w:rsidR="00793776" w:rsidRPr="00793776" w:rsidRDefault="00793776" w:rsidP="000D51FC">
      <w:pPr>
        <w:spacing w:line="360" w:lineRule="auto"/>
        <w:rPr>
          <w:rFonts w:ascii="Arial" w:hAnsi="Arial" w:cs="Arial"/>
          <w:lang w:val="en-IN" w:eastAsia="en-GB"/>
        </w:rPr>
      </w:pPr>
      <w:r w:rsidRPr="00793776">
        <w:rPr>
          <w:rFonts w:ascii="Arial" w:hAnsi="Arial" w:cs="Arial"/>
          <w:lang w:val="en-IN" w:eastAsia="en-GB"/>
        </w:rPr>
        <w:lastRenderedPageBreak/>
        <w:t xml:space="preserve">Brigham, E.F. and Ehrhardt, M.C. (2019) </w:t>
      </w:r>
      <w:r w:rsidRPr="00793776">
        <w:rPr>
          <w:rFonts w:ascii="Arial" w:hAnsi="Arial" w:cs="Arial"/>
          <w:i/>
          <w:iCs/>
          <w:lang w:val="en-IN" w:eastAsia="en-GB"/>
        </w:rPr>
        <w:t>Financial management: theory and practice</w:t>
      </w:r>
      <w:r w:rsidRPr="00793776">
        <w:rPr>
          <w:rFonts w:ascii="Arial" w:hAnsi="Arial" w:cs="Arial"/>
          <w:lang w:val="en-IN" w:eastAsia="en-GB"/>
        </w:rPr>
        <w:t>. 16th edn. Boston: Cengage Learning.</w:t>
      </w:r>
    </w:p>
    <w:p w14:paraId="68480B1A" w14:textId="21E8958C" w:rsidR="00793776" w:rsidRPr="00793776" w:rsidRDefault="00793776" w:rsidP="000D51FC">
      <w:pPr>
        <w:spacing w:line="360" w:lineRule="auto"/>
        <w:rPr>
          <w:rFonts w:ascii="Arial" w:hAnsi="Arial" w:cs="Arial"/>
          <w:lang w:val="en-IN" w:eastAsia="en-GB"/>
        </w:rPr>
      </w:pPr>
      <w:r w:rsidRPr="00793776">
        <w:rPr>
          <w:rFonts w:ascii="Arial" w:hAnsi="Arial" w:cs="Arial"/>
          <w:lang w:val="en-IN" w:eastAsia="en-GB"/>
        </w:rPr>
        <w:t xml:space="preserve">Alvarez, S., Gendron, M. and Landolt, F. (2021) ‘Corporate restructuring and value restoration: A global review of turnaround practices’, </w:t>
      </w:r>
      <w:r w:rsidRPr="00793776">
        <w:rPr>
          <w:rFonts w:ascii="Arial" w:hAnsi="Arial" w:cs="Arial"/>
          <w:i/>
          <w:iCs/>
          <w:lang w:val="en-IN" w:eastAsia="en-GB"/>
        </w:rPr>
        <w:t>Journal of Business Strategy</w:t>
      </w:r>
      <w:r w:rsidRPr="00793776">
        <w:rPr>
          <w:rFonts w:ascii="Arial" w:hAnsi="Arial" w:cs="Arial"/>
          <w:lang w:val="en-IN" w:eastAsia="en-GB"/>
        </w:rPr>
        <w:t>, 42(6), pp. 389–402.</w:t>
      </w:r>
    </w:p>
    <w:p w14:paraId="2EDEE33A" w14:textId="26B608AF" w:rsidR="00793776" w:rsidRPr="00793776" w:rsidRDefault="00793776" w:rsidP="000D51FC">
      <w:pPr>
        <w:spacing w:line="360" w:lineRule="auto"/>
        <w:rPr>
          <w:rFonts w:ascii="Arial" w:hAnsi="Arial" w:cs="Arial"/>
          <w:lang w:val="en-IN" w:eastAsia="en-GB"/>
        </w:rPr>
      </w:pPr>
      <w:r w:rsidRPr="00793776">
        <w:rPr>
          <w:rFonts w:ascii="Arial" w:hAnsi="Arial" w:cs="Arial"/>
          <w:lang w:val="en-IN" w:eastAsia="en-GB"/>
        </w:rPr>
        <w:t xml:space="preserve">Grant, R.M. (2021) </w:t>
      </w:r>
      <w:r w:rsidRPr="00793776">
        <w:rPr>
          <w:rFonts w:ascii="Arial" w:hAnsi="Arial" w:cs="Arial"/>
          <w:i/>
          <w:iCs/>
          <w:lang w:val="en-IN" w:eastAsia="en-GB"/>
        </w:rPr>
        <w:t>Contemporary strategy analysis</w:t>
      </w:r>
      <w:r w:rsidRPr="00793776">
        <w:rPr>
          <w:rFonts w:ascii="Arial" w:hAnsi="Arial" w:cs="Arial"/>
          <w:lang w:val="en-IN" w:eastAsia="en-GB"/>
        </w:rPr>
        <w:t>. 11th edn. Hoboken: Wiley.</w:t>
      </w:r>
    </w:p>
    <w:p w14:paraId="37BFE86F" w14:textId="5C201938" w:rsidR="00793776" w:rsidRPr="00793776" w:rsidRDefault="00793776" w:rsidP="000D51FC">
      <w:pPr>
        <w:spacing w:line="360" w:lineRule="auto"/>
        <w:rPr>
          <w:rFonts w:ascii="Arial" w:hAnsi="Arial" w:cs="Arial"/>
          <w:lang w:val="en-IN" w:eastAsia="en-GB"/>
        </w:rPr>
      </w:pPr>
      <w:r w:rsidRPr="00793776">
        <w:rPr>
          <w:rFonts w:ascii="Arial" w:hAnsi="Arial" w:cs="Arial"/>
          <w:lang w:val="en-IN" w:eastAsia="en-GB"/>
        </w:rPr>
        <w:t xml:space="preserve">Ahmad, I. (2021) ‘Liquidity stress and short-term financing challenges in global supply chains’, </w:t>
      </w:r>
      <w:r w:rsidRPr="00793776">
        <w:rPr>
          <w:rFonts w:ascii="Arial" w:hAnsi="Arial" w:cs="Arial"/>
          <w:i/>
          <w:iCs/>
          <w:lang w:val="en-IN" w:eastAsia="en-GB"/>
        </w:rPr>
        <w:t>Corporate Finance Review</w:t>
      </w:r>
      <w:r w:rsidRPr="00793776">
        <w:rPr>
          <w:rFonts w:ascii="Arial" w:hAnsi="Arial" w:cs="Arial"/>
          <w:lang w:val="en-IN" w:eastAsia="en-GB"/>
        </w:rPr>
        <w:t>, 26(3), pp. 18–25.</w:t>
      </w:r>
    </w:p>
    <w:p w14:paraId="5844C549" w14:textId="1B9D775B" w:rsidR="00793776" w:rsidRPr="00793776" w:rsidRDefault="00793776" w:rsidP="000D51FC">
      <w:pPr>
        <w:spacing w:line="360" w:lineRule="auto"/>
        <w:rPr>
          <w:rFonts w:ascii="Arial" w:hAnsi="Arial" w:cs="Arial"/>
          <w:lang w:val="en-IN" w:eastAsia="en-GB"/>
        </w:rPr>
      </w:pPr>
      <w:r w:rsidRPr="00793776">
        <w:rPr>
          <w:rFonts w:ascii="Arial" w:hAnsi="Arial" w:cs="Arial"/>
          <w:lang w:val="en-IN" w:eastAsia="en-GB"/>
        </w:rPr>
        <w:t xml:space="preserve">Munyaka, N. and Yadavalli, V.S.S. (2022) ‘Working capital optimisation and firm performance under economic uncertainty’, </w:t>
      </w:r>
      <w:r w:rsidRPr="00793776">
        <w:rPr>
          <w:rFonts w:ascii="Arial" w:hAnsi="Arial" w:cs="Arial"/>
          <w:i/>
          <w:iCs/>
          <w:lang w:val="en-IN" w:eastAsia="en-GB"/>
        </w:rPr>
        <w:t>South African Journal of Economic and Management Sciences</w:t>
      </w:r>
      <w:r w:rsidRPr="00793776">
        <w:rPr>
          <w:rFonts w:ascii="Arial" w:hAnsi="Arial" w:cs="Arial"/>
          <w:lang w:val="en-IN" w:eastAsia="en-GB"/>
        </w:rPr>
        <w:t>, 25(1), pp. 1–10.</w:t>
      </w:r>
    </w:p>
    <w:p w14:paraId="61516EFD" w14:textId="60B6274A" w:rsidR="00793776" w:rsidRPr="000D51FC" w:rsidRDefault="00793776" w:rsidP="000D51FC">
      <w:pPr>
        <w:spacing w:line="360" w:lineRule="auto"/>
        <w:rPr>
          <w:rFonts w:ascii="Arial" w:hAnsi="Arial" w:cs="Arial"/>
          <w:lang w:val="en-IN" w:eastAsia="en-GB"/>
        </w:rPr>
      </w:pPr>
      <w:r w:rsidRPr="00793776">
        <w:rPr>
          <w:rFonts w:ascii="Arial" w:hAnsi="Arial" w:cs="Arial"/>
          <w:lang w:val="en-IN" w:eastAsia="en-GB"/>
        </w:rPr>
        <w:t xml:space="preserve">Pal, K. and Bhattacharjee, S. (2020) ‘Cash flow performance as a predictor of corporate survival’, </w:t>
      </w:r>
      <w:r w:rsidRPr="00793776">
        <w:rPr>
          <w:rFonts w:ascii="Arial" w:hAnsi="Arial" w:cs="Arial"/>
          <w:i/>
          <w:iCs/>
          <w:lang w:val="en-IN" w:eastAsia="en-GB"/>
        </w:rPr>
        <w:t>International Journal of Business and Finance Research</w:t>
      </w:r>
      <w:r w:rsidRPr="00793776">
        <w:rPr>
          <w:rFonts w:ascii="Arial" w:hAnsi="Arial" w:cs="Arial"/>
          <w:lang w:val="en-IN" w:eastAsia="en-GB"/>
        </w:rPr>
        <w:t>, 14(2), pp. 57–70.</w:t>
      </w:r>
    </w:p>
    <w:p w14:paraId="5A21340F" w14:textId="0AD3926C"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Rashid, A., Jabeen, S. and Ali, R. (2023) ‘Predicting failure in manufacturing firms using Altman Z-Score and revised models’, </w:t>
      </w:r>
      <w:r w:rsidRPr="000D51FC">
        <w:rPr>
          <w:rFonts w:ascii="Arial" w:hAnsi="Arial" w:cs="Arial"/>
          <w:i/>
          <w:iCs/>
          <w:lang w:eastAsia="en-GB"/>
        </w:rPr>
        <w:t>Finance Research Letters</w:t>
      </w:r>
      <w:r w:rsidRPr="000D51FC">
        <w:rPr>
          <w:rFonts w:ascii="Arial" w:hAnsi="Arial" w:cs="Arial"/>
          <w:lang w:eastAsia="en-GB"/>
        </w:rPr>
        <w:t>, 54, pp. 1–7.</w:t>
      </w:r>
    </w:p>
    <w:p w14:paraId="231D73FA" w14:textId="1D00FD43"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Chen, L. and Han, Y. (2022) ‘Bankruptcy prediction models: A comparative study of Z-score application in retail’, </w:t>
      </w:r>
      <w:r w:rsidRPr="000D51FC">
        <w:rPr>
          <w:rFonts w:ascii="Arial" w:hAnsi="Arial" w:cs="Arial"/>
          <w:i/>
          <w:iCs/>
          <w:lang w:eastAsia="en-GB"/>
        </w:rPr>
        <w:t>Retail Finance Journal</w:t>
      </w:r>
      <w:r w:rsidRPr="000D51FC">
        <w:rPr>
          <w:rFonts w:ascii="Arial" w:hAnsi="Arial" w:cs="Arial"/>
          <w:lang w:eastAsia="en-GB"/>
        </w:rPr>
        <w:t>, 7(1), pp. 45–62.</w:t>
      </w:r>
    </w:p>
    <w:p w14:paraId="226F8D5F" w14:textId="783C47EC"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de Oliveira Neto, G.C. (2021) ‘Tax planning and restructuring: A modern approach to multinational financial strategy’, </w:t>
      </w:r>
      <w:r w:rsidRPr="000D51FC">
        <w:rPr>
          <w:rFonts w:ascii="Arial" w:hAnsi="Arial" w:cs="Arial"/>
          <w:i/>
          <w:iCs/>
          <w:lang w:eastAsia="en-GB"/>
        </w:rPr>
        <w:t>International Journal of Accounting &amp; Finance</w:t>
      </w:r>
      <w:r w:rsidRPr="000D51FC">
        <w:rPr>
          <w:rFonts w:ascii="Arial" w:hAnsi="Arial" w:cs="Arial"/>
          <w:lang w:eastAsia="en-GB"/>
        </w:rPr>
        <w:t>, 11(2), pp. 115–134.</w:t>
      </w:r>
    </w:p>
    <w:p w14:paraId="00E51CE4" w14:textId="71CA5CF6"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Fatima, T. and Elbanna, S. (2023) ‘Sustainability-driven restructuring and stakeholder outcomes’, </w:t>
      </w:r>
      <w:r w:rsidRPr="000D51FC">
        <w:rPr>
          <w:rFonts w:ascii="Arial" w:hAnsi="Arial" w:cs="Arial"/>
          <w:i/>
          <w:iCs/>
          <w:lang w:eastAsia="en-GB"/>
        </w:rPr>
        <w:t>International Business Review</w:t>
      </w:r>
      <w:r w:rsidRPr="000D51FC">
        <w:rPr>
          <w:rFonts w:ascii="Arial" w:hAnsi="Arial" w:cs="Arial"/>
          <w:lang w:eastAsia="en-GB"/>
        </w:rPr>
        <w:t>, 32(4), pp. 1–12.</w:t>
      </w:r>
    </w:p>
    <w:p w14:paraId="40DA0608" w14:textId="436490FD"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Williams, A. (2022) ‘Foreign exchange risk management in multinational corporations’, </w:t>
      </w:r>
      <w:r w:rsidRPr="000D51FC">
        <w:rPr>
          <w:rFonts w:ascii="Arial" w:hAnsi="Arial" w:cs="Arial"/>
          <w:i/>
          <w:iCs/>
          <w:lang w:eastAsia="en-GB"/>
        </w:rPr>
        <w:t>Journal of International Financial Management</w:t>
      </w:r>
      <w:r w:rsidRPr="000D51FC">
        <w:rPr>
          <w:rFonts w:ascii="Arial" w:hAnsi="Arial" w:cs="Arial"/>
          <w:lang w:eastAsia="en-GB"/>
        </w:rPr>
        <w:t>, 19(3), pp. 210–228.</w:t>
      </w:r>
    </w:p>
    <w:p w14:paraId="75363471" w14:textId="72240F65"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Martin, K. (2023) ‘Inflation effects on corporate capital structure’, </w:t>
      </w:r>
      <w:r w:rsidRPr="000D51FC">
        <w:rPr>
          <w:rFonts w:ascii="Arial" w:hAnsi="Arial" w:cs="Arial"/>
          <w:i/>
          <w:iCs/>
          <w:lang w:eastAsia="en-GB"/>
        </w:rPr>
        <w:t>Global Finance Studies</w:t>
      </w:r>
      <w:r w:rsidRPr="000D51FC">
        <w:rPr>
          <w:rFonts w:ascii="Arial" w:hAnsi="Arial" w:cs="Arial"/>
          <w:lang w:eastAsia="en-GB"/>
        </w:rPr>
        <w:t>, 18(2), pp. 77–93.</w:t>
      </w:r>
    </w:p>
    <w:p w14:paraId="0B98D775" w14:textId="1FC94674" w:rsidR="00262636" w:rsidRPr="000D51FC" w:rsidRDefault="00262636" w:rsidP="000D51FC">
      <w:pPr>
        <w:spacing w:line="360" w:lineRule="auto"/>
        <w:rPr>
          <w:rFonts w:ascii="Arial" w:hAnsi="Arial" w:cs="Arial"/>
          <w:lang w:eastAsia="en-GB"/>
        </w:rPr>
      </w:pPr>
      <w:r w:rsidRPr="000D51FC">
        <w:rPr>
          <w:rFonts w:ascii="Arial" w:hAnsi="Arial" w:cs="Arial"/>
          <w:lang w:eastAsia="en-GB"/>
        </w:rPr>
        <w:lastRenderedPageBreak/>
        <w:t xml:space="preserve">Crane, A. and Matten, D. (2020) </w:t>
      </w:r>
      <w:r w:rsidRPr="000D51FC">
        <w:rPr>
          <w:rFonts w:ascii="Arial" w:hAnsi="Arial" w:cs="Arial"/>
          <w:i/>
          <w:iCs/>
          <w:lang w:eastAsia="en-GB"/>
        </w:rPr>
        <w:t>Business ethics: managing corporate citizenship and sustainability in the age of globalisation</w:t>
      </w:r>
      <w:r w:rsidRPr="000D51FC">
        <w:rPr>
          <w:rFonts w:ascii="Arial" w:hAnsi="Arial" w:cs="Arial"/>
          <w:lang w:eastAsia="en-GB"/>
        </w:rPr>
        <w:t>. 6th edn. Oxford: Oxford University Press.</w:t>
      </w:r>
    </w:p>
    <w:p w14:paraId="1E61A041" w14:textId="660300F2"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Song, J. (2023) ‘The long-term strategic outcomes of corporate divestitures’, </w:t>
      </w:r>
      <w:r w:rsidRPr="000D51FC">
        <w:rPr>
          <w:rFonts w:ascii="Arial" w:hAnsi="Arial" w:cs="Arial"/>
          <w:i/>
          <w:iCs/>
          <w:lang w:eastAsia="en-GB"/>
        </w:rPr>
        <w:t>Strategic Management Journal</w:t>
      </w:r>
      <w:r w:rsidRPr="000D51FC">
        <w:rPr>
          <w:rFonts w:ascii="Arial" w:hAnsi="Arial" w:cs="Arial"/>
          <w:lang w:eastAsia="en-GB"/>
        </w:rPr>
        <w:t>, 44(3), pp. 512–529.</w:t>
      </w:r>
    </w:p>
    <w:p w14:paraId="18E3B23E" w14:textId="38ED8DFB"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Hitt, M.A., Ireland, R.D. and Hoskisson, R.E. (2020) </w:t>
      </w:r>
      <w:r w:rsidRPr="000D51FC">
        <w:rPr>
          <w:rFonts w:ascii="Arial" w:hAnsi="Arial" w:cs="Arial"/>
          <w:i/>
          <w:iCs/>
          <w:lang w:eastAsia="en-GB"/>
        </w:rPr>
        <w:t>Strategic management: competitiveness and globalisation</w:t>
      </w:r>
      <w:r w:rsidRPr="000D51FC">
        <w:rPr>
          <w:rFonts w:ascii="Arial" w:hAnsi="Arial" w:cs="Arial"/>
          <w:lang w:eastAsia="en-GB"/>
        </w:rPr>
        <w:t>. 14th edn. Boston: Cengage.</w:t>
      </w:r>
    </w:p>
    <w:p w14:paraId="24E0DEC7" w14:textId="48CCDE21"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Myers, S.C. (2001) ‘Capital structure’, </w:t>
      </w:r>
      <w:r w:rsidRPr="000D51FC">
        <w:rPr>
          <w:rFonts w:ascii="Arial" w:hAnsi="Arial" w:cs="Arial"/>
          <w:i/>
          <w:iCs/>
          <w:lang w:eastAsia="en-GB"/>
        </w:rPr>
        <w:t>The Journal of Economic Perspectives</w:t>
      </w:r>
      <w:r w:rsidRPr="000D51FC">
        <w:rPr>
          <w:rFonts w:ascii="Arial" w:hAnsi="Arial" w:cs="Arial"/>
          <w:lang w:eastAsia="en-GB"/>
        </w:rPr>
        <w:t>, 15(2), pp. 81–102.</w:t>
      </w:r>
    </w:p>
    <w:p w14:paraId="3661ADF5" w14:textId="1608F7EE" w:rsidR="00262636" w:rsidRPr="000D51FC" w:rsidRDefault="00262636" w:rsidP="000D51FC">
      <w:pPr>
        <w:spacing w:line="360" w:lineRule="auto"/>
        <w:rPr>
          <w:rFonts w:ascii="Arial" w:hAnsi="Arial" w:cs="Arial"/>
          <w:lang w:eastAsia="en-GB"/>
        </w:rPr>
      </w:pPr>
      <w:r w:rsidRPr="000D51FC">
        <w:rPr>
          <w:rFonts w:ascii="Arial" w:hAnsi="Arial" w:cs="Arial"/>
          <w:lang w:eastAsia="en-GB"/>
        </w:rPr>
        <w:t xml:space="preserve">Sudacevschi, V., Ionita, V. and Petre, A. (2024) ‘Investment decision making through NPV, IRR and risk evaluation’, </w:t>
      </w:r>
      <w:r w:rsidRPr="000D51FC">
        <w:rPr>
          <w:rFonts w:ascii="Arial" w:hAnsi="Arial" w:cs="Arial"/>
          <w:i/>
          <w:iCs/>
          <w:lang w:eastAsia="en-GB"/>
        </w:rPr>
        <w:t>International Journal of Finance and Economics</w:t>
      </w:r>
      <w:r w:rsidRPr="000D51FC">
        <w:rPr>
          <w:rFonts w:ascii="Arial" w:hAnsi="Arial" w:cs="Arial"/>
          <w:lang w:eastAsia="en-GB"/>
        </w:rPr>
        <w:t>, 29(2), pp. 987–1001.</w:t>
      </w:r>
    </w:p>
    <w:p w14:paraId="73A7B747" w14:textId="77777777" w:rsidR="00262636" w:rsidRPr="00262636" w:rsidRDefault="00262636" w:rsidP="000D51FC">
      <w:pPr>
        <w:spacing w:line="360" w:lineRule="auto"/>
        <w:rPr>
          <w:rFonts w:ascii="Arial" w:hAnsi="Arial" w:cs="Arial"/>
          <w:lang w:val="en-IN" w:eastAsia="en-GB"/>
        </w:rPr>
      </w:pPr>
      <w:r w:rsidRPr="00262636">
        <w:rPr>
          <w:rFonts w:ascii="Arial" w:hAnsi="Arial" w:cs="Arial"/>
          <w:lang w:val="en-IN" w:eastAsia="en-GB"/>
        </w:rPr>
        <w:t xml:space="preserve">Pike, R. and Neale, B. (2020) </w:t>
      </w:r>
      <w:r w:rsidRPr="00262636">
        <w:rPr>
          <w:rFonts w:ascii="Arial" w:hAnsi="Arial" w:cs="Arial"/>
          <w:i/>
          <w:iCs/>
          <w:lang w:val="en-IN" w:eastAsia="en-GB"/>
        </w:rPr>
        <w:t>Corporate finance and investment: decisions and strategies</w:t>
      </w:r>
      <w:r w:rsidRPr="00262636">
        <w:rPr>
          <w:rFonts w:ascii="Arial" w:hAnsi="Arial" w:cs="Arial"/>
          <w:lang w:val="en-IN" w:eastAsia="en-GB"/>
        </w:rPr>
        <w:t>. 10th edn. Harlow: Pearson.</w:t>
      </w:r>
    </w:p>
    <w:p w14:paraId="0FDB13E6" w14:textId="77777777" w:rsidR="00262636" w:rsidRPr="00793776" w:rsidRDefault="00262636" w:rsidP="000D51FC">
      <w:pPr>
        <w:spacing w:line="360" w:lineRule="auto"/>
        <w:rPr>
          <w:rFonts w:ascii="Arial" w:hAnsi="Arial" w:cs="Arial"/>
          <w:lang w:eastAsia="en-GB"/>
        </w:rPr>
      </w:pPr>
    </w:p>
    <w:p w14:paraId="4A0B5DB4" w14:textId="77777777" w:rsidR="00793776" w:rsidRPr="00793776" w:rsidRDefault="00793776" w:rsidP="00793776">
      <w:pPr>
        <w:rPr>
          <w:lang w:val="en-IN" w:eastAsia="en-GB"/>
        </w:rPr>
      </w:pPr>
    </w:p>
    <w:p w14:paraId="2F439E91" w14:textId="77777777" w:rsidR="00473434" w:rsidRPr="00473434" w:rsidRDefault="00473434" w:rsidP="009A4FD2">
      <w:pPr>
        <w:ind w:left="0" w:firstLine="0"/>
        <w:rPr>
          <w:lang w:val="en-IN" w:eastAsia="en-GB"/>
        </w:rPr>
      </w:pPr>
    </w:p>
    <w:p w14:paraId="12C096F6" w14:textId="77777777" w:rsidR="00473434" w:rsidRPr="000C02D5" w:rsidRDefault="00473434" w:rsidP="00473434">
      <w:pPr>
        <w:ind w:left="0" w:firstLine="0"/>
        <w:rPr>
          <w:lang w:val="en-IN" w:eastAsia="en-GB"/>
        </w:rPr>
      </w:pPr>
    </w:p>
    <w:p w14:paraId="4192F0ED" w14:textId="635DB741" w:rsidR="003A1E65" w:rsidRDefault="003A1E65" w:rsidP="003E2941">
      <w:pPr>
        <w:spacing w:after="218" w:line="259" w:lineRule="auto"/>
        <w:ind w:left="0" w:firstLine="0"/>
      </w:pPr>
    </w:p>
    <w:sectPr w:rsidR="003A1E65">
      <w:headerReference w:type="even" r:id="rId9"/>
      <w:headerReference w:type="default" r:id="rId10"/>
      <w:footerReference w:type="even" r:id="rId11"/>
      <w:footerReference w:type="default" r:id="rId12"/>
      <w:headerReference w:type="first" r:id="rId13"/>
      <w:footerReference w:type="first" r:id="rId14"/>
      <w:pgSz w:w="11906" w:h="16838"/>
      <w:pgMar w:top="1440" w:right="1376" w:bottom="1494" w:left="1440" w:header="480" w:footer="47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8F40E" w14:textId="77777777" w:rsidR="00857FBE" w:rsidRDefault="00857FBE">
      <w:pPr>
        <w:spacing w:after="0" w:line="240" w:lineRule="auto"/>
      </w:pPr>
      <w:r>
        <w:separator/>
      </w:r>
    </w:p>
  </w:endnote>
  <w:endnote w:type="continuationSeparator" w:id="0">
    <w:p w14:paraId="299EC441" w14:textId="77777777" w:rsidR="00857FBE" w:rsidRDefault="00857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C58BB" w14:textId="77777777" w:rsidR="003A1E65" w:rsidRDefault="001B31A3">
    <w:pPr>
      <w:spacing w:after="0" w:line="259" w:lineRule="auto"/>
      <w:ind w:left="0" w:right="64" w:firstLine="0"/>
      <w:jc w:val="center"/>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546763D8" wp14:editId="1D6E2771">
              <wp:simplePos x="0" y="0"/>
              <wp:positionH relativeFrom="page">
                <wp:posOffset>304800</wp:posOffset>
              </wp:positionH>
              <wp:positionV relativeFrom="page">
                <wp:posOffset>10382707</wp:posOffset>
              </wp:positionV>
              <wp:extent cx="6952234" cy="6096"/>
              <wp:effectExtent l="0" t="0" r="0" b="0"/>
              <wp:wrapSquare wrapText="bothSides"/>
              <wp:docPr id="12255" name="Group 12255"/>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652" name="Shape 1265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53" name="Shape 12653"/>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54" name="Shape 12654"/>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255" style="width:547.42pt;height:0.47998pt;position:absolute;mso-position-horizontal-relative:page;mso-position-horizontal:absolute;margin-left:24pt;mso-position-vertical-relative:page;margin-top:817.536pt;" coordsize="69522,60">
              <v:shape id="Shape 12655" style="position:absolute;width:91;height:91;left:0;top:0;" coordsize="9144,9144" path="m0,0l9144,0l9144,9144l0,9144l0,0">
                <v:stroke weight="0pt" endcap="flat" joinstyle="miter" miterlimit="10" on="false" color="#000000" opacity="0"/>
                <v:fill on="true" color="#000000"/>
              </v:shape>
              <v:shape id="Shape 12656" style="position:absolute;width:69400;height:91;left:60;top:0;" coordsize="6940043,9144" path="m0,0l6940043,0l6940043,9144l0,9144l0,0">
                <v:stroke weight="0pt" endcap="flat" joinstyle="miter" miterlimit="10" on="false" color="#000000" opacity="0"/>
                <v:fill on="true" color="#000000"/>
              </v:shape>
              <v:shape id="Shape 12657"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1254F602" w14:textId="77777777" w:rsidR="003A1E65" w:rsidRDefault="001B31A3">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39C49" w14:textId="77777777" w:rsidR="003A1E65" w:rsidRDefault="001B31A3">
    <w:pPr>
      <w:spacing w:after="0" w:line="259" w:lineRule="auto"/>
      <w:ind w:left="0" w:right="64" w:firstLine="0"/>
      <w:jc w:val="center"/>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25EBE8F4" wp14:editId="66549661">
              <wp:simplePos x="0" y="0"/>
              <wp:positionH relativeFrom="page">
                <wp:posOffset>304800</wp:posOffset>
              </wp:positionH>
              <wp:positionV relativeFrom="page">
                <wp:posOffset>10382707</wp:posOffset>
              </wp:positionV>
              <wp:extent cx="6952234" cy="6096"/>
              <wp:effectExtent l="0" t="0" r="0" b="0"/>
              <wp:wrapSquare wrapText="bothSides"/>
              <wp:docPr id="12230" name="Group 12230"/>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646" name="Shape 1264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47" name="Shape 12647"/>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48" name="Shape 12648"/>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230" style="width:547.42pt;height:0.47998pt;position:absolute;mso-position-horizontal-relative:page;mso-position-horizontal:absolute;margin-left:24pt;mso-position-vertical-relative:page;margin-top:817.536pt;" coordsize="69522,60">
              <v:shape id="Shape 12649" style="position:absolute;width:91;height:91;left:0;top:0;" coordsize="9144,9144" path="m0,0l9144,0l9144,9144l0,9144l0,0">
                <v:stroke weight="0pt" endcap="flat" joinstyle="miter" miterlimit="10" on="false" color="#000000" opacity="0"/>
                <v:fill on="true" color="#000000"/>
              </v:shape>
              <v:shape id="Shape 12650" style="position:absolute;width:69400;height:91;left:60;top:0;" coordsize="6940043,9144" path="m0,0l6940043,0l6940043,9144l0,9144l0,0">
                <v:stroke weight="0pt" endcap="flat" joinstyle="miter" miterlimit="10" on="false" color="#000000" opacity="0"/>
                <v:fill on="true" color="#000000"/>
              </v:shape>
              <v:shape id="Shape 12651"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563F5756" w14:textId="77777777" w:rsidR="003A1E65" w:rsidRDefault="001B31A3">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FE4EA" w14:textId="77777777" w:rsidR="003A1E65" w:rsidRDefault="001B31A3">
    <w:pPr>
      <w:spacing w:after="0" w:line="259" w:lineRule="auto"/>
      <w:ind w:left="0" w:right="64" w:firstLine="0"/>
      <w:jc w:val="center"/>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49A582F6" wp14:editId="6D9DEC55">
              <wp:simplePos x="0" y="0"/>
              <wp:positionH relativeFrom="page">
                <wp:posOffset>304800</wp:posOffset>
              </wp:positionH>
              <wp:positionV relativeFrom="page">
                <wp:posOffset>10382707</wp:posOffset>
              </wp:positionV>
              <wp:extent cx="6952234" cy="6096"/>
              <wp:effectExtent l="0" t="0" r="0" b="0"/>
              <wp:wrapSquare wrapText="bothSides"/>
              <wp:docPr id="12205" name="Group 12205"/>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640" name="Shape 1264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41" name="Shape 12641"/>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42" name="Shape 12642"/>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205" style="width:547.42pt;height:0.47998pt;position:absolute;mso-position-horizontal-relative:page;mso-position-horizontal:absolute;margin-left:24pt;mso-position-vertical-relative:page;margin-top:817.536pt;" coordsize="69522,60">
              <v:shape id="Shape 12643" style="position:absolute;width:91;height:91;left:0;top:0;" coordsize="9144,9144" path="m0,0l9144,0l9144,9144l0,9144l0,0">
                <v:stroke weight="0pt" endcap="flat" joinstyle="miter" miterlimit="10" on="false" color="#000000" opacity="0"/>
                <v:fill on="true" color="#000000"/>
              </v:shape>
              <v:shape id="Shape 12644" style="position:absolute;width:69400;height:91;left:60;top:0;" coordsize="6940043,9144" path="m0,0l6940043,0l6940043,9144l0,9144l0,0">
                <v:stroke weight="0pt" endcap="flat" joinstyle="miter" miterlimit="10" on="false" color="#000000" opacity="0"/>
                <v:fill on="true" color="#000000"/>
              </v:shape>
              <v:shape id="Shape 12645"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6A6D9748" w14:textId="77777777" w:rsidR="003A1E65" w:rsidRDefault="001B31A3">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AB909" w14:textId="77777777" w:rsidR="00857FBE" w:rsidRDefault="00857FBE">
      <w:pPr>
        <w:spacing w:after="0" w:line="240" w:lineRule="auto"/>
      </w:pPr>
      <w:r>
        <w:separator/>
      </w:r>
    </w:p>
  </w:footnote>
  <w:footnote w:type="continuationSeparator" w:id="0">
    <w:p w14:paraId="5E1022C0" w14:textId="77777777" w:rsidR="00857FBE" w:rsidRDefault="00857F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BE42A" w14:textId="77777777" w:rsidR="003A1E65" w:rsidRDefault="001B31A3">
    <w:pPr>
      <w:spacing w:after="0" w:line="259" w:lineRule="auto"/>
      <w:ind w:left="-1440" w:right="10531"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2E112C7" wp14:editId="1F9A3A08">
              <wp:simplePos x="0" y="0"/>
              <wp:positionH relativeFrom="page">
                <wp:posOffset>304800</wp:posOffset>
              </wp:positionH>
              <wp:positionV relativeFrom="page">
                <wp:posOffset>304800</wp:posOffset>
              </wp:positionV>
              <wp:extent cx="6952234" cy="6096"/>
              <wp:effectExtent l="0" t="0" r="0" b="0"/>
              <wp:wrapSquare wrapText="bothSides"/>
              <wp:docPr id="12241" name="Group 12241"/>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630" name="Shape 1263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31" name="Shape 12631"/>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32" name="Shape 12632"/>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241" style="width:547.42pt;height:0.47998pt;position:absolute;mso-position-horizontal-relative:page;mso-position-horizontal:absolute;margin-left:24pt;mso-position-vertical-relative:page;margin-top:24pt;" coordsize="69522,60">
              <v:shape id="Shape 12633" style="position:absolute;width:91;height:91;left:0;top:0;" coordsize="9144,9144" path="m0,0l9144,0l9144,9144l0,9144l0,0">
                <v:stroke weight="0pt" endcap="flat" joinstyle="miter" miterlimit="10" on="false" color="#000000" opacity="0"/>
                <v:fill on="true" color="#000000"/>
              </v:shape>
              <v:shape id="Shape 12634" style="position:absolute;width:69400;height:91;left:60;top:0;" coordsize="6940043,9144" path="m0,0l6940043,0l6940043,9144l0,9144l0,0">
                <v:stroke weight="0pt" endcap="flat" joinstyle="miter" miterlimit="10" on="false" color="#000000" opacity="0"/>
                <v:fill on="true" color="#000000"/>
              </v:shape>
              <v:shape id="Shape 12635"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p>
  <w:p w14:paraId="13ECDFED" w14:textId="77777777" w:rsidR="003A1E65" w:rsidRDefault="001B31A3">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7AB1014C" wp14:editId="738BA9E1">
              <wp:simplePos x="0" y="0"/>
              <wp:positionH relativeFrom="page">
                <wp:posOffset>304800</wp:posOffset>
              </wp:positionH>
              <wp:positionV relativeFrom="page">
                <wp:posOffset>310845</wp:posOffset>
              </wp:positionV>
              <wp:extent cx="6952234" cy="10071862"/>
              <wp:effectExtent l="0" t="0" r="0" b="0"/>
              <wp:wrapNone/>
              <wp:docPr id="12245" name="Group 12245"/>
              <wp:cNvGraphicFramePr/>
              <a:graphic xmlns:a="http://schemas.openxmlformats.org/drawingml/2006/main">
                <a:graphicData uri="http://schemas.microsoft.com/office/word/2010/wordprocessingGroup">
                  <wpg:wgp>
                    <wpg:cNvGrpSpPr/>
                    <wpg:grpSpPr>
                      <a:xfrm>
                        <a:off x="0" y="0"/>
                        <a:ext cx="6952234" cy="10071862"/>
                        <a:chOff x="0" y="0"/>
                        <a:chExt cx="6952234" cy="10071862"/>
                      </a:xfrm>
                    </wpg:grpSpPr>
                    <wps:wsp>
                      <wps:cNvPr id="12636" name="Shape 12636"/>
                      <wps:cNvSpPr/>
                      <wps:spPr>
                        <a:xfrm>
                          <a:off x="0"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37" name="Shape 12637"/>
                      <wps:cNvSpPr/>
                      <wps:spPr>
                        <a:xfrm>
                          <a:off x="6946138"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245" style="width:547.42pt;height:793.06pt;position:absolute;z-index:-2147483648;mso-position-horizontal-relative:page;mso-position-horizontal:absolute;margin-left:24pt;mso-position-vertical-relative:page;margin-top:24.476pt;" coordsize="69522,100718">
              <v:shape id="Shape 12638" style="position:absolute;width:91;height:100718;left:0;top:0;" coordsize="9144,10071862" path="m0,0l9144,0l9144,10071862l0,10071862l0,0">
                <v:stroke weight="0pt" endcap="flat" joinstyle="miter" miterlimit="10" on="false" color="#000000" opacity="0"/>
                <v:fill on="true" color="#000000"/>
              </v:shape>
              <v:shape id="Shape 12639" style="position:absolute;width:91;height:100718;left:69461;top:0;" coordsize="9144,10071862" path="m0,0l9144,0l9144,10071862l0,10071862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079B3E" w14:textId="77777777" w:rsidR="003A1E65" w:rsidRDefault="001B31A3">
    <w:pPr>
      <w:spacing w:after="0" w:line="259" w:lineRule="auto"/>
      <w:ind w:left="-1440" w:right="10531"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00124E2" wp14:editId="56F0CD97">
              <wp:simplePos x="0" y="0"/>
              <wp:positionH relativeFrom="page">
                <wp:posOffset>304800</wp:posOffset>
              </wp:positionH>
              <wp:positionV relativeFrom="page">
                <wp:posOffset>304800</wp:posOffset>
              </wp:positionV>
              <wp:extent cx="6952234" cy="6096"/>
              <wp:effectExtent l="0" t="0" r="0" b="0"/>
              <wp:wrapSquare wrapText="bothSides"/>
              <wp:docPr id="12216" name="Group 12216"/>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620" name="Shape 1262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21" name="Shape 12621"/>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22" name="Shape 12622"/>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216" style="width:547.42pt;height:0.47998pt;position:absolute;mso-position-horizontal-relative:page;mso-position-horizontal:absolute;margin-left:24pt;mso-position-vertical-relative:page;margin-top:24pt;" coordsize="69522,60">
              <v:shape id="Shape 12623" style="position:absolute;width:91;height:91;left:0;top:0;" coordsize="9144,9144" path="m0,0l9144,0l9144,9144l0,9144l0,0">
                <v:stroke weight="0pt" endcap="flat" joinstyle="miter" miterlimit="10" on="false" color="#000000" opacity="0"/>
                <v:fill on="true" color="#000000"/>
              </v:shape>
              <v:shape id="Shape 12624" style="position:absolute;width:69400;height:91;left:60;top:0;" coordsize="6940043,9144" path="m0,0l6940043,0l6940043,9144l0,9144l0,0">
                <v:stroke weight="0pt" endcap="flat" joinstyle="miter" miterlimit="10" on="false" color="#000000" opacity="0"/>
                <v:fill on="true" color="#000000"/>
              </v:shape>
              <v:shape id="Shape 12625"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p>
  <w:p w14:paraId="03DB5CF7" w14:textId="77777777" w:rsidR="003A1E65" w:rsidRDefault="001B31A3">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F0BEB60" wp14:editId="3751B3B1">
              <wp:simplePos x="0" y="0"/>
              <wp:positionH relativeFrom="page">
                <wp:posOffset>304800</wp:posOffset>
              </wp:positionH>
              <wp:positionV relativeFrom="page">
                <wp:posOffset>310845</wp:posOffset>
              </wp:positionV>
              <wp:extent cx="6952234" cy="10071862"/>
              <wp:effectExtent l="0" t="0" r="0" b="0"/>
              <wp:wrapNone/>
              <wp:docPr id="12220" name="Group 12220"/>
              <wp:cNvGraphicFramePr/>
              <a:graphic xmlns:a="http://schemas.openxmlformats.org/drawingml/2006/main">
                <a:graphicData uri="http://schemas.microsoft.com/office/word/2010/wordprocessingGroup">
                  <wpg:wgp>
                    <wpg:cNvGrpSpPr/>
                    <wpg:grpSpPr>
                      <a:xfrm>
                        <a:off x="0" y="0"/>
                        <a:ext cx="6952234" cy="10071862"/>
                        <a:chOff x="0" y="0"/>
                        <a:chExt cx="6952234" cy="10071862"/>
                      </a:xfrm>
                    </wpg:grpSpPr>
                    <wps:wsp>
                      <wps:cNvPr id="12626" name="Shape 12626"/>
                      <wps:cNvSpPr/>
                      <wps:spPr>
                        <a:xfrm>
                          <a:off x="0"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27" name="Shape 12627"/>
                      <wps:cNvSpPr/>
                      <wps:spPr>
                        <a:xfrm>
                          <a:off x="6946138"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220" style="width:547.42pt;height:793.06pt;position:absolute;z-index:-2147483648;mso-position-horizontal-relative:page;mso-position-horizontal:absolute;margin-left:24pt;mso-position-vertical-relative:page;margin-top:24.476pt;" coordsize="69522,100718">
              <v:shape id="Shape 12628" style="position:absolute;width:91;height:100718;left:0;top:0;" coordsize="9144,10071862" path="m0,0l9144,0l9144,10071862l0,10071862l0,0">
                <v:stroke weight="0pt" endcap="flat" joinstyle="miter" miterlimit="10" on="false" color="#000000" opacity="0"/>
                <v:fill on="true" color="#000000"/>
              </v:shape>
              <v:shape id="Shape 12629" style="position:absolute;width:91;height:100718;left:69461;top:0;" coordsize="9144,10071862" path="m0,0l9144,0l9144,10071862l0,10071862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CF2860" w14:textId="77777777" w:rsidR="003A1E65" w:rsidRDefault="001B31A3">
    <w:pPr>
      <w:spacing w:after="0" w:line="259" w:lineRule="auto"/>
      <w:ind w:left="-1440" w:right="10531"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5619FADA" wp14:editId="3DB96173">
              <wp:simplePos x="0" y="0"/>
              <wp:positionH relativeFrom="page">
                <wp:posOffset>304800</wp:posOffset>
              </wp:positionH>
              <wp:positionV relativeFrom="page">
                <wp:posOffset>304800</wp:posOffset>
              </wp:positionV>
              <wp:extent cx="6952234" cy="6096"/>
              <wp:effectExtent l="0" t="0" r="0" b="0"/>
              <wp:wrapSquare wrapText="bothSides"/>
              <wp:docPr id="12191" name="Group 12191"/>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610" name="Shape 1261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11" name="Shape 12611"/>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12" name="Shape 12612"/>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191" style="width:547.42pt;height:0.47998pt;position:absolute;mso-position-horizontal-relative:page;mso-position-horizontal:absolute;margin-left:24pt;mso-position-vertical-relative:page;margin-top:24pt;" coordsize="69522,60">
              <v:shape id="Shape 12613" style="position:absolute;width:91;height:91;left:0;top:0;" coordsize="9144,9144" path="m0,0l9144,0l9144,9144l0,9144l0,0">
                <v:stroke weight="0pt" endcap="flat" joinstyle="miter" miterlimit="10" on="false" color="#000000" opacity="0"/>
                <v:fill on="true" color="#000000"/>
              </v:shape>
              <v:shape id="Shape 12614" style="position:absolute;width:69400;height:91;left:60;top:0;" coordsize="6940043,9144" path="m0,0l6940043,0l6940043,9144l0,9144l0,0">
                <v:stroke weight="0pt" endcap="flat" joinstyle="miter" miterlimit="10" on="false" color="#000000" opacity="0"/>
                <v:fill on="true" color="#000000"/>
              </v:shape>
              <v:shape id="Shape 12615"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p>
  <w:p w14:paraId="224CB774" w14:textId="77777777" w:rsidR="003A1E65" w:rsidRDefault="001B31A3">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0BDC53F8" wp14:editId="1E8E06BF">
              <wp:simplePos x="0" y="0"/>
              <wp:positionH relativeFrom="page">
                <wp:posOffset>304800</wp:posOffset>
              </wp:positionH>
              <wp:positionV relativeFrom="page">
                <wp:posOffset>310845</wp:posOffset>
              </wp:positionV>
              <wp:extent cx="6952234" cy="10071862"/>
              <wp:effectExtent l="0" t="0" r="0" b="0"/>
              <wp:wrapNone/>
              <wp:docPr id="12195" name="Group 12195"/>
              <wp:cNvGraphicFramePr/>
              <a:graphic xmlns:a="http://schemas.openxmlformats.org/drawingml/2006/main">
                <a:graphicData uri="http://schemas.microsoft.com/office/word/2010/wordprocessingGroup">
                  <wpg:wgp>
                    <wpg:cNvGrpSpPr/>
                    <wpg:grpSpPr>
                      <a:xfrm>
                        <a:off x="0" y="0"/>
                        <a:ext cx="6952234" cy="10071862"/>
                        <a:chOff x="0" y="0"/>
                        <a:chExt cx="6952234" cy="10071862"/>
                      </a:xfrm>
                    </wpg:grpSpPr>
                    <wps:wsp>
                      <wps:cNvPr id="12616" name="Shape 12616"/>
                      <wps:cNvSpPr/>
                      <wps:spPr>
                        <a:xfrm>
                          <a:off x="0"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17" name="Shape 12617"/>
                      <wps:cNvSpPr/>
                      <wps:spPr>
                        <a:xfrm>
                          <a:off x="6946138"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195" style="width:547.42pt;height:793.06pt;position:absolute;z-index:-2147483648;mso-position-horizontal-relative:page;mso-position-horizontal:absolute;margin-left:24pt;mso-position-vertical-relative:page;margin-top:24.476pt;" coordsize="69522,100718">
              <v:shape id="Shape 12618" style="position:absolute;width:91;height:100718;left:0;top:0;" coordsize="9144,10071862" path="m0,0l9144,0l9144,10071862l0,10071862l0,0">
                <v:stroke weight="0pt" endcap="flat" joinstyle="miter" miterlimit="10" on="false" color="#000000" opacity="0"/>
                <v:fill on="true" color="#000000"/>
              </v:shape>
              <v:shape id="Shape 12619" style="position:absolute;width:91;height:100718;left:69461;top:0;" coordsize="9144,10071862" path="m0,0l9144,0l9144,10071862l0,10071862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E3A51"/>
    <w:multiLevelType w:val="hybridMultilevel"/>
    <w:tmpl w:val="8B885894"/>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1" w15:restartNumberingAfterBreak="0">
    <w:nsid w:val="069707E8"/>
    <w:multiLevelType w:val="multilevel"/>
    <w:tmpl w:val="904C1F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900" w:hanging="360"/>
      </w:pPr>
      <w:rPr>
        <w:rFonts w:ascii="Symbol" w:hAnsi="Symbol" w:hint="default"/>
      </w:rPr>
    </w:lvl>
    <w:lvl w:ilvl="2">
      <w:start w:val="1"/>
      <w:numFmt w:val="bullet"/>
      <w:lvlText w:val=""/>
      <w:lvlJc w:val="left"/>
      <w:pPr>
        <w:ind w:left="99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596B99"/>
    <w:multiLevelType w:val="hybridMultilevel"/>
    <w:tmpl w:val="81E81A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351309E"/>
    <w:multiLevelType w:val="multilevel"/>
    <w:tmpl w:val="A1E0B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50F46"/>
    <w:multiLevelType w:val="hybridMultilevel"/>
    <w:tmpl w:val="AE0CB22C"/>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5" w15:restartNumberingAfterBreak="0">
    <w:nsid w:val="14DF54DD"/>
    <w:multiLevelType w:val="hybridMultilevel"/>
    <w:tmpl w:val="FFFFFFFF"/>
    <w:lvl w:ilvl="0" w:tplc="B7500436">
      <w:start w:val="1"/>
      <w:numFmt w:val="decimal"/>
      <w:lvlText w:val="%1."/>
      <w:lvlJc w:val="left"/>
      <w:pPr>
        <w:ind w:left="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DE98314E">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EE2008FE">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61A20122">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D24A0F7E">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AFA28154">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1370261A">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0AE2DA36">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FAE6F124">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17944E75"/>
    <w:multiLevelType w:val="hybridMultilevel"/>
    <w:tmpl w:val="51303538"/>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7" w15:restartNumberingAfterBreak="0">
    <w:nsid w:val="1962709A"/>
    <w:multiLevelType w:val="multilevel"/>
    <w:tmpl w:val="23200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77A8A"/>
    <w:multiLevelType w:val="multilevel"/>
    <w:tmpl w:val="86A6E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6F70DD"/>
    <w:multiLevelType w:val="hybridMultilevel"/>
    <w:tmpl w:val="F0A47680"/>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10" w15:restartNumberingAfterBreak="0">
    <w:nsid w:val="213E116E"/>
    <w:multiLevelType w:val="multilevel"/>
    <w:tmpl w:val="DEE48A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90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6E1B48"/>
    <w:multiLevelType w:val="multilevel"/>
    <w:tmpl w:val="6B0065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81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7113B4"/>
    <w:multiLevelType w:val="multilevel"/>
    <w:tmpl w:val="30C0B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FD4F12"/>
    <w:multiLevelType w:val="hybridMultilevel"/>
    <w:tmpl w:val="47A01654"/>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14" w15:restartNumberingAfterBreak="0">
    <w:nsid w:val="37CC4BAE"/>
    <w:multiLevelType w:val="multilevel"/>
    <w:tmpl w:val="C0BEF2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81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B931B8"/>
    <w:multiLevelType w:val="hybridMultilevel"/>
    <w:tmpl w:val="F8A2E6EE"/>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16" w15:restartNumberingAfterBreak="0">
    <w:nsid w:val="3AD82DAF"/>
    <w:multiLevelType w:val="hybridMultilevel"/>
    <w:tmpl w:val="B1FCB6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C610ED3"/>
    <w:multiLevelType w:val="hybridMultilevel"/>
    <w:tmpl w:val="FFFFFFFF"/>
    <w:lvl w:ilvl="0" w:tplc="DEB8D536">
      <w:start w:val="1"/>
      <w:numFmt w:val="decimal"/>
      <w:lvlText w:val="%1."/>
      <w:lvlJc w:val="left"/>
      <w:pPr>
        <w:ind w:left="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32C4DB38">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ACC8E848">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D02EFE96">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55786970">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87788150">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5A943DE8">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81E0CBB0">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B08203E2">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3C7E00C6"/>
    <w:multiLevelType w:val="hybridMultilevel"/>
    <w:tmpl w:val="5198AB4E"/>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19" w15:restartNumberingAfterBreak="0">
    <w:nsid w:val="3D8A224D"/>
    <w:multiLevelType w:val="multilevel"/>
    <w:tmpl w:val="4A864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121D05"/>
    <w:multiLevelType w:val="multilevel"/>
    <w:tmpl w:val="E2C40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1F6E51"/>
    <w:multiLevelType w:val="hybridMultilevel"/>
    <w:tmpl w:val="F2D21BEA"/>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22" w15:restartNumberingAfterBreak="0">
    <w:nsid w:val="545C172A"/>
    <w:multiLevelType w:val="hybridMultilevel"/>
    <w:tmpl w:val="41DC1F34"/>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23" w15:restartNumberingAfterBreak="0">
    <w:nsid w:val="547B3598"/>
    <w:multiLevelType w:val="hybridMultilevel"/>
    <w:tmpl w:val="83FE302E"/>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24" w15:restartNumberingAfterBreak="0">
    <w:nsid w:val="55381BBF"/>
    <w:multiLevelType w:val="multilevel"/>
    <w:tmpl w:val="30467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503DB3"/>
    <w:multiLevelType w:val="multilevel"/>
    <w:tmpl w:val="6032E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7F190D"/>
    <w:multiLevelType w:val="multilevel"/>
    <w:tmpl w:val="907A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582ACD"/>
    <w:multiLevelType w:val="multilevel"/>
    <w:tmpl w:val="670E2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6E6F19"/>
    <w:multiLevelType w:val="multilevel"/>
    <w:tmpl w:val="D820F81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81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2A2535"/>
    <w:multiLevelType w:val="multilevel"/>
    <w:tmpl w:val="192C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DF7DCF"/>
    <w:multiLevelType w:val="multilevel"/>
    <w:tmpl w:val="2A7AE8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81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D6627A"/>
    <w:multiLevelType w:val="multilevel"/>
    <w:tmpl w:val="6B6EC3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D52626"/>
    <w:multiLevelType w:val="multilevel"/>
    <w:tmpl w:val="832CD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EB3C14"/>
    <w:multiLevelType w:val="multilevel"/>
    <w:tmpl w:val="39FCC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3F0652"/>
    <w:multiLevelType w:val="multilevel"/>
    <w:tmpl w:val="61A68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6E5DF3"/>
    <w:multiLevelType w:val="multilevel"/>
    <w:tmpl w:val="0A50E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540930"/>
    <w:multiLevelType w:val="multilevel"/>
    <w:tmpl w:val="52121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633D1E"/>
    <w:multiLevelType w:val="hybridMultilevel"/>
    <w:tmpl w:val="CF08E880"/>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abstractNum w:abstractNumId="38" w15:restartNumberingAfterBreak="0">
    <w:nsid w:val="6DDF5D78"/>
    <w:multiLevelType w:val="multilevel"/>
    <w:tmpl w:val="DEC259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68096F"/>
    <w:multiLevelType w:val="multilevel"/>
    <w:tmpl w:val="179644F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810" w:hanging="360"/>
      </w:pPr>
      <w:rPr>
        <w:rFonts w:ascii="Symbol" w:hAnsi="Symbol" w:hint="default"/>
      </w:rPr>
    </w:lvl>
    <w:lvl w:ilvl="2">
      <w:start w:val="1"/>
      <w:numFmt w:val="bullet"/>
      <w:lvlText w:val=""/>
      <w:lvlJc w:val="left"/>
      <w:pPr>
        <w:ind w:left="90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325FDB"/>
    <w:multiLevelType w:val="hybridMultilevel"/>
    <w:tmpl w:val="FFFFFFFF"/>
    <w:lvl w:ilvl="0" w:tplc="49DAB66C">
      <w:start w:val="1"/>
      <w:numFmt w:val="decimal"/>
      <w:lvlText w:val="%1."/>
      <w:lvlJc w:val="left"/>
      <w:pPr>
        <w:ind w:left="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05C6D90C">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3A682FE0">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0A9ECF10">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55261EEC">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B378A0DC">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BF56E54E">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674410B6">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67440E6A">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41" w15:restartNumberingAfterBreak="0">
    <w:nsid w:val="7C5226A5"/>
    <w:multiLevelType w:val="multilevel"/>
    <w:tmpl w:val="FB8A61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810" w:hanging="360"/>
      </w:pPr>
      <w:rPr>
        <w:rFonts w:ascii="Symbol" w:hAnsi="Symbol" w:hint="default"/>
      </w:rPr>
    </w:lvl>
    <w:lvl w:ilvl="2">
      <w:start w:val="1"/>
      <w:numFmt w:val="bullet"/>
      <w:lvlText w:val=""/>
      <w:lvlJc w:val="left"/>
      <w:pPr>
        <w:ind w:left="90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DA27C66"/>
    <w:multiLevelType w:val="hybridMultilevel"/>
    <w:tmpl w:val="BC7EB324"/>
    <w:lvl w:ilvl="0" w:tplc="40090001">
      <w:start w:val="1"/>
      <w:numFmt w:val="bullet"/>
      <w:lvlText w:val=""/>
      <w:lvlJc w:val="left"/>
      <w:pPr>
        <w:ind w:left="941" w:hanging="360"/>
      </w:pPr>
      <w:rPr>
        <w:rFonts w:ascii="Symbol" w:hAnsi="Symbol" w:hint="default"/>
      </w:rPr>
    </w:lvl>
    <w:lvl w:ilvl="1" w:tplc="40090003" w:tentative="1">
      <w:start w:val="1"/>
      <w:numFmt w:val="bullet"/>
      <w:lvlText w:val="o"/>
      <w:lvlJc w:val="left"/>
      <w:pPr>
        <w:ind w:left="1661" w:hanging="360"/>
      </w:pPr>
      <w:rPr>
        <w:rFonts w:ascii="Courier New" w:hAnsi="Courier New" w:cs="Courier New" w:hint="default"/>
      </w:rPr>
    </w:lvl>
    <w:lvl w:ilvl="2" w:tplc="40090005" w:tentative="1">
      <w:start w:val="1"/>
      <w:numFmt w:val="bullet"/>
      <w:lvlText w:val=""/>
      <w:lvlJc w:val="left"/>
      <w:pPr>
        <w:ind w:left="2381" w:hanging="360"/>
      </w:pPr>
      <w:rPr>
        <w:rFonts w:ascii="Wingdings" w:hAnsi="Wingdings" w:hint="default"/>
      </w:rPr>
    </w:lvl>
    <w:lvl w:ilvl="3" w:tplc="40090001" w:tentative="1">
      <w:start w:val="1"/>
      <w:numFmt w:val="bullet"/>
      <w:lvlText w:val=""/>
      <w:lvlJc w:val="left"/>
      <w:pPr>
        <w:ind w:left="3101" w:hanging="360"/>
      </w:pPr>
      <w:rPr>
        <w:rFonts w:ascii="Symbol" w:hAnsi="Symbol" w:hint="default"/>
      </w:rPr>
    </w:lvl>
    <w:lvl w:ilvl="4" w:tplc="40090003" w:tentative="1">
      <w:start w:val="1"/>
      <w:numFmt w:val="bullet"/>
      <w:lvlText w:val="o"/>
      <w:lvlJc w:val="left"/>
      <w:pPr>
        <w:ind w:left="3821" w:hanging="360"/>
      </w:pPr>
      <w:rPr>
        <w:rFonts w:ascii="Courier New" w:hAnsi="Courier New" w:cs="Courier New" w:hint="default"/>
      </w:rPr>
    </w:lvl>
    <w:lvl w:ilvl="5" w:tplc="40090005" w:tentative="1">
      <w:start w:val="1"/>
      <w:numFmt w:val="bullet"/>
      <w:lvlText w:val=""/>
      <w:lvlJc w:val="left"/>
      <w:pPr>
        <w:ind w:left="4541" w:hanging="360"/>
      </w:pPr>
      <w:rPr>
        <w:rFonts w:ascii="Wingdings" w:hAnsi="Wingdings" w:hint="default"/>
      </w:rPr>
    </w:lvl>
    <w:lvl w:ilvl="6" w:tplc="40090001" w:tentative="1">
      <w:start w:val="1"/>
      <w:numFmt w:val="bullet"/>
      <w:lvlText w:val=""/>
      <w:lvlJc w:val="left"/>
      <w:pPr>
        <w:ind w:left="5261" w:hanging="360"/>
      </w:pPr>
      <w:rPr>
        <w:rFonts w:ascii="Symbol" w:hAnsi="Symbol" w:hint="default"/>
      </w:rPr>
    </w:lvl>
    <w:lvl w:ilvl="7" w:tplc="40090003" w:tentative="1">
      <w:start w:val="1"/>
      <w:numFmt w:val="bullet"/>
      <w:lvlText w:val="o"/>
      <w:lvlJc w:val="left"/>
      <w:pPr>
        <w:ind w:left="5981" w:hanging="360"/>
      </w:pPr>
      <w:rPr>
        <w:rFonts w:ascii="Courier New" w:hAnsi="Courier New" w:cs="Courier New" w:hint="default"/>
      </w:rPr>
    </w:lvl>
    <w:lvl w:ilvl="8" w:tplc="40090005" w:tentative="1">
      <w:start w:val="1"/>
      <w:numFmt w:val="bullet"/>
      <w:lvlText w:val=""/>
      <w:lvlJc w:val="left"/>
      <w:pPr>
        <w:ind w:left="6701" w:hanging="360"/>
      </w:pPr>
      <w:rPr>
        <w:rFonts w:ascii="Wingdings" w:hAnsi="Wingdings" w:hint="default"/>
      </w:rPr>
    </w:lvl>
  </w:abstractNum>
  <w:num w:numId="1" w16cid:durableId="1575313421">
    <w:abstractNumId w:val="5"/>
  </w:num>
  <w:num w:numId="2" w16cid:durableId="36903902">
    <w:abstractNumId w:val="17"/>
  </w:num>
  <w:num w:numId="3" w16cid:durableId="1852529007">
    <w:abstractNumId w:val="40"/>
  </w:num>
  <w:num w:numId="4" w16cid:durableId="1287395951">
    <w:abstractNumId w:val="3"/>
  </w:num>
  <w:num w:numId="5" w16cid:durableId="348651715">
    <w:abstractNumId w:val="26"/>
  </w:num>
  <w:num w:numId="6" w16cid:durableId="1579168886">
    <w:abstractNumId w:val="36"/>
  </w:num>
  <w:num w:numId="7" w16cid:durableId="1834953723">
    <w:abstractNumId w:val="20"/>
  </w:num>
  <w:num w:numId="8" w16cid:durableId="1668823098">
    <w:abstractNumId w:val="35"/>
  </w:num>
  <w:num w:numId="9" w16cid:durableId="828328026">
    <w:abstractNumId w:val="33"/>
  </w:num>
  <w:num w:numId="10" w16cid:durableId="1927418921">
    <w:abstractNumId w:val="25"/>
  </w:num>
  <w:num w:numId="11" w16cid:durableId="683819519">
    <w:abstractNumId w:val="8"/>
  </w:num>
  <w:num w:numId="12" w16cid:durableId="1732538374">
    <w:abstractNumId w:val="7"/>
  </w:num>
  <w:num w:numId="13" w16cid:durableId="957756423">
    <w:abstractNumId w:val="29"/>
  </w:num>
  <w:num w:numId="14" w16cid:durableId="1879314722">
    <w:abstractNumId w:val="19"/>
  </w:num>
  <w:num w:numId="15" w16cid:durableId="599333958">
    <w:abstractNumId w:val="12"/>
  </w:num>
  <w:num w:numId="16" w16cid:durableId="1643997867">
    <w:abstractNumId w:val="27"/>
  </w:num>
  <w:num w:numId="17" w16cid:durableId="1532306965">
    <w:abstractNumId w:val="32"/>
  </w:num>
  <w:num w:numId="18" w16cid:durableId="625625326">
    <w:abstractNumId w:val="4"/>
  </w:num>
  <w:num w:numId="19" w16cid:durableId="495608973">
    <w:abstractNumId w:val="23"/>
  </w:num>
  <w:num w:numId="20" w16cid:durableId="812217760">
    <w:abstractNumId w:val="18"/>
  </w:num>
  <w:num w:numId="21" w16cid:durableId="901016282">
    <w:abstractNumId w:val="0"/>
  </w:num>
  <w:num w:numId="22" w16cid:durableId="996106520">
    <w:abstractNumId w:val="9"/>
  </w:num>
  <w:num w:numId="23" w16cid:durableId="1201170682">
    <w:abstractNumId w:val="42"/>
  </w:num>
  <w:num w:numId="24" w16cid:durableId="1548449321">
    <w:abstractNumId w:val="21"/>
  </w:num>
  <w:num w:numId="25" w16cid:durableId="209533991">
    <w:abstractNumId w:val="22"/>
  </w:num>
  <w:num w:numId="26" w16cid:durableId="511721042">
    <w:abstractNumId w:val="6"/>
  </w:num>
  <w:num w:numId="27" w16cid:durableId="1618640576">
    <w:abstractNumId w:val="37"/>
  </w:num>
  <w:num w:numId="28" w16cid:durableId="1371615963">
    <w:abstractNumId w:val="13"/>
  </w:num>
  <w:num w:numId="29" w16cid:durableId="159735987">
    <w:abstractNumId w:val="38"/>
  </w:num>
  <w:num w:numId="30" w16cid:durableId="1868830603">
    <w:abstractNumId w:val="28"/>
  </w:num>
  <w:num w:numId="31" w16cid:durableId="885333917">
    <w:abstractNumId w:val="41"/>
  </w:num>
  <w:num w:numId="32" w16cid:durableId="693575453">
    <w:abstractNumId w:val="14"/>
  </w:num>
  <w:num w:numId="33" w16cid:durableId="1308584776">
    <w:abstractNumId w:val="10"/>
  </w:num>
  <w:num w:numId="34" w16cid:durableId="1871455906">
    <w:abstractNumId w:val="1"/>
  </w:num>
  <w:num w:numId="35" w16cid:durableId="1601110153">
    <w:abstractNumId w:val="11"/>
  </w:num>
  <w:num w:numId="36" w16cid:durableId="1278172806">
    <w:abstractNumId w:val="30"/>
  </w:num>
  <w:num w:numId="37" w16cid:durableId="395009790">
    <w:abstractNumId w:val="39"/>
  </w:num>
  <w:num w:numId="38" w16cid:durableId="762455054">
    <w:abstractNumId w:val="34"/>
  </w:num>
  <w:num w:numId="39" w16cid:durableId="1242447585">
    <w:abstractNumId w:val="31"/>
  </w:num>
  <w:num w:numId="40" w16cid:durableId="2104447591">
    <w:abstractNumId w:val="2"/>
  </w:num>
  <w:num w:numId="41" w16cid:durableId="519272680">
    <w:abstractNumId w:val="16"/>
  </w:num>
  <w:num w:numId="42" w16cid:durableId="1944073242">
    <w:abstractNumId w:val="24"/>
  </w:num>
  <w:num w:numId="43" w16cid:durableId="23890718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E65"/>
    <w:rsid w:val="000113BA"/>
    <w:rsid w:val="00033AEE"/>
    <w:rsid w:val="00077F1B"/>
    <w:rsid w:val="00082182"/>
    <w:rsid w:val="000C02D5"/>
    <w:rsid w:val="000C180C"/>
    <w:rsid w:val="000D1FE3"/>
    <w:rsid w:val="000D51FC"/>
    <w:rsid w:val="000D5FE7"/>
    <w:rsid w:val="000F2E43"/>
    <w:rsid w:val="0010091C"/>
    <w:rsid w:val="0010726E"/>
    <w:rsid w:val="00115D74"/>
    <w:rsid w:val="00123AFA"/>
    <w:rsid w:val="0017544E"/>
    <w:rsid w:val="00187187"/>
    <w:rsid w:val="001B31A3"/>
    <w:rsid w:val="00242754"/>
    <w:rsid w:val="00262636"/>
    <w:rsid w:val="00274403"/>
    <w:rsid w:val="002A389D"/>
    <w:rsid w:val="002B3EF0"/>
    <w:rsid w:val="002D73DD"/>
    <w:rsid w:val="002F60CC"/>
    <w:rsid w:val="00317529"/>
    <w:rsid w:val="00354D75"/>
    <w:rsid w:val="00371814"/>
    <w:rsid w:val="00384BEF"/>
    <w:rsid w:val="003A1E65"/>
    <w:rsid w:val="003A69EB"/>
    <w:rsid w:val="003E2941"/>
    <w:rsid w:val="004124BC"/>
    <w:rsid w:val="004206AD"/>
    <w:rsid w:val="004335EE"/>
    <w:rsid w:val="004425FA"/>
    <w:rsid w:val="00452197"/>
    <w:rsid w:val="00473434"/>
    <w:rsid w:val="0048753A"/>
    <w:rsid w:val="00494106"/>
    <w:rsid w:val="004A0852"/>
    <w:rsid w:val="004A4F36"/>
    <w:rsid w:val="004B25E5"/>
    <w:rsid w:val="004B2853"/>
    <w:rsid w:val="004B40E1"/>
    <w:rsid w:val="004E0392"/>
    <w:rsid w:val="004E20EE"/>
    <w:rsid w:val="004F7818"/>
    <w:rsid w:val="00515A8A"/>
    <w:rsid w:val="00544052"/>
    <w:rsid w:val="00560845"/>
    <w:rsid w:val="00584208"/>
    <w:rsid w:val="005A3807"/>
    <w:rsid w:val="005C60E4"/>
    <w:rsid w:val="00650AAA"/>
    <w:rsid w:val="006630A4"/>
    <w:rsid w:val="00665282"/>
    <w:rsid w:val="00667C43"/>
    <w:rsid w:val="006B3854"/>
    <w:rsid w:val="006C488B"/>
    <w:rsid w:val="006E78ED"/>
    <w:rsid w:val="0070740D"/>
    <w:rsid w:val="00721A0E"/>
    <w:rsid w:val="00722ACD"/>
    <w:rsid w:val="00754947"/>
    <w:rsid w:val="00761C2C"/>
    <w:rsid w:val="00793776"/>
    <w:rsid w:val="007F76D4"/>
    <w:rsid w:val="00823077"/>
    <w:rsid w:val="00834BDD"/>
    <w:rsid w:val="008400D6"/>
    <w:rsid w:val="00853443"/>
    <w:rsid w:val="00857FBE"/>
    <w:rsid w:val="0088056C"/>
    <w:rsid w:val="00896026"/>
    <w:rsid w:val="008A6499"/>
    <w:rsid w:val="008C3750"/>
    <w:rsid w:val="008D44CC"/>
    <w:rsid w:val="00923A82"/>
    <w:rsid w:val="00955619"/>
    <w:rsid w:val="009A4FD2"/>
    <w:rsid w:val="009E66DE"/>
    <w:rsid w:val="00A06DA1"/>
    <w:rsid w:val="00A12697"/>
    <w:rsid w:val="00A352D4"/>
    <w:rsid w:val="00A64D0F"/>
    <w:rsid w:val="00A97455"/>
    <w:rsid w:val="00AB4180"/>
    <w:rsid w:val="00AC3129"/>
    <w:rsid w:val="00B13A99"/>
    <w:rsid w:val="00B36BCA"/>
    <w:rsid w:val="00B40CA1"/>
    <w:rsid w:val="00B44BC8"/>
    <w:rsid w:val="00B461C9"/>
    <w:rsid w:val="00B512AC"/>
    <w:rsid w:val="00B61822"/>
    <w:rsid w:val="00B61874"/>
    <w:rsid w:val="00B936A2"/>
    <w:rsid w:val="00BB4236"/>
    <w:rsid w:val="00BB7DDC"/>
    <w:rsid w:val="00BE0350"/>
    <w:rsid w:val="00C05776"/>
    <w:rsid w:val="00C43FF9"/>
    <w:rsid w:val="00CD4A28"/>
    <w:rsid w:val="00CF4418"/>
    <w:rsid w:val="00D053A5"/>
    <w:rsid w:val="00D20632"/>
    <w:rsid w:val="00D25916"/>
    <w:rsid w:val="00D50D97"/>
    <w:rsid w:val="00D52DC4"/>
    <w:rsid w:val="00D70911"/>
    <w:rsid w:val="00D7138B"/>
    <w:rsid w:val="00D75EF1"/>
    <w:rsid w:val="00DC29C9"/>
    <w:rsid w:val="00E07998"/>
    <w:rsid w:val="00E26F8B"/>
    <w:rsid w:val="00E31ADE"/>
    <w:rsid w:val="00E3503F"/>
    <w:rsid w:val="00E537BE"/>
    <w:rsid w:val="00E53FFA"/>
    <w:rsid w:val="00E749EC"/>
    <w:rsid w:val="00E80045"/>
    <w:rsid w:val="00E86CA5"/>
    <w:rsid w:val="00EE7117"/>
    <w:rsid w:val="00F45C66"/>
    <w:rsid w:val="00F71442"/>
    <w:rsid w:val="00F808D2"/>
    <w:rsid w:val="00F92439"/>
    <w:rsid w:val="00FB29A8"/>
    <w:rsid w:val="00FC5AFE"/>
    <w:rsid w:val="00FD37A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52DAC"/>
  <w15:docId w15:val="{2C0531F9-B339-E24E-A881-9D15F8847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2" w:line="366" w:lineRule="auto"/>
      <w:ind w:left="231" w:hanging="10"/>
      <w:jc w:val="both"/>
    </w:pPr>
    <w:rPr>
      <w:rFonts w:ascii="Times New Roman" w:eastAsia="Times New Roman" w:hAnsi="Times New Roman" w:cs="Times New Roman"/>
      <w:color w:val="000000"/>
      <w:lang w:val="en" w:eastAsia="en"/>
    </w:rPr>
  </w:style>
  <w:style w:type="paragraph" w:styleId="Heading1">
    <w:name w:val="heading 1"/>
    <w:next w:val="Normal"/>
    <w:link w:val="Heading1Char"/>
    <w:uiPriority w:val="9"/>
    <w:qFormat/>
    <w:pPr>
      <w:keepNext/>
      <w:keepLines/>
      <w:spacing w:after="274" w:line="259" w:lineRule="auto"/>
      <w:ind w:left="2067" w:hanging="10"/>
      <w:jc w:val="center"/>
      <w:outlineLvl w:val="0"/>
    </w:pPr>
    <w:rPr>
      <w:rFonts w:ascii="Times New Roman" w:eastAsia="Times New Roman" w:hAnsi="Times New Roman" w:cs="Times New Roman"/>
      <w:b/>
      <w:color w:val="000000"/>
    </w:rPr>
  </w:style>
  <w:style w:type="paragraph" w:styleId="Heading2">
    <w:name w:val="heading 2"/>
    <w:next w:val="Normal"/>
    <w:link w:val="Heading2Char"/>
    <w:uiPriority w:val="9"/>
    <w:unhideWhenUsed/>
    <w:qFormat/>
    <w:pPr>
      <w:keepNext/>
      <w:keepLines/>
      <w:spacing w:after="274" w:line="259" w:lineRule="auto"/>
      <w:ind w:left="2067"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uiPriority w:val="39"/>
    <w:pPr>
      <w:spacing w:after="214" w:line="259" w:lineRule="auto"/>
      <w:ind w:left="25" w:right="71" w:hanging="10"/>
      <w:jc w:val="both"/>
    </w:pPr>
    <w:rPr>
      <w:rFonts w:ascii="Times New Roman" w:eastAsia="Times New Roman" w:hAnsi="Times New Roman" w:cs="Times New Roman"/>
      <w:color w:val="000000"/>
    </w:rPr>
  </w:style>
  <w:style w:type="paragraph" w:styleId="TOC2">
    <w:name w:val="toc 2"/>
    <w:hidden/>
    <w:uiPriority w:val="39"/>
    <w:pPr>
      <w:spacing w:after="213" w:line="259" w:lineRule="auto"/>
      <w:ind w:left="246" w:right="71" w:hanging="10"/>
      <w:jc w:val="both"/>
    </w:pPr>
    <w:rPr>
      <w:rFonts w:ascii="Times New Roman" w:eastAsia="Times New Roman" w:hAnsi="Times New Roman" w:cs="Times New Roman"/>
      <w:color w:val="000000"/>
    </w:rPr>
  </w:style>
  <w:style w:type="table" w:styleId="GridTable4-Accent1">
    <w:name w:val="Grid Table 4 Accent 1"/>
    <w:basedOn w:val="TableNormal"/>
    <w:uiPriority w:val="49"/>
    <w:rsid w:val="000C180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
    <w:name w:val="Grid Table 4"/>
    <w:basedOn w:val="TableNormal"/>
    <w:uiPriority w:val="49"/>
    <w:rsid w:val="000C180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4">
    <w:name w:val="Grid Table 4 Accent 4"/>
    <w:basedOn w:val="TableNormal"/>
    <w:uiPriority w:val="49"/>
    <w:rsid w:val="000C180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TableGrid">
    <w:name w:val="Table Grid"/>
    <w:basedOn w:val="TableNormal"/>
    <w:uiPriority w:val="39"/>
    <w:rsid w:val="000C1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0C180C"/>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4">
    <w:name w:val="Grid Table 5 Dark Accent 4"/>
    <w:basedOn w:val="TableNormal"/>
    <w:uiPriority w:val="50"/>
    <w:rsid w:val="00DC29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ListParagraph">
    <w:name w:val="List Paragraph"/>
    <w:basedOn w:val="Normal"/>
    <w:uiPriority w:val="34"/>
    <w:qFormat/>
    <w:rsid w:val="00DC29C9"/>
    <w:pPr>
      <w:ind w:left="720"/>
      <w:contextualSpacing/>
    </w:pPr>
  </w:style>
  <w:style w:type="character" w:styleId="Hyperlink">
    <w:name w:val="Hyperlink"/>
    <w:basedOn w:val="DefaultParagraphFont"/>
    <w:uiPriority w:val="99"/>
    <w:unhideWhenUsed/>
    <w:rsid w:val="006630A4"/>
    <w:rPr>
      <w:color w:val="467886" w:themeColor="hyperlink"/>
      <w:u w:val="single"/>
    </w:rPr>
  </w:style>
  <w:style w:type="paragraph" w:styleId="TableofFigures">
    <w:name w:val="table of figures"/>
    <w:basedOn w:val="Normal"/>
    <w:next w:val="Normal"/>
    <w:uiPriority w:val="99"/>
    <w:semiHidden/>
    <w:unhideWhenUsed/>
    <w:rsid w:val="008D44CC"/>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7EF90-F650-4EF6-9F14-08B842BCB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2158</TotalTime>
  <Pages>33</Pages>
  <Words>6513</Words>
  <Characters>37130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Patel Nishit Jagdishbhai</dc:creator>
  <cp:keywords/>
  <cp:lastModifiedBy>Krinal Gandhi</cp:lastModifiedBy>
  <cp:revision>105</cp:revision>
  <dcterms:created xsi:type="dcterms:W3CDTF">2025-11-19T12:18:00Z</dcterms:created>
  <dcterms:modified xsi:type="dcterms:W3CDTF">2025-11-23T23:07:00Z</dcterms:modified>
</cp:coreProperties>
</file>