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E3C47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8494A">
              <w:rPr>
                <w:b/>
                <w:color w:val="auto"/>
                <w:sz w:val="32"/>
              </w:rPr>
              <w:t>Dominic Richards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6FA2122" w:rsidR="005A1BA3" w:rsidRDefault="0018494A" w:rsidP="00340E9A">
            <w:pPr>
              <w:overflowPunct/>
              <w:autoSpaceDE/>
              <w:autoSpaceDN/>
              <w:adjustRightInd/>
              <w:ind w:right="237"/>
              <w:textAlignment w:val="auto"/>
              <w:rPr>
                <w:b/>
                <w:color w:val="auto"/>
                <w:sz w:val="32"/>
              </w:rPr>
            </w:pPr>
            <w:r>
              <w:rPr>
                <w:b/>
                <w:color w:val="auto"/>
                <w:sz w:val="32"/>
              </w:rPr>
              <w:t>2117580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0590AAF8" w14:textId="7B7D6870" w:rsidR="00FF7784" w:rsidRDefault="00FF7784" w:rsidP="00340E9A">
      <w:pPr>
        <w:ind w:right="237"/>
        <w:jc w:val="both"/>
        <w:rPr>
          <w:sz w:val="24"/>
          <w:szCs w:val="24"/>
        </w:rPr>
      </w:pPr>
    </w:p>
    <w:p w14:paraId="5D890F01"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Policing is a demanding profession that necessitates a unique set of skills and characteristics, such as physical strength, critical thinking, and the ability to remain calm in high-stress situations. However, the impact of organisational culture on police officers' well-being and resilience is frequently overlooked. Over the last year and a half, I've had the opportunity to consider how organisational culture affects my own well-being and resilience. This essay will look at how the larger organisational culture of policing has affected me personally, as well as the importance of maintaining personal values in the face of organisational change. </w:t>
      </w:r>
    </w:p>
    <w:p w14:paraId="6E118F00"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In some ways, conforming to organisational culture can help individuals fit in with their colleagues and feel a sense of belonging. However, there are risks having to conform to organisational culture, especially if it requires compromising of </w:t>
      </w:r>
      <w:proofErr w:type="spellStart"/>
      <w:proofErr w:type="gramStart"/>
      <w:r>
        <w:rPr>
          <w:rFonts w:ascii="Arial" w:hAnsi="Arial" w:cs="Arial"/>
          <w:color w:val="000000"/>
          <w:sz w:val="24"/>
          <w:szCs w:val="24"/>
        </w:rPr>
        <w:t>ones</w:t>
      </w:r>
      <w:proofErr w:type="spellEnd"/>
      <w:proofErr w:type="gramEnd"/>
      <w:r>
        <w:rPr>
          <w:rFonts w:ascii="Arial" w:hAnsi="Arial" w:cs="Arial"/>
          <w:color w:val="000000"/>
          <w:sz w:val="24"/>
          <w:szCs w:val="24"/>
        </w:rPr>
        <w:t xml:space="preserve"> personal values or beliefs. </w:t>
      </w:r>
    </w:p>
    <w:p w14:paraId="32A7D395"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Conforming to organisational culture can result in a loss of individuality and creativity. According to research, conformity can suppress creativity and limit innovation (Amabile, 1983; Zhou &amp; </w:t>
      </w:r>
      <w:proofErr w:type="spellStart"/>
      <w:r>
        <w:rPr>
          <w:rFonts w:ascii="Arial" w:hAnsi="Arial" w:cs="Arial"/>
          <w:color w:val="000000"/>
          <w:sz w:val="24"/>
          <w:szCs w:val="24"/>
        </w:rPr>
        <w:t>Shalley</w:t>
      </w:r>
      <w:proofErr w:type="spellEnd"/>
      <w:r>
        <w:rPr>
          <w:rFonts w:ascii="Arial" w:hAnsi="Arial" w:cs="Arial"/>
          <w:color w:val="000000"/>
          <w:sz w:val="24"/>
          <w:szCs w:val="24"/>
        </w:rPr>
        <w:t>, 2003). Individuals may be less likely to speak up with new ideas or challenge the status quo when they feel pressured to conform to a particular way of thinking or behaving. This can stifle innovation and impede organisational progress. </w:t>
      </w:r>
    </w:p>
    <w:p w14:paraId="6B6CDA36"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Conforming to organisational culture can also lead to a lack of diversity and inclusivity. When people are expected to conform to a certain set of values or beliefs, it can lead to a homogeneous environment that is less welcoming to those who do not fit the mould. According to research, diverse teams are more innovative and capable of solving complex problems (Page, 2008; Scott &amp; Magnuson, 2016). This can result in </w:t>
      </w:r>
      <w:r>
        <w:rPr>
          <w:rFonts w:ascii="Arial" w:hAnsi="Arial" w:cs="Arial"/>
          <w:color w:val="000000"/>
          <w:sz w:val="24"/>
          <w:szCs w:val="24"/>
        </w:rPr>
        <w:lastRenderedPageBreak/>
        <w:t>a lack of diversity in perspectives, ideas, and experiences, harmed the organization's ability to serve a diverse community effectively. </w:t>
      </w:r>
    </w:p>
    <w:p w14:paraId="49FC36B6"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Finally, conforming to organisational culture can be detrimental to one's mental health and well-being. When people are put under pressure to conform to a certain way of thinking or acting, it can cause stress and anxiety. This can be especially difficult if the organisational culture contradicts an individual's personal values or beliefs, resulting in cognitive dissonance or inner conflict. In severe cases, this can result in burnout or other mental health problems. According to research, organisational culture can have a significant impact on employee well-being, including stress levels, job satisfaction, and burnout (Kahn, Wolfe, Quinn, Snoek, &amp; Rosenthal, 1964; Maslach &amp; Jackson, 1986; Schneider, </w:t>
      </w:r>
      <w:proofErr w:type="spellStart"/>
      <w:r>
        <w:rPr>
          <w:rFonts w:ascii="Arial" w:hAnsi="Arial" w:cs="Arial"/>
          <w:color w:val="000000"/>
          <w:sz w:val="24"/>
          <w:szCs w:val="24"/>
        </w:rPr>
        <w:t>Parkington</w:t>
      </w:r>
      <w:proofErr w:type="spellEnd"/>
      <w:r>
        <w:rPr>
          <w:rFonts w:ascii="Arial" w:hAnsi="Arial" w:cs="Arial"/>
          <w:color w:val="000000"/>
          <w:sz w:val="24"/>
          <w:szCs w:val="24"/>
        </w:rPr>
        <w:t>, &amp; Buxton, 1980). </w:t>
      </w:r>
    </w:p>
    <w:p w14:paraId="6BCBCFF0"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However, conforming to organisational culture isn't all bad because there are several advantages to doing so. For starters, it can foster a sense of belonging and identity within the organisation. This can result in increased job satisfaction, dedication, and loyalty (</w:t>
      </w:r>
      <w:proofErr w:type="spellStart"/>
      <w:r>
        <w:rPr>
          <w:rFonts w:ascii="Arial" w:hAnsi="Arial" w:cs="Arial"/>
          <w:color w:val="000000"/>
          <w:sz w:val="24"/>
          <w:szCs w:val="24"/>
        </w:rPr>
        <w:t>Mael</w:t>
      </w:r>
      <w:proofErr w:type="spellEnd"/>
      <w:r>
        <w:rPr>
          <w:rFonts w:ascii="Arial" w:hAnsi="Arial" w:cs="Arial"/>
          <w:color w:val="000000"/>
          <w:sz w:val="24"/>
          <w:szCs w:val="24"/>
        </w:rPr>
        <w:t xml:space="preserve"> &amp; </w:t>
      </w:r>
      <w:proofErr w:type="spellStart"/>
      <w:r>
        <w:rPr>
          <w:rFonts w:ascii="Arial" w:hAnsi="Arial" w:cs="Arial"/>
          <w:color w:val="000000"/>
          <w:sz w:val="24"/>
          <w:szCs w:val="24"/>
        </w:rPr>
        <w:t>Ashforth</w:t>
      </w:r>
      <w:proofErr w:type="spellEnd"/>
      <w:r>
        <w:rPr>
          <w:rFonts w:ascii="Arial" w:hAnsi="Arial" w:cs="Arial"/>
          <w:color w:val="000000"/>
          <w:sz w:val="24"/>
          <w:szCs w:val="24"/>
        </w:rPr>
        <w:t xml:space="preserve">, 1992). Second, conforming to organisational culture can assist individuals in navigating complex social interactions and expectations at work. This can help reduce social anxiety and foster positive working relationships with </w:t>
      </w:r>
      <w:proofErr w:type="spellStart"/>
      <w:r>
        <w:rPr>
          <w:rFonts w:ascii="Arial" w:hAnsi="Arial" w:cs="Arial"/>
          <w:color w:val="000000"/>
          <w:sz w:val="24"/>
          <w:szCs w:val="24"/>
        </w:rPr>
        <w:t>coworkers</w:t>
      </w:r>
      <w:proofErr w:type="spellEnd"/>
      <w:r>
        <w:rPr>
          <w:rFonts w:ascii="Arial" w:hAnsi="Arial" w:cs="Arial"/>
          <w:color w:val="000000"/>
          <w:sz w:val="24"/>
          <w:szCs w:val="24"/>
        </w:rPr>
        <w:t xml:space="preserve"> (O'Reilly, Chatman, &amp; Caldwell, 1991). Third, adhering to organisational culture can help to achieve shared goals and objectives by encouraging teamwork and collaboration (Chatman, </w:t>
      </w:r>
      <w:proofErr w:type="spellStart"/>
      <w:r>
        <w:rPr>
          <w:rFonts w:ascii="Arial" w:hAnsi="Arial" w:cs="Arial"/>
          <w:color w:val="000000"/>
          <w:sz w:val="24"/>
          <w:szCs w:val="24"/>
        </w:rPr>
        <w:t>Polzer</w:t>
      </w:r>
      <w:proofErr w:type="spellEnd"/>
      <w:r>
        <w:rPr>
          <w:rFonts w:ascii="Arial" w:hAnsi="Arial" w:cs="Arial"/>
          <w:color w:val="000000"/>
          <w:sz w:val="24"/>
          <w:szCs w:val="24"/>
        </w:rPr>
        <w:t xml:space="preserve">, </w:t>
      </w:r>
      <w:proofErr w:type="spellStart"/>
      <w:r>
        <w:rPr>
          <w:rFonts w:ascii="Arial" w:hAnsi="Arial" w:cs="Arial"/>
          <w:color w:val="000000"/>
          <w:sz w:val="24"/>
          <w:szCs w:val="24"/>
        </w:rPr>
        <w:t>Barsade</w:t>
      </w:r>
      <w:proofErr w:type="spellEnd"/>
      <w:r>
        <w:rPr>
          <w:rFonts w:ascii="Arial" w:hAnsi="Arial" w:cs="Arial"/>
          <w:color w:val="000000"/>
          <w:sz w:val="24"/>
          <w:szCs w:val="24"/>
        </w:rPr>
        <w:t>, &amp; Neale, 1998). </w:t>
      </w:r>
    </w:p>
    <w:p w14:paraId="04F512A4" w14:textId="4668E35A" w:rsidR="00E65E7E" w:rsidRDefault="0018494A" w:rsidP="00E65E7E">
      <w:pPr>
        <w:pStyle w:val="NormalWeb"/>
        <w:spacing w:before="300" w:beforeAutospacing="0" w:after="300" w:afterAutospacing="0"/>
        <w:jc w:val="both"/>
        <w:rPr>
          <w:color w:val="000000"/>
        </w:rPr>
      </w:pPr>
      <w:r>
        <w:rPr>
          <w:rFonts w:ascii="Arial" w:hAnsi="Arial" w:cs="Arial"/>
          <w:color w:val="000000"/>
          <w:sz w:val="24"/>
          <w:szCs w:val="24"/>
        </w:rPr>
        <w:t>I</w:t>
      </w:r>
      <w:r w:rsidR="00E65E7E">
        <w:rPr>
          <w:rFonts w:ascii="Arial" w:hAnsi="Arial" w:cs="Arial"/>
          <w:color w:val="000000"/>
          <w:sz w:val="24"/>
          <w:szCs w:val="24"/>
        </w:rPr>
        <w:t xml:space="preserve">t is important to note that the benefits of conforming to organisational culture are conditional on the culture being healthy and aligned with ethical and moral principles. Conformity may have negative consequences for individuals and the organisation </w:t>
      </w:r>
      <w:proofErr w:type="gramStart"/>
      <w:r w:rsidR="00E65E7E">
        <w:rPr>
          <w:rFonts w:ascii="Arial" w:hAnsi="Arial" w:cs="Arial"/>
          <w:color w:val="000000"/>
          <w:sz w:val="24"/>
          <w:szCs w:val="24"/>
        </w:rPr>
        <w:t>as a whole if</w:t>
      </w:r>
      <w:proofErr w:type="gramEnd"/>
      <w:r w:rsidR="00E65E7E">
        <w:rPr>
          <w:rFonts w:ascii="Arial" w:hAnsi="Arial" w:cs="Arial"/>
          <w:color w:val="000000"/>
          <w:sz w:val="24"/>
          <w:szCs w:val="24"/>
        </w:rPr>
        <w:t xml:space="preserve"> the culture promotes toxic behaviours or values that conflict with personal values. </w:t>
      </w:r>
    </w:p>
    <w:p w14:paraId="48D8D925"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When joining a new organisation and taking on a new workload, it is critical to find ways to maintain well-being in the workplace, which is critical for individuals to perform at their best and avoid burnout. Individuals can use the following strategies to maintain their well-being at work: </w:t>
      </w:r>
    </w:p>
    <w:p w14:paraId="420F49CA"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Establish boundaries: Setting clear boundaries between work and personal life can help people manage their workload and keep work-related stress from affecting their personal lives. Setting aside time for self-care, taking regular breaks throughout the workday, and limiting work-related communication outside of work hours are all examples. Setting boundaries has been shown in studies to improve job satisfaction, work-life balance, and overall well-being (</w:t>
      </w:r>
      <w:proofErr w:type="spellStart"/>
      <w:r>
        <w:rPr>
          <w:rFonts w:ascii="Arial" w:hAnsi="Arial" w:cs="Arial"/>
          <w:color w:val="000000"/>
          <w:sz w:val="24"/>
          <w:szCs w:val="24"/>
        </w:rPr>
        <w:t>Eby</w:t>
      </w:r>
      <w:proofErr w:type="spellEnd"/>
      <w:r>
        <w:rPr>
          <w:rFonts w:ascii="Arial" w:hAnsi="Arial" w:cs="Arial"/>
          <w:color w:val="000000"/>
          <w:sz w:val="24"/>
          <w:szCs w:val="24"/>
        </w:rPr>
        <w:t xml:space="preserve">, Casper, Lockwood, Bordeaux, &amp; Brinley, 2005; Derks, Bakker, Peters, &amp; Van </w:t>
      </w:r>
      <w:proofErr w:type="spellStart"/>
      <w:r>
        <w:rPr>
          <w:rFonts w:ascii="Arial" w:hAnsi="Arial" w:cs="Arial"/>
          <w:color w:val="000000"/>
          <w:sz w:val="24"/>
          <w:szCs w:val="24"/>
        </w:rPr>
        <w:t>Wingerden</w:t>
      </w:r>
      <w:proofErr w:type="spellEnd"/>
      <w:r>
        <w:rPr>
          <w:rFonts w:ascii="Arial" w:hAnsi="Arial" w:cs="Arial"/>
          <w:color w:val="000000"/>
          <w:sz w:val="24"/>
          <w:szCs w:val="24"/>
        </w:rPr>
        <w:t>, 2016). </w:t>
      </w:r>
    </w:p>
    <w:p w14:paraId="5F8EB30E"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lastRenderedPageBreak/>
        <w:t xml:space="preserve">Mindfulness techniques, such as meditation or deep breathing exercises, can help people reduce stress while increasing focus and productivity. Incorporating mindfulness practices into the workplace can help people manage stress and improve their overall well-being. Mindfulness has been shown in studies to improve well-being, reduce stress, and improve cognitive functioning (Lomas, Medina, </w:t>
      </w:r>
      <w:proofErr w:type="spellStart"/>
      <w:r>
        <w:rPr>
          <w:rFonts w:ascii="Arial" w:hAnsi="Arial" w:cs="Arial"/>
          <w:color w:val="000000"/>
          <w:sz w:val="24"/>
          <w:szCs w:val="24"/>
        </w:rPr>
        <w:t>Ivtzan</w:t>
      </w:r>
      <w:proofErr w:type="spellEnd"/>
      <w:r>
        <w:rPr>
          <w:rFonts w:ascii="Arial" w:hAnsi="Arial" w:cs="Arial"/>
          <w:color w:val="000000"/>
          <w:sz w:val="24"/>
          <w:szCs w:val="24"/>
        </w:rPr>
        <w:t xml:space="preserve">, </w:t>
      </w:r>
      <w:proofErr w:type="spellStart"/>
      <w:r>
        <w:rPr>
          <w:rFonts w:ascii="Arial" w:hAnsi="Arial" w:cs="Arial"/>
          <w:color w:val="000000"/>
          <w:sz w:val="24"/>
          <w:szCs w:val="24"/>
        </w:rPr>
        <w:t>Rupprecht</w:t>
      </w:r>
      <w:proofErr w:type="spellEnd"/>
      <w:r>
        <w:rPr>
          <w:rFonts w:ascii="Arial" w:hAnsi="Arial" w:cs="Arial"/>
          <w:color w:val="000000"/>
          <w:sz w:val="24"/>
          <w:szCs w:val="24"/>
        </w:rPr>
        <w:t xml:space="preserve">, &amp; </w:t>
      </w:r>
      <w:proofErr w:type="spellStart"/>
      <w:r>
        <w:rPr>
          <w:rFonts w:ascii="Arial" w:hAnsi="Arial" w:cs="Arial"/>
          <w:color w:val="000000"/>
          <w:sz w:val="24"/>
          <w:szCs w:val="24"/>
        </w:rPr>
        <w:t>Eiroa-Orosa</w:t>
      </w:r>
      <w:proofErr w:type="spellEnd"/>
      <w:r>
        <w:rPr>
          <w:rFonts w:ascii="Arial" w:hAnsi="Arial" w:cs="Arial"/>
          <w:color w:val="000000"/>
          <w:sz w:val="24"/>
          <w:szCs w:val="24"/>
        </w:rPr>
        <w:t>, 2021). </w:t>
      </w:r>
    </w:p>
    <w:p w14:paraId="007816C7"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Create a social support network: Developing positive relationships with </w:t>
      </w:r>
      <w:proofErr w:type="spellStart"/>
      <w:r>
        <w:rPr>
          <w:rFonts w:ascii="Arial" w:hAnsi="Arial" w:cs="Arial"/>
          <w:color w:val="000000"/>
          <w:sz w:val="24"/>
          <w:szCs w:val="24"/>
        </w:rPr>
        <w:t>coworkers</w:t>
      </w:r>
      <w:proofErr w:type="spellEnd"/>
      <w:r>
        <w:rPr>
          <w:rFonts w:ascii="Arial" w:hAnsi="Arial" w:cs="Arial"/>
          <w:color w:val="000000"/>
          <w:sz w:val="24"/>
          <w:szCs w:val="24"/>
        </w:rPr>
        <w:t xml:space="preserve"> and establishing a support network can assist individuals in managing stress and maintaining a positive outlook. Social support is especially important during difficult times or when dealing with work-related issues. According to research, social support can improve well-being, reduce stress, and increase job satisfaction (Cohen &amp; Wills, 1985; Halbesleben &amp; Buckley, 2004). </w:t>
      </w:r>
    </w:p>
    <w:p w14:paraId="1A0E78FB"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Maintain your physical health: Because physical health is inextricably linked to mental health, taking care of one's physical health through regular exercise, healthy eating, and adequate rest can help people maintain their well-being and manage stress. Physical activity has been shown in studies to improve mental health, reduce stress, and improve cognitive functioning (Stubbs et al., 2017; Hamer, 2012). </w:t>
      </w:r>
    </w:p>
    <w:p w14:paraId="384400DD"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It is important to note that maintaining one's well-being is not solely the individual's responsibility. Employers and organisations must also foster a healthy workplace culture and provide support for employee well-being. </w:t>
      </w:r>
    </w:p>
    <w:p w14:paraId="23E1EECC"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The two most important for me, according to the research, are taking care of my physical health and establishing clear boundaries between work and personal life. Which leads to the next point. </w:t>
      </w:r>
    </w:p>
    <w:p w14:paraId="2D92D570" w14:textId="77777777" w:rsidR="00E65E7E" w:rsidRDefault="00E65E7E" w:rsidP="00E65E7E">
      <w:pPr>
        <w:pStyle w:val="NormalWeb"/>
        <w:spacing w:before="300" w:beforeAutospacing="0" w:after="300" w:afterAutospacing="0"/>
        <w:jc w:val="both"/>
        <w:rPr>
          <w:color w:val="000000"/>
        </w:rPr>
      </w:pPr>
      <w:proofErr w:type="gramStart"/>
      <w:r>
        <w:rPr>
          <w:rFonts w:ascii="Arial" w:hAnsi="Arial" w:cs="Arial"/>
          <w:color w:val="000000"/>
          <w:sz w:val="24"/>
          <w:szCs w:val="24"/>
        </w:rPr>
        <w:t>Similar to</w:t>
      </w:r>
      <w:proofErr w:type="gramEnd"/>
      <w:r>
        <w:rPr>
          <w:rFonts w:ascii="Arial" w:hAnsi="Arial" w:cs="Arial"/>
          <w:color w:val="000000"/>
          <w:sz w:val="24"/>
          <w:szCs w:val="24"/>
        </w:rPr>
        <w:t xml:space="preserve"> maintaining one's own well-being at work while dealing with organisational culture, it is also important to take care of one's resilience as it is necessary for individuals to cope with stress and overcome challenges. Individuals can use the following methods to maintain their resilience at work: </w:t>
      </w:r>
    </w:p>
    <w:p w14:paraId="7512EE8B"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Use positive self-talk: Individuals can manage stress and resilience by maintaining a positive outlook and using positive self-talk. This can include changing negative thoughts into positive ones, focusing on one's strengths and successes, and using affirmations to boost one's self-esteem. Positive self-talk has been shown in studies to improve resilience, self-esteem, and overall well-being (Luthans &amp; Youssef-Morgan, 2017; </w:t>
      </w:r>
      <w:proofErr w:type="spellStart"/>
      <w:r>
        <w:rPr>
          <w:rFonts w:ascii="Arial" w:hAnsi="Arial" w:cs="Arial"/>
          <w:color w:val="000000"/>
          <w:sz w:val="24"/>
          <w:szCs w:val="24"/>
        </w:rPr>
        <w:t>Tugade</w:t>
      </w:r>
      <w:proofErr w:type="spellEnd"/>
      <w:r>
        <w:rPr>
          <w:rFonts w:ascii="Arial" w:hAnsi="Arial" w:cs="Arial"/>
          <w:color w:val="000000"/>
          <w:sz w:val="24"/>
          <w:szCs w:val="24"/>
        </w:rPr>
        <w:t xml:space="preserve"> &amp; Fredrickson, 2004). </w:t>
      </w:r>
    </w:p>
    <w:p w14:paraId="725647EC"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 xml:space="preserve">Develop problem-solving abilities: Improving problem-solving abilities can assist individuals in effectively managing challenges and maintaining resilience. Breaking </w:t>
      </w:r>
      <w:r>
        <w:rPr>
          <w:rFonts w:ascii="Arial" w:hAnsi="Arial" w:cs="Arial"/>
          <w:color w:val="000000"/>
          <w:sz w:val="24"/>
          <w:szCs w:val="24"/>
        </w:rPr>
        <w:lastRenderedPageBreak/>
        <w:t>down complex problems into smaller, manageable steps, seeking out new perspectives and solutions, and learning from past experiences are all examples of this. According to research, problem-solving abilities can improve resilience and coping ability (Fletcher &amp; Sarkar, 2013). </w:t>
      </w:r>
    </w:p>
    <w:p w14:paraId="73122BA2"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Cultivate a growth mindset: A growth mindset can help people maintain their resilience by encouraging them to believe in their ability to learn and grow from challenges. Accepting mistakes and failures as opportunities for growth, seeking out new challenges and experiences, and focusing on the process rather than the outcome are all examples of this. According to research, a growth mindset can boost resilience and motivation (Fletcher &amp; Sarkar, 2013). </w:t>
      </w:r>
    </w:p>
    <w:p w14:paraId="1B20CC48"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The experience of achieving independent patrol status has highlighted the importance of maintaining personal values and strategies for promoting workplace well-being and resilience. Individuals can better navigate the challenges of the workplace and achieve greater success in their roles by recognising the potential risks associated with conforming to organisational culture and employing strategies to maintain resilience and well-being. </w:t>
      </w:r>
    </w:p>
    <w:p w14:paraId="5449A552" w14:textId="77777777" w:rsidR="00E65E7E" w:rsidRDefault="00E65E7E" w:rsidP="00E65E7E">
      <w:pPr>
        <w:pStyle w:val="NormalWeb"/>
        <w:spacing w:before="300" w:beforeAutospacing="0" w:after="300" w:afterAutospacing="0"/>
        <w:jc w:val="both"/>
        <w:rPr>
          <w:color w:val="000000"/>
        </w:rPr>
      </w:pPr>
      <w:r>
        <w:rPr>
          <w:rFonts w:ascii="Arial" w:hAnsi="Arial" w:cs="Arial"/>
          <w:color w:val="000000"/>
          <w:sz w:val="24"/>
          <w:szCs w:val="24"/>
        </w:rPr>
        <w:t>Finally, promoting resilience and well-being at work is a shared responsibility that necessitates a commitment to both individual and organisational practises (</w:t>
      </w:r>
      <w:proofErr w:type="spellStart"/>
      <w:r>
        <w:rPr>
          <w:rFonts w:ascii="Arial" w:hAnsi="Arial" w:cs="Arial"/>
          <w:color w:val="000000"/>
          <w:sz w:val="24"/>
          <w:szCs w:val="24"/>
        </w:rPr>
        <w:t>Herrman</w:t>
      </w:r>
      <w:proofErr w:type="spellEnd"/>
      <w:r>
        <w:rPr>
          <w:rFonts w:ascii="Arial" w:hAnsi="Arial" w:cs="Arial"/>
          <w:color w:val="000000"/>
          <w:sz w:val="24"/>
          <w:szCs w:val="24"/>
        </w:rPr>
        <w:t xml:space="preserve"> et al., 2011; Fletcher &amp; Sarkar, 2013; Buchanan &amp; Cano, 2020). We can foster a culture of success, health, and happiness for all by prioritising the development of personal resilience and creating supportive work environments.</w:t>
      </w:r>
    </w:p>
    <w:p w14:paraId="2858195A" w14:textId="77777777" w:rsidR="00E65E7E" w:rsidRDefault="00E65E7E" w:rsidP="00E65E7E"/>
    <w:p w14:paraId="56D14E03" w14:textId="016CED10" w:rsidR="00E65E7E" w:rsidRDefault="00E65E7E" w:rsidP="00E65E7E">
      <w:pPr>
        <w:pStyle w:val="NormalWeb"/>
        <w:spacing w:before="0" w:beforeAutospacing="0" w:after="0" w:afterAutospacing="0"/>
        <w:rPr>
          <w:color w:val="000000"/>
        </w:rPr>
      </w:pPr>
      <w:r>
        <w:rPr>
          <w:rFonts w:ascii="Arial" w:hAnsi="Arial" w:cs="Arial"/>
          <w:b/>
          <w:bCs/>
          <w:color w:val="000000"/>
          <w:sz w:val="24"/>
          <w:szCs w:val="24"/>
        </w:rPr>
        <w:t>Word count - 125</w:t>
      </w:r>
      <w:r w:rsidR="0018494A">
        <w:rPr>
          <w:rFonts w:ascii="Arial" w:hAnsi="Arial" w:cs="Arial"/>
          <w:b/>
          <w:bCs/>
          <w:color w:val="000000"/>
          <w:sz w:val="24"/>
          <w:szCs w:val="24"/>
        </w:rPr>
        <w:t>4</w:t>
      </w:r>
    </w:p>
    <w:p w14:paraId="36AAAB66" w14:textId="77777777" w:rsidR="00E65E7E" w:rsidRDefault="00E65E7E" w:rsidP="00E65E7E"/>
    <w:p w14:paraId="4C7E2785" w14:textId="77777777" w:rsidR="00E65E7E" w:rsidRDefault="00E65E7E" w:rsidP="00E65E7E">
      <w:pPr>
        <w:pStyle w:val="NormalWeb"/>
        <w:spacing w:before="0" w:beforeAutospacing="0" w:after="0" w:afterAutospacing="0"/>
        <w:rPr>
          <w:color w:val="000000"/>
        </w:rPr>
      </w:pPr>
      <w:r>
        <w:rPr>
          <w:rFonts w:ascii="Arial" w:hAnsi="Arial" w:cs="Arial"/>
          <w:b/>
          <w:bCs/>
          <w:color w:val="000000"/>
          <w:sz w:val="24"/>
          <w:szCs w:val="24"/>
        </w:rPr>
        <w:t>Bibliography</w:t>
      </w:r>
    </w:p>
    <w:p w14:paraId="1EBEED63"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Amabile, T. M. (1983). The social psychology of creativity: A componential conceptualization. Journal of Personality and Social Psychology, 45(2), 357-376.</w:t>
      </w:r>
    </w:p>
    <w:p w14:paraId="1DA5C12A" w14:textId="77777777" w:rsidR="00E65E7E" w:rsidRDefault="00E65E7E" w:rsidP="00E65E7E"/>
    <w:p w14:paraId="7AF025B2"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Buchanan, E., &amp; Cano, A. (2020). Understanding burnout among police officers: Development of a theoretically driven model. International Journal of Stress Management, 27(3), 245-256.</w:t>
      </w:r>
    </w:p>
    <w:p w14:paraId="69E31BC4" w14:textId="77777777" w:rsidR="00E65E7E" w:rsidRDefault="00E65E7E" w:rsidP="00E65E7E"/>
    <w:p w14:paraId="48AD2304"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 xml:space="preserve">Chatman, J. A., </w:t>
      </w:r>
      <w:proofErr w:type="spellStart"/>
      <w:r>
        <w:rPr>
          <w:rFonts w:ascii="Arial" w:hAnsi="Arial" w:cs="Arial"/>
          <w:color w:val="000000"/>
          <w:sz w:val="24"/>
          <w:szCs w:val="24"/>
        </w:rPr>
        <w:t>Polzer</w:t>
      </w:r>
      <w:proofErr w:type="spellEnd"/>
      <w:r>
        <w:rPr>
          <w:rFonts w:ascii="Arial" w:hAnsi="Arial" w:cs="Arial"/>
          <w:color w:val="000000"/>
          <w:sz w:val="24"/>
          <w:szCs w:val="24"/>
        </w:rPr>
        <w:t xml:space="preserve">, J. T., </w:t>
      </w:r>
      <w:proofErr w:type="spellStart"/>
      <w:r>
        <w:rPr>
          <w:rFonts w:ascii="Arial" w:hAnsi="Arial" w:cs="Arial"/>
          <w:color w:val="000000"/>
          <w:sz w:val="24"/>
          <w:szCs w:val="24"/>
        </w:rPr>
        <w:t>Barsade</w:t>
      </w:r>
      <w:proofErr w:type="spellEnd"/>
      <w:r>
        <w:rPr>
          <w:rFonts w:ascii="Arial" w:hAnsi="Arial" w:cs="Arial"/>
          <w:color w:val="000000"/>
          <w:sz w:val="24"/>
          <w:szCs w:val="24"/>
        </w:rPr>
        <w:t>, S. G., &amp; Neale, M. A. (1998). Being different yet feeling similar: The influence of demographic composition and organizational culture on work processes and outcomes. Administrative Science Quarterly, 43(4), 749-780.</w:t>
      </w:r>
    </w:p>
    <w:p w14:paraId="3525311D" w14:textId="77777777" w:rsidR="00E65E7E" w:rsidRDefault="00E65E7E" w:rsidP="00E65E7E"/>
    <w:p w14:paraId="6ED9E526"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Cohen, S., &amp; Wills, T. A. (1985). Stress, social support, and the buffering hypothesis. Psychological Bulletin, 98(2), 310-357.</w:t>
      </w:r>
    </w:p>
    <w:p w14:paraId="3838C4D0" w14:textId="77777777" w:rsidR="00E65E7E" w:rsidRDefault="00E65E7E" w:rsidP="00E65E7E"/>
    <w:p w14:paraId="74E32984"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 xml:space="preserve">Derks, D., Bakker, A. B., Peters, P., &amp; Van </w:t>
      </w:r>
      <w:proofErr w:type="spellStart"/>
      <w:r>
        <w:rPr>
          <w:rFonts w:ascii="Arial" w:hAnsi="Arial" w:cs="Arial"/>
          <w:color w:val="000000"/>
          <w:sz w:val="24"/>
          <w:szCs w:val="24"/>
        </w:rPr>
        <w:t>Wingerden</w:t>
      </w:r>
      <w:proofErr w:type="spellEnd"/>
      <w:r>
        <w:rPr>
          <w:rFonts w:ascii="Arial" w:hAnsi="Arial" w:cs="Arial"/>
          <w:color w:val="000000"/>
          <w:sz w:val="24"/>
          <w:szCs w:val="24"/>
        </w:rPr>
        <w:t>, J. (2016). Work-related smartphone use, work–family conflict and family role performance: The role of segmentation preference. Human Relations, 69(4), 1045-1068.</w:t>
      </w:r>
    </w:p>
    <w:p w14:paraId="49BC9182" w14:textId="77777777" w:rsidR="00E65E7E" w:rsidRDefault="00E65E7E" w:rsidP="00E65E7E"/>
    <w:p w14:paraId="6226F913" w14:textId="77777777" w:rsidR="00E65E7E" w:rsidRDefault="00E65E7E" w:rsidP="00E65E7E">
      <w:pPr>
        <w:pStyle w:val="NormalWeb"/>
        <w:spacing w:before="0" w:beforeAutospacing="0" w:after="0" w:afterAutospacing="0"/>
        <w:jc w:val="both"/>
        <w:rPr>
          <w:color w:val="000000"/>
        </w:rPr>
      </w:pPr>
      <w:proofErr w:type="spellStart"/>
      <w:r>
        <w:rPr>
          <w:rFonts w:ascii="Arial" w:hAnsi="Arial" w:cs="Arial"/>
          <w:color w:val="000000"/>
          <w:sz w:val="24"/>
          <w:szCs w:val="24"/>
        </w:rPr>
        <w:lastRenderedPageBreak/>
        <w:t>Eby</w:t>
      </w:r>
      <w:proofErr w:type="spellEnd"/>
      <w:r>
        <w:rPr>
          <w:rFonts w:ascii="Arial" w:hAnsi="Arial" w:cs="Arial"/>
          <w:color w:val="000000"/>
          <w:sz w:val="24"/>
          <w:szCs w:val="24"/>
        </w:rPr>
        <w:t xml:space="preserve">, L. T., Casper, W. J., Lockwood, A., Bordeaux, C., &amp; Brinley, A. (2005). Work and family research in IO/OB: Content analysis and review of the literature (1980–2002). Journal of Vocational </w:t>
      </w:r>
      <w:proofErr w:type="spellStart"/>
      <w:r>
        <w:rPr>
          <w:rFonts w:ascii="Arial" w:hAnsi="Arial" w:cs="Arial"/>
          <w:color w:val="000000"/>
          <w:sz w:val="24"/>
          <w:szCs w:val="24"/>
        </w:rPr>
        <w:t>Behavior</w:t>
      </w:r>
      <w:proofErr w:type="spellEnd"/>
      <w:r>
        <w:rPr>
          <w:rFonts w:ascii="Arial" w:hAnsi="Arial" w:cs="Arial"/>
          <w:color w:val="000000"/>
          <w:sz w:val="24"/>
          <w:szCs w:val="24"/>
        </w:rPr>
        <w:t>, 66(1), 124-197.</w:t>
      </w:r>
    </w:p>
    <w:p w14:paraId="0C2E275F" w14:textId="77777777" w:rsidR="00E65E7E" w:rsidRDefault="00E65E7E" w:rsidP="00E65E7E"/>
    <w:p w14:paraId="61A91657"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Fletcher, D., &amp; Sarkar, M. (2013). Psychological resilience: A review and critique of definitions, concepts, and theory. European Psychologist, 18(1), 12-23.</w:t>
      </w:r>
    </w:p>
    <w:p w14:paraId="2ECAF59A" w14:textId="77777777" w:rsidR="00E65E7E" w:rsidRDefault="00E65E7E" w:rsidP="00E65E7E"/>
    <w:p w14:paraId="3B3CE14C"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Hamer, M. (2012). Physical activity and mental health: Moving towards a new era. Proceedings of the Nutrition Society, 71(4), 790-798.</w:t>
      </w:r>
    </w:p>
    <w:p w14:paraId="299BFDF9" w14:textId="77777777" w:rsidR="00E65E7E" w:rsidRDefault="00E65E7E" w:rsidP="00E65E7E"/>
    <w:p w14:paraId="606AF95F"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Halbesleben, J. R., &amp; Buckley, M. R. (2004). Burnout in organizational life. Journal of Management, 30(6), 859-879.</w:t>
      </w:r>
    </w:p>
    <w:p w14:paraId="02ED8908" w14:textId="77777777" w:rsidR="00E65E7E" w:rsidRDefault="00E65E7E" w:rsidP="00E65E7E"/>
    <w:p w14:paraId="6DAEB160" w14:textId="77777777" w:rsidR="00E65E7E" w:rsidRDefault="00E65E7E" w:rsidP="00E65E7E">
      <w:pPr>
        <w:pStyle w:val="NormalWeb"/>
        <w:spacing w:before="0" w:beforeAutospacing="0" w:after="0" w:afterAutospacing="0"/>
        <w:jc w:val="both"/>
        <w:rPr>
          <w:color w:val="000000"/>
        </w:rPr>
      </w:pPr>
      <w:proofErr w:type="spellStart"/>
      <w:r>
        <w:rPr>
          <w:rFonts w:ascii="Arial" w:hAnsi="Arial" w:cs="Arial"/>
          <w:color w:val="000000"/>
          <w:sz w:val="24"/>
          <w:szCs w:val="24"/>
        </w:rPr>
        <w:t>Herrman</w:t>
      </w:r>
      <w:proofErr w:type="spellEnd"/>
      <w:r>
        <w:rPr>
          <w:rFonts w:ascii="Arial" w:hAnsi="Arial" w:cs="Arial"/>
          <w:color w:val="000000"/>
          <w:sz w:val="24"/>
          <w:szCs w:val="24"/>
        </w:rPr>
        <w:t>, H., Stewart, D. E., Diaz-Granados, N., Berger, E. L., Jackson, B., &amp; Yuen, T. (2011). What is resilience? The Canadian Journal of Psychiatry, 56(5), 258-265.</w:t>
      </w:r>
    </w:p>
    <w:p w14:paraId="61D795EE" w14:textId="77777777" w:rsidR="00E65E7E" w:rsidRDefault="00E65E7E" w:rsidP="00E65E7E"/>
    <w:p w14:paraId="269FA527"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Kahn, R. L., Wolfe, D. M., Quinn, R. P., Snoek, J. D., &amp; Rosenthal, R. A. (1964). Organizational stress: Studies in role conflict and ambiguity. John Wiley &amp; Sons.</w:t>
      </w:r>
    </w:p>
    <w:p w14:paraId="558F8CE7" w14:textId="77777777" w:rsidR="00E65E7E" w:rsidRDefault="00E65E7E" w:rsidP="00E65E7E"/>
    <w:p w14:paraId="7F1D5B8C"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 xml:space="preserve">Lomas, T., Medina, J. C., </w:t>
      </w:r>
      <w:proofErr w:type="spellStart"/>
      <w:r>
        <w:rPr>
          <w:rFonts w:ascii="Arial" w:hAnsi="Arial" w:cs="Arial"/>
          <w:color w:val="000000"/>
          <w:sz w:val="24"/>
          <w:szCs w:val="24"/>
        </w:rPr>
        <w:t>Ivtzan</w:t>
      </w:r>
      <w:proofErr w:type="spellEnd"/>
      <w:r>
        <w:rPr>
          <w:rFonts w:ascii="Arial" w:hAnsi="Arial" w:cs="Arial"/>
          <w:color w:val="000000"/>
          <w:sz w:val="24"/>
          <w:szCs w:val="24"/>
        </w:rPr>
        <w:t xml:space="preserve">, I., </w:t>
      </w:r>
      <w:proofErr w:type="spellStart"/>
      <w:r>
        <w:rPr>
          <w:rFonts w:ascii="Arial" w:hAnsi="Arial" w:cs="Arial"/>
          <w:color w:val="000000"/>
          <w:sz w:val="24"/>
          <w:szCs w:val="24"/>
        </w:rPr>
        <w:t>Rupprecht</w:t>
      </w:r>
      <w:proofErr w:type="spellEnd"/>
      <w:r>
        <w:rPr>
          <w:rFonts w:ascii="Arial" w:hAnsi="Arial" w:cs="Arial"/>
          <w:color w:val="000000"/>
          <w:sz w:val="24"/>
          <w:szCs w:val="24"/>
        </w:rPr>
        <w:t xml:space="preserve">, S., &amp; </w:t>
      </w:r>
      <w:proofErr w:type="spellStart"/>
      <w:r>
        <w:rPr>
          <w:rFonts w:ascii="Arial" w:hAnsi="Arial" w:cs="Arial"/>
          <w:color w:val="000000"/>
          <w:sz w:val="24"/>
          <w:szCs w:val="24"/>
        </w:rPr>
        <w:t>Eiroa-Orosa</w:t>
      </w:r>
      <w:proofErr w:type="spellEnd"/>
      <w:r>
        <w:rPr>
          <w:rFonts w:ascii="Arial" w:hAnsi="Arial" w:cs="Arial"/>
          <w:color w:val="000000"/>
          <w:sz w:val="24"/>
          <w:szCs w:val="24"/>
        </w:rPr>
        <w:t>, F. J. (2021). Mindfulness-based interventions in the workplace: An inclusive systematic review and meta-analysis of their impact upon wellbeing. Journal of Occupational Health Psychology, 26(1), 51-72.</w:t>
      </w:r>
    </w:p>
    <w:p w14:paraId="244DFDB3" w14:textId="77777777" w:rsidR="00E65E7E" w:rsidRDefault="00E65E7E" w:rsidP="00E65E7E"/>
    <w:p w14:paraId="5F0A8EF9"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Maslach, C., &amp; Jackson, S. E. (1986). Maslach burnout inventory.</w:t>
      </w:r>
    </w:p>
    <w:p w14:paraId="331BC338" w14:textId="77777777" w:rsidR="00E65E7E" w:rsidRDefault="00E65E7E" w:rsidP="00E65E7E"/>
    <w:p w14:paraId="4B1D103D"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O'Reilly, C. A., Chatman, J., &amp; Caldwell, D. F. (1991). People and organizational culture: A profile comparison approach to assessing person-organization fit. Academy of Management Journal, 34(3), 487-516.</w:t>
      </w:r>
    </w:p>
    <w:p w14:paraId="3504C648" w14:textId="77777777" w:rsidR="00E65E7E" w:rsidRDefault="00E65E7E" w:rsidP="00E65E7E"/>
    <w:p w14:paraId="133794FF" w14:textId="77777777" w:rsidR="00E65E7E" w:rsidRDefault="00E65E7E" w:rsidP="00E65E7E">
      <w:pPr>
        <w:pStyle w:val="NormalWeb"/>
        <w:spacing w:before="0" w:beforeAutospacing="0" w:after="0" w:afterAutospacing="0"/>
        <w:jc w:val="both"/>
        <w:rPr>
          <w:color w:val="000000"/>
        </w:rPr>
      </w:pPr>
      <w:r>
        <w:rPr>
          <w:rFonts w:ascii="Arial" w:hAnsi="Arial" w:cs="Arial"/>
          <w:color w:val="000000"/>
          <w:sz w:val="24"/>
          <w:szCs w:val="24"/>
        </w:rPr>
        <w:t>Page, S. E. (2008). The difference: How the power of diversity creates better groups,</w:t>
      </w:r>
    </w:p>
    <w:p w14:paraId="151C807C" w14:textId="77777777" w:rsidR="00E65E7E" w:rsidRPr="00270EEB" w:rsidRDefault="00E65E7E"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97D0EAC"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Attending to domestic disturbances is a typical part of the job of a police officer, and it can be a tough one at times. These situations can sometimes involve intimate partners or family members who are at odds with one another and have the potential to be emotionally intense and explosive. Intimate partner violence is a pervasive and perilous social issue that has far-reaching implications for both individuals and communities of all racial, ethnic, and socioeconomic backgrounds. According to the World Health Organization (WHO), one in every three women around the globe may, at some point in their lifetimes, be the victim of physical and/or sexual violence at the hands of an intimate partner or non-partner (WHO, 2017). It is also a complicated problem since it intersects with a variety of different social and legislative circumstances, such as gender inequality, power relations, and legal responses to violence.</w:t>
      </w:r>
    </w:p>
    <w:p w14:paraId="6DA8A9E2"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In this essay, I will discuss a domestic incident that I was called to as a police officer. This event occurred in my area. I will explain the social and legislative circumstances that determine our response to domestic abuse, and I will emphasize any relevant cultural and linguistic challenges that may impact our capacity to respond appropriately to cases of domestic violence. It is my hope that this research will help throw some light on the multifaceted nature of domestic violence as well as the difficulties that police officers encounter when responding to events involving such violence.</w:t>
      </w:r>
    </w:p>
    <w:p w14:paraId="7A8A354A"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In this essay, I will reflect on an incident that I attended as a police officer. This incident involved responding to a third-party report stating that a female had gone to </w:t>
      </w:r>
      <w:r>
        <w:rPr>
          <w:rFonts w:ascii="Arial" w:hAnsi="Arial" w:cs="Arial"/>
          <w:color w:val="252525"/>
          <w:sz w:val="24"/>
          <w:szCs w:val="24"/>
        </w:rPr>
        <w:lastRenderedPageBreak/>
        <w:t xml:space="preserve">the address of her </w:t>
      </w:r>
      <w:proofErr w:type="spellStart"/>
      <w:r>
        <w:rPr>
          <w:rFonts w:ascii="Arial" w:hAnsi="Arial" w:cs="Arial"/>
          <w:color w:val="252525"/>
          <w:sz w:val="24"/>
          <w:szCs w:val="24"/>
        </w:rPr>
        <w:t>neighbor</w:t>
      </w:r>
      <w:proofErr w:type="spellEnd"/>
      <w:r>
        <w:rPr>
          <w:rFonts w:ascii="Arial" w:hAnsi="Arial" w:cs="Arial"/>
          <w:color w:val="252525"/>
          <w:sz w:val="24"/>
          <w:szCs w:val="24"/>
        </w:rPr>
        <w:t xml:space="preserve"> upset and crying, stating that her husband had hit her and smashed her phone, before disclosing a history of abuse that she has received. Due to the unknown nature of the call and the fear that it raised, the incident was rated as a G1, which indicates that an immediate reaction is required. When we arrived at the location, my </w:t>
      </w:r>
      <w:proofErr w:type="spellStart"/>
      <w:r>
        <w:rPr>
          <w:rFonts w:ascii="Arial" w:hAnsi="Arial" w:cs="Arial"/>
          <w:color w:val="252525"/>
          <w:sz w:val="24"/>
          <w:szCs w:val="24"/>
        </w:rPr>
        <w:t>coworker</w:t>
      </w:r>
      <w:proofErr w:type="spellEnd"/>
      <w:r>
        <w:rPr>
          <w:rFonts w:ascii="Arial" w:hAnsi="Arial" w:cs="Arial"/>
          <w:color w:val="252525"/>
          <w:sz w:val="24"/>
          <w:szCs w:val="24"/>
        </w:rPr>
        <w:t xml:space="preserve"> and I spoke with a </w:t>
      </w:r>
      <w:proofErr w:type="spellStart"/>
      <w:r>
        <w:rPr>
          <w:rFonts w:ascii="Arial" w:hAnsi="Arial" w:cs="Arial"/>
          <w:color w:val="252525"/>
          <w:sz w:val="24"/>
          <w:szCs w:val="24"/>
        </w:rPr>
        <w:t>neighbor</w:t>
      </w:r>
      <w:proofErr w:type="spellEnd"/>
      <w:r>
        <w:rPr>
          <w:rFonts w:ascii="Arial" w:hAnsi="Arial" w:cs="Arial"/>
          <w:color w:val="252525"/>
          <w:sz w:val="24"/>
          <w:szCs w:val="24"/>
        </w:rPr>
        <w:t xml:space="preserve"> who told us that the female victim had returned to her house after they had observed her partner leaving the area. My colleague and I went to the victim's home, where I noticed the female was extremely shaken up by the whole ordeal.</w:t>
      </w:r>
    </w:p>
    <w:p w14:paraId="232B5132"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The woman was a South Asian woman with minimal English skills. This created a significant communication barrier for us as police officers, as language barriers can hinder the effectiveness of the police response to domestic abuse in minority ethnic communities (Her Majesty's Inspectorate of Constabulary and Fire &amp; Rescue Services [HMICFRS], 2020). </w:t>
      </w:r>
    </w:p>
    <w:p w14:paraId="4FD6A1A3"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Language hurdles can be a significant obstacle for law enforcement officials to overcome when attempting to respond to situations involving people of South Asian descent who have a limited command of the English language. South Asian languages such as Hindi, Urdu, Punjabi, and Bengali are among the most regularly spoken languages in the UK. Many people who come from South Asian backgrounds may have a limited ability to communicate in English. According to a report by Her Majesty's Inspectorate of Constabulary and Fire and Rescue Services (HMICFRS), there are concerns that language barriers can hinder the effectiveness of the police response to domestic abuse in Black, Asian, and minority ethnic (BAME) communities. This is because language barriers may lead to under-reporting of domestic abuse and lower levels of satisfaction with the police response. In addition, language barriers may make it more difficult for victims of domestic abuse to seek help from the police (HMICFRS, 2020). Because of this, it may be difficult for police officers to communicate successfully with individuals, particularly in high-pressure scenarios like domestic incidents. Failure to communicate properly can result in misconceptions, a breakdown in trust, and an escalation of the problem. Interpreters and cultural mediators are people who may help bridge the language gap and enhance communication. </w:t>
      </w:r>
      <w:proofErr w:type="gramStart"/>
      <w:r>
        <w:rPr>
          <w:rFonts w:ascii="Arial" w:hAnsi="Arial" w:cs="Arial"/>
          <w:color w:val="252525"/>
          <w:sz w:val="24"/>
          <w:szCs w:val="24"/>
        </w:rPr>
        <w:t>In order for</w:t>
      </w:r>
      <w:proofErr w:type="gramEnd"/>
      <w:r>
        <w:rPr>
          <w:rFonts w:ascii="Arial" w:hAnsi="Arial" w:cs="Arial"/>
          <w:color w:val="252525"/>
          <w:sz w:val="24"/>
          <w:szCs w:val="24"/>
        </w:rPr>
        <w:t xml:space="preserve"> police officers to overcome these barriers, they may need to engage interpreters or cultural mediators. Also, it is essential for police personnel to be aware of cultural variations and conventions, as these might influence communication and the reaction to situations.</w:t>
      </w:r>
    </w:p>
    <w:p w14:paraId="7803C613"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The woman told the responding officers that she had tried to call the police because she was being abused at home, but her partner, who is also of the same ethnicity as the victim, punched her and destroyed her phone when she tried to do so. The victim revealed to the officers that her fear stemmed from the fact that her partner had informed her that he was leaving and had taken both his passport and their shared vehicle with him. She feared that her partner would not come back to the house and would instead abandon her and their child.</w:t>
      </w:r>
    </w:p>
    <w:p w14:paraId="43D2BB44"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Hearing that from the victim took me aback because it shocked me that she wasn't concerned about the abuse that she was receiving. Instead, she was only concerned </w:t>
      </w:r>
      <w:r>
        <w:rPr>
          <w:rFonts w:ascii="Arial" w:hAnsi="Arial" w:cs="Arial"/>
          <w:color w:val="252525"/>
          <w:sz w:val="24"/>
          <w:szCs w:val="24"/>
        </w:rPr>
        <w:lastRenderedPageBreak/>
        <w:t xml:space="preserve">about her partner not coming home, and the fact that he was taking his passport made her believe that she would be left alone with their son. Again, hearing that from the victim caught me off guard because it shocked me that she wasn't concerned about the abuse that she was receiving. After talking to the victim, I learned that her child was attending school at the time of the abuse which was a main concern as I didn't know if her son was in the house or not at the time of the incident and the welfare of the child was okay at the time </w:t>
      </w:r>
      <w:proofErr w:type="gramStart"/>
      <w:r>
        <w:rPr>
          <w:rFonts w:ascii="Arial" w:hAnsi="Arial" w:cs="Arial"/>
          <w:color w:val="252525"/>
          <w:sz w:val="24"/>
          <w:szCs w:val="24"/>
        </w:rPr>
        <w:t>being .</w:t>
      </w:r>
      <w:proofErr w:type="gramEnd"/>
      <w:r>
        <w:rPr>
          <w:rFonts w:ascii="Arial" w:hAnsi="Arial" w:cs="Arial"/>
          <w:color w:val="252525"/>
          <w:sz w:val="24"/>
          <w:szCs w:val="24"/>
        </w:rPr>
        <w:t xml:space="preserve"> When I asked her why she wasn't concerned about the abuse, she explained that in their culture, such </w:t>
      </w:r>
      <w:proofErr w:type="spellStart"/>
      <w:r>
        <w:rPr>
          <w:rFonts w:ascii="Arial" w:hAnsi="Arial" w:cs="Arial"/>
          <w:color w:val="252525"/>
          <w:sz w:val="24"/>
          <w:szCs w:val="24"/>
        </w:rPr>
        <w:t>behavior</w:t>
      </w:r>
      <w:proofErr w:type="spellEnd"/>
      <w:r>
        <w:rPr>
          <w:rFonts w:ascii="Arial" w:hAnsi="Arial" w:cs="Arial"/>
          <w:color w:val="252525"/>
          <w:sz w:val="24"/>
          <w:szCs w:val="24"/>
        </w:rPr>
        <w:t xml:space="preserve"> is considered normal or usual. Study suggests that cultural characteristics and social norms may play a role in the susceptibility of some people of South Asian origin to endure domestic violence from their partners (</w:t>
      </w:r>
      <w:proofErr w:type="spellStart"/>
      <w:r>
        <w:rPr>
          <w:rFonts w:ascii="Arial" w:hAnsi="Arial" w:cs="Arial"/>
          <w:color w:val="252525"/>
          <w:sz w:val="24"/>
          <w:szCs w:val="24"/>
        </w:rPr>
        <w:t>Bhuyan</w:t>
      </w:r>
      <w:proofErr w:type="spellEnd"/>
      <w:r>
        <w:rPr>
          <w:rFonts w:ascii="Arial" w:hAnsi="Arial" w:cs="Arial"/>
          <w:color w:val="252525"/>
          <w:sz w:val="24"/>
          <w:szCs w:val="24"/>
        </w:rPr>
        <w:t xml:space="preserve"> &amp; </w:t>
      </w:r>
      <w:proofErr w:type="spellStart"/>
      <w:r>
        <w:rPr>
          <w:rFonts w:ascii="Arial" w:hAnsi="Arial" w:cs="Arial"/>
          <w:color w:val="252525"/>
          <w:sz w:val="24"/>
          <w:szCs w:val="24"/>
        </w:rPr>
        <w:t>Senturia</w:t>
      </w:r>
      <w:proofErr w:type="spellEnd"/>
      <w:r>
        <w:rPr>
          <w:rFonts w:ascii="Arial" w:hAnsi="Arial" w:cs="Arial"/>
          <w:color w:val="252525"/>
          <w:sz w:val="24"/>
          <w:szCs w:val="24"/>
        </w:rPr>
        <w:t xml:space="preserve">, 2005; </w:t>
      </w:r>
      <w:proofErr w:type="spellStart"/>
      <w:r>
        <w:rPr>
          <w:rFonts w:ascii="Arial" w:hAnsi="Arial" w:cs="Arial"/>
          <w:color w:val="252525"/>
          <w:sz w:val="24"/>
          <w:szCs w:val="24"/>
        </w:rPr>
        <w:t>Jasinski</w:t>
      </w:r>
      <w:proofErr w:type="spellEnd"/>
      <w:r>
        <w:rPr>
          <w:rFonts w:ascii="Arial" w:hAnsi="Arial" w:cs="Arial"/>
          <w:color w:val="252525"/>
          <w:sz w:val="24"/>
          <w:szCs w:val="24"/>
        </w:rPr>
        <w:t xml:space="preserve">, 2001). For instance, it may be difficult for women to seek aid or to leave an abusive partner due to traditional gender roles and patriarchal conventions. In some South Asian communities, there may be cultural expectations for women to be submissive and obedient to their husbands or male partners. As a result, women in these communities may be more likely to tolerate physical abuse in silence if their husbands or male partners expect them to behave in this manner (Davies &amp; Bhattacharya, 2019). In addition, there may be a fear of being stigmatized or ashamed if domestic violence is disclosed, particularly in cultures that place a high importance on the reputation and </w:t>
      </w:r>
      <w:proofErr w:type="spellStart"/>
      <w:r>
        <w:rPr>
          <w:rFonts w:ascii="Arial" w:hAnsi="Arial" w:cs="Arial"/>
          <w:color w:val="252525"/>
          <w:sz w:val="24"/>
          <w:szCs w:val="24"/>
        </w:rPr>
        <w:t>honor</w:t>
      </w:r>
      <w:proofErr w:type="spellEnd"/>
      <w:r>
        <w:rPr>
          <w:rFonts w:ascii="Arial" w:hAnsi="Arial" w:cs="Arial"/>
          <w:color w:val="252525"/>
          <w:sz w:val="24"/>
          <w:szCs w:val="24"/>
        </w:rPr>
        <w:t xml:space="preserve"> of families (</w:t>
      </w:r>
      <w:proofErr w:type="spellStart"/>
      <w:r>
        <w:rPr>
          <w:rFonts w:ascii="Arial" w:hAnsi="Arial" w:cs="Arial"/>
          <w:color w:val="252525"/>
          <w:sz w:val="24"/>
          <w:szCs w:val="24"/>
        </w:rPr>
        <w:t>Bhuyan</w:t>
      </w:r>
      <w:proofErr w:type="spellEnd"/>
      <w:r>
        <w:rPr>
          <w:rFonts w:ascii="Arial" w:hAnsi="Arial" w:cs="Arial"/>
          <w:color w:val="252525"/>
          <w:sz w:val="24"/>
          <w:szCs w:val="24"/>
        </w:rPr>
        <w:t xml:space="preserve"> &amp; </w:t>
      </w:r>
      <w:proofErr w:type="spellStart"/>
      <w:r>
        <w:rPr>
          <w:rFonts w:ascii="Arial" w:hAnsi="Arial" w:cs="Arial"/>
          <w:color w:val="252525"/>
          <w:sz w:val="24"/>
          <w:szCs w:val="24"/>
        </w:rPr>
        <w:t>Senturia</w:t>
      </w:r>
      <w:proofErr w:type="spellEnd"/>
      <w:r>
        <w:rPr>
          <w:rFonts w:ascii="Arial" w:hAnsi="Arial" w:cs="Arial"/>
          <w:color w:val="252525"/>
          <w:sz w:val="24"/>
          <w:szCs w:val="24"/>
        </w:rPr>
        <w:t>, 2005). When responding to domestic incidents involving individuals from South Asian backgrounds, it is important for police officers to be aware of these cultural factors and norms and to approach these incidents with cultural sensitivity and respect. It is also important for police officers to approach these incidents with cultural sensitivity and respect. </w:t>
      </w:r>
    </w:p>
    <w:p w14:paraId="0666FCFE"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After speaking to the victim, officers have managed to talk her into providing us with a statement of the incident that occurred which the victim was hesitant in doing so at first due to it being a ‘no, no’ in her culture to contact the police. We informed the victim of the next steps of the investigation telling her on how her partner would need to be arrested due to the incident that occurred, ensuring her that she would be updated throughout the investigation as well as issuing safeguarding advice should he return to the home address once </w:t>
      </w:r>
      <w:proofErr w:type="gramStart"/>
      <w:r>
        <w:rPr>
          <w:rFonts w:ascii="Arial" w:hAnsi="Arial" w:cs="Arial"/>
          <w:color w:val="252525"/>
          <w:sz w:val="24"/>
          <w:szCs w:val="24"/>
        </w:rPr>
        <w:t>officers</w:t>
      </w:r>
      <w:proofErr w:type="gramEnd"/>
      <w:r>
        <w:rPr>
          <w:rFonts w:ascii="Arial" w:hAnsi="Arial" w:cs="Arial"/>
          <w:color w:val="252525"/>
          <w:sz w:val="24"/>
          <w:szCs w:val="24"/>
        </w:rPr>
        <w:t xml:space="preserve"> leave. Officers have then conducted a search for the subject using the systems database to look for addresses, associates and previous occurrences which did return negative due to the subject not having </w:t>
      </w:r>
      <w:proofErr w:type="gramStart"/>
      <w:r>
        <w:rPr>
          <w:rFonts w:ascii="Arial" w:hAnsi="Arial" w:cs="Arial"/>
          <w:color w:val="252525"/>
          <w:sz w:val="24"/>
          <w:szCs w:val="24"/>
        </w:rPr>
        <w:t>much</w:t>
      </w:r>
      <w:proofErr w:type="gramEnd"/>
      <w:r>
        <w:rPr>
          <w:rFonts w:ascii="Arial" w:hAnsi="Arial" w:cs="Arial"/>
          <w:color w:val="252525"/>
          <w:sz w:val="24"/>
          <w:szCs w:val="24"/>
        </w:rPr>
        <w:t xml:space="preserve"> police contact in the past. </w:t>
      </w:r>
    </w:p>
    <w:p w14:paraId="38045538"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Whilst back at the station officers have done all the relevant updates such as updating the OEL on the occurrence which informs officers who may be assisting with the investigation get to </w:t>
      </w:r>
      <w:proofErr w:type="gramStart"/>
      <w:r>
        <w:rPr>
          <w:rFonts w:ascii="Arial" w:hAnsi="Arial" w:cs="Arial"/>
          <w:color w:val="252525"/>
          <w:sz w:val="24"/>
          <w:szCs w:val="24"/>
        </w:rPr>
        <w:t>grasps</w:t>
      </w:r>
      <w:proofErr w:type="gramEnd"/>
      <w:r>
        <w:rPr>
          <w:rFonts w:ascii="Arial" w:hAnsi="Arial" w:cs="Arial"/>
          <w:color w:val="252525"/>
          <w:sz w:val="24"/>
          <w:szCs w:val="24"/>
        </w:rPr>
        <w:t xml:space="preserve"> with what has occurred as well as submitting relevant PPN’S. </w:t>
      </w:r>
    </w:p>
    <w:p w14:paraId="194620FC"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As police officers, it is our duty to see that domestic abuse victims get the assistance and support they require. We took many measures to make sure the victim was safe and well. Firstly, we sent public protection notices to relevant organisations, like social service and healthcare providers, to let them know about the incident and made sure the victim got the support and protection she needed. As well submitting the PPN forwards the </w:t>
      </w:r>
      <w:proofErr w:type="gramStart"/>
      <w:r>
        <w:rPr>
          <w:rFonts w:ascii="Arial" w:hAnsi="Arial" w:cs="Arial"/>
          <w:color w:val="252525"/>
          <w:sz w:val="24"/>
          <w:szCs w:val="24"/>
        </w:rPr>
        <w:t>incident  to</w:t>
      </w:r>
      <w:proofErr w:type="gramEnd"/>
      <w:r>
        <w:rPr>
          <w:rFonts w:ascii="Arial" w:hAnsi="Arial" w:cs="Arial"/>
          <w:color w:val="252525"/>
          <w:sz w:val="24"/>
          <w:szCs w:val="24"/>
        </w:rPr>
        <w:t xml:space="preserve"> specialised domestic abuse services, which can </w:t>
      </w:r>
      <w:r>
        <w:rPr>
          <w:rFonts w:ascii="Arial" w:hAnsi="Arial" w:cs="Arial"/>
          <w:color w:val="252525"/>
          <w:sz w:val="24"/>
          <w:szCs w:val="24"/>
        </w:rPr>
        <w:lastRenderedPageBreak/>
        <w:t xml:space="preserve">give victims of domestic abuse support and facilitate their access to legal, medical, and emotional support (Davies &amp; Bhattacharya, 2019). Police officers should always address domestic abuse from a multi-agency perspective since it necessitates cooperation amongst other agencies </w:t>
      </w:r>
      <w:proofErr w:type="gramStart"/>
      <w:r>
        <w:rPr>
          <w:rFonts w:ascii="Arial" w:hAnsi="Arial" w:cs="Arial"/>
          <w:color w:val="252525"/>
          <w:sz w:val="24"/>
          <w:szCs w:val="24"/>
        </w:rPr>
        <w:t>in order to</w:t>
      </w:r>
      <w:proofErr w:type="gramEnd"/>
      <w:r>
        <w:rPr>
          <w:rFonts w:ascii="Arial" w:hAnsi="Arial" w:cs="Arial"/>
          <w:color w:val="252525"/>
          <w:sz w:val="24"/>
          <w:szCs w:val="24"/>
        </w:rPr>
        <w:t xml:space="preserve"> deliver a thorough and efficient response. We made sure the victim got the aid and support she needed to recover from the trauma of domestic violence by making public protection alerts and directing the victim to specialised resources.</w:t>
      </w:r>
    </w:p>
    <w:p w14:paraId="326C1CA5"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I will now use Morton’s reflection model to reflect on the </w:t>
      </w:r>
      <w:proofErr w:type="gramStart"/>
      <w:r>
        <w:rPr>
          <w:rFonts w:ascii="Arial" w:hAnsi="Arial" w:cs="Arial"/>
          <w:color w:val="252525"/>
          <w:sz w:val="24"/>
          <w:szCs w:val="24"/>
        </w:rPr>
        <w:t>situation as a whole</w:t>
      </w:r>
      <w:proofErr w:type="gramEnd"/>
      <w:r>
        <w:rPr>
          <w:rFonts w:ascii="Arial" w:hAnsi="Arial" w:cs="Arial"/>
          <w:color w:val="252525"/>
          <w:sz w:val="24"/>
          <w:szCs w:val="24"/>
        </w:rPr>
        <w:t>. </w:t>
      </w:r>
    </w:p>
    <w:p w14:paraId="7893A926"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Morton's model of reflection has three stages: relating, reasoning, and reconstructing.</w:t>
      </w:r>
    </w:p>
    <w:p w14:paraId="53CD1462"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I'll now </w:t>
      </w:r>
      <w:proofErr w:type="spellStart"/>
      <w:r>
        <w:rPr>
          <w:rFonts w:ascii="Arial" w:hAnsi="Arial" w:cs="Arial"/>
          <w:color w:val="252525"/>
          <w:sz w:val="24"/>
          <w:szCs w:val="24"/>
        </w:rPr>
        <w:t>analyze</w:t>
      </w:r>
      <w:proofErr w:type="spellEnd"/>
      <w:r>
        <w:rPr>
          <w:rFonts w:ascii="Arial" w:hAnsi="Arial" w:cs="Arial"/>
          <w:color w:val="252525"/>
          <w:sz w:val="24"/>
          <w:szCs w:val="24"/>
        </w:rPr>
        <w:t xml:space="preserve"> the whole situation using Morton's reflection model. </w:t>
      </w:r>
    </w:p>
    <w:p w14:paraId="7D93DDEC"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The three steps of Morton's reflection model are relating, reasoning, and reconstructing. </w:t>
      </w:r>
    </w:p>
    <w:p w14:paraId="2CB59D46" w14:textId="12950635"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Relating: In this section, I'll explain the circumstances and what transpired. I was dispatched to respond as a police officer to a report of domestic abuse. A neighbour I spoke to when I got there told me the victim had gone back to her house after her partner had left the area. The victim admitted to having been abused in the past and was extremely frightened and shaken up by the incident.</w:t>
      </w:r>
    </w:p>
    <w:p w14:paraId="4E5F47B1"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Reasoning: In this stage, I will </w:t>
      </w:r>
      <w:proofErr w:type="spellStart"/>
      <w:r>
        <w:rPr>
          <w:rFonts w:ascii="Arial" w:hAnsi="Arial" w:cs="Arial"/>
          <w:color w:val="252525"/>
          <w:sz w:val="24"/>
          <w:szCs w:val="24"/>
        </w:rPr>
        <w:t>analyze</w:t>
      </w:r>
      <w:proofErr w:type="spellEnd"/>
      <w:r>
        <w:rPr>
          <w:rFonts w:ascii="Arial" w:hAnsi="Arial" w:cs="Arial"/>
          <w:color w:val="252525"/>
          <w:sz w:val="24"/>
          <w:szCs w:val="24"/>
        </w:rPr>
        <w:t xml:space="preserve"> the situation and explore my thoughts and feelings. The incident left me feeling concerned about the victim's safety and well-being. As a police officer, I felt a sense of responsibility to ensure that the victim received the help and support she needed. I recognized that communication barriers could hinder the effectiveness of the police to domestic abuse in minority ethnic communities. I had to approach the situation with cultural sensitivity and respect. I also recognized the importance of taking a multi-agency approach to domestic violence, as it requires collaboration between different agencies to provide a comprehensive and effective response.</w:t>
      </w:r>
    </w:p>
    <w:p w14:paraId="384E3328"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t xml:space="preserve">Reconstructing: In this stage, I will reflect on what I learned from the situation and consider what I could have done differently. I learned that language barriers can pose a significant challenge for police officers when responding to incidents involving individuals from minority ethnic communities. To improve my response in the future, </w:t>
      </w:r>
      <w:proofErr w:type="spellStart"/>
      <w:r>
        <w:rPr>
          <w:rFonts w:ascii="Arial" w:hAnsi="Arial" w:cs="Arial"/>
          <w:color w:val="252525"/>
          <w:sz w:val="24"/>
          <w:szCs w:val="24"/>
        </w:rPr>
        <w:t>i</w:t>
      </w:r>
      <w:proofErr w:type="spellEnd"/>
      <w:r>
        <w:rPr>
          <w:rFonts w:ascii="Arial" w:hAnsi="Arial" w:cs="Arial"/>
          <w:color w:val="252525"/>
          <w:sz w:val="24"/>
          <w:szCs w:val="24"/>
        </w:rPr>
        <w:t xml:space="preserve"> will remember dealing with this situation and carry the knowledge </w:t>
      </w:r>
      <w:proofErr w:type="spellStart"/>
      <w:r>
        <w:rPr>
          <w:rFonts w:ascii="Arial" w:hAnsi="Arial" w:cs="Arial"/>
          <w:color w:val="252525"/>
          <w:sz w:val="24"/>
          <w:szCs w:val="24"/>
        </w:rPr>
        <w:t>i</w:t>
      </w:r>
      <w:proofErr w:type="spellEnd"/>
      <w:r>
        <w:rPr>
          <w:rFonts w:ascii="Arial" w:hAnsi="Arial" w:cs="Arial"/>
          <w:color w:val="252525"/>
          <w:sz w:val="24"/>
          <w:szCs w:val="24"/>
        </w:rPr>
        <w:t xml:space="preserve"> have learnt forward which in turn will help me when dealing with similar and </w:t>
      </w:r>
      <w:proofErr w:type="gramStart"/>
      <w:r>
        <w:rPr>
          <w:rFonts w:ascii="Arial" w:hAnsi="Arial" w:cs="Arial"/>
          <w:color w:val="252525"/>
          <w:sz w:val="24"/>
          <w:szCs w:val="24"/>
        </w:rPr>
        <w:t>situations as a whole</w:t>
      </w:r>
      <w:proofErr w:type="gramEnd"/>
      <w:r>
        <w:rPr>
          <w:rFonts w:ascii="Arial" w:hAnsi="Arial" w:cs="Arial"/>
          <w:color w:val="252525"/>
          <w:sz w:val="24"/>
          <w:szCs w:val="24"/>
        </w:rPr>
        <w:t>. </w:t>
      </w:r>
    </w:p>
    <w:p w14:paraId="2B0D67EA" w14:textId="77777777" w:rsidR="00E65E7E" w:rsidRDefault="00E65E7E" w:rsidP="00E65E7E"/>
    <w:p w14:paraId="3C584271" w14:textId="77777777" w:rsidR="00E65E7E" w:rsidRDefault="00E65E7E" w:rsidP="00E65E7E">
      <w:pPr>
        <w:pStyle w:val="NormalWeb"/>
        <w:spacing w:before="240" w:beforeAutospacing="0" w:after="240" w:afterAutospacing="0"/>
        <w:rPr>
          <w:color w:val="000000"/>
        </w:rPr>
      </w:pPr>
      <w:r>
        <w:rPr>
          <w:rFonts w:ascii="Arial" w:hAnsi="Arial" w:cs="Arial"/>
          <w:color w:val="252525"/>
          <w:sz w:val="24"/>
          <w:szCs w:val="24"/>
        </w:rPr>
        <w:lastRenderedPageBreak/>
        <w:t xml:space="preserve">In conclusion, Morton's model of reflection has helped me to </w:t>
      </w:r>
      <w:proofErr w:type="spellStart"/>
      <w:r>
        <w:rPr>
          <w:rFonts w:ascii="Arial" w:hAnsi="Arial" w:cs="Arial"/>
          <w:color w:val="252525"/>
          <w:sz w:val="24"/>
          <w:szCs w:val="24"/>
        </w:rPr>
        <w:t>analyze</w:t>
      </w:r>
      <w:proofErr w:type="spellEnd"/>
      <w:r>
        <w:rPr>
          <w:rFonts w:ascii="Arial" w:hAnsi="Arial" w:cs="Arial"/>
          <w:color w:val="252525"/>
          <w:sz w:val="24"/>
          <w:szCs w:val="24"/>
        </w:rPr>
        <w:t xml:space="preserve"> and reflect on the incident and consider ways to improve my response in the future. By taking a more proactive and culturally sensitive approach, I can help ensure that victims of domestic violence receive the help and support they need.</w:t>
      </w:r>
    </w:p>
    <w:p w14:paraId="20F9B900" w14:textId="77777777" w:rsidR="00E65E7E" w:rsidRDefault="00E65E7E" w:rsidP="00E65E7E">
      <w:pPr>
        <w:spacing w:after="240"/>
      </w:pPr>
      <w:r>
        <w:br/>
      </w:r>
    </w:p>
    <w:p w14:paraId="273B0793" w14:textId="77777777" w:rsidR="00E65E7E" w:rsidRDefault="00E65E7E" w:rsidP="00E65E7E">
      <w:pPr>
        <w:pStyle w:val="NormalWeb"/>
        <w:spacing w:before="0" w:beforeAutospacing="0" w:after="0" w:afterAutospacing="0"/>
        <w:rPr>
          <w:color w:val="000000"/>
        </w:rPr>
      </w:pPr>
      <w:r>
        <w:rPr>
          <w:rFonts w:ascii="Arial" w:hAnsi="Arial" w:cs="Arial"/>
          <w:b/>
          <w:bCs/>
          <w:color w:val="000000"/>
          <w:sz w:val="24"/>
          <w:szCs w:val="24"/>
        </w:rPr>
        <w:t>Word count - 1862</w:t>
      </w:r>
    </w:p>
    <w:p w14:paraId="1E9E4C53" w14:textId="77777777" w:rsidR="00E65E7E" w:rsidRDefault="00E65E7E" w:rsidP="00E65E7E"/>
    <w:p w14:paraId="39E2CF4A" w14:textId="77777777" w:rsidR="00E65E7E" w:rsidRDefault="00E65E7E" w:rsidP="00E65E7E">
      <w:pPr>
        <w:pStyle w:val="NormalWeb"/>
        <w:spacing w:before="0" w:beforeAutospacing="0" w:after="0" w:afterAutospacing="0"/>
        <w:rPr>
          <w:color w:val="000000"/>
        </w:rPr>
      </w:pPr>
      <w:r>
        <w:rPr>
          <w:rFonts w:ascii="Arial" w:hAnsi="Arial" w:cs="Arial"/>
          <w:b/>
          <w:bCs/>
          <w:color w:val="000000"/>
          <w:sz w:val="24"/>
          <w:szCs w:val="24"/>
        </w:rPr>
        <w:t>Bibliography</w:t>
      </w:r>
    </w:p>
    <w:p w14:paraId="4D371A21" w14:textId="77777777" w:rsidR="00E65E7E" w:rsidRDefault="00E65E7E" w:rsidP="00E65E7E"/>
    <w:p w14:paraId="55F2526E" w14:textId="77777777" w:rsidR="00E65E7E" w:rsidRDefault="00E65E7E" w:rsidP="00E65E7E">
      <w:pPr>
        <w:pStyle w:val="NormalWeb"/>
        <w:spacing w:before="0" w:beforeAutospacing="0" w:after="0" w:afterAutospacing="0"/>
        <w:rPr>
          <w:color w:val="000000"/>
        </w:rPr>
      </w:pPr>
      <w:proofErr w:type="spellStart"/>
      <w:r>
        <w:rPr>
          <w:rFonts w:ascii="Arial" w:hAnsi="Arial" w:cs="Arial"/>
          <w:color w:val="000000"/>
          <w:sz w:val="24"/>
          <w:szCs w:val="24"/>
        </w:rPr>
        <w:t>Bhuyan</w:t>
      </w:r>
      <w:proofErr w:type="spellEnd"/>
      <w:r>
        <w:rPr>
          <w:rFonts w:ascii="Arial" w:hAnsi="Arial" w:cs="Arial"/>
          <w:color w:val="000000"/>
          <w:sz w:val="24"/>
          <w:szCs w:val="24"/>
        </w:rPr>
        <w:t xml:space="preserve">, R., &amp; </w:t>
      </w:r>
      <w:proofErr w:type="spellStart"/>
      <w:r>
        <w:rPr>
          <w:rFonts w:ascii="Arial" w:hAnsi="Arial" w:cs="Arial"/>
          <w:color w:val="000000"/>
          <w:sz w:val="24"/>
          <w:szCs w:val="24"/>
        </w:rPr>
        <w:t>Senturia</w:t>
      </w:r>
      <w:proofErr w:type="spellEnd"/>
      <w:r>
        <w:rPr>
          <w:rFonts w:ascii="Arial" w:hAnsi="Arial" w:cs="Arial"/>
          <w:color w:val="000000"/>
          <w:sz w:val="24"/>
          <w:szCs w:val="24"/>
        </w:rPr>
        <w:t>, K. (2005). Understanding and addressing violence against women: An exploration of the South Asian community in the United States. Violence Against Women, 11(6), 749-778.</w:t>
      </w:r>
    </w:p>
    <w:p w14:paraId="4C513C1F" w14:textId="77777777" w:rsidR="00E65E7E" w:rsidRDefault="00E65E7E" w:rsidP="00E65E7E"/>
    <w:p w14:paraId="637C5C42" w14:textId="77777777" w:rsidR="00E65E7E" w:rsidRDefault="00E65E7E" w:rsidP="00E65E7E">
      <w:pPr>
        <w:pStyle w:val="NormalWeb"/>
        <w:spacing w:before="0" w:beforeAutospacing="0" w:after="0" w:afterAutospacing="0"/>
        <w:rPr>
          <w:color w:val="000000"/>
        </w:rPr>
      </w:pPr>
      <w:r>
        <w:rPr>
          <w:rFonts w:ascii="Arial" w:hAnsi="Arial" w:cs="Arial"/>
          <w:color w:val="000000"/>
          <w:sz w:val="24"/>
          <w:szCs w:val="24"/>
        </w:rPr>
        <w:t xml:space="preserve">Davies, M., &amp; Bhattacharya, R. (2019). “It’s just not the </w:t>
      </w:r>
      <w:proofErr w:type="spellStart"/>
      <w:r>
        <w:rPr>
          <w:rFonts w:ascii="Arial" w:hAnsi="Arial" w:cs="Arial"/>
          <w:color w:val="000000"/>
          <w:sz w:val="24"/>
          <w:szCs w:val="24"/>
        </w:rPr>
        <w:t>done</w:t>
      </w:r>
      <w:proofErr w:type="spellEnd"/>
      <w:r>
        <w:rPr>
          <w:rFonts w:ascii="Arial" w:hAnsi="Arial" w:cs="Arial"/>
          <w:color w:val="000000"/>
          <w:sz w:val="24"/>
          <w:szCs w:val="24"/>
        </w:rPr>
        <w:t xml:space="preserve"> thing”: An exploration of South Asian women’s experiences of seeking help for domestic violence in the United Kingdom. Journal of Interpersonal Violence, 34(2), 305-329.</w:t>
      </w:r>
    </w:p>
    <w:p w14:paraId="34EC3881" w14:textId="77777777" w:rsidR="00E65E7E" w:rsidRDefault="00E65E7E" w:rsidP="00E65E7E"/>
    <w:p w14:paraId="65406F3F" w14:textId="77777777" w:rsidR="00E65E7E" w:rsidRDefault="00E65E7E" w:rsidP="00E65E7E">
      <w:pPr>
        <w:pStyle w:val="NormalWeb"/>
        <w:spacing w:before="0" w:beforeAutospacing="0" w:after="0" w:afterAutospacing="0"/>
        <w:rPr>
          <w:color w:val="000000"/>
        </w:rPr>
      </w:pPr>
      <w:r>
        <w:rPr>
          <w:rFonts w:ascii="Arial" w:hAnsi="Arial" w:cs="Arial"/>
          <w:color w:val="000000"/>
          <w:sz w:val="24"/>
          <w:szCs w:val="24"/>
        </w:rPr>
        <w:t xml:space="preserve">Greene (Eds.), Women of </w:t>
      </w:r>
      <w:proofErr w:type="spellStart"/>
      <w:r>
        <w:rPr>
          <w:rFonts w:ascii="Arial" w:hAnsi="Arial" w:cs="Arial"/>
          <w:color w:val="000000"/>
          <w:sz w:val="24"/>
          <w:szCs w:val="24"/>
        </w:rPr>
        <w:t>color</w:t>
      </w:r>
      <w:proofErr w:type="spellEnd"/>
      <w:r>
        <w:rPr>
          <w:rFonts w:ascii="Arial" w:hAnsi="Arial" w:cs="Arial"/>
          <w:color w:val="000000"/>
          <w:sz w:val="24"/>
          <w:szCs w:val="24"/>
        </w:rPr>
        <w:t>: Integrating ethnic and gender identities in psychotherapy (pp. 221-240). Guilford Press.</w:t>
      </w:r>
    </w:p>
    <w:p w14:paraId="73F8C18A" w14:textId="77777777" w:rsidR="00E65E7E" w:rsidRDefault="00E65E7E" w:rsidP="00E65E7E"/>
    <w:p w14:paraId="2925BC6D" w14:textId="77777777" w:rsidR="00E65E7E" w:rsidRDefault="00E65E7E" w:rsidP="00E65E7E">
      <w:pPr>
        <w:pStyle w:val="NormalWeb"/>
        <w:spacing w:before="0" w:beforeAutospacing="0" w:after="0" w:afterAutospacing="0"/>
        <w:rPr>
          <w:color w:val="000000"/>
        </w:rPr>
      </w:pPr>
      <w:r>
        <w:rPr>
          <w:rFonts w:ascii="Arial" w:hAnsi="Arial" w:cs="Arial"/>
          <w:color w:val="000000"/>
          <w:sz w:val="24"/>
          <w:szCs w:val="24"/>
        </w:rPr>
        <w:t xml:space="preserve">Her Majesty's Inspectorate of Constabulary and Fire &amp; Rescue Services (HMICFRS). (2020). Police response to domestic abuse: An inspection of the police response to domestic abuse during the COVID-19 pandemic. Retrieved from </w:t>
      </w:r>
      <w:hyperlink r:id="rId20" w:history="1">
        <w:r>
          <w:rPr>
            <w:rStyle w:val="Hyperlink"/>
            <w:rFonts w:ascii="Arial" w:hAnsi="Arial" w:cs="Arial"/>
            <w:sz w:val="24"/>
            <w:szCs w:val="24"/>
          </w:rPr>
          <w:t>https://www.justiceinspectorates.gov.uk/hmicfrs/publications/police-response-to-domestic-abuse-an-inspection-of-the-police-response-to-domestic-abuse-during-the-covid-19-pandemic/</w:t>
        </w:r>
      </w:hyperlink>
      <w:r>
        <w:rPr>
          <w:rFonts w:ascii="Arial" w:hAnsi="Arial" w:cs="Arial"/>
          <w:color w:val="000000"/>
          <w:sz w:val="24"/>
          <w:szCs w:val="24"/>
        </w:rPr>
        <w:t>.</w:t>
      </w:r>
    </w:p>
    <w:p w14:paraId="27BA6DA7" w14:textId="77777777" w:rsidR="00E65E7E" w:rsidRDefault="00E65E7E" w:rsidP="00E65E7E"/>
    <w:p w14:paraId="360D6128" w14:textId="77777777" w:rsidR="00E65E7E" w:rsidRDefault="00E65E7E" w:rsidP="00E65E7E">
      <w:pPr>
        <w:pStyle w:val="NormalWeb"/>
        <w:spacing w:before="0" w:beforeAutospacing="0" w:after="0" w:afterAutospacing="0"/>
        <w:rPr>
          <w:color w:val="000000"/>
        </w:rPr>
      </w:pPr>
      <w:proofErr w:type="spellStart"/>
      <w:r>
        <w:rPr>
          <w:rFonts w:ascii="Arial" w:hAnsi="Arial" w:cs="Arial"/>
          <w:color w:val="000000"/>
          <w:sz w:val="24"/>
          <w:szCs w:val="24"/>
        </w:rPr>
        <w:t>Jasinski</w:t>
      </w:r>
      <w:proofErr w:type="spellEnd"/>
      <w:r>
        <w:rPr>
          <w:rFonts w:ascii="Arial" w:hAnsi="Arial" w:cs="Arial"/>
          <w:color w:val="000000"/>
          <w:sz w:val="24"/>
          <w:szCs w:val="24"/>
        </w:rPr>
        <w:t xml:space="preserve">, J. L. (2001). Understanding the “cultural” in cultural diversity: Domestic violence and its impact on ethnic and racial minority women. In L. A. Comas-Díaz &amp; B. Greene (Eds.), Women of </w:t>
      </w:r>
      <w:proofErr w:type="spellStart"/>
      <w:r>
        <w:rPr>
          <w:rFonts w:ascii="Arial" w:hAnsi="Arial" w:cs="Arial"/>
          <w:color w:val="000000"/>
          <w:sz w:val="24"/>
          <w:szCs w:val="24"/>
        </w:rPr>
        <w:t>color</w:t>
      </w:r>
      <w:proofErr w:type="spellEnd"/>
      <w:r>
        <w:rPr>
          <w:rFonts w:ascii="Arial" w:hAnsi="Arial" w:cs="Arial"/>
          <w:color w:val="000000"/>
          <w:sz w:val="24"/>
          <w:szCs w:val="24"/>
        </w:rPr>
        <w:t>: Integrating ethnic and gender identities in psychotherapy (pp. 221-240). Guilford Press.</w:t>
      </w:r>
    </w:p>
    <w:p w14:paraId="3A550BEE" w14:textId="77777777" w:rsidR="00E65E7E" w:rsidRDefault="00E65E7E" w:rsidP="00E65E7E"/>
    <w:p w14:paraId="6BB77F7A" w14:textId="77777777" w:rsidR="00E65E7E" w:rsidRDefault="00E65E7E" w:rsidP="00E65E7E">
      <w:pPr>
        <w:pStyle w:val="NormalWeb"/>
        <w:spacing w:before="0" w:beforeAutospacing="0" w:after="0" w:afterAutospacing="0"/>
        <w:rPr>
          <w:color w:val="000000"/>
        </w:rPr>
      </w:pPr>
      <w:r>
        <w:rPr>
          <w:rFonts w:ascii="Arial" w:hAnsi="Arial" w:cs="Arial"/>
          <w:color w:val="000000"/>
          <w:sz w:val="24"/>
          <w:szCs w:val="24"/>
        </w:rPr>
        <w:t>Morton, G. (2010). Reflective practice and self-evaluation in learning and teaching. London, UK: SAGE Publications Ltd.</w:t>
      </w:r>
    </w:p>
    <w:p w14:paraId="79A2593D" w14:textId="77777777" w:rsidR="00E65E7E" w:rsidRDefault="00E65E7E" w:rsidP="00E65E7E"/>
    <w:p w14:paraId="644664FB" w14:textId="77777777" w:rsidR="00E65E7E" w:rsidRDefault="00E65E7E" w:rsidP="00E65E7E">
      <w:pPr>
        <w:pStyle w:val="NormalWeb"/>
        <w:spacing w:before="0" w:beforeAutospacing="0" w:after="0" w:afterAutospacing="0"/>
        <w:rPr>
          <w:color w:val="000000"/>
        </w:rPr>
      </w:pPr>
      <w:r>
        <w:rPr>
          <w:rFonts w:ascii="Arial" w:hAnsi="Arial" w:cs="Arial"/>
          <w:color w:val="000000"/>
          <w:sz w:val="24"/>
          <w:szCs w:val="24"/>
        </w:rPr>
        <w:t xml:space="preserve">World Health Organization (WHO). (2013). Global and regional estimates of violence against women: prevalence and health effects of intimate partner violence and non-partner sexual violence. Retrieved from </w:t>
      </w:r>
      <w:hyperlink r:id="rId21" w:history="1">
        <w:r>
          <w:rPr>
            <w:rStyle w:val="Hyperlink"/>
            <w:rFonts w:ascii="Arial" w:hAnsi="Arial" w:cs="Arial"/>
            <w:sz w:val="24"/>
            <w:szCs w:val="24"/>
          </w:rPr>
          <w:t>https://www.who.int/publications/i/item/9789241564625</w:t>
        </w:r>
      </w:hyperlink>
      <w:r>
        <w:rPr>
          <w:rFonts w:ascii="Arial" w:hAnsi="Arial" w:cs="Arial"/>
          <w:color w:val="000000"/>
          <w:sz w:val="24"/>
          <w:szCs w:val="24"/>
        </w:rPr>
        <w:t>.</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3B3526AE" w14:textId="1BF3D921" w:rsidR="00025650" w:rsidRDefault="00025650" w:rsidP="00340E9A">
      <w:pPr>
        <w:ind w:right="237"/>
        <w:rPr>
          <w:sz w:val="24"/>
          <w:szCs w:val="24"/>
        </w:rPr>
      </w:pPr>
    </w:p>
    <w:p w14:paraId="74DD888C" w14:textId="71CC6096" w:rsidR="00E65E7E" w:rsidRDefault="00E65E7E" w:rsidP="00340E9A">
      <w:pPr>
        <w:ind w:right="237"/>
        <w:rPr>
          <w:sz w:val="24"/>
          <w:szCs w:val="24"/>
        </w:rPr>
      </w:pPr>
    </w:p>
    <w:p w14:paraId="48A252E7" w14:textId="16533DDD" w:rsidR="00E65E7E" w:rsidRDefault="00E65E7E" w:rsidP="00340E9A">
      <w:pPr>
        <w:ind w:right="237"/>
        <w:rPr>
          <w:sz w:val="24"/>
          <w:szCs w:val="24"/>
        </w:rPr>
      </w:pPr>
    </w:p>
    <w:p w14:paraId="127907E0" w14:textId="77777777" w:rsidR="00E65E7E" w:rsidRDefault="00E65E7E"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35DF11F7"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The dynamics of a team are vital for the development of team cohesion and have a bearing on the overall effectiveness and success of teams in a variety of circumstances (Forsyth, 2018). It is essential for the police force to maintain positive team relations </w:t>
      </w:r>
      <w:proofErr w:type="gramStart"/>
      <w:r>
        <w:rPr>
          <w:rFonts w:ascii="Roboto" w:hAnsi="Roboto"/>
          <w:color w:val="000000"/>
          <w:sz w:val="24"/>
          <w:szCs w:val="24"/>
        </w:rPr>
        <w:t>in order to</w:t>
      </w:r>
      <w:proofErr w:type="gramEnd"/>
      <w:r>
        <w:rPr>
          <w:rFonts w:ascii="Roboto" w:hAnsi="Roboto"/>
          <w:color w:val="000000"/>
          <w:sz w:val="24"/>
          <w:szCs w:val="24"/>
        </w:rPr>
        <w:t xml:space="preserve"> meet the requirements of adhering to professional standards. These standards include a code of ethics, as well as rules, procedures, protocols, and legislation. In this essay, we will review the essential principles and models connected to team dynamics, as well as the reasons why some teams find it difficult to work together cohesively. The topic of discussion will be how dysfunctional team dynamics within the police force can lead to noncompliance with the demands of professional standards. </w:t>
      </w:r>
    </w:p>
    <w:p w14:paraId="49C0F3A4" w14:textId="77777777" w:rsidR="0018494A" w:rsidRDefault="0018494A" w:rsidP="0018494A"/>
    <w:p w14:paraId="0A4FBC4A"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Firstly, what is the code of ethics? The Code of Ethics is a critical framework that guides the </w:t>
      </w:r>
      <w:proofErr w:type="spellStart"/>
      <w:r>
        <w:rPr>
          <w:rFonts w:ascii="Roboto" w:hAnsi="Roboto"/>
          <w:color w:val="000000"/>
          <w:sz w:val="24"/>
          <w:szCs w:val="24"/>
        </w:rPr>
        <w:t>behavior</w:t>
      </w:r>
      <w:proofErr w:type="spellEnd"/>
      <w:r>
        <w:rPr>
          <w:rFonts w:ascii="Roboto" w:hAnsi="Roboto"/>
          <w:color w:val="000000"/>
          <w:sz w:val="24"/>
          <w:szCs w:val="24"/>
        </w:rPr>
        <w:t xml:space="preserve"> and conduct of police officers, ensuring that they uphold the highest standards of professionalism and adhere to the core values essential for maintaining public trust (International Association of Chiefs of Police [IACP], 2014). These core values typically encompass integrity, professionalism, accountability, respect, and compassion (College of Policing, 2014).</w:t>
      </w:r>
    </w:p>
    <w:p w14:paraId="2FF710F7" w14:textId="77777777" w:rsidR="0018494A" w:rsidRDefault="0018494A" w:rsidP="0018494A"/>
    <w:p w14:paraId="3452A268"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Integrity requires police officers to act with honesty, adhere to the law, and </w:t>
      </w:r>
      <w:proofErr w:type="gramStart"/>
      <w:r>
        <w:rPr>
          <w:rFonts w:ascii="Roboto" w:hAnsi="Roboto"/>
          <w:color w:val="000000"/>
          <w:sz w:val="24"/>
          <w:szCs w:val="24"/>
        </w:rPr>
        <w:t>maintain ethical standards at all times</w:t>
      </w:r>
      <w:proofErr w:type="gramEnd"/>
      <w:r>
        <w:rPr>
          <w:rFonts w:ascii="Roboto" w:hAnsi="Roboto"/>
          <w:color w:val="000000"/>
          <w:sz w:val="24"/>
          <w:szCs w:val="24"/>
        </w:rPr>
        <w:t xml:space="preserve"> (IACP, 2014). Professionalism involves performing duties competently, responsibly, and diligently while committing to ongoing self-improvement (Bradford &amp; Quinton, 2014). Accountability emphasizes the responsibility of officers to transparently accept ownership of their actions and decisions and be open to constructive criticism (College of Policing, 2014).</w:t>
      </w:r>
    </w:p>
    <w:p w14:paraId="612D3EFB" w14:textId="77777777" w:rsidR="0018494A" w:rsidRDefault="0018494A" w:rsidP="0018494A"/>
    <w:p w14:paraId="1FD5FCCD"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lastRenderedPageBreak/>
        <w:t>Respect and compassion demand that police officers treat all individuals fairly and impartially, regardless of their background or circumstances, and demonstrate empathy in their interactions with the public (</w:t>
      </w:r>
      <w:proofErr w:type="spellStart"/>
      <w:r>
        <w:rPr>
          <w:rFonts w:ascii="Roboto" w:hAnsi="Roboto"/>
          <w:color w:val="000000"/>
          <w:sz w:val="24"/>
          <w:szCs w:val="24"/>
        </w:rPr>
        <w:t>Reisig</w:t>
      </w:r>
      <w:proofErr w:type="spellEnd"/>
      <w:r>
        <w:rPr>
          <w:rFonts w:ascii="Roboto" w:hAnsi="Roboto"/>
          <w:color w:val="000000"/>
          <w:sz w:val="24"/>
          <w:szCs w:val="24"/>
        </w:rPr>
        <w:t>, 2010). Moreover, the Code of Ethics highlights the importance of safeguarding sensitive information and protecting the privacy rights of individuals (IACP, 2014).</w:t>
      </w:r>
    </w:p>
    <w:p w14:paraId="6F50013D" w14:textId="77777777" w:rsidR="0018494A" w:rsidRDefault="0018494A" w:rsidP="0018494A"/>
    <w:p w14:paraId="6B4C66E9"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Adherence to the Code of Ethics demonstrates a police officer's commitment to upholding justice and ensuring public safety (Bradford &amp; Quinton, 2014). This code serves as a vital reminder of the responsibilities associated with the profession and helps foster public trust and enhance the credibility of the police force (</w:t>
      </w:r>
      <w:proofErr w:type="spellStart"/>
      <w:r>
        <w:rPr>
          <w:rFonts w:ascii="Roboto" w:hAnsi="Roboto"/>
          <w:color w:val="000000"/>
          <w:sz w:val="24"/>
          <w:szCs w:val="24"/>
        </w:rPr>
        <w:t>Reisig</w:t>
      </w:r>
      <w:proofErr w:type="spellEnd"/>
      <w:r>
        <w:rPr>
          <w:rFonts w:ascii="Roboto" w:hAnsi="Roboto"/>
          <w:color w:val="000000"/>
          <w:sz w:val="24"/>
          <w:szCs w:val="24"/>
        </w:rPr>
        <w:t>, 2010).</w:t>
      </w:r>
    </w:p>
    <w:p w14:paraId="6D14EC42" w14:textId="77777777" w:rsidR="0018494A" w:rsidRDefault="0018494A" w:rsidP="0018494A"/>
    <w:p w14:paraId="56B8844E"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Tuckman's Group Growth Stages </w:t>
      </w:r>
    </w:p>
    <w:p w14:paraId="7FB88690"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Teams often move through the four stages of forming, storming, norming, and performing as they mature, according to a model put forth by Tuckman in 1965. Conflicts and power disputes are frequent among teams that find it difficult to advance past the storming stage. Unresolved disputes within the police force might result in professional standards being violated because officers may put personal issues ahead of following rules and regulations (</w:t>
      </w:r>
      <w:proofErr w:type="spellStart"/>
      <w:r>
        <w:rPr>
          <w:rFonts w:ascii="Roboto" w:hAnsi="Roboto"/>
          <w:color w:val="000000"/>
          <w:sz w:val="24"/>
          <w:szCs w:val="24"/>
        </w:rPr>
        <w:t>Bonebright</w:t>
      </w:r>
      <w:proofErr w:type="spellEnd"/>
      <w:r>
        <w:rPr>
          <w:rFonts w:ascii="Roboto" w:hAnsi="Roboto"/>
          <w:color w:val="000000"/>
          <w:sz w:val="24"/>
          <w:szCs w:val="24"/>
        </w:rPr>
        <w:t>, 2010). </w:t>
      </w:r>
    </w:p>
    <w:p w14:paraId="650F4788" w14:textId="77777777" w:rsidR="0018494A" w:rsidRDefault="0018494A" w:rsidP="0018494A"/>
    <w:p w14:paraId="16382B1D"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Belbin's Theory of Team Roles </w:t>
      </w:r>
    </w:p>
    <w:p w14:paraId="03DAB0EF"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Belbin (1981) proposed that each member of a team has a specific role that contributes to the effectiveness of the </w:t>
      </w:r>
      <w:proofErr w:type="gramStart"/>
      <w:r>
        <w:rPr>
          <w:rFonts w:ascii="Roboto" w:hAnsi="Roboto"/>
          <w:color w:val="000000"/>
          <w:sz w:val="24"/>
          <w:szCs w:val="24"/>
        </w:rPr>
        <w:t>team as a whole</w:t>
      </w:r>
      <w:proofErr w:type="gramEnd"/>
      <w:r>
        <w:rPr>
          <w:rFonts w:ascii="Roboto" w:hAnsi="Roboto"/>
          <w:color w:val="000000"/>
          <w:sz w:val="24"/>
          <w:szCs w:val="24"/>
        </w:rPr>
        <w:t>. A well-rounded team will include a range of job descriptions, including coordinator, implementer, and specialist. Teams that lack variety in the jobs they play may find it difficult to work together effectively, which may lead to a failure to uphold professional standards within the police service. Team members can define their roles, capitalise on their strengths, and fill skill gaps to strengthen cohesion (Fisher, 2011). </w:t>
      </w:r>
    </w:p>
    <w:p w14:paraId="77C2798B" w14:textId="77777777" w:rsidR="0018494A" w:rsidRDefault="0018494A" w:rsidP="0018494A"/>
    <w:p w14:paraId="7ABDB697"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Theory of Social Identity </w:t>
      </w:r>
    </w:p>
    <w:p w14:paraId="5B12AAAD"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According to Tajfel and Turner's (1979) social identity theory, in-group bias and out-group prejudice result from people's sense of self being derived from their group affiliations. The introduction of new team members or rivalry with other teams might be viewed as challenges to a team's social identity and result in a lack of cohesion. This can lead to </w:t>
      </w:r>
      <w:proofErr w:type="spellStart"/>
      <w:r>
        <w:rPr>
          <w:rFonts w:ascii="Roboto" w:hAnsi="Roboto"/>
          <w:color w:val="000000"/>
          <w:sz w:val="24"/>
          <w:szCs w:val="24"/>
        </w:rPr>
        <w:t>biassed</w:t>
      </w:r>
      <w:proofErr w:type="spellEnd"/>
      <w:r>
        <w:rPr>
          <w:rFonts w:ascii="Roboto" w:hAnsi="Roboto"/>
          <w:color w:val="000000"/>
          <w:sz w:val="24"/>
          <w:szCs w:val="24"/>
        </w:rPr>
        <w:t xml:space="preserve"> judgements, favouritism, or discrimination within the police force, which is against accepted practises and moral obligations (Hogg &amp; Terry, 2000). </w:t>
      </w:r>
    </w:p>
    <w:p w14:paraId="762A975F" w14:textId="77777777" w:rsidR="0018494A" w:rsidRDefault="0018494A" w:rsidP="0018494A"/>
    <w:p w14:paraId="5AFE0043"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Theories of communication </w:t>
      </w:r>
    </w:p>
    <w:p w14:paraId="5D5CE1C8"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For the police force to adhere to professional standards, effective communication is crucial. Theories that place a strong emphasis on feedback loops and knowing one another include the transactional model of communication (</w:t>
      </w:r>
      <w:proofErr w:type="spellStart"/>
      <w:r>
        <w:rPr>
          <w:rFonts w:ascii="Roboto" w:hAnsi="Roboto"/>
          <w:color w:val="000000"/>
          <w:sz w:val="24"/>
          <w:szCs w:val="24"/>
        </w:rPr>
        <w:t>Barnlund</w:t>
      </w:r>
      <w:proofErr w:type="spellEnd"/>
      <w:r>
        <w:rPr>
          <w:rFonts w:ascii="Roboto" w:hAnsi="Roboto"/>
          <w:color w:val="000000"/>
          <w:sz w:val="24"/>
          <w:szCs w:val="24"/>
        </w:rPr>
        <w:t>, 2008). Teams that deal with poor communication may experience misunderstandings, frustration, and low morale, which could result in potential policy, procedural, and legal violations. Teams can create open lines of communication, welcome criticism, and engage in active listening to strengthen cohesion. </w:t>
      </w:r>
    </w:p>
    <w:p w14:paraId="4F4E8E85" w14:textId="77777777" w:rsidR="0018494A" w:rsidRDefault="0018494A" w:rsidP="0018494A"/>
    <w:p w14:paraId="13BE6E7E"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Models for Resolving Conflict </w:t>
      </w:r>
    </w:p>
    <w:p w14:paraId="0BA19A03"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A team's ability to work and maintain cohesion can be hampered by conflict, which can lead to a breach of the police service's professional standards. The Thomas-</w:t>
      </w:r>
      <w:r>
        <w:rPr>
          <w:rFonts w:ascii="Roboto" w:hAnsi="Roboto"/>
          <w:color w:val="000000"/>
          <w:sz w:val="24"/>
          <w:szCs w:val="24"/>
        </w:rPr>
        <w:lastRenderedPageBreak/>
        <w:t xml:space="preserve">Kilmann conflict resolution model identifies five styles of conflict resolution: competing, collaborating, compromising, avoiding, and </w:t>
      </w:r>
      <w:proofErr w:type="gramStart"/>
      <w:r>
        <w:rPr>
          <w:rFonts w:ascii="Roboto" w:hAnsi="Roboto"/>
          <w:color w:val="000000"/>
          <w:sz w:val="24"/>
          <w:szCs w:val="24"/>
        </w:rPr>
        <w:t>accommodating  (</w:t>
      </w:r>
      <w:proofErr w:type="gramEnd"/>
      <w:r>
        <w:rPr>
          <w:rFonts w:ascii="Roboto" w:hAnsi="Roboto"/>
          <w:color w:val="000000"/>
          <w:sz w:val="24"/>
          <w:szCs w:val="24"/>
        </w:rPr>
        <w:t>Thomas &amp; Kilmann, 1974). By choosing the most effective conflict resolution strategy and fostering a cooperative problem-solving atmosphere, teams can strengthen their cohesiveness. </w:t>
      </w:r>
    </w:p>
    <w:p w14:paraId="519E2E72" w14:textId="77777777" w:rsidR="0018494A" w:rsidRDefault="0018494A" w:rsidP="0018494A"/>
    <w:p w14:paraId="3C689E96"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Psychiatric Security </w:t>
      </w:r>
    </w:p>
    <w:p w14:paraId="1498ABCC"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The significance of fostering an environment where team members may take chances, ask questions, and share ideas without fear of repercussions is emphasised by Amy Edmondson's concept of psychological safety (Edmondson, 1999). Teams lacking psychological safety may have low trust and make bad decisions, which can result in non-compliance with the police service's professional standards. Leaders can support risk-taking, promote open communication, and confront errors in a positive manner to increase cohesion. </w:t>
      </w:r>
    </w:p>
    <w:p w14:paraId="400379A4" w14:textId="77777777" w:rsidR="0018494A" w:rsidRDefault="0018494A" w:rsidP="0018494A">
      <w:pPr>
        <w:spacing w:after="240"/>
      </w:pPr>
    </w:p>
    <w:p w14:paraId="605E5BD2"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The understanding and use of theories and models pertaining to team dynamics can assist in the diagnosis of problems that impede team cohesion within the police force and provide direction on how to enhance it (Forsyth, 2018). It is possible for police teams to build their cohesion and improve their overall performance by addressing issues related to communication, conflict resolution, psychological safety, social identity, and role variety. </w:t>
      </w:r>
    </w:p>
    <w:p w14:paraId="1EF57FED" w14:textId="77777777" w:rsidR="0018494A" w:rsidRDefault="0018494A" w:rsidP="0018494A"/>
    <w:p w14:paraId="4B396B82"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It is possible for police teams to improve their mutual understanding and transparency by addressing the communication issues that exist within their ranks, which will ultimately lead to improved compliance with professional standards (</w:t>
      </w:r>
      <w:proofErr w:type="spellStart"/>
      <w:r>
        <w:rPr>
          <w:rFonts w:ascii="Roboto" w:hAnsi="Roboto"/>
          <w:color w:val="000000"/>
          <w:sz w:val="24"/>
          <w:szCs w:val="24"/>
        </w:rPr>
        <w:t>Barnlund</w:t>
      </w:r>
      <w:proofErr w:type="spellEnd"/>
      <w:r>
        <w:rPr>
          <w:rFonts w:ascii="Roboto" w:hAnsi="Roboto"/>
          <w:color w:val="000000"/>
          <w:sz w:val="24"/>
          <w:szCs w:val="24"/>
        </w:rPr>
        <w:t>, 2008). A culture that encourages adherence to policies, procedures, and legislation can be fostered through maintaining open communication channels, soliciting input, and actively listening to others. </w:t>
      </w:r>
    </w:p>
    <w:p w14:paraId="74DE2DD8" w14:textId="77777777" w:rsidR="0018494A" w:rsidRDefault="0018494A" w:rsidP="0018494A"/>
    <w:p w14:paraId="0A91AC96"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The successful resolution of conflicts is another essential component of upholding professional standards. Police teams </w:t>
      </w:r>
      <w:proofErr w:type="gramStart"/>
      <w:r>
        <w:rPr>
          <w:rFonts w:ascii="Roboto" w:hAnsi="Roboto"/>
          <w:color w:val="000000"/>
          <w:sz w:val="24"/>
          <w:szCs w:val="24"/>
        </w:rPr>
        <w:t>are able to</w:t>
      </w:r>
      <w:proofErr w:type="gramEnd"/>
      <w:r>
        <w:rPr>
          <w:rFonts w:ascii="Roboto" w:hAnsi="Roboto"/>
          <w:color w:val="000000"/>
          <w:sz w:val="24"/>
          <w:szCs w:val="24"/>
        </w:rPr>
        <w:t xml:space="preserve"> handle disagreements in a constructive manner and reduce the likelihood of violating professional standards if they put into practise successful conflict resolution tactics such as collaborating, reaching compromises, or being tolerant (Thomas &amp; Kilmann, 1974). </w:t>
      </w:r>
    </w:p>
    <w:p w14:paraId="1196A660" w14:textId="77777777" w:rsidR="0018494A" w:rsidRDefault="0018494A" w:rsidP="0018494A"/>
    <w:p w14:paraId="5B7966F9"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The creation of a psychologically safe environment inside police teams makes it possible for members to feel at ease voicing concerns, exchanging ideas, and reporting potential problems without worrying that they will be punished (Edmondson, 1999). This setting encourages ethical decision-making as well as adherence to the ethics code, regulations, and procedures. </w:t>
      </w:r>
    </w:p>
    <w:p w14:paraId="5B703DD7" w14:textId="77777777" w:rsidR="0018494A" w:rsidRDefault="0018494A" w:rsidP="0018494A"/>
    <w:p w14:paraId="7C0143B5"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Addressing social identity concerns within police teams, such as favouritism among members of the same group and prejudice against members of different groups, can help promote team cohesion and conformity with professional standards (Hogg &amp; Terry, 2000). Promoting a sense of common identity and collaboration is an effective way to reduce biases and guarantee that law enforcement officers put their professional responsibilities ahead of their personal allegiances. </w:t>
      </w:r>
    </w:p>
    <w:p w14:paraId="578F7874" w14:textId="77777777" w:rsidR="0018494A" w:rsidRDefault="0018494A" w:rsidP="0018494A"/>
    <w:p w14:paraId="360CE42A"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lastRenderedPageBreak/>
        <w:t>Lastly, by comprehending and utilising Belbin's notion of team roles, police teams are better able to pinpoint holes in their skill sets and make certain that a wide variety of roles are represented within the group (Belbin, 1981). Because of this diversity, decision-making, problem-solving, and overall compliance with professional standards are all improved. </w:t>
      </w:r>
    </w:p>
    <w:p w14:paraId="2799F9EC" w14:textId="77777777" w:rsidR="0018494A" w:rsidRDefault="0018494A" w:rsidP="0018494A"/>
    <w:p w14:paraId="5915A455"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Teams frequently experience interpersonal conflict in both professional and social contexts. The team's capacity to accomplish its objectives may be hampered by these disagreements, which may also harm member relationships and decrease overall productivity. </w:t>
      </w:r>
    </w:p>
    <w:p w14:paraId="2E4E234D" w14:textId="77777777" w:rsidR="0018494A" w:rsidRDefault="0018494A" w:rsidP="0018494A"/>
    <w:p w14:paraId="06AD1353"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Factors that Lead to Interpersonal Conflict in Teams </w:t>
      </w:r>
    </w:p>
    <w:p w14:paraId="38CAFC2B" w14:textId="77777777" w:rsidR="0018494A" w:rsidRDefault="0018494A" w:rsidP="0018494A"/>
    <w:p w14:paraId="5E38CD1E"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Team members frequently come from various cultural, educational, and professional backgrounds, which can result in differing opinions, attitudes, and work styles. Different personalities and backgrounds (De </w:t>
      </w:r>
      <w:proofErr w:type="spellStart"/>
      <w:r>
        <w:rPr>
          <w:rFonts w:ascii="Roboto" w:hAnsi="Roboto"/>
          <w:color w:val="000000"/>
          <w:sz w:val="24"/>
          <w:szCs w:val="24"/>
        </w:rPr>
        <w:t>Dreu</w:t>
      </w:r>
      <w:proofErr w:type="spellEnd"/>
      <w:r>
        <w:rPr>
          <w:rFonts w:ascii="Roboto" w:hAnsi="Roboto"/>
          <w:color w:val="000000"/>
          <w:sz w:val="24"/>
          <w:szCs w:val="24"/>
        </w:rPr>
        <w:t xml:space="preserve"> &amp; </w:t>
      </w:r>
      <w:proofErr w:type="spellStart"/>
      <w:r>
        <w:rPr>
          <w:rFonts w:ascii="Roboto" w:hAnsi="Roboto"/>
          <w:color w:val="000000"/>
          <w:sz w:val="24"/>
          <w:szCs w:val="24"/>
        </w:rPr>
        <w:t>Weingart</w:t>
      </w:r>
      <w:proofErr w:type="spellEnd"/>
      <w:r>
        <w:rPr>
          <w:rFonts w:ascii="Roboto" w:hAnsi="Roboto"/>
          <w:color w:val="000000"/>
          <w:sz w:val="24"/>
          <w:szCs w:val="24"/>
        </w:rPr>
        <w:t>, 2003). Ineffective management of these differences might lead to misunderstandings and tensions. </w:t>
      </w:r>
    </w:p>
    <w:p w14:paraId="4421ED63" w14:textId="77777777" w:rsidR="0018494A" w:rsidRDefault="0018494A" w:rsidP="0018494A"/>
    <w:p w14:paraId="649CC19C"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Ineffective communication among team members can result in misunderstandings, uncertainty, and dissatisfaction (Robbins &amp; Judge, 2018). These problems can be made worse by communication difficulties, such as language barriers or a lack of information exchange. </w:t>
      </w:r>
    </w:p>
    <w:p w14:paraId="6CBC64EC" w14:textId="77777777" w:rsidR="0018494A" w:rsidRDefault="0018494A" w:rsidP="0018494A"/>
    <w:p w14:paraId="1278971E"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Role ambiguity: When team members are unsure of their responsibilities, they may feel stressed out and start fighting with those they think are going too far (Rahim, 2017). </w:t>
      </w:r>
    </w:p>
    <w:p w14:paraId="374A043C" w14:textId="77777777" w:rsidR="0018494A" w:rsidRDefault="0018494A" w:rsidP="0018494A"/>
    <w:p w14:paraId="2D913D53"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Restricted Resources: When team members must compete for the same resources to accomplish their goals, such as time, funds, or staff, it can lead to competition and conflict (</w:t>
      </w:r>
      <w:proofErr w:type="spellStart"/>
      <w:r>
        <w:rPr>
          <w:rFonts w:ascii="Roboto" w:hAnsi="Roboto"/>
          <w:color w:val="000000"/>
          <w:sz w:val="24"/>
          <w:szCs w:val="24"/>
        </w:rPr>
        <w:t>Barki</w:t>
      </w:r>
      <w:proofErr w:type="spellEnd"/>
      <w:r>
        <w:rPr>
          <w:rFonts w:ascii="Roboto" w:hAnsi="Roboto"/>
          <w:color w:val="000000"/>
          <w:sz w:val="24"/>
          <w:szCs w:val="24"/>
        </w:rPr>
        <w:t xml:space="preserve"> &amp; Hartwick, 2004). </w:t>
      </w:r>
    </w:p>
    <w:p w14:paraId="37EA7697" w14:textId="77777777" w:rsidR="0018494A" w:rsidRDefault="0018494A" w:rsidP="0018494A"/>
    <w:p w14:paraId="38D445BD"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Techniques to Improve Team and Individual Performance </w:t>
      </w:r>
    </w:p>
    <w:p w14:paraId="4284370E" w14:textId="77777777" w:rsidR="0018494A" w:rsidRDefault="0018494A" w:rsidP="0018494A"/>
    <w:p w14:paraId="6540F44B"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Create Clearly Defined Roles and Responsibilities: By outlining roles and responsibilities in detail, it is possible to limit ambiguity and the likelihood of confrontations (Robbins &amp; Judge, 2018). A harmonious workplace can be maintained by periodically assessing these positions and making any necessary modifications. </w:t>
      </w:r>
    </w:p>
    <w:p w14:paraId="07E8C3C8" w14:textId="77777777" w:rsidR="0018494A" w:rsidRDefault="0018494A" w:rsidP="0018494A"/>
    <w:p w14:paraId="07AB7DAA"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Encourage Open, Honest, and Respectful Communication: Encouraging efficient communication can aid members of a team in better understanding one another and in finding solutions to any problems that may arise. Promote communication that is open, honest, and respectful (Lencioni, 2002). By putting in place communication tools and standards, both the process of sharing information and working together can be facilitated more easily. </w:t>
      </w:r>
    </w:p>
    <w:p w14:paraId="5900AA77" w14:textId="77777777" w:rsidR="0018494A" w:rsidRDefault="0018494A" w:rsidP="0018494A"/>
    <w:p w14:paraId="09986A8E"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Focus on Team Building and Trust: It is crucial for developing a friendly and collaborative environment to create opportunities for team members to engage with one another and grow their trust in one another. Putting an emphasis on team building and trust (Tuckman, 1965). Holding regular get-togethers of a social nature </w:t>
      </w:r>
      <w:r>
        <w:rPr>
          <w:rFonts w:ascii="Roboto" w:hAnsi="Roboto"/>
          <w:color w:val="000000"/>
          <w:sz w:val="24"/>
          <w:szCs w:val="24"/>
        </w:rPr>
        <w:lastRenderedPageBreak/>
        <w:t>as well as activities geared towards teambuilding can help strengthen interpersonal bonds. </w:t>
      </w:r>
    </w:p>
    <w:p w14:paraId="373C7C77" w14:textId="77777777" w:rsidR="0018494A" w:rsidRDefault="0018494A" w:rsidP="0018494A"/>
    <w:p w14:paraId="267FA185"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Provide Team Members Conflict Resolution Training: Providing team members with training in conflict resolution, including tactics such as active listening and bargaining, helps provide them with the skills necessary to properly discuss and resolve difficulties (Rahim, 2017). </w:t>
      </w:r>
    </w:p>
    <w:p w14:paraId="09643F51" w14:textId="77777777" w:rsidR="0018494A" w:rsidRDefault="0018494A" w:rsidP="0018494A">
      <w:pPr>
        <w:spacing w:after="240"/>
      </w:pPr>
      <w:r>
        <w:br/>
      </w:r>
    </w:p>
    <w:p w14:paraId="65DDAB4A"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Promote Emotional Intelligence: Giving members of a team the tools they need to develop their emotional intelligence can help them become more in control of their feelings, more empathetic towards others, and better able to navigate their relationships with other people (Goleman, 1995). It is possible to improve the team's overall capacity for conflict resolution by providing the members with tools and training in emotional intelligence.</w:t>
      </w:r>
    </w:p>
    <w:p w14:paraId="04011DD0" w14:textId="77777777" w:rsidR="0018494A" w:rsidRDefault="0018494A" w:rsidP="0018494A"/>
    <w:p w14:paraId="39E16591" w14:textId="77777777" w:rsidR="0018494A" w:rsidRDefault="0018494A" w:rsidP="0018494A">
      <w:pPr>
        <w:pStyle w:val="NormalWeb"/>
        <w:spacing w:before="0" w:beforeAutospacing="0" w:after="0" w:afterAutospacing="0"/>
        <w:rPr>
          <w:color w:val="000000"/>
        </w:rPr>
      </w:pPr>
      <w:r>
        <w:rPr>
          <w:rFonts w:ascii="Roboto" w:hAnsi="Roboto"/>
          <w:color w:val="000000"/>
          <w:sz w:val="24"/>
          <w:szCs w:val="24"/>
        </w:rPr>
        <w:t xml:space="preserve">In conclusion, Interpersonal conflict between members of a team can be caused by a variety of factors, including differences in personalities and backgrounds, ineffective communication, unclear roles, and a dearth of resources. </w:t>
      </w:r>
      <w:proofErr w:type="gramStart"/>
      <w:r>
        <w:rPr>
          <w:rFonts w:ascii="Roboto" w:hAnsi="Roboto"/>
          <w:color w:val="000000"/>
          <w:sz w:val="24"/>
          <w:szCs w:val="24"/>
        </w:rPr>
        <w:t>In order to</w:t>
      </w:r>
      <w:proofErr w:type="gramEnd"/>
      <w:r>
        <w:rPr>
          <w:rFonts w:ascii="Roboto" w:hAnsi="Roboto"/>
          <w:color w:val="000000"/>
          <w:sz w:val="24"/>
          <w:szCs w:val="24"/>
        </w:rPr>
        <w:t xml:space="preserve"> increase individual and team performance, it is essential to implement strategies that foster effective communication, establish roles and responsibilities, cultivate trust, and promote emotional intelligence among team members. Companies have the potential to cultivate a more peaceful and productive working environment by addressing the underlying causes of conflict and providing members of teams with the tools necessary to overcome these challenges as well as adopting a comprehensive strategy for understanding and improving team dynamics within the police service. This can significantly improve team cohesion and ensure better compliance with the requirements of professional standards such as the code of ethics, policies, procedures, protocols, and legislation. This is because such an approach </w:t>
      </w:r>
      <w:proofErr w:type="gramStart"/>
      <w:r>
        <w:rPr>
          <w:rFonts w:ascii="Roboto" w:hAnsi="Roboto"/>
          <w:color w:val="000000"/>
          <w:sz w:val="24"/>
          <w:szCs w:val="24"/>
        </w:rPr>
        <w:t>takes into account</w:t>
      </w:r>
      <w:proofErr w:type="gramEnd"/>
      <w:r>
        <w:rPr>
          <w:rFonts w:ascii="Roboto" w:hAnsi="Roboto"/>
          <w:color w:val="000000"/>
          <w:sz w:val="24"/>
          <w:szCs w:val="24"/>
        </w:rPr>
        <w:t xml:space="preserve"> all aspects of team dynamics. This is </w:t>
      </w:r>
      <w:proofErr w:type="gramStart"/>
      <w:r>
        <w:rPr>
          <w:rFonts w:ascii="Roboto" w:hAnsi="Roboto"/>
          <w:color w:val="000000"/>
          <w:sz w:val="24"/>
          <w:szCs w:val="24"/>
        </w:rPr>
        <w:t>due to the fact that</w:t>
      </w:r>
      <w:proofErr w:type="gramEnd"/>
      <w:r>
        <w:rPr>
          <w:rFonts w:ascii="Roboto" w:hAnsi="Roboto"/>
          <w:color w:val="000000"/>
          <w:sz w:val="24"/>
          <w:szCs w:val="24"/>
        </w:rPr>
        <w:t xml:space="preserve"> such a method takes into account all aspects of the dynamics of the team (Forsyth, 2018). It is possible for police organisations to build an atmosphere that maintains the highest possible standards of professionalism and honesty if they address the critical areas outlined above it could be doable.</w:t>
      </w:r>
    </w:p>
    <w:p w14:paraId="17023D93" w14:textId="77777777" w:rsidR="0018494A" w:rsidRDefault="0018494A" w:rsidP="0018494A"/>
    <w:p w14:paraId="4C00F855" w14:textId="77777777" w:rsidR="0018494A" w:rsidRDefault="0018494A" w:rsidP="0018494A">
      <w:pPr>
        <w:pStyle w:val="NormalWeb"/>
        <w:spacing w:before="0" w:beforeAutospacing="0" w:after="0" w:afterAutospacing="0"/>
        <w:rPr>
          <w:color w:val="000000"/>
        </w:rPr>
      </w:pPr>
      <w:proofErr w:type="spellStart"/>
      <w:r>
        <w:rPr>
          <w:rFonts w:ascii="Roboto" w:hAnsi="Roboto"/>
          <w:b/>
          <w:bCs/>
          <w:color w:val="000000"/>
          <w:sz w:val="24"/>
          <w:szCs w:val="24"/>
        </w:rPr>
        <w:t>Barki</w:t>
      </w:r>
      <w:proofErr w:type="spellEnd"/>
      <w:r>
        <w:rPr>
          <w:rFonts w:ascii="Roboto" w:hAnsi="Roboto"/>
          <w:b/>
          <w:bCs/>
          <w:color w:val="000000"/>
          <w:sz w:val="24"/>
          <w:szCs w:val="24"/>
        </w:rPr>
        <w:t xml:space="preserve">, H., &amp; Hartwick, J. (2004). Conceptualizing the construct of interpersonal conflict. International Journal of Conflict Management, 15(3), 216-244. </w:t>
      </w:r>
      <w:hyperlink r:id="rId22" w:history="1">
        <w:r>
          <w:rPr>
            <w:rStyle w:val="Hyperlink"/>
            <w:rFonts w:ascii="Roboto" w:hAnsi="Roboto"/>
            <w:b/>
            <w:bCs/>
            <w:sz w:val="24"/>
            <w:szCs w:val="24"/>
          </w:rPr>
          <w:t>https://doi.org/10.1108/eb022913</w:t>
        </w:r>
      </w:hyperlink>
    </w:p>
    <w:p w14:paraId="5C43BD1A" w14:textId="77777777" w:rsidR="0018494A" w:rsidRDefault="0018494A" w:rsidP="0018494A">
      <w:pPr>
        <w:pStyle w:val="NormalWeb"/>
        <w:spacing w:before="300" w:beforeAutospacing="0" w:after="300" w:afterAutospacing="0"/>
        <w:rPr>
          <w:color w:val="000000"/>
        </w:rPr>
      </w:pPr>
      <w:proofErr w:type="spellStart"/>
      <w:r>
        <w:rPr>
          <w:rFonts w:ascii="Roboto" w:hAnsi="Roboto"/>
          <w:b/>
          <w:bCs/>
          <w:color w:val="000000"/>
          <w:sz w:val="24"/>
          <w:szCs w:val="24"/>
        </w:rPr>
        <w:t>Barnlund</w:t>
      </w:r>
      <w:proofErr w:type="spellEnd"/>
      <w:r>
        <w:rPr>
          <w:rFonts w:ascii="Roboto" w:hAnsi="Roboto"/>
          <w:b/>
          <w:bCs/>
          <w:color w:val="000000"/>
          <w:sz w:val="24"/>
          <w:szCs w:val="24"/>
        </w:rPr>
        <w:t>, D. C. (2008). A transactional model of communication. In K. Sereno &amp; C. Mortensen (Eds.), Social interaction and communication (pp. 47-57). New Brunswick: Transaction Publishers.</w:t>
      </w:r>
    </w:p>
    <w:p w14:paraId="2DBA81B0"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Belbin, R. M. (1981). Management Teams: Why They Succeed or Fail. Oxford: Butterworth-Heinemann.</w:t>
      </w:r>
    </w:p>
    <w:p w14:paraId="670DFE59" w14:textId="77777777" w:rsidR="0018494A" w:rsidRDefault="0018494A" w:rsidP="0018494A">
      <w:pPr>
        <w:pStyle w:val="NormalWeb"/>
        <w:spacing w:before="300" w:beforeAutospacing="0" w:after="300" w:afterAutospacing="0"/>
        <w:rPr>
          <w:color w:val="000000"/>
        </w:rPr>
      </w:pPr>
      <w:proofErr w:type="spellStart"/>
      <w:r>
        <w:rPr>
          <w:rFonts w:ascii="Roboto" w:hAnsi="Roboto"/>
          <w:b/>
          <w:bCs/>
          <w:color w:val="000000"/>
          <w:sz w:val="24"/>
          <w:szCs w:val="24"/>
        </w:rPr>
        <w:lastRenderedPageBreak/>
        <w:t>Bonebright</w:t>
      </w:r>
      <w:proofErr w:type="spellEnd"/>
      <w:r>
        <w:rPr>
          <w:rFonts w:ascii="Roboto" w:hAnsi="Roboto"/>
          <w:b/>
          <w:bCs/>
          <w:color w:val="000000"/>
          <w:sz w:val="24"/>
          <w:szCs w:val="24"/>
        </w:rPr>
        <w:t xml:space="preserve">, D. A. (2010). 40 years of storming: a historical review of Tuckman's model of small group development. Human Resource Development International, 13(1), 111-120. </w:t>
      </w:r>
      <w:proofErr w:type="spellStart"/>
      <w:r>
        <w:rPr>
          <w:rFonts w:ascii="Roboto" w:hAnsi="Roboto"/>
          <w:b/>
          <w:bCs/>
          <w:color w:val="000000"/>
          <w:sz w:val="24"/>
          <w:szCs w:val="24"/>
        </w:rPr>
        <w:t>doi</w:t>
      </w:r>
      <w:proofErr w:type="spellEnd"/>
      <w:r>
        <w:rPr>
          <w:rFonts w:ascii="Roboto" w:hAnsi="Roboto"/>
          <w:b/>
          <w:bCs/>
          <w:color w:val="000000"/>
          <w:sz w:val="24"/>
          <w:szCs w:val="24"/>
        </w:rPr>
        <w:t>: 10.1080/13678861003589099</w:t>
      </w:r>
    </w:p>
    <w:p w14:paraId="1EE38C21"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 xml:space="preserve">Bradford, B., &amp; Quinton, P. (2014). Self-legitimacy, police culture and support for democratic policing in an English constabulary. British Journal of Criminology, 54(6), 1023-1046. </w:t>
      </w:r>
      <w:hyperlink r:id="rId23" w:history="1">
        <w:r>
          <w:rPr>
            <w:rStyle w:val="Hyperlink"/>
            <w:rFonts w:ascii="Roboto" w:hAnsi="Roboto"/>
            <w:b/>
            <w:bCs/>
            <w:sz w:val="24"/>
            <w:szCs w:val="24"/>
          </w:rPr>
          <w:t>https://doi.org/10.1093/bjc/azu053</w:t>
        </w:r>
      </w:hyperlink>
    </w:p>
    <w:p w14:paraId="1A8381C4" w14:textId="77777777" w:rsidR="0018494A" w:rsidRDefault="0018494A" w:rsidP="0018494A"/>
    <w:p w14:paraId="42160363"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 xml:space="preserve">College of Policing. (2014). Code of Ethics: A Code of Practice for the Principles and Standards of Professional Behaviour for the Policing Profession of England and Wales. </w:t>
      </w:r>
      <w:hyperlink r:id="rId24" w:history="1">
        <w:r>
          <w:rPr>
            <w:rStyle w:val="Hyperlink"/>
            <w:rFonts w:ascii="Roboto" w:hAnsi="Roboto"/>
            <w:b/>
            <w:bCs/>
            <w:sz w:val="24"/>
            <w:szCs w:val="24"/>
          </w:rPr>
          <w:t>https://www.college.police.uk/What-we-do/Ethics/Documents/Code_of_Ethics.pdf</w:t>
        </w:r>
      </w:hyperlink>
    </w:p>
    <w:p w14:paraId="618CB5DE" w14:textId="77777777" w:rsidR="0018494A" w:rsidRDefault="0018494A" w:rsidP="0018494A"/>
    <w:p w14:paraId="6E29FBBC"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 xml:space="preserve">De </w:t>
      </w:r>
      <w:proofErr w:type="spellStart"/>
      <w:r>
        <w:rPr>
          <w:rFonts w:ascii="Roboto" w:hAnsi="Roboto"/>
          <w:b/>
          <w:bCs/>
          <w:color w:val="000000"/>
          <w:sz w:val="24"/>
          <w:szCs w:val="24"/>
        </w:rPr>
        <w:t>Dreu</w:t>
      </w:r>
      <w:proofErr w:type="spellEnd"/>
      <w:r>
        <w:rPr>
          <w:rFonts w:ascii="Roboto" w:hAnsi="Roboto"/>
          <w:b/>
          <w:bCs/>
          <w:color w:val="000000"/>
          <w:sz w:val="24"/>
          <w:szCs w:val="24"/>
        </w:rPr>
        <w:t xml:space="preserve">, C. K., &amp; </w:t>
      </w:r>
      <w:proofErr w:type="spellStart"/>
      <w:r>
        <w:rPr>
          <w:rFonts w:ascii="Roboto" w:hAnsi="Roboto"/>
          <w:b/>
          <w:bCs/>
          <w:color w:val="000000"/>
          <w:sz w:val="24"/>
          <w:szCs w:val="24"/>
        </w:rPr>
        <w:t>Weingart</w:t>
      </w:r>
      <w:proofErr w:type="spellEnd"/>
      <w:r>
        <w:rPr>
          <w:rFonts w:ascii="Roboto" w:hAnsi="Roboto"/>
          <w:b/>
          <w:bCs/>
          <w:color w:val="000000"/>
          <w:sz w:val="24"/>
          <w:szCs w:val="24"/>
        </w:rPr>
        <w:t xml:space="preserve">, L. R. (2003). Task versus relationship conflict, team performance, and team member satisfaction: A meta-analysis. Journal of Applied Psychology, 88(4), 741-749. </w:t>
      </w:r>
      <w:hyperlink r:id="rId25" w:history="1">
        <w:r>
          <w:rPr>
            <w:rStyle w:val="Hyperlink"/>
            <w:rFonts w:ascii="Roboto" w:hAnsi="Roboto"/>
            <w:b/>
            <w:bCs/>
            <w:sz w:val="24"/>
            <w:szCs w:val="24"/>
          </w:rPr>
          <w:t>https://doi.org/10.1037/0021-9010.88.4.741</w:t>
        </w:r>
      </w:hyperlink>
    </w:p>
    <w:p w14:paraId="5BAB3F53"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 xml:space="preserve">Edmondson, A. (1999). Psychological safety and learning </w:t>
      </w:r>
      <w:proofErr w:type="spellStart"/>
      <w:r>
        <w:rPr>
          <w:rFonts w:ascii="Roboto" w:hAnsi="Roboto"/>
          <w:b/>
          <w:bCs/>
          <w:color w:val="000000"/>
          <w:sz w:val="24"/>
          <w:szCs w:val="24"/>
        </w:rPr>
        <w:t>behavior</w:t>
      </w:r>
      <w:proofErr w:type="spellEnd"/>
      <w:r>
        <w:rPr>
          <w:rFonts w:ascii="Roboto" w:hAnsi="Roboto"/>
          <w:b/>
          <w:bCs/>
          <w:color w:val="000000"/>
          <w:sz w:val="24"/>
          <w:szCs w:val="24"/>
        </w:rPr>
        <w:t xml:space="preserve"> in work teams. Administrative Science Quarterly, 44(2), 350-383. </w:t>
      </w:r>
      <w:proofErr w:type="spellStart"/>
      <w:r>
        <w:rPr>
          <w:rFonts w:ascii="Roboto" w:hAnsi="Roboto"/>
          <w:b/>
          <w:bCs/>
          <w:color w:val="000000"/>
          <w:sz w:val="24"/>
          <w:szCs w:val="24"/>
        </w:rPr>
        <w:t>doi</w:t>
      </w:r>
      <w:proofErr w:type="spellEnd"/>
      <w:r>
        <w:rPr>
          <w:rFonts w:ascii="Roboto" w:hAnsi="Roboto"/>
          <w:b/>
          <w:bCs/>
          <w:color w:val="000000"/>
          <w:sz w:val="24"/>
          <w:szCs w:val="24"/>
        </w:rPr>
        <w:t>: 10.2307/2666999</w:t>
      </w:r>
    </w:p>
    <w:p w14:paraId="53A93FDF"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Forsyth, D. R. (2018). Group dynamics (7th ed.). Boston, MA: Cengage Learning.</w:t>
      </w:r>
    </w:p>
    <w:p w14:paraId="1F043D5C"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Goleman, D. (1995). Emotional intelligence: Why it can matter more than IQ. Bantam Books.</w:t>
      </w:r>
    </w:p>
    <w:p w14:paraId="00B2A2C1"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 xml:space="preserve">Hogg, M. A., &amp; Terry, D. J. (2000). Social identity and self-categorization processes in organizational contexts. Academy of Management Review, 25(1), 121-140. </w:t>
      </w:r>
      <w:proofErr w:type="spellStart"/>
      <w:r>
        <w:rPr>
          <w:rFonts w:ascii="Roboto" w:hAnsi="Roboto"/>
          <w:b/>
          <w:bCs/>
          <w:color w:val="000000"/>
          <w:sz w:val="24"/>
          <w:szCs w:val="24"/>
        </w:rPr>
        <w:t>doi</w:t>
      </w:r>
      <w:proofErr w:type="spellEnd"/>
      <w:r>
        <w:rPr>
          <w:rFonts w:ascii="Roboto" w:hAnsi="Roboto"/>
          <w:b/>
          <w:bCs/>
          <w:color w:val="000000"/>
          <w:sz w:val="24"/>
          <w:szCs w:val="24"/>
        </w:rPr>
        <w:t>: 10.5465/amr.2000.2791606</w:t>
      </w:r>
    </w:p>
    <w:p w14:paraId="601A7FA8"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 xml:space="preserve">International Association of Chiefs of Police [IACP]. (2014). Law Enforcement Code of Ethics. </w:t>
      </w:r>
      <w:hyperlink r:id="rId26" w:history="1">
        <w:r>
          <w:rPr>
            <w:rStyle w:val="Hyperlink"/>
            <w:rFonts w:ascii="Roboto" w:hAnsi="Roboto"/>
            <w:b/>
            <w:bCs/>
            <w:sz w:val="24"/>
            <w:szCs w:val="24"/>
          </w:rPr>
          <w:t>https://www.theiacp.org/resources/document/law-enforcement-code-of-ethics</w:t>
        </w:r>
      </w:hyperlink>
    </w:p>
    <w:p w14:paraId="73A03D0D" w14:textId="77777777" w:rsidR="0018494A" w:rsidRDefault="0018494A" w:rsidP="0018494A">
      <w:pPr>
        <w:pStyle w:val="NormalWeb"/>
        <w:spacing w:before="300" w:beforeAutospacing="0" w:after="300" w:afterAutospacing="0"/>
        <w:rPr>
          <w:color w:val="000000"/>
        </w:rPr>
      </w:pPr>
      <w:proofErr w:type="spellStart"/>
      <w:r>
        <w:rPr>
          <w:rFonts w:ascii="Roboto" w:hAnsi="Roboto"/>
          <w:b/>
          <w:bCs/>
          <w:color w:val="000000"/>
          <w:sz w:val="24"/>
          <w:szCs w:val="24"/>
        </w:rPr>
        <w:t>Ilgen</w:t>
      </w:r>
      <w:proofErr w:type="spellEnd"/>
      <w:r>
        <w:rPr>
          <w:rFonts w:ascii="Roboto" w:hAnsi="Roboto"/>
          <w:b/>
          <w:bCs/>
          <w:color w:val="000000"/>
          <w:sz w:val="24"/>
          <w:szCs w:val="24"/>
        </w:rPr>
        <w:t xml:space="preserve">, D. R., Hollenbeck, J. R., Johnson, M., &amp; </w:t>
      </w:r>
      <w:proofErr w:type="spellStart"/>
      <w:r>
        <w:rPr>
          <w:rFonts w:ascii="Roboto" w:hAnsi="Roboto"/>
          <w:b/>
          <w:bCs/>
          <w:color w:val="000000"/>
          <w:sz w:val="24"/>
          <w:szCs w:val="24"/>
        </w:rPr>
        <w:t>Jundt</w:t>
      </w:r>
      <w:proofErr w:type="spellEnd"/>
      <w:r>
        <w:rPr>
          <w:rFonts w:ascii="Roboto" w:hAnsi="Roboto"/>
          <w:b/>
          <w:bCs/>
          <w:color w:val="000000"/>
          <w:sz w:val="24"/>
          <w:szCs w:val="24"/>
        </w:rPr>
        <w:t xml:space="preserve">, D. (2005). Teams in organizations: From input-process-output models to IMOI models. Annual Review of Psychology, 56, 517-543. </w:t>
      </w:r>
      <w:proofErr w:type="spellStart"/>
      <w:r>
        <w:rPr>
          <w:rFonts w:ascii="Roboto" w:hAnsi="Roboto"/>
          <w:b/>
          <w:bCs/>
          <w:color w:val="000000"/>
          <w:sz w:val="24"/>
          <w:szCs w:val="24"/>
        </w:rPr>
        <w:t>doi</w:t>
      </w:r>
      <w:proofErr w:type="spellEnd"/>
      <w:r>
        <w:rPr>
          <w:rFonts w:ascii="Roboto" w:hAnsi="Roboto"/>
          <w:b/>
          <w:bCs/>
          <w:color w:val="000000"/>
          <w:sz w:val="24"/>
          <w:szCs w:val="24"/>
        </w:rPr>
        <w:t>: 10.1146/annurev.psych.56.091103.070250</w:t>
      </w:r>
    </w:p>
    <w:p w14:paraId="65530C0A"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Lencioni, P. (2002). The five dysfunctions of a team: A leadership fable. Jossey-Bass.</w:t>
      </w:r>
    </w:p>
    <w:p w14:paraId="3E01C043"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 xml:space="preserve">Marks, M. A., Mathieu, J. E., &amp; </w:t>
      </w:r>
      <w:proofErr w:type="spellStart"/>
      <w:r>
        <w:rPr>
          <w:rFonts w:ascii="Roboto" w:hAnsi="Roboto"/>
          <w:b/>
          <w:bCs/>
          <w:color w:val="000000"/>
          <w:sz w:val="24"/>
          <w:szCs w:val="24"/>
        </w:rPr>
        <w:t>Zaccaro</w:t>
      </w:r>
      <w:proofErr w:type="spellEnd"/>
      <w:r>
        <w:rPr>
          <w:rFonts w:ascii="Roboto" w:hAnsi="Roboto"/>
          <w:b/>
          <w:bCs/>
          <w:color w:val="000000"/>
          <w:sz w:val="24"/>
          <w:szCs w:val="24"/>
        </w:rPr>
        <w:t xml:space="preserve">, S. J. (2001). A temporally based framework and taxonomy of team processes. Academy of Management Review, 26(3), 356-376. </w:t>
      </w:r>
      <w:proofErr w:type="spellStart"/>
      <w:r>
        <w:rPr>
          <w:rFonts w:ascii="Roboto" w:hAnsi="Roboto"/>
          <w:b/>
          <w:bCs/>
          <w:color w:val="000000"/>
          <w:sz w:val="24"/>
          <w:szCs w:val="24"/>
        </w:rPr>
        <w:t>doi</w:t>
      </w:r>
      <w:proofErr w:type="spellEnd"/>
      <w:r>
        <w:rPr>
          <w:rFonts w:ascii="Roboto" w:hAnsi="Roboto"/>
          <w:b/>
          <w:bCs/>
          <w:color w:val="000000"/>
          <w:sz w:val="24"/>
          <w:szCs w:val="24"/>
        </w:rPr>
        <w:t>: 10.5465/amr.2001.4845785</w:t>
      </w:r>
    </w:p>
    <w:p w14:paraId="6439A201"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 xml:space="preserve">Rahim, M. A. (2017). Managing conflict in organizations. Routledge. </w:t>
      </w:r>
      <w:hyperlink r:id="rId27" w:history="1">
        <w:r>
          <w:rPr>
            <w:rStyle w:val="Hyperlink"/>
            <w:rFonts w:ascii="Roboto" w:hAnsi="Roboto"/>
            <w:b/>
            <w:bCs/>
            <w:sz w:val="24"/>
            <w:szCs w:val="24"/>
          </w:rPr>
          <w:t>https://doi.org/10.4324/9781351305379</w:t>
        </w:r>
      </w:hyperlink>
    </w:p>
    <w:p w14:paraId="1208EE23" w14:textId="77777777" w:rsidR="0018494A" w:rsidRDefault="0018494A" w:rsidP="0018494A"/>
    <w:p w14:paraId="7BA46C29" w14:textId="77777777" w:rsidR="0018494A" w:rsidRDefault="0018494A" w:rsidP="0018494A">
      <w:pPr>
        <w:pStyle w:val="NormalWeb"/>
        <w:spacing w:before="0" w:beforeAutospacing="0" w:after="0" w:afterAutospacing="0"/>
        <w:rPr>
          <w:color w:val="000000"/>
        </w:rPr>
      </w:pPr>
      <w:proofErr w:type="spellStart"/>
      <w:r>
        <w:rPr>
          <w:rFonts w:ascii="Roboto" w:hAnsi="Roboto"/>
          <w:b/>
          <w:bCs/>
          <w:color w:val="000000"/>
          <w:sz w:val="24"/>
          <w:szCs w:val="24"/>
        </w:rPr>
        <w:lastRenderedPageBreak/>
        <w:t>Reisig</w:t>
      </w:r>
      <w:proofErr w:type="spellEnd"/>
      <w:r>
        <w:rPr>
          <w:rFonts w:ascii="Roboto" w:hAnsi="Roboto"/>
          <w:b/>
          <w:bCs/>
          <w:color w:val="000000"/>
          <w:sz w:val="24"/>
          <w:szCs w:val="24"/>
        </w:rPr>
        <w:t xml:space="preserve">, M. D. (2010). Community and problem-oriented policing. Crime and Justice, 39(1), 1-53. </w:t>
      </w:r>
      <w:hyperlink r:id="rId28" w:history="1">
        <w:r>
          <w:rPr>
            <w:rStyle w:val="Hyperlink"/>
            <w:rFonts w:ascii="Roboto" w:hAnsi="Roboto"/>
            <w:b/>
            <w:bCs/>
            <w:sz w:val="24"/>
            <w:szCs w:val="24"/>
          </w:rPr>
          <w:t>https://doi.org/10.1086/652384</w:t>
        </w:r>
      </w:hyperlink>
    </w:p>
    <w:p w14:paraId="6DD64A9E" w14:textId="77777777" w:rsidR="0018494A" w:rsidRDefault="0018494A" w:rsidP="0018494A"/>
    <w:p w14:paraId="50F974A0" w14:textId="77777777" w:rsidR="0018494A" w:rsidRDefault="0018494A" w:rsidP="0018494A">
      <w:pPr>
        <w:pStyle w:val="NormalWeb"/>
        <w:spacing w:before="0" w:beforeAutospacing="0" w:after="0" w:afterAutospacing="0"/>
        <w:rPr>
          <w:color w:val="000000"/>
        </w:rPr>
      </w:pPr>
      <w:r>
        <w:rPr>
          <w:rFonts w:ascii="Roboto" w:hAnsi="Roboto"/>
          <w:b/>
          <w:bCs/>
          <w:color w:val="000000"/>
          <w:sz w:val="24"/>
          <w:szCs w:val="24"/>
        </w:rPr>
        <w:t xml:space="preserve">Robbins, S. P., &amp; Judge, T. A. (2018). Organizational </w:t>
      </w:r>
      <w:proofErr w:type="spellStart"/>
      <w:r>
        <w:rPr>
          <w:rFonts w:ascii="Roboto" w:hAnsi="Roboto"/>
          <w:b/>
          <w:bCs/>
          <w:color w:val="000000"/>
          <w:sz w:val="24"/>
          <w:szCs w:val="24"/>
        </w:rPr>
        <w:t>behavior</w:t>
      </w:r>
      <w:proofErr w:type="spellEnd"/>
      <w:r>
        <w:rPr>
          <w:rFonts w:ascii="Roboto" w:hAnsi="Roboto"/>
          <w:b/>
          <w:bCs/>
          <w:color w:val="000000"/>
          <w:sz w:val="24"/>
          <w:szCs w:val="24"/>
        </w:rPr>
        <w:t>. Pearson.</w:t>
      </w:r>
    </w:p>
    <w:p w14:paraId="0CFC0741"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 xml:space="preserve">Tajfel, H., &amp; Turner, J. C. (1979). An integrative theory of intergroup conflict. In W. G. Austin &amp; S. </w:t>
      </w:r>
      <w:proofErr w:type="spellStart"/>
      <w:r>
        <w:rPr>
          <w:rFonts w:ascii="Roboto" w:hAnsi="Roboto"/>
          <w:b/>
          <w:bCs/>
          <w:color w:val="000000"/>
          <w:sz w:val="24"/>
          <w:szCs w:val="24"/>
        </w:rPr>
        <w:t>Worchel</w:t>
      </w:r>
      <w:proofErr w:type="spellEnd"/>
      <w:r>
        <w:rPr>
          <w:rFonts w:ascii="Roboto" w:hAnsi="Roboto"/>
          <w:b/>
          <w:bCs/>
          <w:color w:val="000000"/>
          <w:sz w:val="24"/>
          <w:szCs w:val="24"/>
        </w:rPr>
        <w:t xml:space="preserve"> (Eds.), The social psychology of intergroup relations (pp. 33-47). Monterey, CA: Brooks/Cole.</w:t>
      </w:r>
    </w:p>
    <w:p w14:paraId="3BAEF605"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 xml:space="preserve">Thomas, K. W., &amp; Kilmann, R. H. (1974). Thomas-Kilmann Conflict Mode Instrument. Tuxedo, NY: </w:t>
      </w:r>
      <w:proofErr w:type="spellStart"/>
      <w:r>
        <w:rPr>
          <w:rFonts w:ascii="Roboto" w:hAnsi="Roboto"/>
          <w:b/>
          <w:bCs/>
          <w:color w:val="000000"/>
          <w:sz w:val="24"/>
          <w:szCs w:val="24"/>
        </w:rPr>
        <w:t>Xicom</w:t>
      </w:r>
      <w:proofErr w:type="spellEnd"/>
      <w:r>
        <w:rPr>
          <w:rFonts w:ascii="Roboto" w:hAnsi="Roboto"/>
          <w:b/>
          <w:bCs/>
          <w:color w:val="000000"/>
          <w:sz w:val="24"/>
          <w:szCs w:val="24"/>
        </w:rPr>
        <w:t>.</w:t>
      </w:r>
    </w:p>
    <w:p w14:paraId="4220FA81" w14:textId="77777777" w:rsidR="0018494A" w:rsidRDefault="0018494A" w:rsidP="0018494A">
      <w:pPr>
        <w:pStyle w:val="NormalWeb"/>
        <w:spacing w:before="300" w:beforeAutospacing="0" w:after="300" w:afterAutospacing="0"/>
        <w:rPr>
          <w:color w:val="000000"/>
        </w:rPr>
      </w:pPr>
      <w:r>
        <w:rPr>
          <w:rFonts w:ascii="Roboto" w:hAnsi="Roboto"/>
          <w:b/>
          <w:bCs/>
          <w:color w:val="000000"/>
          <w:sz w:val="24"/>
          <w:szCs w:val="24"/>
        </w:rPr>
        <w:t xml:space="preserve">Tuckman, B. W. (1965). Developmental sequence in small groups. Psychological Bulletin, 63(6), 384-399. </w:t>
      </w:r>
      <w:proofErr w:type="spellStart"/>
      <w:r>
        <w:rPr>
          <w:rFonts w:ascii="Roboto" w:hAnsi="Roboto"/>
          <w:b/>
          <w:bCs/>
          <w:color w:val="000000"/>
          <w:sz w:val="24"/>
          <w:szCs w:val="24"/>
        </w:rPr>
        <w:t>doi</w:t>
      </w:r>
      <w:proofErr w:type="spellEnd"/>
      <w:r>
        <w:rPr>
          <w:rFonts w:ascii="Roboto" w:hAnsi="Roboto"/>
          <w:b/>
          <w:bCs/>
          <w:color w:val="000000"/>
          <w:sz w:val="24"/>
          <w:szCs w:val="24"/>
        </w:rPr>
        <w:t>: 10.1037/h0022100</w:t>
      </w:r>
    </w:p>
    <w:p w14:paraId="0636F4CB" w14:textId="77777777" w:rsidR="0018494A" w:rsidRDefault="0018494A" w:rsidP="0018494A">
      <w:pPr>
        <w:pStyle w:val="NormalWeb"/>
        <w:spacing w:before="300" w:beforeAutospacing="0" w:after="0" w:afterAutospacing="0"/>
        <w:rPr>
          <w:color w:val="000000"/>
        </w:rPr>
      </w:pPr>
      <w:r>
        <w:rPr>
          <w:rFonts w:ascii="Roboto" w:hAnsi="Roboto"/>
          <w:b/>
          <w:bCs/>
          <w:color w:val="000000"/>
          <w:sz w:val="24"/>
          <w:szCs w:val="24"/>
        </w:rPr>
        <w:t>West, M. A. (2012). Effective teamwork: Practical lessons from organizational research (3rd ed.). Chichester, UK: BPS Blackwell.</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32933C98" w14:textId="186CBECE"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5227C2B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8494A">
              <w:rPr>
                <w:sz w:val="22"/>
                <w:szCs w:val="22"/>
                <w:lang w:eastAsia="zh-TW"/>
              </w:rPr>
              <w:t xml:space="preserve">Could I have some advice on how to fill out this area please? Thanks.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8FF27" w14:textId="77777777" w:rsidR="00EF2A0F" w:rsidRDefault="00EF2A0F">
      <w:r>
        <w:separator/>
      </w:r>
    </w:p>
  </w:endnote>
  <w:endnote w:type="continuationSeparator" w:id="0">
    <w:p w14:paraId="58B2C118" w14:textId="77777777" w:rsidR="00EF2A0F" w:rsidRDefault="00EF2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3AE86" w14:textId="77777777" w:rsidR="00E65E7E" w:rsidRDefault="00E65E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A1717" w14:textId="77777777" w:rsidR="00E65E7E" w:rsidRDefault="00E65E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E27B" w14:textId="77777777" w:rsidR="00EF2A0F" w:rsidRDefault="00EF2A0F">
      <w:r>
        <w:separator/>
      </w:r>
    </w:p>
  </w:footnote>
  <w:footnote w:type="continuationSeparator" w:id="0">
    <w:p w14:paraId="08E36786" w14:textId="77777777" w:rsidR="00EF2A0F" w:rsidRDefault="00EF2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9AFA9" w14:textId="77777777" w:rsidR="00E65E7E" w:rsidRDefault="00E65E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D172C" w14:textId="77777777" w:rsidR="00E65E7E" w:rsidRDefault="00E65E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3C046" w14:textId="77777777" w:rsidR="00E65E7E" w:rsidRDefault="00E65E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3847644">
    <w:abstractNumId w:val="22"/>
  </w:num>
  <w:num w:numId="2" w16cid:durableId="388459964">
    <w:abstractNumId w:val="7"/>
  </w:num>
  <w:num w:numId="3" w16cid:durableId="1936014655">
    <w:abstractNumId w:val="2"/>
  </w:num>
  <w:num w:numId="4" w16cid:durableId="907618354">
    <w:abstractNumId w:val="1"/>
    <w:lvlOverride w:ilvl="0">
      <w:lvl w:ilvl="0">
        <w:start w:val="1"/>
        <w:numFmt w:val="bullet"/>
        <w:lvlText w:val=""/>
        <w:lvlJc w:val="left"/>
        <w:pPr>
          <w:ind w:left="720" w:hanging="360"/>
        </w:pPr>
        <w:rPr>
          <w:rFonts w:ascii="Symbol" w:hAnsi="Symbol" w:hint="default"/>
        </w:rPr>
      </w:lvl>
    </w:lvlOverride>
  </w:num>
  <w:num w:numId="5" w16cid:durableId="1739747679">
    <w:abstractNumId w:val="24"/>
  </w:num>
  <w:num w:numId="6" w16cid:durableId="847259798">
    <w:abstractNumId w:val="46"/>
  </w:num>
  <w:num w:numId="7" w16cid:durableId="686752984">
    <w:abstractNumId w:val="48"/>
  </w:num>
  <w:num w:numId="8" w16cid:durableId="1861580400">
    <w:abstractNumId w:val="36"/>
  </w:num>
  <w:num w:numId="9" w16cid:durableId="1904488147">
    <w:abstractNumId w:val="34"/>
  </w:num>
  <w:num w:numId="10" w16cid:durableId="1281037613">
    <w:abstractNumId w:val="31"/>
  </w:num>
  <w:num w:numId="11" w16cid:durableId="1903103311">
    <w:abstractNumId w:val="32"/>
  </w:num>
  <w:num w:numId="12" w16cid:durableId="256332855">
    <w:abstractNumId w:val="11"/>
  </w:num>
  <w:num w:numId="13" w16cid:durableId="1340502940">
    <w:abstractNumId w:val="35"/>
  </w:num>
  <w:num w:numId="14" w16cid:durableId="352808302">
    <w:abstractNumId w:val="18"/>
  </w:num>
  <w:num w:numId="15" w16cid:durableId="167840596">
    <w:abstractNumId w:val="17"/>
  </w:num>
  <w:num w:numId="16" w16cid:durableId="187060745">
    <w:abstractNumId w:val="28"/>
  </w:num>
  <w:num w:numId="17" w16cid:durableId="1064260705">
    <w:abstractNumId w:val="9"/>
  </w:num>
  <w:num w:numId="18" w16cid:durableId="601300177">
    <w:abstractNumId w:val="27"/>
  </w:num>
  <w:num w:numId="19" w16cid:durableId="1737044976">
    <w:abstractNumId w:val="16"/>
  </w:num>
  <w:num w:numId="20" w16cid:durableId="1683773247">
    <w:abstractNumId w:val="14"/>
  </w:num>
  <w:num w:numId="21" w16cid:durableId="34710450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61330077">
    <w:abstractNumId w:val="25"/>
  </w:num>
  <w:num w:numId="23" w16cid:durableId="1431311707">
    <w:abstractNumId w:val="19"/>
  </w:num>
  <w:num w:numId="24" w16cid:durableId="2092046914">
    <w:abstractNumId w:val="15"/>
  </w:num>
  <w:num w:numId="25" w16cid:durableId="596444111">
    <w:abstractNumId w:val="12"/>
  </w:num>
  <w:num w:numId="26" w16cid:durableId="1310595403">
    <w:abstractNumId w:val="29"/>
  </w:num>
  <w:num w:numId="27" w16cid:durableId="1497111349">
    <w:abstractNumId w:val="20"/>
  </w:num>
  <w:num w:numId="28" w16cid:durableId="2007199698">
    <w:abstractNumId w:val="42"/>
  </w:num>
  <w:num w:numId="29" w16cid:durableId="1877348265">
    <w:abstractNumId w:val="37"/>
  </w:num>
  <w:num w:numId="30" w16cid:durableId="2118522191">
    <w:abstractNumId w:val="41"/>
  </w:num>
  <w:num w:numId="31" w16cid:durableId="289021667">
    <w:abstractNumId w:val="21"/>
  </w:num>
  <w:num w:numId="32" w16cid:durableId="845753880">
    <w:abstractNumId w:val="44"/>
  </w:num>
  <w:num w:numId="33" w16cid:durableId="2093159822">
    <w:abstractNumId w:val="33"/>
  </w:num>
  <w:num w:numId="34" w16cid:durableId="1147863398">
    <w:abstractNumId w:val="13"/>
  </w:num>
  <w:num w:numId="35" w16cid:durableId="1027875394">
    <w:abstractNumId w:val="45"/>
  </w:num>
  <w:num w:numId="36" w16cid:durableId="700320558">
    <w:abstractNumId w:val="40"/>
  </w:num>
  <w:num w:numId="37" w16cid:durableId="1474174932">
    <w:abstractNumId w:val="5"/>
  </w:num>
  <w:num w:numId="38" w16cid:durableId="2095349280">
    <w:abstractNumId w:val="47"/>
  </w:num>
  <w:num w:numId="39" w16cid:durableId="168108245">
    <w:abstractNumId w:val="43"/>
  </w:num>
  <w:num w:numId="40" w16cid:durableId="553927482">
    <w:abstractNumId w:val="38"/>
  </w:num>
  <w:num w:numId="41" w16cid:durableId="1527135294">
    <w:abstractNumId w:val="39"/>
  </w:num>
  <w:num w:numId="42" w16cid:durableId="686829393">
    <w:abstractNumId w:val="4"/>
  </w:num>
  <w:num w:numId="43" w16cid:durableId="1296184531">
    <w:abstractNumId w:val="6"/>
  </w:num>
  <w:num w:numId="44" w16cid:durableId="1254784674">
    <w:abstractNumId w:val="26"/>
  </w:num>
  <w:num w:numId="45" w16cid:durableId="1425957559">
    <w:abstractNumId w:val="8"/>
  </w:num>
  <w:num w:numId="46" w16cid:durableId="964655344">
    <w:abstractNumId w:val="3"/>
  </w:num>
  <w:num w:numId="47" w16cid:durableId="1213928117">
    <w:abstractNumId w:val="0"/>
  </w:num>
  <w:num w:numId="48" w16cid:durableId="1423718142">
    <w:abstractNumId w:val="23"/>
  </w:num>
  <w:num w:numId="49" w16cid:durableId="43524707">
    <w:abstractNumId w:val="30"/>
  </w:num>
  <w:num w:numId="50" w16cid:durableId="33120491">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494A"/>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6B76"/>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65E7E"/>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F2A0F"/>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E65E7E"/>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5649494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7112144">
      <w:bodyDiv w:val="1"/>
      <w:marLeft w:val="0"/>
      <w:marRight w:val="0"/>
      <w:marTop w:val="0"/>
      <w:marBottom w:val="0"/>
      <w:divBdr>
        <w:top w:val="none" w:sz="0" w:space="0" w:color="auto"/>
        <w:left w:val="none" w:sz="0" w:space="0" w:color="auto"/>
        <w:bottom w:val="none" w:sz="0" w:space="0" w:color="auto"/>
        <w:right w:val="none" w:sz="0" w:space="0" w:color="auto"/>
      </w:divBdr>
    </w:div>
    <w:div w:id="151939426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087072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gbr01.safelinks.protection.outlook.com/?url=https%3A%2F%2Fwww.theiacp.org%2Fresources%2Fdocument%2Flaw-enforcement-code-of-ethics&amp;data=05%7C01%7Cdominic.richards%40south-wales.police.uk%7C8d364e40b0a442f7d86b08db2add68d4%7C270c2f4dfd0c4f0892a9e5bdd8a87e09%7C0%7C0%7C638150903554170962%7CUnknown%7CTWFpbGZsb3d8eyJWIjoiMC4wLjAwMDAiLCJQIjoiV2luMzIiLCJBTiI6Ik1haWwiLCJXVCI6Mn0%3D%7C3000%7C%7C%7C&amp;sdata=b5gabpSfOd4Tihnanj9tW1Pumnfa6DVU834TkJppcks%3D&amp;reserved=0" TargetMode="External"/><Relationship Id="rId3" Type="http://schemas.openxmlformats.org/officeDocument/2006/relationships/customXml" Target="../customXml/item3.xml"/><Relationship Id="rId21" Type="http://schemas.openxmlformats.org/officeDocument/2006/relationships/hyperlink" Target="https://gbr01.safelinks.protection.outlook.com/?url=https%3A%2F%2Fwww.who.int%2Fpublications%2Fi%2Fitem%2F9789241564625&amp;data=05%7C01%7Cdominic.richards%40south-wales.police.uk%7C3a2e6ed8761740e95bf408db29539028%7C270c2f4dfd0c4f0892a9e5bdd8a87e09%7C0%7C0%7C638149211119640312%7CUnknown%7CTWFpbGZsb3d8eyJWIjoiMC4wLjAwMDAiLCJQIjoiV2luMzIiLCJBTiI6Ik1haWwiLCJXVCI6Mn0%3D%7C3000%7C%7C%7C&amp;sdata=T9mjk%2FPig5S6fg%2BPI1WdjTEOHW%2BnXvE15ztVSm9W4f0%3D&amp;reserved=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gbr01.safelinks.protection.outlook.com/?url=https%3A%2F%2Fdoi.org%2F10.1037%2F0021-9010.88.4.741&amp;data=05%7C01%7Cdominic.richards%40south-wales.police.uk%7C8d364e40b0a442f7d86b08db2add68d4%7C270c2f4dfd0c4f0892a9e5bdd8a87e09%7C0%7C0%7C638150903554170962%7CUnknown%7CTWFpbGZsb3d8eyJWIjoiMC4wLjAwMDAiLCJQIjoiV2luMzIiLCJBTiI6Ik1haWwiLCJXVCI6Mn0%3D%7C3000%7C%7C%7C&amp;sdata=7gcwRW42pza04wSe%2FBKiNPqsa%2BuSzqdHC6r9MvrSfRw%3D&amp;reserved=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gbr01.safelinks.protection.outlook.com/?url=https%3A%2F%2Fwww.justiceinspectorates.gov.uk%2Fhmicfrs%2Fpublications%2Fpolice-response-to-domestic-abuse-an-inspection-of-the-police-response-to-domestic-abuse-during-the-covid-19-pandemic%2F&amp;data=05%7C01%7Cdominic.richards%40south-wales.police.uk%7C3a2e6ed8761740e95bf408db29539028%7C270c2f4dfd0c4f0892a9e5bdd8a87e09%7C0%7C0%7C638149211119640312%7CUnknown%7CTWFpbGZsb3d8eyJWIjoiMC4wLjAwMDAiLCJQIjoiV2luMzIiLCJBTiI6Ik1haWwiLCJXVCI6Mn0%3D%7C3000%7C%7C%7C&amp;sdata=8JRS96ecjX9LSt51TeTdrfnyPl2s3HEatUcF8OEpLRo%3D&amp;reserved=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gbr01.safelinks.protection.outlook.com/?url=https%3A%2F%2Fwww.college.police.uk%2FWhat-we-do%2FEthics%2FDocuments%2FCode_of_Ethics.pdf&amp;data=05%7C01%7Cdominic.richards%40south-wales.police.uk%7C8d364e40b0a442f7d86b08db2add68d4%7C270c2f4dfd0c4f0892a9e5bdd8a87e09%7C0%7C0%7C638150903554170962%7CUnknown%7CTWFpbGZsb3d8eyJWIjoiMC4wLjAwMDAiLCJQIjoiV2luMzIiLCJBTiI6Ik1haWwiLCJXVCI6Mn0%3D%7C3000%7C%7C%7C&amp;sdata=LYMNZ49lM2fQun3GTBUg2BlINoeTBQoNOGFwzDPVESs%3D&amp;reserved=0"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gbr01.safelinks.protection.outlook.com/?url=https%3A%2F%2Fdoi.org%2F10.1093%2Fbjc%2Fazu053&amp;data=05%7C01%7Cdominic.richards%40south-wales.police.uk%7C8d364e40b0a442f7d86b08db2add68d4%7C270c2f4dfd0c4f0892a9e5bdd8a87e09%7C0%7C0%7C638150903554170962%7CUnknown%7CTWFpbGZsb3d8eyJWIjoiMC4wLjAwMDAiLCJQIjoiV2luMzIiLCJBTiI6Ik1haWwiLCJXVCI6Mn0%3D%7C3000%7C%7C%7C&amp;sdata=JY3kgcbuxuZL129f9NCFHiqSKAKF0aLBdEcFsKJ8y%2BE%3D&amp;reserved=0" TargetMode="External"/><Relationship Id="rId28" Type="http://schemas.openxmlformats.org/officeDocument/2006/relationships/hyperlink" Target="https://gbr01.safelinks.protection.outlook.com/?url=https%3A%2F%2Fdoi.org%2F10.1086%2F652384&amp;data=05%7C01%7Cdominic.richards%40south-wales.police.uk%7C8d364e40b0a442f7d86b08db2add68d4%7C270c2f4dfd0c4f0892a9e5bdd8a87e09%7C0%7C0%7C638150903554170962%7CUnknown%7CTWFpbGZsb3d8eyJWIjoiMC4wLjAwMDAiLCJQIjoiV2luMzIiLCJBTiI6Ik1haWwiLCJXVCI6Mn0%3D%7C3000%7C%7C%7C&amp;sdata=M8mpqMwyJ9MoBBezj0qsM34Ogsey5mYe%2BtQKuH4aflI%3D&amp;reserved=0"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gbr01.safelinks.protection.outlook.com/?url=https%3A%2F%2Fdoi.org%2F10.1108%2Feb022913&amp;data=05%7C01%7Cdominic.richards%40south-wales.police.uk%7C8d364e40b0a442f7d86b08db2add68d4%7C270c2f4dfd0c4f0892a9e5bdd8a87e09%7C0%7C0%7C638150903554014742%7CUnknown%7CTWFpbGZsb3d8eyJWIjoiMC4wLjAwMDAiLCJQIjoiV2luMzIiLCJBTiI6Ik1haWwiLCJXVCI6Mn0%3D%7C3000%7C%7C%7C&amp;sdata=uNq0Kgievj3MZgTlZ23K7SsU3tC9cssg5IXmt88jl9A%3D&amp;reserved=0" TargetMode="External"/><Relationship Id="rId27" Type="http://schemas.openxmlformats.org/officeDocument/2006/relationships/hyperlink" Target="https://gbr01.safelinks.protection.outlook.com/?url=https%3A%2F%2Fdoi.org%2F10.4324%2F9781351305379&amp;data=05%7C01%7Cdominic.richards%40south-wales.police.uk%7C8d364e40b0a442f7d86b08db2add68d4%7C270c2f4dfd0c4f0892a9e5bdd8a87e09%7C0%7C0%7C638150903554170962%7CUnknown%7CTWFpbGZsb3d8eyJWIjoiMC4wLjAwMDAiLCJQIjoiV2luMzIiLCJBTiI6Ik1haWwiLCJXVCI6Mn0%3D%7C3000%7C%7C%7C&amp;sdata=K%2FR2WjpMI3ZAeFvcvKr9tldxOgDOPKRVA%2BcIIdHYMn4%3D&amp;reserved=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2316</TotalTime>
  <Pages>27</Pages>
  <Words>8335</Words>
  <Characters>47510</Characters>
  <Application>Microsoft Office Word</Application>
  <DocSecurity>0</DocSecurity>
  <Lines>395</Lines>
  <Paragraphs>111</Paragraphs>
  <ScaleCrop>false</ScaleCrop>
  <Company>Powys County Council</Company>
  <LinksUpToDate>false</LinksUpToDate>
  <CharactersWithSpaces>55734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Richards,Dominic swp8092</cp:lastModifiedBy>
  <cp:revision>43</cp:revision>
  <cp:lastPrinted>2014-08-26T08:55:00Z</cp:lastPrinted>
  <dcterms:created xsi:type="dcterms:W3CDTF">2019-02-14T13:05:00Z</dcterms:created>
  <dcterms:modified xsi:type="dcterms:W3CDTF">2023-03-23T15:34:00Z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2023-03-20T15:07:24Z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b0f9eaf0-bc7b-4f73-9928-5e6940e5dca0</vt:lpwstr>
  </property>
  <property fmtid="{D5CDD505-2E9C-101B-9397-08002B2CF9AE}" pid="9" name="MSIP_Label_66cf8fe5-b7b7-4df7-b38d-1c61ac2f6639_ContentBits">
    <vt:lpwstr>0</vt:lpwstr>
  </property>
</Properties>
</file>