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lang w:val="en-GB"/>
        </w:rPr>
      </w:pPr>
      <w:r>
        <w:drawing>
          <wp:anchor distT="0" distB="0" distL="114300" distR="114300" simplePos="0" relativeHeight="251659264" behindDoc="0" locked="0" layoutInCell="1" allowOverlap="1">
            <wp:simplePos x="0" y="0"/>
            <wp:positionH relativeFrom="column">
              <wp:posOffset>-679450</wp:posOffset>
            </wp:positionH>
            <wp:positionV relativeFrom="paragraph">
              <wp:posOffset>152400</wp:posOffset>
            </wp:positionV>
            <wp:extent cx="2284095" cy="953135"/>
            <wp:effectExtent l="0" t="0" r="1905" b="6985"/>
            <wp:wrapSquare wrapText="bothSides"/>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ndon | UWTSD London Camp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284095" cy="953135"/>
                    </a:xfrm>
                    <a:prstGeom prst="rect">
                      <a:avLst/>
                    </a:prstGeom>
                    <a:noFill/>
                    <a:ln>
                      <a:noFill/>
                    </a:ln>
                  </pic:spPr>
                </pic:pic>
              </a:graphicData>
            </a:graphic>
          </wp:anchor>
        </w:drawing>
      </w:r>
      <w:r>
        <w:rPr>
          <w:lang w:val="en-GB"/>
        </w:rPr>
        <w:t xml:space="preserve"> </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spacing w:before="200" w:line="216" w:lineRule="auto"/>
        <w:jc w:val="center"/>
        <w:rPr>
          <w:rFonts w:ascii="Arial" w:hAnsi="Arial" w:eastAsia="Times New Roman" w:cs="Arial"/>
          <w:b/>
          <w:bCs/>
          <w:color w:val="000000" w:themeColor="text1"/>
          <w:sz w:val="24"/>
          <w:szCs w:val="24"/>
          <w14:textFill>
            <w14:solidFill>
              <w14:schemeClr w14:val="tx1"/>
            </w14:solidFill>
          </w14:textFill>
        </w:rPr>
      </w:pPr>
      <w:r>
        <w:rPr>
          <w:rFonts w:ascii="Arial" w:hAnsi="Arial" w:cs="Arial"/>
          <w:b/>
          <w:bCs/>
          <w:color w:val="000000" w:themeColor="text1"/>
          <w:kern w:val="24"/>
          <w:sz w:val="24"/>
          <w:szCs w:val="24"/>
          <w14:textFill>
            <w14:solidFill>
              <w14:schemeClr w14:val="tx1"/>
            </w14:solidFill>
          </w14:textFill>
        </w:rPr>
        <w:t>Psychology in Health and Social Care</w:t>
      </w:r>
    </w:p>
    <w:p>
      <w:pPr>
        <w:spacing w:before="200" w:line="216" w:lineRule="auto"/>
        <w:jc w:val="center"/>
        <w:rPr>
          <w:rFonts w:ascii="Arial" w:hAnsi="Arial" w:cs="Arial"/>
          <w:b/>
          <w:bCs/>
          <w:color w:val="000000" w:themeColor="text1"/>
          <w:kern w:val="24"/>
          <w:sz w:val="24"/>
          <w:szCs w:val="24"/>
          <w14:textFill>
            <w14:solidFill>
              <w14:schemeClr w14:val="tx1"/>
            </w14:solidFill>
          </w14:textFill>
        </w:rPr>
      </w:pPr>
      <w:r>
        <w:rPr>
          <w:rFonts w:ascii="Arial" w:hAnsi="Arial" w:cs="Arial"/>
          <w:b/>
          <w:bCs/>
          <w:color w:val="000000" w:themeColor="text1"/>
          <w:kern w:val="24"/>
          <w:sz w:val="24"/>
          <w:szCs w:val="24"/>
          <w14:textFill>
            <w14:solidFill>
              <w14:schemeClr w14:val="tx1"/>
            </w14:solidFill>
          </w14:textFill>
        </w:rPr>
        <w:t>(LCHS4006_LON)</w:t>
      </w:r>
    </w:p>
    <w:p>
      <w:pPr>
        <w:spacing w:before="200" w:line="216" w:lineRule="auto"/>
        <w:jc w:val="center"/>
        <w:rPr>
          <w:rFonts w:ascii="Arial" w:hAnsi="Arial" w:eastAsia="Times New Roman" w:cs="Arial"/>
          <w:b/>
          <w:bCs/>
          <w:color w:val="000000" w:themeColor="text1"/>
          <w:sz w:val="24"/>
          <w:szCs w:val="24"/>
          <w14:textFill>
            <w14:solidFill>
              <w14:schemeClr w14:val="tx1"/>
            </w14:solidFill>
          </w14:textFill>
        </w:rPr>
      </w:pPr>
    </w:p>
    <w:p>
      <w:pPr>
        <w:jc w:val="center"/>
        <w:rPr>
          <w:rFonts w:ascii="Arial" w:hAnsi="Arial" w:cs="Arial"/>
          <w:b/>
          <w:bCs/>
          <w:color w:val="000000" w:themeColor="text1"/>
          <w:kern w:val="24"/>
          <w:sz w:val="24"/>
          <w:szCs w:val="24"/>
          <w:lang w:val="en-GB"/>
          <w14:textFill>
            <w14:solidFill>
              <w14:schemeClr w14:val="tx1"/>
            </w14:solidFill>
          </w14:textFill>
        </w:rPr>
      </w:pPr>
      <w:r>
        <w:rPr>
          <w:rFonts w:ascii="Arial" w:hAnsi="Arial" w:cs="Arial"/>
          <w:b/>
          <w:bCs/>
          <w:color w:val="000000" w:themeColor="text1"/>
          <w:kern w:val="24"/>
          <w:sz w:val="24"/>
          <w:szCs w:val="24"/>
          <w:lang w:val="en-GB"/>
          <w14:textFill>
            <w14:solidFill>
              <w14:schemeClr w14:val="tx1"/>
            </w14:solidFill>
          </w14:textFill>
        </w:rPr>
        <w:t>Lecturer: Bianca Sanfilippo</w:t>
      </w:r>
    </w:p>
    <w:p>
      <w:pPr>
        <w:jc w:val="center"/>
        <w:rPr>
          <w:rFonts w:ascii="Arial" w:hAnsi="Arial" w:cs="Arial"/>
          <w:b/>
          <w:bCs/>
          <w:color w:val="000000" w:themeColor="text1"/>
          <w:kern w:val="24"/>
          <w:sz w:val="24"/>
          <w:szCs w:val="24"/>
          <w:lang w:val="en-GB"/>
          <w14:textFill>
            <w14:solidFill>
              <w14:schemeClr w14:val="tx1"/>
            </w14:solidFill>
          </w14:textFill>
        </w:rPr>
      </w:pPr>
    </w:p>
    <w:p>
      <w:pPr>
        <w:jc w:val="center"/>
        <w:rPr>
          <w:rFonts w:ascii="Arial" w:hAnsi="Arial" w:cs="Arial"/>
          <w:b/>
          <w:bCs/>
          <w:color w:val="000000" w:themeColor="text1"/>
          <w:kern w:val="24"/>
          <w:sz w:val="24"/>
          <w:szCs w:val="24"/>
          <w:lang w:val="en-GB"/>
          <w14:textFill>
            <w14:solidFill>
              <w14:schemeClr w14:val="tx1"/>
            </w14:solidFill>
          </w14:textFill>
        </w:rPr>
      </w:pPr>
    </w:p>
    <w:p>
      <w:pPr>
        <w:jc w:val="center"/>
        <w:rPr>
          <w:rFonts w:ascii="Arial" w:hAnsi="Arial" w:cs="Arial"/>
          <w:b/>
          <w:bCs/>
          <w:color w:val="000000" w:themeColor="text1"/>
          <w:kern w:val="24"/>
          <w:sz w:val="24"/>
          <w:szCs w:val="24"/>
          <w14:textFill>
            <w14:solidFill>
              <w14:schemeClr w14:val="tx1"/>
            </w14:solidFill>
          </w14:textFill>
        </w:rPr>
      </w:pPr>
    </w:p>
    <w:p>
      <w:pPr>
        <w:jc w:val="center"/>
        <w:rPr>
          <w:rFonts w:ascii="Arial" w:hAnsi="Arial" w:cs="Arial"/>
          <w:b/>
          <w:bCs/>
          <w:color w:val="000000" w:themeColor="text1"/>
          <w:kern w:val="24"/>
          <w:sz w:val="24"/>
          <w:szCs w:val="24"/>
          <w14:textFill>
            <w14:solidFill>
              <w14:schemeClr w14:val="tx1"/>
            </w14:solidFill>
          </w14:textFill>
        </w:rPr>
      </w:pPr>
      <w:r>
        <w:rPr>
          <w:rFonts w:ascii="Arial" w:hAnsi="Arial" w:cs="Arial"/>
          <w:b/>
          <w:bCs/>
          <w:color w:val="000000" w:themeColor="text1"/>
          <w:kern w:val="24"/>
          <w:sz w:val="24"/>
          <w:szCs w:val="24"/>
          <w14:textFill>
            <w14:solidFill>
              <w14:schemeClr w14:val="tx1"/>
            </w14:solidFill>
          </w14:textFill>
        </w:rPr>
        <w:t>Reflective Report</w:t>
      </w:r>
    </w:p>
    <w:p>
      <w:pPr>
        <w:jc w:val="center"/>
        <w:rPr>
          <w:rFonts w:ascii="Arial" w:hAnsi="Arial" w:cs="Arial"/>
          <w:b/>
          <w:bCs/>
          <w:color w:val="000000" w:themeColor="text1"/>
          <w:kern w:val="24"/>
          <w:sz w:val="24"/>
          <w:szCs w:val="24"/>
          <w14:textFill>
            <w14:solidFill>
              <w14:schemeClr w14:val="tx1"/>
            </w14:solidFill>
          </w14:textFill>
        </w:rPr>
      </w:pPr>
    </w:p>
    <w:p>
      <w:pPr>
        <w:rPr>
          <w:sz w:val="24"/>
          <w:szCs w:val="24"/>
          <w:lang w:val="en-GB"/>
        </w:rPr>
      </w:pPr>
    </w:p>
    <w:p>
      <w:pPr>
        <w:rPr>
          <w:sz w:val="24"/>
          <w:szCs w:val="24"/>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jc w:val="center"/>
        <w:rPr>
          <w:rFonts w:ascii="Arial" w:hAnsi="Arial" w:cs="Arial"/>
          <w:b/>
          <w:bCs/>
          <w:sz w:val="24"/>
          <w:szCs w:val="24"/>
          <w:lang w:val="en-GB"/>
        </w:rPr>
      </w:pPr>
      <w:r>
        <w:rPr>
          <w:rFonts w:ascii="Arial" w:hAnsi="Arial" w:cs="Arial"/>
          <w:b/>
          <w:bCs/>
          <w:sz w:val="24"/>
          <w:szCs w:val="24"/>
          <w:lang w:val="en-GB"/>
        </w:rPr>
        <w:t xml:space="preserve">Student </w:t>
      </w:r>
      <w:r>
        <w:rPr>
          <w:rFonts w:ascii="Arial" w:hAnsi="Arial" w:cs="Arial"/>
          <w:b/>
          <w:bCs/>
          <w:sz w:val="24"/>
          <w:szCs w:val="24"/>
        </w:rPr>
        <w:t xml:space="preserve">Name: </w:t>
      </w:r>
      <w:r>
        <w:rPr>
          <w:rFonts w:ascii="Arial" w:hAnsi="Arial" w:cs="Arial"/>
          <w:sz w:val="24"/>
          <w:szCs w:val="24"/>
          <w:lang w:val="en-GB"/>
        </w:rPr>
        <w:t>Gyulten Harla</w:t>
      </w:r>
    </w:p>
    <w:p>
      <w:pPr>
        <w:jc w:val="center"/>
        <w:rPr>
          <w:rFonts w:ascii="Arial" w:hAnsi="Arial" w:cs="Arial"/>
          <w:b/>
          <w:bCs/>
          <w:sz w:val="24"/>
          <w:szCs w:val="24"/>
          <w:lang w:val="en-GB"/>
        </w:rPr>
      </w:pPr>
      <w:r>
        <w:rPr>
          <w:rFonts w:ascii="Arial" w:hAnsi="Arial" w:cs="Arial"/>
          <w:b/>
          <w:bCs/>
          <w:sz w:val="24"/>
          <w:szCs w:val="24"/>
          <w:lang w:val="en-GB"/>
        </w:rPr>
        <w:t xml:space="preserve">Student </w:t>
      </w:r>
      <w:r>
        <w:rPr>
          <w:rFonts w:ascii="Arial" w:hAnsi="Arial" w:cs="Arial"/>
          <w:b/>
          <w:bCs/>
          <w:sz w:val="24"/>
          <w:szCs w:val="24"/>
        </w:rPr>
        <w:t xml:space="preserve">ID: </w:t>
      </w:r>
      <w:r>
        <w:rPr>
          <w:rFonts w:ascii="Arial" w:hAnsi="Arial" w:cs="Arial"/>
          <w:b/>
          <w:bCs/>
          <w:sz w:val="24"/>
          <w:szCs w:val="24"/>
          <w:lang w:val="en-GB"/>
        </w:rPr>
        <w:t xml:space="preserve">       </w:t>
      </w:r>
      <w:r>
        <w:rPr>
          <w:rFonts w:ascii="Arial" w:hAnsi="Arial" w:cs="Arial"/>
          <w:sz w:val="24"/>
          <w:szCs w:val="24"/>
          <w:lang w:val="en-GB"/>
        </w:rPr>
        <w:t>2133453</w:t>
      </w:r>
    </w:p>
    <w:p>
      <w:pPr>
        <w:jc w:val="center"/>
        <w:rPr>
          <w:rFonts w:ascii="Arial" w:hAnsi="Arial" w:cs="Arial"/>
          <w:b/>
          <w:bCs/>
          <w:sz w:val="24"/>
          <w:szCs w:val="24"/>
        </w:rPr>
      </w:pPr>
      <w:r>
        <w:rPr>
          <w:rFonts w:ascii="Arial" w:hAnsi="Arial" w:cs="Arial"/>
          <w:b/>
          <w:bCs/>
          <w:sz w:val="24"/>
          <w:szCs w:val="24"/>
        </w:rPr>
        <w:t xml:space="preserve">Submission Date: </w:t>
      </w:r>
      <w:r>
        <w:rPr>
          <w:rFonts w:ascii="Arial" w:hAnsi="Arial" w:cs="Arial"/>
          <w:sz w:val="24"/>
          <w:szCs w:val="24"/>
        </w:rPr>
        <w:t>5 May 2023</w:t>
      </w:r>
    </w:p>
    <w:p>
      <w:pPr>
        <w:jc w:val="center"/>
        <w:rPr>
          <w:sz w:val="24"/>
          <w:szCs w:val="24"/>
          <w:lang w:val="en-GB"/>
        </w:rPr>
      </w:pPr>
    </w:p>
    <w:p>
      <w:pPr>
        <w:rPr>
          <w:lang w:val="en-GB"/>
        </w:rPr>
      </w:pPr>
    </w:p>
    <w:p>
      <w:pPr>
        <w:rPr>
          <w:lang w:val="en-GB"/>
        </w:rPr>
      </w:pPr>
    </w:p>
    <w:p>
      <w:pPr>
        <w:rPr>
          <w:lang w:val="en-GB"/>
        </w:rPr>
      </w:pPr>
    </w:p>
    <w:p>
      <w:pPr>
        <w:jc w:val="center"/>
        <w:rPr>
          <w:rFonts w:ascii="Arial" w:hAnsi="Arial" w:cs="Arial"/>
          <w:sz w:val="24"/>
          <w:szCs w:val="24"/>
          <w:lang w:val="en-GB"/>
        </w:rPr>
      </w:pPr>
      <w:r>
        <w:rPr>
          <w:rFonts w:ascii="Arial" w:hAnsi="Arial" w:cs="Arial"/>
          <w:b/>
          <w:bCs/>
          <w:sz w:val="24"/>
          <w:szCs w:val="24"/>
          <w:lang w:val="en-GB"/>
        </w:rPr>
        <w:t xml:space="preserve">Word count: </w:t>
      </w:r>
      <w:r>
        <w:rPr>
          <w:rFonts w:ascii="Arial" w:hAnsi="Arial" w:cs="Arial"/>
          <w:sz w:val="24"/>
          <w:szCs w:val="24"/>
          <w:lang w:val="en-GB"/>
        </w:rPr>
        <w:t>1554</w:t>
      </w:r>
    </w:p>
    <w:p>
      <w:pPr>
        <w:rPr>
          <w:rFonts w:ascii="Arial" w:hAnsi="Arial" w:cs="Arial"/>
          <w:b/>
          <w:bCs/>
          <w:sz w:val="24"/>
          <w:szCs w:val="24"/>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sdt>
      <w:sdtPr>
        <w:rPr>
          <w:rFonts w:cs="Arial" w:eastAsiaTheme="minorEastAsia"/>
          <w:b w:val="0"/>
          <w:color w:val="auto"/>
          <w:sz w:val="20"/>
          <w:szCs w:val="20"/>
          <w:lang w:eastAsia="zh-CN"/>
        </w:rPr>
        <w:id w:val="1019344808"/>
        <w:docPartObj>
          <w:docPartGallery w:val="Table of Contents"/>
          <w:docPartUnique/>
        </w:docPartObj>
      </w:sdtPr>
      <w:sdtEndPr>
        <w:rPr>
          <w:rFonts w:cs="Arial" w:eastAsiaTheme="minorEastAsia"/>
          <w:b w:val="0"/>
          <w:bCs/>
          <w:color w:val="auto"/>
          <w:sz w:val="20"/>
          <w:szCs w:val="20"/>
          <w:lang w:eastAsia="zh-CN"/>
        </w:rPr>
      </w:sdtEndPr>
      <w:sdtContent>
        <w:p>
          <w:pPr>
            <w:pStyle w:val="18"/>
            <w:rPr>
              <w:rFonts w:cs="Arial"/>
              <w:szCs w:val="22"/>
            </w:rPr>
          </w:pPr>
          <w:r>
            <w:rPr>
              <w:rFonts w:cs="Arial"/>
              <w:szCs w:val="22"/>
            </w:rPr>
            <w:t>Table of Contents</w:t>
          </w:r>
        </w:p>
        <w:p>
          <w:pPr>
            <w:pStyle w:val="11"/>
            <w:tabs>
              <w:tab w:val="right" w:leader="dot" w:pos="8296"/>
            </w:tabs>
            <w:rPr>
              <w:rFonts w:ascii="Arial" w:hAnsi="Arial" w:cs="Arial"/>
              <w:lang w:val="en-GB"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"_Toc133860566" </w:instrText>
          </w:r>
          <w:r>
            <w:fldChar w:fldCharType="separate"/>
          </w:r>
          <w:r>
            <w:rPr>
              <w:rStyle w:val="9"/>
              <w:rFonts w:ascii="Arial" w:hAnsi="Arial" w:cs="Arial"/>
              <w:lang w:val="en-GB"/>
            </w:rPr>
            <w:t>Introduction</w:t>
          </w:r>
          <w:r>
            <w:rPr>
              <w:rFonts w:ascii="Arial" w:hAnsi="Arial" w:cs="Arial"/>
            </w:rPr>
            <w:tab/>
          </w:r>
          <w:r>
            <w:rPr>
              <w:rFonts w:ascii="Arial" w:hAnsi="Arial" w:cs="Arial"/>
            </w:rPr>
            <w:fldChar w:fldCharType="begin"/>
          </w:r>
          <w:r>
            <w:rPr>
              <w:rFonts w:ascii="Arial" w:hAnsi="Arial" w:cs="Arial"/>
            </w:rPr>
            <w:instrText xml:space="preserve"> PAGEREF _Toc133860566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pPr>
            <w:pStyle w:val="11"/>
            <w:tabs>
              <w:tab w:val="right" w:leader="dot" w:pos="8296"/>
            </w:tabs>
            <w:rPr>
              <w:rFonts w:ascii="Arial" w:hAnsi="Arial" w:cs="Arial"/>
              <w:lang w:val="en-GB" w:eastAsia="en-GB"/>
            </w:rPr>
          </w:pPr>
          <w:r>
            <w:fldChar w:fldCharType="begin"/>
          </w:r>
          <w:r>
            <w:instrText xml:space="preserve"> HYPERLINK \l "_Toc133860567" </w:instrText>
          </w:r>
          <w:r>
            <w:fldChar w:fldCharType="separate"/>
          </w:r>
          <w:r>
            <w:rPr>
              <w:rStyle w:val="9"/>
              <w:rFonts w:ascii="Arial" w:hAnsi="Arial" w:cs="Arial"/>
            </w:rPr>
            <w:t>Reflection on Erikson’s psychosocial theory</w:t>
          </w:r>
          <w:r>
            <w:rPr>
              <w:rFonts w:ascii="Arial" w:hAnsi="Arial" w:cs="Arial"/>
            </w:rPr>
            <w:tab/>
          </w:r>
          <w:r>
            <w:rPr>
              <w:rFonts w:ascii="Arial" w:hAnsi="Arial" w:cs="Arial"/>
            </w:rPr>
            <w:fldChar w:fldCharType="begin"/>
          </w:r>
          <w:r>
            <w:rPr>
              <w:rFonts w:ascii="Arial" w:hAnsi="Arial" w:cs="Arial"/>
            </w:rPr>
            <w:instrText xml:space="preserve"> PAGEREF _Toc133860567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pPr>
            <w:pStyle w:val="12"/>
            <w:tabs>
              <w:tab w:val="right" w:leader="dot" w:pos="8296"/>
            </w:tabs>
            <w:rPr>
              <w:rFonts w:ascii="Arial" w:hAnsi="Arial" w:cs="Arial"/>
              <w:lang w:val="en-GB" w:eastAsia="en-GB"/>
            </w:rPr>
          </w:pPr>
          <w:r>
            <w:fldChar w:fldCharType="begin"/>
          </w:r>
          <w:r>
            <w:instrText xml:space="preserve"> HYPERLINK \l "_Toc133860568" </w:instrText>
          </w:r>
          <w:r>
            <w:fldChar w:fldCharType="separate"/>
          </w:r>
          <w:r>
            <w:rPr>
              <w:rStyle w:val="9"/>
              <w:rFonts w:ascii="Arial" w:hAnsi="Arial" w:cs="Arial"/>
              <w:bCs/>
              <w:lang w:val="en-GB"/>
            </w:rPr>
            <w:t>Childhood stages</w:t>
          </w:r>
          <w:r>
            <w:rPr>
              <w:rFonts w:ascii="Arial" w:hAnsi="Arial" w:cs="Arial"/>
            </w:rPr>
            <w:tab/>
          </w:r>
          <w:r>
            <w:rPr>
              <w:rFonts w:ascii="Arial" w:hAnsi="Arial" w:cs="Arial"/>
            </w:rPr>
            <w:fldChar w:fldCharType="begin"/>
          </w:r>
          <w:r>
            <w:rPr>
              <w:rFonts w:ascii="Arial" w:hAnsi="Arial" w:cs="Arial"/>
            </w:rPr>
            <w:instrText xml:space="preserve"> PAGEREF _Toc133860568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2"/>
            <w:tabs>
              <w:tab w:val="right" w:leader="dot" w:pos="8296"/>
            </w:tabs>
            <w:rPr>
              <w:rFonts w:ascii="Arial" w:hAnsi="Arial" w:cs="Arial"/>
              <w:lang w:val="en-GB" w:eastAsia="en-GB"/>
            </w:rPr>
          </w:pPr>
          <w:r>
            <w:fldChar w:fldCharType="begin"/>
          </w:r>
          <w:r>
            <w:instrText xml:space="preserve"> HYPERLINK \l "_Toc133860569" </w:instrText>
          </w:r>
          <w:r>
            <w:fldChar w:fldCharType="separate"/>
          </w:r>
          <w:r>
            <w:rPr>
              <w:rStyle w:val="9"/>
              <w:rFonts w:ascii="Arial" w:hAnsi="Arial" w:cs="Arial"/>
              <w:lang w:val="en-GB"/>
            </w:rPr>
            <w:t>Adolescence</w:t>
          </w:r>
          <w:r>
            <w:rPr>
              <w:rFonts w:ascii="Arial" w:hAnsi="Arial" w:cs="Arial"/>
            </w:rPr>
            <w:tab/>
          </w:r>
          <w:r>
            <w:rPr>
              <w:rFonts w:ascii="Arial" w:hAnsi="Arial" w:cs="Arial"/>
            </w:rPr>
            <w:fldChar w:fldCharType="begin"/>
          </w:r>
          <w:r>
            <w:rPr>
              <w:rFonts w:ascii="Arial" w:hAnsi="Arial" w:cs="Arial"/>
            </w:rPr>
            <w:instrText xml:space="preserve"> PAGEREF _Toc133860569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2"/>
            <w:tabs>
              <w:tab w:val="right" w:leader="dot" w:pos="8296"/>
            </w:tabs>
            <w:rPr>
              <w:rFonts w:ascii="Arial" w:hAnsi="Arial" w:cs="Arial"/>
              <w:lang w:val="en-GB" w:eastAsia="en-GB"/>
            </w:rPr>
          </w:pPr>
          <w:r>
            <w:fldChar w:fldCharType="begin"/>
          </w:r>
          <w:r>
            <w:instrText xml:space="preserve"> HYPERLINK \l "_Toc133860570" </w:instrText>
          </w:r>
          <w:r>
            <w:fldChar w:fldCharType="separate"/>
          </w:r>
          <w:r>
            <w:rPr>
              <w:rStyle w:val="9"/>
              <w:rFonts w:ascii="Arial" w:hAnsi="Arial" w:cs="Arial"/>
              <w:lang w:val="en-GB"/>
            </w:rPr>
            <w:t>Adulthood stages</w:t>
          </w:r>
          <w:r>
            <w:rPr>
              <w:rFonts w:ascii="Arial" w:hAnsi="Arial" w:cs="Arial"/>
            </w:rPr>
            <w:tab/>
          </w:r>
          <w:r>
            <w:rPr>
              <w:rFonts w:ascii="Arial" w:hAnsi="Arial" w:cs="Arial"/>
            </w:rPr>
            <w:fldChar w:fldCharType="begin"/>
          </w:r>
          <w:r>
            <w:rPr>
              <w:rFonts w:ascii="Arial" w:hAnsi="Arial" w:cs="Arial"/>
            </w:rPr>
            <w:instrText xml:space="preserve"> PAGEREF _Toc133860570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2"/>
            <w:tabs>
              <w:tab w:val="right" w:leader="dot" w:pos="8296"/>
            </w:tabs>
            <w:rPr>
              <w:rFonts w:ascii="Arial" w:hAnsi="Arial" w:cs="Arial"/>
              <w:lang w:val="en-GB" w:eastAsia="en-GB"/>
            </w:rPr>
          </w:pPr>
          <w:r>
            <w:fldChar w:fldCharType="begin"/>
          </w:r>
          <w:r>
            <w:instrText xml:space="preserve"> HYPERLINK \l "_Toc133860571" </w:instrText>
          </w:r>
          <w:r>
            <w:fldChar w:fldCharType="separate"/>
          </w:r>
          <w:r>
            <w:rPr>
              <w:rStyle w:val="9"/>
              <w:rFonts w:ascii="Arial" w:hAnsi="Arial" w:cs="Arial"/>
              <w:lang w:val="en-GB"/>
            </w:rPr>
            <w:t>Maturity</w:t>
          </w:r>
          <w:r>
            <w:rPr>
              <w:rFonts w:ascii="Arial" w:hAnsi="Arial" w:cs="Arial"/>
            </w:rPr>
            <w:tab/>
          </w:r>
          <w:r>
            <w:rPr>
              <w:rFonts w:ascii="Arial" w:hAnsi="Arial" w:cs="Arial"/>
            </w:rPr>
            <w:fldChar w:fldCharType="begin"/>
          </w:r>
          <w:r>
            <w:rPr>
              <w:rFonts w:ascii="Arial" w:hAnsi="Arial" w:cs="Arial"/>
            </w:rPr>
            <w:instrText xml:space="preserve"> PAGEREF _Toc133860571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2"/>
            <w:tabs>
              <w:tab w:val="right" w:leader="dot" w:pos="8296"/>
            </w:tabs>
            <w:rPr>
              <w:rFonts w:ascii="Arial" w:hAnsi="Arial" w:cs="Arial"/>
              <w:lang w:val="en-GB" w:eastAsia="en-GB"/>
            </w:rPr>
          </w:pPr>
          <w:r>
            <w:fldChar w:fldCharType="begin"/>
          </w:r>
          <w:r>
            <w:instrText xml:space="preserve"> HYPERLINK \l "_Toc133860572" </w:instrText>
          </w:r>
          <w:r>
            <w:fldChar w:fldCharType="separate"/>
          </w:r>
          <w:r>
            <w:rPr>
              <w:rStyle w:val="9"/>
              <w:rFonts w:ascii="Arial" w:hAnsi="Arial" w:cs="Arial"/>
              <w:lang w:val="en-GB"/>
            </w:rPr>
            <w:t>Strengths</w:t>
          </w:r>
          <w:r>
            <w:rPr>
              <w:rFonts w:ascii="Arial" w:hAnsi="Arial" w:cs="Arial"/>
            </w:rPr>
            <w:tab/>
          </w:r>
          <w:r>
            <w:rPr>
              <w:rFonts w:ascii="Arial" w:hAnsi="Arial" w:cs="Arial"/>
            </w:rPr>
            <w:fldChar w:fldCharType="begin"/>
          </w:r>
          <w:r>
            <w:rPr>
              <w:rFonts w:ascii="Arial" w:hAnsi="Arial" w:cs="Arial"/>
            </w:rPr>
            <w:instrText xml:space="preserve"> PAGEREF _Toc133860572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1"/>
            <w:tabs>
              <w:tab w:val="right" w:leader="dot" w:pos="8296"/>
            </w:tabs>
            <w:rPr>
              <w:rFonts w:ascii="Arial" w:hAnsi="Arial" w:cs="Arial"/>
              <w:lang w:val="en-GB" w:eastAsia="en-GB"/>
            </w:rPr>
          </w:pPr>
          <w:r>
            <w:fldChar w:fldCharType="begin"/>
          </w:r>
          <w:r>
            <w:instrText xml:space="preserve"> HYPERLINK \l "_Toc133860573" </w:instrText>
          </w:r>
          <w:r>
            <w:fldChar w:fldCharType="separate"/>
          </w:r>
          <w:r>
            <w:rPr>
              <w:rStyle w:val="9"/>
              <w:rFonts w:ascii="Arial" w:hAnsi="Arial" w:cs="Arial"/>
            </w:rPr>
            <w:t>Impact of social learning theory on my life</w:t>
          </w:r>
          <w:r>
            <w:rPr>
              <w:rFonts w:ascii="Arial" w:hAnsi="Arial" w:cs="Arial"/>
            </w:rPr>
            <w:tab/>
          </w:r>
          <w:r>
            <w:rPr>
              <w:rFonts w:ascii="Arial" w:hAnsi="Arial" w:cs="Arial"/>
            </w:rPr>
            <w:fldChar w:fldCharType="begin"/>
          </w:r>
          <w:r>
            <w:rPr>
              <w:rFonts w:ascii="Arial" w:hAnsi="Arial" w:cs="Arial"/>
            </w:rPr>
            <w:instrText xml:space="preserve"> PAGEREF _Toc133860573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pPr>
            <w:pStyle w:val="12"/>
            <w:tabs>
              <w:tab w:val="right" w:leader="dot" w:pos="8296"/>
            </w:tabs>
            <w:rPr>
              <w:rFonts w:ascii="Arial" w:hAnsi="Arial" w:cs="Arial"/>
              <w:lang w:val="en-GB" w:eastAsia="en-GB"/>
            </w:rPr>
          </w:pPr>
          <w:r>
            <w:fldChar w:fldCharType="begin"/>
          </w:r>
          <w:r>
            <w:instrText xml:space="preserve"> HYPERLINK \l "_Toc133860574" </w:instrText>
          </w:r>
          <w:r>
            <w:fldChar w:fldCharType="separate"/>
          </w:r>
          <w:r>
            <w:rPr>
              <w:rStyle w:val="9"/>
              <w:rFonts w:ascii="Arial" w:hAnsi="Arial" w:cs="Arial"/>
              <w:lang w:val="en-GB"/>
            </w:rPr>
            <w:t>Critical evaluation of the SLT</w:t>
          </w:r>
          <w:r>
            <w:rPr>
              <w:rFonts w:ascii="Arial" w:hAnsi="Arial" w:cs="Arial"/>
            </w:rPr>
            <w:tab/>
          </w:r>
          <w:r>
            <w:rPr>
              <w:rFonts w:ascii="Arial" w:hAnsi="Arial" w:cs="Arial"/>
            </w:rPr>
            <w:fldChar w:fldCharType="begin"/>
          </w:r>
          <w:r>
            <w:rPr>
              <w:rFonts w:ascii="Arial" w:hAnsi="Arial" w:cs="Arial"/>
            </w:rPr>
            <w:instrText xml:space="preserve"> PAGEREF _Toc133860574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pPr>
            <w:pStyle w:val="11"/>
            <w:tabs>
              <w:tab w:val="right" w:leader="dot" w:pos="8296"/>
            </w:tabs>
            <w:rPr>
              <w:rFonts w:ascii="Arial" w:hAnsi="Arial" w:cs="Arial"/>
              <w:lang w:val="en-GB" w:eastAsia="en-GB"/>
            </w:rPr>
          </w:pPr>
          <w:r>
            <w:fldChar w:fldCharType="begin"/>
          </w:r>
          <w:r>
            <w:instrText xml:space="preserve"> HYPERLINK \l "_Toc133860575" </w:instrText>
          </w:r>
          <w:r>
            <w:fldChar w:fldCharType="separate"/>
          </w:r>
          <w:r>
            <w:rPr>
              <w:rStyle w:val="9"/>
              <w:rFonts w:ascii="Arial" w:hAnsi="Arial" w:cs="Arial"/>
            </w:rPr>
            <w:t>Application of theories learnt to my current job</w:t>
          </w:r>
          <w:r>
            <w:rPr>
              <w:rFonts w:ascii="Arial" w:hAnsi="Arial" w:cs="Arial"/>
            </w:rPr>
            <w:tab/>
          </w:r>
          <w:r>
            <w:rPr>
              <w:rFonts w:ascii="Arial" w:hAnsi="Arial" w:cs="Arial"/>
            </w:rPr>
            <w:fldChar w:fldCharType="begin"/>
          </w:r>
          <w:r>
            <w:rPr>
              <w:rFonts w:ascii="Arial" w:hAnsi="Arial" w:cs="Arial"/>
            </w:rPr>
            <w:instrText xml:space="preserve"> PAGEREF _Toc133860575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pPr>
            <w:rPr>
              <w:rFonts w:ascii="Arial" w:hAnsi="Arial" w:cs="Arial"/>
            </w:rPr>
          </w:pPr>
          <w:r>
            <w:rPr>
              <w:rFonts w:ascii="Arial" w:hAnsi="Arial" w:cs="Arial"/>
              <w:b/>
              <w:bCs/>
              <w:sz w:val="22"/>
              <w:szCs w:val="22"/>
            </w:rPr>
            <w:fldChar w:fldCharType="end"/>
          </w:r>
        </w:p>
      </w:sdtContent>
    </w:sdt>
    <w:p>
      <w:pPr>
        <w:rPr>
          <w:rFonts w:ascii="Arial" w:hAnsi="Arial" w:cs="Arial"/>
          <w:sz w:val="22"/>
          <w:szCs w:val="22"/>
          <w:lang w:val="en-GB"/>
        </w:rPr>
      </w:pPr>
      <w:r>
        <w:rPr>
          <w:rFonts w:ascii="Arial" w:hAnsi="Arial" w:cs="Arial"/>
          <w:sz w:val="22"/>
          <w:szCs w:val="22"/>
          <w:lang w:val="en-GB"/>
        </w:rPr>
        <w:br w:type="page"/>
      </w:r>
    </w:p>
    <w:p>
      <w:pPr>
        <w:spacing w:line="276" w:lineRule="auto"/>
        <w:rPr>
          <w:rFonts w:ascii="Arial" w:hAnsi="Arial" w:cs="Arial"/>
          <w:sz w:val="22"/>
          <w:szCs w:val="22"/>
          <w:lang w:val="en-GB"/>
        </w:rPr>
      </w:pPr>
    </w:p>
    <w:p>
      <w:pPr>
        <w:pStyle w:val="2"/>
        <w:rPr>
          <w:rFonts w:cs="Arial"/>
          <w:b w:val="0"/>
          <w:szCs w:val="22"/>
          <w:lang w:val="en-GB"/>
        </w:rPr>
      </w:pPr>
      <w:bookmarkStart w:id="0" w:name="_Toc133860566"/>
      <w:r>
        <w:rPr>
          <w:rFonts w:cs="Arial"/>
          <w:szCs w:val="22"/>
          <w:lang w:val="en-GB"/>
        </w:rPr>
        <w:t>Introduction</w:t>
      </w:r>
      <w:bookmarkEnd w:id="0"/>
    </w:p>
    <w:p>
      <w:pPr>
        <w:spacing w:line="360" w:lineRule="auto"/>
        <w:ind w:firstLine="720"/>
        <w:rPr>
          <w:rFonts w:ascii="Arial" w:hAnsi="Arial" w:cs="Arial"/>
          <w:sz w:val="22"/>
          <w:szCs w:val="22"/>
        </w:rPr>
      </w:pPr>
      <w:r>
        <w:rPr>
          <w:rFonts w:ascii="Arial" w:hAnsi="Arial" w:cs="Arial"/>
          <w:sz w:val="22"/>
          <w:szCs w:val="22"/>
        </w:rPr>
        <w:t>In this report, I</w:t>
      </w:r>
      <w:r>
        <w:rPr>
          <w:rFonts w:ascii="Arial" w:hAnsi="Arial" w:cs="Arial"/>
          <w:sz w:val="22"/>
          <w:szCs w:val="22"/>
          <w:lang w:val="en-GB"/>
        </w:rPr>
        <w:t xml:space="preserve"> will </w:t>
      </w:r>
      <w:r>
        <w:rPr>
          <w:rFonts w:ascii="Arial" w:hAnsi="Arial" w:cs="Arial"/>
          <w:sz w:val="22"/>
          <w:szCs w:val="22"/>
        </w:rPr>
        <w:t>discuss Erikson’s psychosocial theory which I focused on in my group presentation. Then I</w:t>
      </w:r>
      <w:r>
        <w:rPr>
          <w:rFonts w:ascii="Arial" w:hAnsi="Arial" w:cs="Arial"/>
          <w:sz w:val="22"/>
          <w:szCs w:val="22"/>
          <w:lang w:val="en-GB"/>
        </w:rPr>
        <w:t xml:space="preserve"> will</w:t>
      </w:r>
      <w:r>
        <w:rPr>
          <w:rFonts w:ascii="Arial" w:hAnsi="Arial" w:cs="Arial"/>
          <w:sz w:val="22"/>
          <w:szCs w:val="22"/>
        </w:rPr>
        <w:t xml:space="preserve"> describe social learning theory and explain how it has affected my life. Finally, I will discuss how these theories can help me in my current or future career. </w:t>
      </w:r>
    </w:p>
    <w:p>
      <w:pPr>
        <w:pStyle w:val="2"/>
        <w:rPr>
          <w:rFonts w:cs="Arial"/>
          <w:szCs w:val="22"/>
        </w:rPr>
      </w:pPr>
      <w:bookmarkStart w:id="1" w:name="_Toc133860567"/>
      <w:r>
        <w:rPr>
          <w:rFonts w:cs="Arial"/>
          <w:szCs w:val="22"/>
        </w:rPr>
        <w:t>Reflection on Erikson’s psychosocial theory</w:t>
      </w:r>
      <w:bookmarkEnd w:id="1"/>
    </w:p>
    <w:p>
      <w:pPr>
        <w:pStyle w:val="10"/>
        <w:spacing w:beforeAutospacing="0" w:afterAutospacing="0" w:line="360" w:lineRule="auto"/>
        <w:ind w:firstLine="720"/>
        <w:rPr>
          <w:rFonts w:ascii="Arial" w:hAnsi="Arial" w:cs="Arial"/>
          <w:sz w:val="22"/>
          <w:szCs w:val="22"/>
          <w:lang w:val="en-GB"/>
        </w:rPr>
      </w:pPr>
      <w:r>
        <w:rPr>
          <w:rFonts w:ascii="Arial" w:hAnsi="Arial" w:cs="Arial"/>
          <w:sz w:val="22"/>
          <w:szCs w:val="22"/>
          <w:lang w:val="en-GB"/>
        </w:rPr>
        <w:t>Eric Erikson was born in 1902, in Frankfurt in Germany, and in 1994, he died in Harwich, Massachusetts. As a professor of psychology at the University of California he wrote essays that explored his views on psychosocial development. (</w:t>
      </w:r>
      <w:r>
        <w:rPr>
          <w:rFonts w:ascii="Arial" w:hAnsi="Arial" w:cs="Arial"/>
          <w:sz w:val="22"/>
          <w:szCs w:val="22"/>
        </w:rPr>
        <w:t xml:space="preserve">Encyclopedia Britannica, 2018). </w:t>
      </w:r>
    </w:p>
    <w:p>
      <w:pPr>
        <w:spacing w:line="360" w:lineRule="auto"/>
        <w:ind w:firstLine="720"/>
        <w:rPr>
          <w:rFonts w:ascii="Arial" w:hAnsi="Arial" w:cs="Arial"/>
          <w:sz w:val="22"/>
          <w:szCs w:val="22"/>
          <w:lang w:val="en-GB"/>
        </w:rPr>
      </w:pPr>
      <w:r>
        <w:rPr>
          <w:rFonts w:ascii="Arial" w:hAnsi="Arial" w:cs="Arial"/>
          <w:sz w:val="22"/>
          <w:szCs w:val="22"/>
          <w:lang w:val="en-GB"/>
        </w:rPr>
        <w:t>Erikson's theory is grounded in the concept of epigenetics which proposes that development follows a time-bound and community-based pattern (Herbert, 2021). Relationships and social interaction play crucial roles in this framework of relationships. Erikson believed that social experience had a lasting impact on the development and growth of humans (Cherry, 2022).</w:t>
      </w:r>
    </w:p>
    <w:p>
      <w:pPr>
        <w:shd w:val="clear" w:color="auto" w:fill="FFFFFF"/>
        <w:spacing w:line="360" w:lineRule="auto"/>
        <w:ind w:firstLine="720"/>
        <w:rPr>
          <w:rFonts w:ascii="Arial" w:hAnsi="Arial" w:eastAsia="Times New Roman" w:cs="Arial"/>
          <w:color w:val="000000" w:themeColor="text1"/>
          <w:sz w:val="22"/>
          <w:szCs w:val="22"/>
          <w:lang w:val="en-GB" w:eastAsia="en-GB"/>
          <w14:textFill>
            <w14:solidFill>
              <w14:schemeClr w14:val="tx1"/>
            </w14:solidFill>
          </w14:textFill>
        </w:rPr>
      </w:pPr>
      <w:r>
        <w:rPr>
          <w:rFonts w:ascii="Arial" w:hAnsi="Arial" w:eastAsia="Times New Roman" w:cs="Arial"/>
          <w:color w:val="000000" w:themeColor="text1"/>
          <w:sz w:val="22"/>
          <w:szCs w:val="22"/>
          <w:lang w:val="en-GB" w:eastAsia="en-GB"/>
          <w14:textFill>
            <w14:solidFill>
              <w14:schemeClr w14:val="tx1"/>
            </w14:solidFill>
          </w14:textFill>
        </w:rPr>
        <w:t xml:space="preserve">From infancy to maturity, Erikson proposed eight distinct stages of psychological and social growth (Figure 1). At each stage, the individual faces a psychological crisis, which can positively and negatively affect their developing character (Mcleod, 2023). </w:t>
      </w:r>
      <w:r>
        <w:rPr>
          <w:rFonts w:ascii="Arial" w:hAnsi="Arial" w:cs="Arial"/>
          <w:sz w:val="22"/>
          <w:szCs w:val="22"/>
        </w:rPr>
        <w:t>During these phases, there are various degrees of trust, mistrust, autonomy, initiative, industry, interiority, identity crisis, and isolation (</w:t>
      </w:r>
      <w:r>
        <w:rPr>
          <w:rFonts w:ascii="Arial" w:hAnsi="Arial" w:cs="Arial"/>
          <w:sz w:val="22"/>
          <w:szCs w:val="22"/>
          <w:lang w:val="en-GB"/>
        </w:rPr>
        <w:t>Herbert, 2021)</w:t>
      </w:r>
      <w:r>
        <w:rPr>
          <w:rFonts w:ascii="Arial" w:hAnsi="Arial" w:cs="Arial"/>
          <w:sz w:val="22"/>
          <w:szCs w:val="22"/>
        </w:rPr>
        <w:t xml:space="preserve">. </w:t>
      </w:r>
    </w:p>
    <w:p>
      <w:pPr>
        <w:pStyle w:val="10"/>
        <w:spacing w:beforeAutospacing="0" w:afterAutospacing="0" w:line="360" w:lineRule="auto"/>
        <w:ind w:firstLine="720"/>
        <w:jc w:val="center"/>
        <w:rPr>
          <w:rFonts w:ascii="Arial" w:hAnsi="Arial" w:cs="Arial"/>
          <w:b/>
          <w:bCs/>
          <w:sz w:val="22"/>
          <w:szCs w:val="22"/>
          <w:lang w:val="en-GB"/>
        </w:rPr>
      </w:pPr>
      <w:r>
        <w:rPr>
          <w:rFonts w:ascii="Arial" w:hAnsi="Arial" w:cs="Arial"/>
          <w:sz w:val="22"/>
          <w:szCs w:val="22"/>
        </w:rPr>
        <w:drawing>
          <wp:inline distT="0" distB="0" distL="114300" distR="114300">
            <wp:extent cx="2947035" cy="1967230"/>
            <wp:effectExtent l="0" t="0" r="9525" b="1397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6"/>
                    <a:stretch>
                      <a:fillRect/>
                    </a:stretch>
                  </pic:blipFill>
                  <pic:spPr>
                    <a:xfrm>
                      <a:off x="0" y="0"/>
                      <a:ext cx="2947035" cy="1967230"/>
                    </a:xfrm>
                    <a:prstGeom prst="rect">
                      <a:avLst/>
                    </a:prstGeom>
                    <a:noFill/>
                    <a:ln w="9525">
                      <a:noFill/>
                    </a:ln>
                  </pic:spPr>
                </pic:pic>
              </a:graphicData>
            </a:graphic>
          </wp:inline>
        </w:drawing>
      </w:r>
    </w:p>
    <w:p>
      <w:pPr>
        <w:pStyle w:val="10"/>
        <w:spacing w:beforeAutospacing="0" w:afterAutospacing="0" w:line="360" w:lineRule="auto"/>
        <w:ind w:firstLine="720"/>
        <w:rPr>
          <w:rFonts w:ascii="Arial" w:hAnsi="Arial" w:eastAsia="Times New Roman" w:cs="Arial"/>
          <w:b/>
          <w:bCs/>
          <w:color w:val="000000" w:themeColor="text1"/>
          <w:sz w:val="22"/>
          <w:szCs w:val="22"/>
          <w:lang w:val="en-GB" w:eastAsia="en-GB"/>
          <w14:textFill>
            <w14:solidFill>
              <w14:schemeClr w14:val="tx1"/>
            </w14:solidFill>
          </w14:textFill>
        </w:rPr>
      </w:pPr>
      <w:r>
        <w:rPr>
          <w:rFonts w:ascii="Arial" w:hAnsi="Arial" w:eastAsia="Times New Roman" w:cs="Arial"/>
          <w:b/>
          <w:bCs/>
          <w:color w:val="000000" w:themeColor="text1"/>
          <w:sz w:val="22"/>
          <w:szCs w:val="22"/>
          <w:lang w:val="en-GB" w:eastAsia="en-GB"/>
          <w14:textFill>
            <w14:solidFill>
              <w14:schemeClr w14:val="tx1"/>
            </w14:solidFill>
          </w14:textFill>
        </w:rPr>
        <w:t>Figure 1</w:t>
      </w:r>
    </w:p>
    <w:p>
      <w:pPr>
        <w:shd w:val="clear" w:color="auto" w:fill="FFFFFF"/>
        <w:spacing w:line="360" w:lineRule="auto"/>
        <w:ind w:firstLine="720"/>
        <w:rPr>
          <w:rFonts w:ascii="Arial" w:hAnsi="Arial" w:eastAsia="Times New Roman" w:cs="Arial"/>
          <w:color w:val="000000" w:themeColor="text1"/>
          <w:sz w:val="22"/>
          <w:szCs w:val="22"/>
          <w:lang w:val="en-GB" w:eastAsia="en-GB"/>
          <w14:textFill>
            <w14:solidFill>
              <w14:schemeClr w14:val="tx1"/>
            </w14:solidFill>
          </w14:textFill>
        </w:rPr>
      </w:pPr>
      <w:r>
        <w:rPr>
          <w:rFonts w:ascii="Arial" w:hAnsi="Arial" w:eastAsia="Times New Roman" w:cs="Arial"/>
          <w:color w:val="000000" w:themeColor="text1"/>
          <w:sz w:val="22"/>
          <w:szCs w:val="22"/>
          <w:lang w:val="en-GB" w:eastAsia="en-GB"/>
          <w14:textFill>
            <w14:solidFill>
              <w14:schemeClr w14:val="tx1"/>
            </w14:solidFill>
          </w14:textFill>
        </w:rPr>
        <w:t>Erikson’s stages of psychosocial development (</w:t>
      </w:r>
      <w:r>
        <w:rPr>
          <w:rFonts w:ascii="Arial" w:hAnsi="Arial" w:cs="Arial"/>
          <w:color w:val="000000" w:themeColor="text1"/>
          <w:sz w:val="22"/>
          <w:szCs w:val="22"/>
          <w:lang w:val="en-GB"/>
          <w14:textFill>
            <w14:solidFill>
              <w14:schemeClr w14:val="tx1"/>
            </w14:solidFill>
          </w14:textFill>
        </w:rPr>
        <w:t>Cherry, 2022)</w:t>
      </w:r>
    </w:p>
    <w:p>
      <w:pPr>
        <w:pStyle w:val="10"/>
        <w:spacing w:beforeAutospacing="0" w:afterAutospacing="0" w:line="360" w:lineRule="auto"/>
        <w:rPr>
          <w:rFonts w:ascii="Arial" w:hAnsi="Arial" w:cs="Arial"/>
          <w:b/>
          <w:bCs/>
          <w:sz w:val="22"/>
          <w:szCs w:val="22"/>
        </w:rPr>
      </w:pPr>
    </w:p>
    <w:p>
      <w:pPr>
        <w:pStyle w:val="10"/>
        <w:spacing w:beforeAutospacing="0" w:afterAutospacing="0" w:line="360" w:lineRule="auto"/>
        <w:rPr>
          <w:rFonts w:ascii="Arial" w:hAnsi="Arial" w:cs="Arial"/>
          <w:b/>
          <w:bCs/>
          <w:sz w:val="22"/>
          <w:szCs w:val="22"/>
        </w:rPr>
      </w:pPr>
    </w:p>
    <w:p>
      <w:pPr>
        <w:pStyle w:val="10"/>
        <w:spacing w:beforeAutospacing="0" w:afterAutospacing="0" w:line="360" w:lineRule="auto"/>
        <w:rPr>
          <w:rFonts w:ascii="Arial" w:hAnsi="Arial" w:cs="Arial"/>
          <w:b/>
          <w:bCs/>
          <w:sz w:val="22"/>
          <w:szCs w:val="22"/>
        </w:rPr>
      </w:pPr>
    </w:p>
    <w:p>
      <w:pPr>
        <w:spacing w:line="360" w:lineRule="auto"/>
        <w:rPr>
          <w:rFonts w:ascii="Arial" w:hAnsi="Arial" w:eastAsia="SimSun" w:cs="Arial"/>
          <w:sz w:val="22"/>
          <w:szCs w:val="22"/>
          <w:lang w:val="en-GB"/>
        </w:rPr>
      </w:pPr>
    </w:p>
    <w:p>
      <w:pPr>
        <w:pStyle w:val="10"/>
        <w:spacing w:beforeAutospacing="0" w:afterAutospacing="0" w:line="360" w:lineRule="auto"/>
        <w:rPr>
          <w:rFonts w:ascii="Arial" w:hAnsi="Arial" w:cs="Arial"/>
          <w:b/>
          <w:bCs/>
          <w:sz w:val="22"/>
          <w:szCs w:val="22"/>
        </w:rPr>
      </w:pPr>
      <w:r>
        <w:rPr>
          <w:rFonts w:ascii="Arial" w:hAnsi="Arial" w:cs="Arial"/>
          <w:b/>
          <w:bCs/>
          <w:sz w:val="22"/>
          <w:szCs w:val="22"/>
        </w:rPr>
        <w:drawing>
          <wp:inline distT="0" distB="0" distL="0" distR="0">
            <wp:extent cx="5314950" cy="7409815"/>
            <wp:effectExtent l="38100" t="38100" r="95250" b="76835"/>
            <wp:docPr id="126329757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10"/>
        <w:spacing w:beforeAutospacing="0" w:afterAutospacing="0" w:line="360" w:lineRule="auto"/>
        <w:rPr>
          <w:rFonts w:ascii="Arial" w:hAnsi="Arial" w:cs="Arial"/>
          <w:b/>
          <w:bCs/>
          <w:sz w:val="22"/>
          <w:szCs w:val="22"/>
        </w:rPr>
      </w:pPr>
      <w:r>
        <w:rPr>
          <w:rFonts w:ascii="Arial" w:hAnsi="Arial" w:cs="Arial"/>
          <w:b/>
          <w:bCs/>
          <w:sz w:val="22"/>
          <w:szCs w:val="22"/>
        </w:rPr>
        <w:t>Figure 2</w:t>
      </w:r>
    </w:p>
    <w:p>
      <w:pPr>
        <w:pStyle w:val="10"/>
        <w:spacing w:beforeAutospacing="0" w:afterAutospacing="0" w:line="360" w:lineRule="auto"/>
        <w:rPr>
          <w:rFonts w:ascii="Arial" w:hAnsi="Arial" w:cs="Arial"/>
          <w:i/>
          <w:iCs/>
          <w:sz w:val="22"/>
          <w:szCs w:val="22"/>
          <w:lang w:val="en-GB"/>
        </w:rPr>
      </w:pPr>
      <w:r>
        <w:rPr>
          <w:rFonts w:ascii="Arial" w:hAnsi="Arial" w:cs="Arial"/>
          <w:i/>
          <w:iCs/>
          <w:sz w:val="22"/>
          <w:szCs w:val="22"/>
        </w:rPr>
        <w:t>Summary of the Stages of Erikson’s Theory (Mcleod, 20</w:t>
      </w:r>
      <w:r>
        <w:rPr>
          <w:rFonts w:hint="default" w:ascii="Arial" w:hAnsi="Arial" w:cs="Arial"/>
          <w:i/>
          <w:iCs/>
          <w:sz w:val="22"/>
          <w:szCs w:val="22"/>
          <w:lang w:val="en-GB"/>
        </w:rPr>
        <w:t>23</w:t>
      </w:r>
      <w:r>
        <w:rPr>
          <w:rFonts w:ascii="Arial" w:hAnsi="Arial" w:cs="Arial"/>
          <w:i/>
          <w:iCs/>
          <w:sz w:val="22"/>
          <w:szCs w:val="22"/>
        </w:rPr>
        <w:t>; Cherry, 2022</w:t>
      </w:r>
      <w:r>
        <w:rPr>
          <w:rFonts w:ascii="Arial" w:hAnsi="Arial" w:cs="Arial"/>
          <w:i/>
          <w:iCs/>
          <w:sz w:val="22"/>
          <w:szCs w:val="22"/>
          <w:lang w:val="en-GB"/>
        </w:rPr>
        <w:t>)</w:t>
      </w:r>
    </w:p>
    <w:p>
      <w:pPr>
        <w:spacing w:line="360" w:lineRule="auto"/>
        <w:rPr>
          <w:rFonts w:ascii="Arial" w:hAnsi="Arial" w:eastAsia="SimSun" w:cs="Arial"/>
          <w:sz w:val="22"/>
          <w:szCs w:val="22"/>
          <w:lang w:val="en-GB"/>
        </w:rPr>
      </w:pPr>
    </w:p>
    <w:p>
      <w:pPr>
        <w:spacing w:line="360" w:lineRule="auto"/>
        <w:rPr>
          <w:rFonts w:ascii="Arial" w:hAnsi="Arial" w:eastAsia="SimSun" w:cs="Arial"/>
          <w:sz w:val="22"/>
          <w:szCs w:val="22"/>
          <w:lang w:val="en-GB"/>
        </w:rPr>
      </w:pPr>
    </w:p>
    <w:p>
      <w:pPr>
        <w:spacing w:line="360" w:lineRule="auto"/>
        <w:rPr>
          <w:rFonts w:ascii="Arial" w:hAnsi="Arial" w:eastAsia="SimSun" w:cs="Arial"/>
          <w:sz w:val="22"/>
          <w:szCs w:val="22"/>
          <w:lang w:val="en-GB"/>
        </w:rPr>
      </w:pPr>
    </w:p>
    <w:p>
      <w:pPr>
        <w:pStyle w:val="3"/>
        <w:rPr>
          <w:rFonts w:cs="Arial"/>
          <w:bCs/>
          <w:szCs w:val="22"/>
          <w:lang w:val="en-GB"/>
        </w:rPr>
      </w:pPr>
      <w:bookmarkStart w:id="2" w:name="_Toc133860568"/>
      <w:r>
        <w:rPr>
          <w:rFonts w:cs="Arial"/>
          <w:bCs/>
          <w:szCs w:val="22"/>
          <w:lang w:val="en-GB"/>
        </w:rPr>
        <w:t>Childhood stages</w:t>
      </w:r>
      <w:bookmarkEnd w:id="2"/>
    </w:p>
    <w:p>
      <w:pPr>
        <w:spacing w:line="360" w:lineRule="auto"/>
        <w:ind w:firstLine="720"/>
        <w:rPr>
          <w:rFonts w:ascii="Arial" w:hAnsi="Arial" w:eastAsia="SimSun" w:cs="Arial"/>
          <w:sz w:val="22"/>
          <w:szCs w:val="22"/>
          <w:highlight w:val="none"/>
          <w:lang w:val="en-GB"/>
        </w:rPr>
      </w:pPr>
      <w:r>
        <w:rPr>
          <w:rFonts w:ascii="Arial" w:hAnsi="Arial" w:eastAsia="SimSun" w:cs="Arial"/>
          <w:sz w:val="22"/>
          <w:szCs w:val="22"/>
          <w:lang w:val="en-GB"/>
        </w:rPr>
        <w:t xml:space="preserve">In the first stage, when adults are consistent, kind, and affectionate, infants and toddlers feel safe enough to trust others for the first time in their young lives </w:t>
      </w:r>
      <w:r>
        <w:rPr>
          <w:rFonts w:ascii="Arial" w:hAnsi="Arial" w:eastAsia="SimSun" w:cs="Arial"/>
          <w:color w:val="000000" w:themeColor="text1"/>
          <w:sz w:val="22"/>
          <w:szCs w:val="22"/>
          <w:highlight w:val="none"/>
          <w:lang w:val="en-GB"/>
          <w14:textFill>
            <w14:solidFill>
              <w14:schemeClr w14:val="tx1"/>
            </w14:solidFill>
          </w14:textFill>
        </w:rPr>
        <w:t>(Lifespan Development, 2023)</w:t>
      </w:r>
      <w:r>
        <w:rPr>
          <w:rFonts w:ascii="Arial" w:hAnsi="Arial" w:eastAsia="SimSun" w:cs="Arial"/>
          <w:sz w:val="22"/>
          <w:szCs w:val="22"/>
          <w:lang w:val="en-GB"/>
        </w:rPr>
        <w:t xml:space="preserve">. In the second stage, parents and carers can foster independence by giving children some responsibility for everyday activities and decisions. </w:t>
      </w:r>
      <w:r>
        <w:rPr>
          <w:rFonts w:ascii="Arial" w:hAnsi="Arial" w:cs="Arial"/>
          <w:sz w:val="22"/>
          <w:szCs w:val="22"/>
          <w:lang w:val="en-GB"/>
        </w:rPr>
        <w:t>In the third stage when children are at preschool age, their psychosocial development drives them to assert authority and power, which can result in a sense of purpose and guilt if they go too far.</w:t>
      </w:r>
      <w:r>
        <w:rPr>
          <w:rFonts w:ascii="Arial" w:hAnsi="Arial" w:eastAsia="SimSun" w:cs="Arial"/>
          <w:sz w:val="22"/>
          <w:szCs w:val="22"/>
          <w:lang w:val="en-GB"/>
        </w:rPr>
        <w:t xml:space="preserve"> </w:t>
      </w:r>
      <w:r>
        <w:rPr>
          <w:rFonts w:ascii="Arial" w:hAnsi="Arial" w:cs="Arial"/>
          <w:sz w:val="22"/>
          <w:szCs w:val="22"/>
          <w:lang w:val="en-GB"/>
        </w:rPr>
        <w:t xml:space="preserve">This stage can help the child feel industrious and confident in their ability to achieve goals </w:t>
      </w:r>
      <w:r>
        <w:rPr>
          <w:rFonts w:ascii="Arial" w:hAnsi="Arial" w:cs="Arial"/>
          <w:sz w:val="22"/>
          <w:szCs w:val="22"/>
          <w:highlight w:val="none"/>
          <w:lang w:val="en-GB"/>
        </w:rPr>
        <w:t>(</w:t>
      </w:r>
      <w:r>
        <w:rPr>
          <w:rFonts w:ascii="Arial" w:hAnsi="Arial" w:eastAsia="SimSun" w:cs="Arial"/>
          <w:color w:val="000000" w:themeColor="text1"/>
          <w:sz w:val="22"/>
          <w:szCs w:val="22"/>
          <w:highlight w:val="none"/>
          <w:lang w:val="en-GB"/>
          <w14:textFill>
            <w14:solidFill>
              <w14:schemeClr w14:val="tx1"/>
            </w14:solidFill>
          </w14:textFill>
        </w:rPr>
        <w:t>Lifespan Development, 2023</w:t>
      </w:r>
      <w:r>
        <w:rPr>
          <w:rFonts w:ascii="Arial" w:hAnsi="Arial" w:cs="Arial"/>
          <w:sz w:val="22"/>
          <w:szCs w:val="22"/>
          <w:highlight w:val="none"/>
          <w:lang w:val="en-GB"/>
        </w:rPr>
        <w:t>; Mcloed ,20</w:t>
      </w:r>
      <w:r>
        <w:rPr>
          <w:rFonts w:hint="default" w:ascii="Arial" w:hAnsi="Arial" w:cs="Arial"/>
          <w:sz w:val="22"/>
          <w:szCs w:val="22"/>
          <w:highlight w:val="none"/>
          <w:lang w:val="en-GB"/>
        </w:rPr>
        <w:t>23</w:t>
      </w:r>
      <w:r>
        <w:rPr>
          <w:rFonts w:ascii="Arial" w:hAnsi="Arial" w:cs="Arial"/>
          <w:sz w:val="22"/>
          <w:szCs w:val="22"/>
          <w:highlight w:val="none"/>
          <w:lang w:val="en-GB"/>
        </w:rPr>
        <w:t>).</w:t>
      </w:r>
      <w:r>
        <w:rPr>
          <w:rFonts w:ascii="Arial" w:hAnsi="Arial" w:cs="Arial"/>
          <w:sz w:val="22"/>
          <w:szCs w:val="22"/>
          <w:lang w:val="en-GB"/>
        </w:rPr>
        <w:t xml:space="preserve"> If the child cannot develop the skills they feel society demands, they may develop a sense of Inferiority </w:t>
      </w:r>
      <w:r>
        <w:rPr>
          <w:rFonts w:ascii="Arial" w:hAnsi="Arial" w:cs="Arial"/>
          <w:sz w:val="22"/>
          <w:szCs w:val="22"/>
          <w:highlight w:val="none"/>
          <w:lang w:val="en-GB"/>
        </w:rPr>
        <w:t>(</w:t>
      </w:r>
      <w:r>
        <w:rPr>
          <w:rFonts w:ascii="Arial" w:hAnsi="Arial" w:eastAsia="Times New Roman" w:cs="Arial"/>
          <w:color w:val="000000" w:themeColor="text1"/>
          <w:sz w:val="22"/>
          <w:szCs w:val="22"/>
          <w:highlight w:val="none"/>
          <w:lang w:val="en-GB" w:eastAsia="en-GB"/>
          <w14:textFill>
            <w14:solidFill>
              <w14:schemeClr w14:val="tx1"/>
            </w14:solidFill>
          </w14:textFill>
        </w:rPr>
        <w:t>Mcleod, 20</w:t>
      </w:r>
      <w:r>
        <w:rPr>
          <w:rFonts w:hint="default" w:ascii="Arial" w:hAnsi="Arial" w:eastAsia="Times New Roman" w:cs="Arial"/>
          <w:color w:val="000000" w:themeColor="text1"/>
          <w:sz w:val="22"/>
          <w:szCs w:val="22"/>
          <w:highlight w:val="none"/>
          <w:lang w:val="en-US" w:eastAsia="en-GB"/>
          <w14:textFill>
            <w14:solidFill>
              <w14:schemeClr w14:val="tx1"/>
            </w14:solidFill>
          </w14:textFill>
        </w:rPr>
        <w:t>23</w:t>
      </w:r>
      <w:r>
        <w:rPr>
          <w:rFonts w:ascii="Arial" w:hAnsi="Arial" w:cs="Arial"/>
          <w:sz w:val="22"/>
          <w:szCs w:val="22"/>
          <w:highlight w:val="none"/>
          <w:lang w:val="en-GB"/>
        </w:rPr>
        <w:t>).</w:t>
      </w:r>
    </w:p>
    <w:p>
      <w:pPr>
        <w:pStyle w:val="3"/>
        <w:rPr>
          <w:rFonts w:cs="Arial"/>
          <w:szCs w:val="22"/>
          <w:lang w:val="en-GB"/>
        </w:rPr>
      </w:pPr>
      <w:bookmarkStart w:id="3" w:name="_Toc133860569"/>
      <w:r>
        <w:rPr>
          <w:rFonts w:cs="Arial"/>
          <w:szCs w:val="22"/>
          <w:lang w:val="en-GB"/>
        </w:rPr>
        <w:t>Adolescence</w:t>
      </w:r>
      <w:bookmarkEnd w:id="3"/>
    </w:p>
    <w:p>
      <w:pPr>
        <w:spacing w:line="360" w:lineRule="auto"/>
        <w:ind w:firstLine="720"/>
        <w:rPr>
          <w:rFonts w:ascii="Arial" w:hAnsi="Arial" w:cs="Arial"/>
          <w:sz w:val="22"/>
          <w:szCs w:val="22"/>
          <w:lang w:val="en-GB"/>
        </w:rPr>
      </w:pPr>
      <w:r>
        <w:rPr>
          <w:rFonts w:ascii="Arial" w:hAnsi="Arial" w:cs="Arial"/>
          <w:sz w:val="22"/>
          <w:szCs w:val="22"/>
          <w:lang w:val="en-GB"/>
        </w:rPr>
        <w:t>In this stage, those who receive positive reinforcement from their peers throughout this time will develop a strong sense of autonomy and agency, while those who do not will likely emerge from it feeling uncertain of who they are and what they want from life</w:t>
      </w:r>
      <w:r>
        <w:rPr>
          <w:rFonts w:ascii="Arial" w:hAnsi="Arial" w:cs="Arial"/>
          <w:sz w:val="22"/>
          <w:szCs w:val="22"/>
          <w:highlight w:val="none"/>
          <w:lang w:val="en-GB"/>
        </w:rPr>
        <w:t xml:space="preserve"> (Cherry, 2022).</w:t>
      </w:r>
    </w:p>
    <w:p>
      <w:pPr>
        <w:pStyle w:val="3"/>
        <w:rPr>
          <w:rFonts w:cs="Arial"/>
          <w:szCs w:val="22"/>
          <w:lang w:val="en-GB"/>
        </w:rPr>
      </w:pPr>
      <w:bookmarkStart w:id="4" w:name="_Toc133860570"/>
      <w:r>
        <w:rPr>
          <w:rFonts w:cs="Arial"/>
          <w:szCs w:val="22"/>
          <w:lang w:val="en-GB"/>
        </w:rPr>
        <w:t>Adulthood stages</w:t>
      </w:r>
      <w:bookmarkEnd w:id="4"/>
    </w:p>
    <w:p>
      <w:pPr>
        <w:spacing w:line="360" w:lineRule="auto"/>
        <w:ind w:firstLine="720"/>
        <w:rPr>
          <w:rFonts w:ascii="Arial" w:hAnsi="Arial" w:cs="Arial"/>
          <w:sz w:val="22"/>
          <w:szCs w:val="22"/>
          <w:lang w:val="en-GB"/>
        </w:rPr>
      </w:pPr>
      <w:r>
        <w:rPr>
          <w:rFonts w:ascii="Arial" w:hAnsi="Arial" w:cs="Arial"/>
          <w:sz w:val="22"/>
          <w:szCs w:val="22"/>
          <w:lang w:val="en-GB"/>
        </w:rPr>
        <w:t>In the sixth stage, when this phase is finished well, it can lead to contented partnerships and feelings of commitment, safety, and care. According to Erikson, establishing stable, long-term relationships is crucial to a happy and fulfilled life. According to the theory, a lack of confidence in one's identity can lead to less committed relationships and feelings of isolation, loneliness, and melancholy</w:t>
      </w:r>
      <w:r>
        <w:rPr>
          <w:rFonts w:ascii="Arial" w:hAnsi="Arial" w:cs="Arial"/>
          <w:sz w:val="22"/>
          <w:szCs w:val="22"/>
          <w:highlight w:val="none"/>
          <w:lang w:val="en-GB"/>
        </w:rPr>
        <w:t>(Mc</w:t>
      </w:r>
      <w:r>
        <w:rPr>
          <w:rFonts w:hint="default" w:ascii="Arial" w:hAnsi="Arial" w:cs="Arial"/>
          <w:sz w:val="22"/>
          <w:szCs w:val="22"/>
          <w:highlight w:val="none"/>
          <w:lang w:val="en-GB"/>
        </w:rPr>
        <w:t>l</w:t>
      </w:r>
      <w:r>
        <w:rPr>
          <w:rFonts w:ascii="Arial" w:hAnsi="Arial" w:cs="Arial"/>
          <w:sz w:val="22"/>
          <w:szCs w:val="22"/>
          <w:highlight w:val="none"/>
          <w:lang w:val="en-GB"/>
        </w:rPr>
        <w:t>eod, 20</w:t>
      </w:r>
      <w:r>
        <w:rPr>
          <w:rFonts w:hint="default" w:ascii="Arial" w:hAnsi="Arial" w:cs="Arial"/>
          <w:sz w:val="22"/>
          <w:szCs w:val="22"/>
          <w:highlight w:val="none"/>
          <w:lang w:val="en-GB"/>
        </w:rPr>
        <w:t>23</w:t>
      </w:r>
      <w:r>
        <w:rPr>
          <w:rFonts w:ascii="Arial" w:hAnsi="Arial" w:cs="Arial"/>
          <w:sz w:val="22"/>
          <w:szCs w:val="22"/>
          <w:highlight w:val="none"/>
          <w:lang w:val="en-GB"/>
        </w:rPr>
        <w:t>; Cherry, 2022). In the seventh stage, successful adults devote their time and energy to their careers and families and get a sense of fulfilment from b</w:t>
      </w:r>
      <w:r>
        <w:rPr>
          <w:rFonts w:ascii="Arial" w:hAnsi="Arial" w:cs="Arial"/>
          <w:sz w:val="22"/>
          <w:szCs w:val="22"/>
          <w:lang w:val="en-GB"/>
        </w:rPr>
        <w:t xml:space="preserve">eing involved in their local communities. However, those who fail become stagnant and they may feel uninvolved and disconnected. </w:t>
      </w:r>
    </w:p>
    <w:p>
      <w:pPr>
        <w:pStyle w:val="3"/>
        <w:rPr>
          <w:rFonts w:cs="Arial"/>
          <w:szCs w:val="22"/>
          <w:lang w:val="en-GB"/>
        </w:rPr>
      </w:pPr>
      <w:bookmarkStart w:id="5" w:name="_Toc133860571"/>
      <w:r>
        <w:rPr>
          <w:rFonts w:cs="Arial"/>
          <w:szCs w:val="22"/>
          <w:lang w:val="en-GB"/>
        </w:rPr>
        <w:t>Maturity</w:t>
      </w:r>
      <w:bookmarkEnd w:id="5"/>
    </w:p>
    <w:p>
      <w:pPr>
        <w:spacing w:line="360" w:lineRule="auto"/>
        <w:ind w:firstLine="720"/>
        <w:rPr>
          <w:rFonts w:ascii="Arial" w:hAnsi="Arial" w:cs="Arial"/>
          <w:sz w:val="22"/>
          <w:szCs w:val="22"/>
          <w:highlight w:val="none"/>
          <w:lang w:val="en-GB"/>
        </w:rPr>
      </w:pPr>
      <w:r>
        <w:rPr>
          <w:rFonts w:ascii="Arial" w:hAnsi="Arial" w:cs="Arial"/>
          <w:sz w:val="22"/>
          <w:szCs w:val="22"/>
          <w:lang w:val="en-GB"/>
        </w:rPr>
        <w:t>In this stage of ego integrity versus despair people can grow in integrity if they imagine themselves as success</w:t>
      </w:r>
      <w:r>
        <w:rPr>
          <w:rFonts w:ascii="Arial" w:hAnsi="Arial" w:cs="Arial"/>
          <w:sz w:val="22"/>
          <w:szCs w:val="22"/>
          <w:highlight w:val="none"/>
          <w:lang w:val="en-GB"/>
        </w:rPr>
        <w:t>ful (Mc</w:t>
      </w:r>
      <w:r>
        <w:rPr>
          <w:rFonts w:hint="default" w:ascii="Arial" w:hAnsi="Arial" w:cs="Arial"/>
          <w:sz w:val="22"/>
          <w:szCs w:val="22"/>
          <w:highlight w:val="none"/>
          <w:lang w:val="en-GB"/>
        </w:rPr>
        <w:t>l</w:t>
      </w:r>
      <w:r>
        <w:rPr>
          <w:rFonts w:ascii="Arial" w:hAnsi="Arial" w:cs="Arial"/>
          <w:sz w:val="22"/>
          <w:szCs w:val="22"/>
          <w:highlight w:val="none"/>
          <w:lang w:val="en-GB"/>
        </w:rPr>
        <w:t>eod, 20</w:t>
      </w:r>
      <w:r>
        <w:rPr>
          <w:rFonts w:hint="default" w:ascii="Arial" w:hAnsi="Arial" w:cs="Arial"/>
          <w:sz w:val="22"/>
          <w:szCs w:val="22"/>
          <w:highlight w:val="none"/>
          <w:lang w:val="en-GB"/>
        </w:rPr>
        <w:t>23</w:t>
      </w:r>
      <w:r>
        <w:rPr>
          <w:rFonts w:ascii="Arial" w:hAnsi="Arial" w:cs="Arial"/>
          <w:sz w:val="22"/>
          <w:szCs w:val="22"/>
          <w:highlight w:val="none"/>
          <w:lang w:val="en-GB"/>
        </w:rPr>
        <w:t xml:space="preserve">). Failure at this point brings about sentiments of regret, bitterness, and despair, while success inspires thoughts of knowledge. Those who have lived lives they are proud of will be at peace with their mortality, while those who have regrets will worry that they will die without having accomplished what they set out to do </w:t>
      </w:r>
      <w:r>
        <w:rPr>
          <w:rFonts w:ascii="Arial" w:hAnsi="Arial" w:cs="Arial"/>
          <w:color w:val="000000" w:themeColor="text1"/>
          <w:sz w:val="22"/>
          <w:szCs w:val="22"/>
          <w:highlight w:val="none"/>
          <w:lang w:val="en-GB"/>
          <w14:textFill>
            <w14:solidFill>
              <w14:schemeClr w14:val="tx1"/>
            </w14:solidFill>
          </w14:textFill>
        </w:rPr>
        <w:t xml:space="preserve">(Gillibrand &amp; O'Donnell, 2012). </w:t>
      </w:r>
      <w:r>
        <w:rPr>
          <w:rFonts w:ascii="Arial" w:hAnsi="Arial" w:cs="Arial"/>
          <w:sz w:val="22"/>
          <w:szCs w:val="22"/>
          <w:highlight w:val="none"/>
          <w:lang w:val="en-GB"/>
        </w:rPr>
        <w:t xml:space="preserve"> </w:t>
      </w:r>
    </w:p>
    <w:p>
      <w:pPr>
        <w:pStyle w:val="3"/>
        <w:rPr>
          <w:rFonts w:cs="Arial"/>
          <w:szCs w:val="22"/>
          <w:lang w:val="en-GB"/>
        </w:rPr>
      </w:pPr>
      <w:bookmarkStart w:id="6" w:name="_Toc133860572"/>
      <w:r>
        <w:rPr>
          <w:rFonts w:cs="Arial"/>
          <w:szCs w:val="22"/>
          <w:lang w:val="en-GB"/>
        </w:rPr>
        <w:t>Strengths</w:t>
      </w:r>
      <w:bookmarkEnd w:id="6"/>
    </w:p>
    <w:p>
      <w:pPr>
        <w:spacing w:line="360" w:lineRule="auto"/>
        <w:ind w:firstLine="720"/>
        <w:rPr>
          <w:rFonts w:ascii="Arial" w:hAnsi="Arial" w:cs="Arial"/>
          <w:sz w:val="22"/>
          <w:szCs w:val="22"/>
          <w:highlight w:val="none"/>
          <w:lang w:val="en-GB"/>
        </w:rPr>
      </w:pPr>
      <w:r>
        <w:rPr>
          <w:rFonts w:ascii="Arial" w:hAnsi="Arial" w:cs="Arial"/>
          <w:sz w:val="22"/>
          <w:szCs w:val="22"/>
          <w:lang w:val="en-GB"/>
        </w:rPr>
        <w:t>Erikson’s theory provides a broad framework to view development throughout life, emphasizing the importance of social relationships and their impact on development. The hypothesis was groundbreaking because it included growth at all stages of life, not just childhood. At each stage of development, it highlighted the role of social ties in creating one's identity and sense of self. Educators and parents can use the information from Erikson's model to better support and guide their students and children as they progress through the many stages of development. Erikson's theory is timeless and relevant today, allowing children to make decisions and be involved in their lives.</w:t>
      </w:r>
      <w:r>
        <w:rPr>
          <w:rFonts w:ascii="Arial" w:hAnsi="Arial" w:cs="Arial"/>
          <w:sz w:val="22"/>
          <w:szCs w:val="22"/>
          <w:highlight w:val="none"/>
          <w:lang w:val="en-GB"/>
        </w:rPr>
        <w:t xml:space="preserve">(Herbert, 2021; </w:t>
      </w:r>
      <w:r>
        <w:rPr>
          <w:rFonts w:ascii="Arial" w:hAnsi="Arial" w:cs="Arial"/>
          <w:color w:val="000000" w:themeColor="text1"/>
          <w:sz w:val="22"/>
          <w:szCs w:val="22"/>
          <w:highlight w:val="none"/>
          <w:lang w:val="en-GB"/>
          <w14:textFill>
            <w14:solidFill>
              <w14:schemeClr w14:val="tx1"/>
            </w14:solidFill>
          </w14:textFill>
        </w:rPr>
        <w:t>Gillibrand, &amp; O'Donnell, 2012</w:t>
      </w:r>
      <w:r>
        <w:rPr>
          <w:rFonts w:ascii="Arial" w:hAnsi="Arial" w:cs="Arial"/>
          <w:sz w:val="22"/>
          <w:szCs w:val="22"/>
          <w:highlight w:val="none"/>
          <w:lang w:val="en-GB"/>
        </w:rPr>
        <w:t xml:space="preserve"> ).</w:t>
      </w:r>
    </w:p>
    <w:p>
      <w:pPr>
        <w:pStyle w:val="2"/>
        <w:rPr>
          <w:rFonts w:cs="Arial"/>
          <w:szCs w:val="22"/>
        </w:rPr>
      </w:pPr>
      <w:bookmarkStart w:id="7" w:name="_Toc133860573"/>
      <w:r>
        <w:rPr>
          <w:rFonts w:cs="Arial"/>
          <w:szCs w:val="22"/>
        </w:rPr>
        <w:t>Impact of social learning theory on my life</w:t>
      </w:r>
      <w:bookmarkEnd w:id="7"/>
    </w:p>
    <w:p>
      <w:pPr>
        <w:spacing w:line="360" w:lineRule="auto"/>
        <w:ind w:firstLine="720"/>
        <w:rPr>
          <w:rFonts w:ascii="Arial" w:hAnsi="Arial" w:cs="Arial"/>
          <w:sz w:val="22"/>
          <w:szCs w:val="22"/>
          <w:highlight w:val="none"/>
          <w:lang w:val="en-GB"/>
        </w:rPr>
      </w:pPr>
      <w:r>
        <w:rPr>
          <w:rFonts w:ascii="Arial" w:hAnsi="Arial" w:cs="Arial"/>
          <w:sz w:val="22"/>
          <w:szCs w:val="22"/>
          <w:lang w:val="en-GB"/>
        </w:rPr>
        <w:t>Social Learning Theory, also known as Social Cognitive Theory (SCT), was developed by Albert Bandura in 1986 to explain complex social behaviors such as gender roles and moral behavior. Albert Bandura's theory of social learning emphasizes observational learning, imitation, and modelling. It is predicated on reciprocal determinism, which holds that the integration of behaviour, thought, and environment is a continual process</w:t>
      </w:r>
      <w:r>
        <w:rPr>
          <w:rFonts w:ascii="Arial" w:hAnsi="Arial" w:cs="Arial"/>
          <w:sz w:val="22"/>
          <w:szCs w:val="22"/>
          <w:highlight w:val="none"/>
          <w:lang w:val="en-GB"/>
        </w:rPr>
        <w:t xml:space="preserve"> (Cherry, 2020). </w:t>
      </w:r>
      <w:r>
        <w:rPr>
          <w:rFonts w:ascii="Arial" w:hAnsi="Arial" w:cs="Arial"/>
          <w:sz w:val="22"/>
          <w:szCs w:val="22"/>
          <w:lang w:val="en-GB"/>
        </w:rPr>
        <w:t xml:space="preserve">Social learning theory is a framework for understanding the mutual influences of context and cognition on human development and behavior </w:t>
      </w:r>
      <w:r>
        <w:rPr>
          <w:rFonts w:ascii="Arial" w:hAnsi="Arial" w:cs="Arial"/>
          <w:sz w:val="22"/>
          <w:szCs w:val="22"/>
          <w:highlight w:val="none"/>
          <w:lang w:val="en-GB"/>
        </w:rPr>
        <w:t>(</w:t>
      </w:r>
      <w:r>
        <w:rPr>
          <w:rFonts w:ascii="Arial" w:hAnsi="Arial" w:eastAsia="SimSun" w:cs="Arial"/>
          <w:sz w:val="22"/>
          <w:szCs w:val="22"/>
          <w:highlight w:val="none"/>
        </w:rPr>
        <w:t>Green &amp; Peil, 2009</w:t>
      </w:r>
      <w:r>
        <w:rPr>
          <w:rFonts w:ascii="Arial" w:hAnsi="Arial" w:eastAsia="SimSun" w:cs="Arial"/>
          <w:sz w:val="22"/>
          <w:szCs w:val="22"/>
          <w:highlight w:val="none"/>
          <w:lang w:val="en-GB"/>
        </w:rPr>
        <w:t>, cited by Nabavi, 2012)</w:t>
      </w:r>
      <w:r>
        <w:rPr>
          <w:rFonts w:ascii="Arial" w:hAnsi="Arial" w:cs="Arial"/>
          <w:sz w:val="22"/>
          <w:szCs w:val="22"/>
          <w:lang w:val="en-GB"/>
        </w:rPr>
        <w:t xml:space="preserve"> . Both classical and operant conditioning are supported by Albert Bandura's (1977) research. However, he adds two key points: (a) mediation processes exist between stimuli and responses (and) (b) behavior is taught by observational learning. The Bobo doll experiment (Bandura, 1961) shows how kids take cues from adults' actions </w:t>
      </w:r>
      <w:r>
        <w:rPr>
          <w:rFonts w:ascii="Arial" w:hAnsi="Arial" w:cs="Arial"/>
          <w:sz w:val="22"/>
          <w:szCs w:val="22"/>
          <w:highlight w:val="none"/>
          <w:lang w:val="en-GB"/>
        </w:rPr>
        <w:t>(Cherry, 2022).</w:t>
      </w:r>
      <w:r>
        <w:rPr>
          <w:rFonts w:ascii="Arial" w:hAnsi="Arial" w:cs="Arial"/>
          <w:sz w:val="22"/>
          <w:szCs w:val="22"/>
          <w:lang w:val="en-GB"/>
        </w:rPr>
        <w:t xml:space="preserve"> Parents, TV figures, friends, and teachers are all examples of models a child can look up to and want to be like. Young children, regardless of their gender, tend to mimic the actions of the adults around them. Many factors contribute to this, </w:t>
      </w:r>
      <w:r>
        <w:rPr>
          <w:rFonts w:ascii="Arial" w:hAnsi="Arial" w:cs="Arial"/>
          <w:sz w:val="22"/>
          <w:szCs w:val="22"/>
          <w:highlight w:val="none"/>
          <w:lang w:val="en-GB"/>
        </w:rPr>
        <w:t xml:space="preserve">including the natural tendency to model one's behavior after members of one's gender (Sutton, 2021) </w:t>
      </w:r>
    </w:p>
    <w:p>
      <w:pPr>
        <w:pStyle w:val="10"/>
        <w:spacing w:beforeAutospacing="0" w:afterAutospacing="0" w:line="360" w:lineRule="auto"/>
        <w:ind w:firstLine="720"/>
        <w:rPr>
          <w:rFonts w:ascii="Arial" w:hAnsi="Arial" w:cs="Arial"/>
          <w:sz w:val="22"/>
          <w:szCs w:val="22"/>
          <w:highlight w:val="none"/>
          <w:lang w:val="en-GB"/>
        </w:rPr>
      </w:pPr>
      <w:r>
        <w:rPr>
          <w:rFonts w:ascii="Arial" w:hAnsi="Arial" w:cs="Arial"/>
          <w:sz w:val="22"/>
          <w:szCs w:val="22"/>
          <w:highlight w:val="none"/>
          <w:lang w:val="en-GB"/>
        </w:rPr>
        <w:t>Bandura proposes four m</w:t>
      </w:r>
      <w:r>
        <w:rPr>
          <w:rFonts w:ascii="Arial" w:hAnsi="Arial" w:cs="Arial"/>
          <w:sz w:val="22"/>
          <w:szCs w:val="22"/>
          <w:lang w:val="en-GB"/>
        </w:rPr>
        <w:t xml:space="preserve">ediated processes: attention, retention, reproduction, motivation. Attention is essential for imitating behavior, as it requires a mental representation of the behavior and influences others to imitate it. Memory is essential for social learning, as it is necessary to remember and recall the behavior before it can be copied. Whether or not we make an effort to mimic current behavior is determined by our physical capabilities. The observer will consider the rewards and punishments given to it, and if the perceived rewards outweigh the perceived costs, the observer will imitate the behavior. If the observer does not see the vicarious reinforcement as necessary, then they will not imitate the behavior </w:t>
      </w:r>
      <w:r>
        <w:rPr>
          <w:rFonts w:ascii="Arial" w:hAnsi="Arial" w:cs="Arial"/>
          <w:sz w:val="22"/>
          <w:szCs w:val="22"/>
          <w:highlight w:val="none"/>
          <w:lang w:val="en-GB"/>
        </w:rPr>
        <w:t>(Bandura, 1971).</w:t>
      </w:r>
    </w:p>
    <w:p>
      <w:pPr>
        <w:pStyle w:val="10"/>
        <w:spacing w:beforeAutospacing="0" w:afterAutospacing="0" w:line="360" w:lineRule="auto"/>
        <w:ind w:firstLine="720"/>
        <w:rPr>
          <w:rFonts w:ascii="Arial" w:hAnsi="Arial" w:cs="Arial"/>
          <w:sz w:val="22"/>
          <w:szCs w:val="22"/>
          <w:highlight w:val="none"/>
          <w:lang w:val="en-GB"/>
        </w:rPr>
      </w:pPr>
      <w:r>
        <w:rPr>
          <w:rFonts w:ascii="Arial" w:hAnsi="Arial" w:cs="Arial"/>
          <w:sz w:val="22"/>
          <w:szCs w:val="22"/>
          <w:highlight w:val="none"/>
          <w:lang w:val="en-GB"/>
        </w:rPr>
        <w:t>Sutton (2021) notes that this theory acknowledges the role of reinforcement in learning as well as t</w:t>
      </w:r>
      <w:r>
        <w:rPr>
          <w:rFonts w:ascii="Arial" w:hAnsi="Arial" w:cs="Arial"/>
          <w:sz w:val="22"/>
          <w:szCs w:val="22"/>
          <w:lang w:val="en-GB"/>
        </w:rPr>
        <w:t xml:space="preserve">he significance of seeing, modelling, and mimicking the emotional reactions, attitudes, and behaviors of others. Learning via observing and mimicking the actions of others is called "observatory learning" Bandura distinguished the live, verbal, and symbolic models as the three primary components of observational learning. Attention, memory, and motivation are central to Bandura's social learning theory, which combines behaviorist and cognitive approaches to learning </w:t>
      </w:r>
      <w:r>
        <w:rPr>
          <w:rFonts w:ascii="Arial" w:hAnsi="Arial" w:cs="Arial"/>
          <w:sz w:val="22"/>
          <w:szCs w:val="22"/>
          <w:highlight w:val="none"/>
          <w:lang w:val="en-GB"/>
        </w:rPr>
        <w:t>(Nabavi, 2012).</w:t>
      </w:r>
    </w:p>
    <w:p>
      <w:pPr>
        <w:spacing w:line="360" w:lineRule="auto"/>
        <w:ind w:firstLine="720"/>
        <w:rPr>
          <w:rFonts w:ascii="Arial" w:hAnsi="Arial" w:cs="Arial"/>
          <w:sz w:val="22"/>
          <w:szCs w:val="22"/>
          <w:lang w:val="en-GB"/>
        </w:rPr>
      </w:pPr>
      <w:r>
        <w:rPr>
          <w:rFonts w:ascii="Arial" w:hAnsi="Arial" w:cs="Arial"/>
          <w:sz w:val="22"/>
          <w:szCs w:val="22"/>
          <w:lang w:val="en-GB"/>
        </w:rPr>
        <w:t>SLT has had an impact on my life. For example, my mum was a role model for me when I was growing up. She was helpful to neighbors and friends all the time, which I copied and reinforced that behaviour over time. Now I like helping my relatives, friends and colleagues. Another example is that my father was a role model for some behaviours that I did not approve of and refused to imitate because they were unacceptable in society. Now as a grown-up lady, I avoid quarrelling with people and raising my voice to others. As it has been stated by Mcleod  (20</w:t>
      </w:r>
      <w:r>
        <w:rPr>
          <w:rFonts w:hint="default" w:ascii="Arial" w:hAnsi="Arial" w:cs="Arial"/>
          <w:sz w:val="22"/>
          <w:szCs w:val="22"/>
          <w:lang w:val="en-GB"/>
        </w:rPr>
        <w:t>23</w:t>
      </w:r>
      <w:r>
        <w:rPr>
          <w:rFonts w:ascii="Arial" w:hAnsi="Arial" w:cs="Arial"/>
          <w:sz w:val="22"/>
          <w:szCs w:val="22"/>
          <w:lang w:val="en-GB"/>
        </w:rPr>
        <w:t>), cognitive processes moderate the learning process to ascertain if a new response has been learned, making observational learning possible. In my situation, the mediation process began with watching my parents’ behaviours, which was followed by a decision to replicate them or not.</w:t>
      </w:r>
    </w:p>
    <w:p>
      <w:pPr>
        <w:pStyle w:val="3"/>
        <w:rPr>
          <w:rFonts w:cs="Arial"/>
          <w:szCs w:val="22"/>
          <w:lang w:val="en-GB"/>
        </w:rPr>
      </w:pPr>
      <w:bookmarkStart w:id="8" w:name="_Toc133860574"/>
      <w:r>
        <w:rPr>
          <w:rFonts w:cs="Arial"/>
          <w:szCs w:val="22"/>
          <w:lang w:val="en-GB"/>
        </w:rPr>
        <w:t>Critical evaluation of the SLT</w:t>
      </w:r>
      <w:bookmarkEnd w:id="8"/>
    </w:p>
    <w:p>
      <w:pPr>
        <w:pStyle w:val="10"/>
        <w:spacing w:beforeAutospacing="0" w:afterAutospacing="0" w:line="360" w:lineRule="auto"/>
        <w:ind w:firstLine="720"/>
        <w:rPr>
          <w:rFonts w:ascii="Arial" w:hAnsi="Arial" w:cs="Arial"/>
          <w:sz w:val="22"/>
          <w:szCs w:val="22"/>
          <w:lang w:val="en-GB"/>
        </w:rPr>
      </w:pPr>
      <w:r>
        <w:rPr>
          <w:rFonts w:ascii="Arial" w:hAnsi="Arial" w:cs="Arial"/>
          <w:sz w:val="22"/>
          <w:szCs w:val="22"/>
          <w:lang w:val="en-GB"/>
        </w:rPr>
        <w:t>The social learning theory considers cognitive processes and their part in determining whether or not a behavior is to be reproduced. Therefore, SLT offers a more all-encompassing explanation of how people learn by accounting for the part played by mediating processes. It is based on simple reinforcement but does not account for how we learn from our social experiences, such as thoughts and feelings. Critics of social learning theory include its commitment to the environment as the primary influence on behavior, which fails to describe behavior in terms of nature or nurture accurately</w:t>
      </w:r>
      <w:r>
        <w:rPr>
          <w:rFonts w:ascii="Arial" w:hAnsi="Arial" w:cs="Arial"/>
          <w:sz w:val="22"/>
          <w:szCs w:val="22"/>
          <w:highlight w:val="none"/>
          <w:lang w:val="en-GB"/>
        </w:rPr>
        <w:t xml:space="preserve"> (Mcleod, 20</w:t>
      </w:r>
      <w:r>
        <w:rPr>
          <w:rFonts w:hint="default" w:ascii="Arial" w:hAnsi="Arial" w:cs="Arial"/>
          <w:sz w:val="22"/>
          <w:szCs w:val="22"/>
          <w:highlight w:val="none"/>
          <w:lang w:val="en-GB"/>
        </w:rPr>
        <w:t>23</w:t>
      </w:r>
      <w:r>
        <w:rPr>
          <w:rFonts w:ascii="Arial" w:hAnsi="Arial" w:cs="Arial"/>
          <w:sz w:val="22"/>
          <w:szCs w:val="22"/>
          <w:highlight w:val="none"/>
          <w:lang w:val="en-GB"/>
        </w:rPr>
        <w:t>). S</w:t>
      </w:r>
      <w:r>
        <w:rPr>
          <w:rFonts w:ascii="Arial" w:hAnsi="Arial" w:cs="Arial"/>
          <w:sz w:val="22"/>
          <w:szCs w:val="22"/>
          <w:lang w:val="en-GB"/>
        </w:rPr>
        <w:t>ince social learning theory lacks a definitive example to imitate, it cannot account for all behaviors. However, the finding of mirror neurons provides biological evidence for the hypothesis by activating both when an animal performs an activity and when it observes the action being performed by another.</w:t>
      </w:r>
    </w:p>
    <w:p>
      <w:pPr>
        <w:pStyle w:val="2"/>
        <w:rPr>
          <w:rFonts w:cs="Arial"/>
          <w:szCs w:val="22"/>
          <w:lang w:val="en-GB"/>
        </w:rPr>
      </w:pPr>
      <w:bookmarkStart w:id="9" w:name="_Toc133860575"/>
      <w:r>
        <w:rPr>
          <w:rFonts w:cs="Arial"/>
          <w:szCs w:val="22"/>
        </w:rPr>
        <w:t>Application of theories learnt to my current job</w:t>
      </w:r>
      <w:bookmarkEnd w:id="9"/>
    </w:p>
    <w:p>
      <w:pPr>
        <w:pStyle w:val="10"/>
        <w:spacing w:beforeAutospacing="0" w:afterAutospacing="0" w:line="360" w:lineRule="auto"/>
        <w:ind w:firstLine="720"/>
        <w:rPr>
          <w:rFonts w:ascii="Arial" w:hAnsi="Arial" w:cs="Arial"/>
          <w:sz w:val="22"/>
          <w:szCs w:val="22"/>
          <w:lang w:val="en-GB"/>
        </w:rPr>
      </w:pPr>
      <w:r>
        <w:rPr>
          <w:rFonts w:ascii="Arial" w:hAnsi="Arial" w:cs="Arial"/>
          <w:sz w:val="22"/>
          <w:szCs w:val="22"/>
          <w:lang w:val="en-GB"/>
        </w:rPr>
        <w:t xml:space="preserve">I have been using the  SLT model in my job. I learned many things related to my job through observation, reinforcement and punishment. SLT is influential in social work because it emphasizes the importance of role models in fostering prosocial behavior. A good example of this is as a new employee in the ward, I observed my supervisor’s communication with patients, and I started imitating his behavior. After a while I was rewarded for my good communication skills. However, I observed some healthcare staff trawling the used gloves and masks into the general bin and I copied this behavior. After a while my supervisor warned me not to do this – I had to use the correct bin. IN this way I abandoned that behavior.  So learning involves modelling but does not require behavioral change. </w:t>
      </w:r>
    </w:p>
    <w:p>
      <w:pPr>
        <w:pStyle w:val="10"/>
        <w:spacing w:beforeAutospacing="0" w:afterAutospacing="0" w:line="360" w:lineRule="auto"/>
        <w:ind w:firstLine="720"/>
        <w:rPr>
          <w:rFonts w:ascii="Arial" w:hAnsi="Arial" w:cs="Arial"/>
          <w:sz w:val="22"/>
          <w:szCs w:val="22"/>
          <w:lang w:val="en-GB"/>
        </w:rPr>
      </w:pPr>
      <w:r>
        <w:rPr>
          <w:rFonts w:ascii="Arial" w:hAnsi="Arial" w:cs="Arial"/>
          <w:sz w:val="22"/>
          <w:szCs w:val="22"/>
          <w:lang w:val="en-GB"/>
        </w:rPr>
        <w:t>A study confirmed students' selective and deliberate attention, techniques for remembering and retaining information, ability to reproduce, and being inspired to mimic observed behavior</w:t>
      </w:r>
      <w:r>
        <w:rPr>
          <w:rFonts w:ascii="Arial" w:hAnsi="Arial" w:cs="Arial"/>
          <w:sz w:val="22"/>
          <w:szCs w:val="22"/>
          <w:highlight w:val="none"/>
          <w:lang w:val="en-GB"/>
        </w:rPr>
        <w:t xml:space="preserve"> (Horsburgh &amp; Ippolito, 2018, cited in Sutton, 2021). Th</w:t>
      </w:r>
      <w:r>
        <w:rPr>
          <w:rFonts w:ascii="Arial" w:hAnsi="Arial" w:cs="Arial"/>
          <w:sz w:val="22"/>
          <w:szCs w:val="22"/>
          <w:lang w:val="en-GB"/>
        </w:rPr>
        <w:t>is is the case for me in my workplace. I use selective attention for remembering only important information about my job.</w:t>
      </w: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rPr>
          <w:rFonts w:ascii="Arial" w:hAnsi="Arial" w:cs="Arial"/>
          <w:sz w:val="22"/>
          <w:szCs w:val="22"/>
          <w:lang w:val="en-GB"/>
        </w:rPr>
      </w:pPr>
      <w:r>
        <w:rPr>
          <w:rFonts w:ascii="Arial" w:hAnsi="Arial" w:cs="Arial"/>
          <w:sz w:val="22"/>
          <w:szCs w:val="22"/>
          <w:lang w:val="en-GB"/>
        </w:rPr>
        <w:br w:type="page"/>
      </w:r>
    </w:p>
    <w:p>
      <w:pPr>
        <w:spacing w:line="360" w:lineRule="auto"/>
        <w:jc w:val="center"/>
        <w:rPr>
          <w:rFonts w:ascii="Arial" w:hAnsi="Arial" w:cs="Arial"/>
          <w:b/>
          <w:bCs/>
          <w:sz w:val="22"/>
          <w:szCs w:val="22"/>
          <w:lang w:val="en-GB"/>
        </w:rPr>
      </w:pPr>
      <w:r>
        <w:rPr>
          <w:rFonts w:ascii="Arial" w:hAnsi="Arial" w:cs="Arial"/>
          <w:b/>
          <w:bCs/>
          <w:sz w:val="22"/>
          <w:szCs w:val="22"/>
          <w:lang w:val="en-GB"/>
        </w:rPr>
        <w:t>References</w:t>
      </w:r>
    </w:p>
    <w:p>
      <w:pPr>
        <w:spacing w:line="360" w:lineRule="auto"/>
        <w:jc w:val="center"/>
        <w:rPr>
          <w:rFonts w:ascii="Arial" w:hAnsi="Arial" w:cs="Arial"/>
          <w:b/>
          <w:bCs/>
          <w:sz w:val="22"/>
          <w:szCs w:val="22"/>
          <w:lang w:val="en-GB"/>
        </w:rPr>
      </w:pP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Bandura, A. (1971). Social Learning Theory [online]. Available at: </w:t>
      </w:r>
      <w:r>
        <w:fldChar w:fldCharType="begin"/>
      </w:r>
      <w:r>
        <w:instrText xml:space="preserve"> HYPERLINK "http://www.asecib.ase.ro/mps/Bandura_SocialLearningTheory.pdf" </w:instrText>
      </w:r>
      <w:r>
        <w:fldChar w:fldCharType="separate"/>
      </w:r>
      <w:r>
        <w:rPr>
          <w:rStyle w:val="9"/>
          <w:rFonts w:ascii="Arial" w:hAnsi="Arial" w:cs="Arial"/>
          <w:color w:val="000000" w:themeColor="text1"/>
          <w:sz w:val="22"/>
          <w:szCs w:val="22"/>
          <w14:textFill>
            <w14:solidFill>
              <w14:schemeClr w14:val="tx1"/>
            </w14:solidFill>
          </w14:textFill>
        </w:rPr>
        <w:t>http://www.asecib.ase.ro/mps/Bandura_SocialLearningTheory.pdf</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en-GB"/>
          <w14:textFill>
            <w14:solidFill>
              <w14:schemeClr w14:val="tx1"/>
            </w14:solidFill>
          </w14:textFill>
        </w:rPr>
        <w:t>(Accessed 1 April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Cherry, K. (202</w:t>
      </w:r>
      <w:r>
        <w:rPr>
          <w:rFonts w:ascii="Arial" w:hAnsi="Arial" w:cs="Arial"/>
          <w:color w:val="000000" w:themeColor="text1"/>
          <w:sz w:val="22"/>
          <w:szCs w:val="22"/>
          <w:lang w:val="en-GB"/>
          <w14:textFill>
            <w14:solidFill>
              <w14:schemeClr w14:val="tx1"/>
            </w14:solidFill>
          </w14:textFill>
        </w:rPr>
        <w:t>0</w:t>
      </w:r>
      <w:r>
        <w:rPr>
          <w:rFonts w:ascii="Arial" w:hAnsi="Arial" w:cs="Arial"/>
          <w:color w:val="000000" w:themeColor="text1"/>
          <w:sz w:val="22"/>
          <w:szCs w:val="22"/>
          <w14:textFill>
            <w14:solidFill>
              <w14:schemeClr w14:val="tx1"/>
            </w14:solidFill>
          </w14:textFill>
        </w:rPr>
        <w:t xml:space="preserve">). </w:t>
      </w:r>
      <w:r>
        <w:rPr>
          <w:rFonts w:ascii="Arial" w:hAnsi="Arial" w:cs="Arial"/>
          <w:i/>
          <w:iCs/>
          <w:color w:val="000000" w:themeColor="text1"/>
          <w:sz w:val="22"/>
          <w:szCs w:val="22"/>
          <w14:textFill>
            <w14:solidFill>
              <w14:schemeClr w14:val="tx1"/>
            </w14:solidFill>
          </w14:textFill>
        </w:rPr>
        <w:t>Albert Bandura biography</w:t>
      </w:r>
      <w:r>
        <w:rPr>
          <w:rFonts w:ascii="Arial" w:hAnsi="Arial" w:cs="Arial"/>
          <w:color w:val="000000" w:themeColor="text1"/>
          <w:sz w:val="22"/>
          <w:szCs w:val="22"/>
          <w14:textFill>
            <w14:solidFill>
              <w14:schemeClr w14:val="tx1"/>
            </w14:solidFill>
          </w14:textFill>
        </w:rPr>
        <w:t xml:space="preserve">. [online]. Available at: </w:t>
      </w:r>
      <w:r>
        <w:fldChar w:fldCharType="begin"/>
      </w:r>
      <w:r>
        <w:instrText xml:space="preserve"> HYPERLINK "https://www.verywellmind.com/albert-bandura-biography-1925-2795537." </w:instrText>
      </w:r>
      <w:r>
        <w:fldChar w:fldCharType="separate"/>
      </w:r>
      <w:r>
        <w:rPr>
          <w:rStyle w:val="9"/>
          <w:rFonts w:ascii="Arial" w:hAnsi="Arial" w:cs="Arial"/>
          <w:color w:val="000000" w:themeColor="text1"/>
          <w:sz w:val="22"/>
          <w:szCs w:val="22"/>
          <w14:textFill>
            <w14:solidFill>
              <w14:schemeClr w14:val="tx1"/>
            </w14:solidFill>
          </w14:textFill>
        </w:rPr>
        <w:t>https://www.verywellmind.com/albert-bandura-biography-1925-2795537.</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(Accessed 29 March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Cherry, K. (2022). </w:t>
      </w:r>
      <w:r>
        <w:rPr>
          <w:rFonts w:ascii="Arial" w:hAnsi="Arial" w:cs="Arial"/>
          <w:i/>
          <w:iCs/>
          <w:color w:val="000000" w:themeColor="text1"/>
          <w:sz w:val="22"/>
          <w:szCs w:val="22"/>
          <w14:textFill>
            <w14:solidFill>
              <w14:schemeClr w14:val="tx1"/>
            </w14:solidFill>
          </w14:textFill>
        </w:rPr>
        <w:t>Understanding Erikson’s Stages of Psychosocial Development</w:t>
      </w:r>
      <w:r>
        <w:rPr>
          <w:rFonts w:hint="default" w:ascii="Arial" w:hAnsi="Arial" w:cs="Arial"/>
          <w:i/>
          <w:iCs/>
          <w:color w:val="000000" w:themeColor="text1"/>
          <w:sz w:val="22"/>
          <w:szCs w:val="22"/>
          <w:lang w:val="en-GB"/>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[online]. Available at: </w:t>
      </w:r>
      <w:r>
        <w:fldChar w:fldCharType="begin"/>
      </w:r>
      <w:r>
        <w:instrText xml:space="preserve"> HYPERLINK "https://www.verywellmind.com/erik-eriksons-stages-of-psychosocial-development-2795740#:~:text=Erikson%20was%20interested%20in%20how." </w:instrText>
      </w:r>
      <w:r>
        <w:fldChar w:fldCharType="separate"/>
      </w:r>
      <w:r>
        <w:rPr>
          <w:rStyle w:val="9"/>
          <w:rFonts w:ascii="Arial" w:hAnsi="Arial" w:cs="Arial"/>
          <w:color w:val="000000" w:themeColor="text1"/>
          <w:sz w:val="22"/>
          <w:szCs w:val="22"/>
          <w14:textFill>
            <w14:solidFill>
              <w14:schemeClr w14:val="tx1"/>
            </w14:solidFill>
          </w14:textFill>
        </w:rPr>
        <w:t>https://www.verywellmind.com/erik-eriksons-stages-of-psychosocial-development-2795740#:~:text=Erikson%20was%20interested%20in%20how.</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(Accessed 27 March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Encyclopedia Britannica (2018).</w:t>
      </w:r>
      <w:r>
        <w:rPr>
          <w:rFonts w:ascii="Arial" w:hAnsi="Arial" w:cs="Arial"/>
          <w:i/>
          <w:iCs/>
          <w:color w:val="000000" w:themeColor="text1"/>
          <w:sz w:val="22"/>
          <w:szCs w:val="22"/>
          <w14:textFill>
            <w14:solidFill>
              <w14:schemeClr w14:val="tx1"/>
            </w14:solidFill>
          </w14:textFill>
        </w:rPr>
        <w:t xml:space="preserve"> Erik Erikson </w:t>
      </w:r>
      <w:r>
        <w:rPr>
          <w:rFonts w:ascii="Arial" w:hAnsi="Arial" w:cs="Arial"/>
          <w:color w:val="000000" w:themeColor="text1"/>
          <w:sz w:val="22"/>
          <w:szCs w:val="22"/>
          <w14:textFill>
            <w14:solidFill>
              <w14:schemeClr w14:val="tx1"/>
            </w14:solidFill>
          </w14:textFill>
        </w:rPr>
        <w:t xml:space="preserve">[online] Available at: </w:t>
      </w:r>
      <w:r>
        <w:fldChar w:fldCharType="begin"/>
      </w:r>
      <w:r>
        <w:instrText xml:space="preserve"> HYPERLINK "https://www.britannica.com/biography/Erik-Erikson%20(" </w:instrText>
      </w:r>
      <w:r>
        <w:fldChar w:fldCharType="separate"/>
      </w:r>
      <w:r>
        <w:rPr>
          <w:rStyle w:val="9"/>
          <w:rFonts w:ascii="Arial" w:hAnsi="Arial" w:cs="Arial"/>
          <w:color w:val="000000" w:themeColor="text1"/>
          <w:sz w:val="22"/>
          <w:szCs w:val="22"/>
          <w14:textFill>
            <w14:solidFill>
              <w14:schemeClr w14:val="tx1"/>
            </w14:solidFill>
          </w14:textFill>
        </w:rPr>
        <w:t xml:space="preserve">https://www.britannica.com/biography/Erik-Erikson </w:t>
      </w:r>
      <w:r>
        <w:rPr>
          <w:rStyle w:val="9"/>
          <w:rFonts w:ascii="Arial" w:hAnsi="Arial" w:cs="Arial"/>
          <w:color w:val="000000" w:themeColor="text1"/>
          <w:sz w:val="22"/>
          <w:szCs w:val="22"/>
          <w:lang w:val="en-GB"/>
          <w14:textFill>
            <w14:solidFill>
              <w14:schemeClr w14:val="tx1"/>
            </w14:solidFill>
          </w14:textFill>
        </w:rPr>
        <w:t>(</w:t>
      </w:r>
      <w:r>
        <w:rPr>
          <w:rStyle w:val="9"/>
          <w:rFonts w:ascii="Arial" w:hAnsi="Arial" w:cs="Arial"/>
          <w:color w:val="000000" w:themeColor="text1"/>
          <w:sz w:val="22"/>
          <w:szCs w:val="22"/>
          <w:lang w:val="en-GB"/>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Accessed 21 April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lang w:val="en-GB"/>
          <w14:textFill>
            <w14:solidFill>
              <w14:schemeClr w14:val="tx1"/>
            </w14:solidFill>
          </w14:textFill>
        </w:rPr>
        <w:t>Gillibrand, R., &amp; O'Donnell, V. L. (2012). Developmental psychology. UK: Pearson Education.</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Herbert, L. (2021). </w:t>
      </w:r>
      <w:r>
        <w:rPr>
          <w:rFonts w:ascii="Arial" w:hAnsi="Arial" w:cs="Arial"/>
          <w:i/>
          <w:iCs/>
          <w:color w:val="000000" w:themeColor="text1"/>
          <w:sz w:val="22"/>
          <w:szCs w:val="22"/>
          <w14:textFill>
            <w14:solidFill>
              <w14:schemeClr w14:val="tx1"/>
            </w14:solidFill>
          </w14:textFill>
        </w:rPr>
        <w:t>The Erik Erikson Education Approach – London School of Childcare Studies</w:t>
      </w:r>
      <w:r>
        <w:rPr>
          <w:rFonts w:ascii="Arial" w:hAnsi="Arial" w:cs="Arial"/>
          <w:color w:val="000000" w:themeColor="text1"/>
          <w:sz w:val="22"/>
          <w:szCs w:val="22"/>
          <w14:textFill>
            <w14:solidFill>
              <w14:schemeClr w14:val="tx1"/>
            </w14:solidFill>
          </w14:textFill>
        </w:rPr>
        <w:t xml:space="preserve">. [online]. Available at: </w:t>
      </w:r>
      <w:r>
        <w:fldChar w:fldCharType="begin"/>
      </w:r>
      <w:r>
        <w:instrText xml:space="preserve"> HYPERLINK "https://childcarestudies.co.uk/2021/08/26/the-erik-erikson-education-approach/." </w:instrText>
      </w:r>
      <w:r>
        <w:fldChar w:fldCharType="separate"/>
      </w:r>
      <w:r>
        <w:rPr>
          <w:rStyle w:val="9"/>
          <w:rFonts w:ascii="Arial" w:hAnsi="Arial" w:cs="Arial"/>
          <w:color w:val="000000" w:themeColor="text1"/>
          <w:sz w:val="22"/>
          <w:szCs w:val="22"/>
          <w14:textFill>
            <w14:solidFill>
              <w14:schemeClr w14:val="tx1"/>
            </w14:solidFill>
          </w14:textFill>
        </w:rPr>
        <w:t>https://childcarestudies.co.uk/2021/08/26/the-erik-erikson-education-approach/.</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 Accessed 5 April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lang w:val="en-GB"/>
          <w14:textFill>
            <w14:solidFill>
              <w14:schemeClr w14:val="tx1"/>
            </w14:solidFill>
          </w14:textFill>
        </w:rPr>
        <w:t xml:space="preserve">Lifespan Development </w:t>
      </w:r>
      <w:r>
        <w:rPr>
          <w:rFonts w:ascii="Arial" w:hAnsi="Arial" w:cs="Arial"/>
          <w:color w:val="000000" w:themeColor="text1"/>
          <w:sz w:val="22"/>
          <w:szCs w:val="22"/>
          <w14:textFill>
            <w14:solidFill>
              <w14:schemeClr w14:val="tx1"/>
            </w14:solidFill>
          </w14:textFill>
        </w:rPr>
        <w:t>(</w:t>
      </w:r>
      <w:r>
        <w:rPr>
          <w:rFonts w:ascii="Arial" w:hAnsi="Arial" w:cs="Arial"/>
          <w:color w:val="000000" w:themeColor="text1"/>
          <w:sz w:val="22"/>
          <w:szCs w:val="22"/>
          <w:lang w:val="en-GB"/>
          <w14:textFill>
            <w14:solidFill>
              <w14:schemeClr w14:val="tx1"/>
            </w14:solidFill>
          </w14:textFill>
        </w:rPr>
        <w:t>2023</w:t>
      </w:r>
      <w:r>
        <w:rPr>
          <w:rFonts w:ascii="Arial" w:hAnsi="Arial" w:cs="Arial"/>
          <w:color w:val="000000" w:themeColor="text1"/>
          <w:sz w:val="22"/>
          <w:szCs w:val="22"/>
          <w14:textFill>
            <w14:solidFill>
              <w14:schemeClr w14:val="tx1"/>
            </w14:solidFill>
          </w14:textFill>
        </w:rPr>
        <w:t>).</w:t>
      </w:r>
      <w:r>
        <w:rPr>
          <w:rFonts w:ascii="Arial" w:hAnsi="Arial" w:cs="Arial"/>
          <w:i/>
          <w:iCs/>
          <w:color w:val="000000" w:themeColor="text1"/>
          <w:sz w:val="22"/>
          <w:szCs w:val="22"/>
          <w14:textFill>
            <w14:solidFill>
              <w14:schemeClr w14:val="tx1"/>
            </w14:solidFill>
          </w14:textFill>
        </w:rPr>
        <w:t xml:space="preserve"> </w:t>
      </w:r>
      <w:r>
        <w:rPr>
          <w:rFonts w:ascii="Arial" w:hAnsi="Arial" w:cs="Arial"/>
          <w:i/>
          <w:iCs/>
          <w:color w:val="000000" w:themeColor="text1"/>
          <w:sz w:val="22"/>
          <w:szCs w:val="22"/>
          <w:lang w:val="en-GB"/>
          <w14:textFill>
            <w14:solidFill>
              <w14:schemeClr w14:val="tx1"/>
            </w14:solidFill>
          </w14:textFill>
        </w:rPr>
        <w:t>Psychosocial theory</w:t>
      </w:r>
      <w:r>
        <w:rPr>
          <w:rFonts w:ascii="Arial" w:hAnsi="Arial" w:cs="Arial"/>
          <w:color w:val="000000" w:themeColor="text1"/>
          <w:sz w:val="22"/>
          <w:szCs w:val="22"/>
          <w:lang w:val="en-GB"/>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[online]</w:t>
      </w:r>
      <w:r>
        <w:rPr>
          <w:rFonts w:ascii="Arial" w:hAnsi="Arial" w:cs="Arial"/>
          <w:color w:val="000000" w:themeColor="text1"/>
          <w:sz w:val="22"/>
          <w:szCs w:val="22"/>
          <w:lang w:val="en-GB"/>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Available at: </w:t>
      </w:r>
      <w:r>
        <w:fldChar w:fldCharType="begin"/>
      </w:r>
      <w:r>
        <w:instrText xml:space="preserve"> HYPERLINK "http://courses.lumenlearning.com/wm-lifespandevelopment/chapter/erikson-and-psychosocial-theTrust" </w:instrText>
      </w:r>
      <w:r>
        <w:fldChar w:fldCharType="separate"/>
      </w:r>
      <w:r>
        <w:rPr>
          <w:rStyle w:val="9"/>
          <w:rFonts w:ascii="Arial" w:hAnsi="Arial" w:cs="Arial"/>
          <w:color w:val="000000" w:themeColor="text1"/>
          <w:sz w:val="22"/>
          <w:szCs w:val="22"/>
          <w14:textFill>
            <w14:solidFill>
              <w14:schemeClr w14:val="tx1"/>
            </w14:solidFill>
          </w14:textFill>
        </w:rPr>
        <w:t>http://courses.lumenlearning.com/wm-lifespandevelopment/chapter/erikson-and-psychosocial-theTrust</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en-GB"/>
          <w14:textFill>
            <w14:solidFill>
              <w14:schemeClr w14:val="tx1"/>
            </w14:solidFill>
          </w14:textFill>
        </w:rPr>
        <w:t>(</w:t>
      </w:r>
      <w:r>
        <w:rPr>
          <w:rFonts w:ascii="Arial" w:hAnsi="Arial" w:cs="Arial"/>
          <w:color w:val="000000" w:themeColor="text1"/>
          <w:sz w:val="22"/>
          <w:szCs w:val="22"/>
          <w14:textFill>
            <w14:solidFill>
              <w14:schemeClr w14:val="tx1"/>
            </w14:solidFill>
          </w14:textFill>
        </w:rPr>
        <w:t>Accessed 29 Apr</w:t>
      </w:r>
      <w:r>
        <w:rPr>
          <w:rFonts w:ascii="Arial" w:hAnsi="Arial" w:cs="Arial"/>
          <w:color w:val="000000" w:themeColor="text1"/>
          <w:sz w:val="22"/>
          <w:szCs w:val="22"/>
          <w:lang w:val="en-GB"/>
          <w14:textFill>
            <w14:solidFill>
              <w14:schemeClr w14:val="tx1"/>
            </w14:solidFill>
          </w14:textFill>
        </w:rPr>
        <w:t xml:space="preserve">il </w:t>
      </w:r>
      <w:r>
        <w:rPr>
          <w:rFonts w:ascii="Arial" w:hAnsi="Arial" w:cs="Arial"/>
          <w:color w:val="000000" w:themeColor="text1"/>
          <w:sz w:val="22"/>
          <w:szCs w:val="22"/>
          <w14:textFill>
            <w14:solidFill>
              <w14:schemeClr w14:val="tx1"/>
            </w14:solidFill>
          </w14:textFill>
        </w:rPr>
        <w:t>2023</w:t>
      </w:r>
      <w:r>
        <w:rPr>
          <w:rFonts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Mcleod, S. (20</w:t>
      </w:r>
      <w:r>
        <w:rPr>
          <w:rFonts w:hint="default" w:ascii="Arial" w:hAnsi="Arial" w:cs="Arial"/>
          <w:color w:val="000000" w:themeColor="text1"/>
          <w:sz w:val="22"/>
          <w:szCs w:val="22"/>
          <w:lang w:val="en-GB"/>
          <w14:textFill>
            <w14:solidFill>
              <w14:schemeClr w14:val="tx1"/>
            </w14:solidFill>
          </w14:textFill>
        </w:rPr>
        <w:t>23</w:t>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en-GB"/>
          <w14:textFill>
            <w14:solidFill>
              <w14:schemeClr w14:val="tx1"/>
            </w14:solidFill>
          </w14:textFill>
        </w:rPr>
        <w:t xml:space="preserve"> </w:t>
      </w:r>
      <w:r>
        <w:rPr>
          <w:rFonts w:ascii="Arial" w:hAnsi="Arial" w:cs="Arial"/>
          <w:i/>
          <w:iCs/>
          <w:color w:val="000000" w:themeColor="text1"/>
          <w:sz w:val="22"/>
          <w:szCs w:val="22"/>
          <w:lang w:val="en-GB"/>
          <w14:textFill>
            <w14:solidFill>
              <w14:schemeClr w14:val="tx1"/>
            </w14:solidFill>
          </w14:textFill>
        </w:rPr>
        <w:t>Erik Erikson’s 8 stages of psychosocial development</w:t>
      </w:r>
      <w:r>
        <w:rPr>
          <w:rFonts w:ascii="Arial" w:hAnsi="Arial" w:cs="Arial"/>
          <w:color w:val="000000" w:themeColor="text1"/>
          <w:sz w:val="22"/>
          <w:szCs w:val="22"/>
          <w14:textFill>
            <w14:solidFill>
              <w14:schemeClr w14:val="tx1"/>
            </w14:solidFill>
          </w14:textFill>
        </w:rPr>
        <w:t xml:space="preserve"> [online]</w:t>
      </w:r>
      <w:r>
        <w:rPr>
          <w:rFonts w:ascii="Arial" w:hAnsi="Arial" w:cs="Arial"/>
          <w:color w:val="000000" w:themeColor="text1"/>
          <w:sz w:val="22"/>
          <w:szCs w:val="22"/>
          <w:lang w:val="en-GB"/>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Available at: </w:t>
      </w:r>
      <w:r>
        <w:fldChar w:fldCharType="begin"/>
      </w:r>
      <w:r>
        <w:instrText xml:space="preserve"> HYPERLINK "https://www.simplypsychology.org/Erik-Erikson.htm." </w:instrText>
      </w:r>
      <w:r>
        <w:fldChar w:fldCharType="separate"/>
      </w:r>
      <w:r>
        <w:rPr>
          <w:rStyle w:val="9"/>
          <w:rFonts w:ascii="Arial" w:hAnsi="Arial" w:cs="Arial"/>
          <w:color w:val="000000" w:themeColor="text1"/>
          <w:sz w:val="22"/>
          <w:szCs w:val="22"/>
          <w14:textFill>
            <w14:solidFill>
              <w14:schemeClr w14:val="tx1"/>
            </w14:solidFill>
          </w14:textFill>
        </w:rPr>
        <w:t>https://www.simplypsychology.org/Erik-Erikson.htm.</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 xml:space="preserve"> (Accessed 25 April 2023).</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Mcleod, S. (20</w:t>
      </w:r>
      <w:r>
        <w:rPr>
          <w:rFonts w:ascii="Arial" w:hAnsi="Arial" w:cs="Arial"/>
          <w:color w:val="000000" w:themeColor="text1"/>
          <w:sz w:val="22"/>
          <w:szCs w:val="22"/>
          <w:lang w:val="en-GB"/>
          <w14:textFill>
            <w14:solidFill>
              <w14:schemeClr w14:val="tx1"/>
            </w14:solidFill>
          </w14:textFill>
        </w:rPr>
        <w:t>23</w:t>
      </w:r>
      <w:r>
        <w:rPr>
          <w:rFonts w:ascii="Arial" w:hAnsi="Arial" w:cs="Arial"/>
          <w:color w:val="000000" w:themeColor="text1"/>
          <w:sz w:val="22"/>
          <w:szCs w:val="22"/>
          <w14:textFill>
            <w14:solidFill>
              <w14:schemeClr w14:val="tx1"/>
            </w14:solidFill>
          </w14:textFill>
        </w:rPr>
        <w:t xml:space="preserve">). </w:t>
      </w:r>
      <w:r>
        <w:rPr>
          <w:rFonts w:ascii="Arial" w:hAnsi="Arial" w:cs="Arial"/>
          <w:i/>
          <w:iCs/>
          <w:color w:val="000000" w:themeColor="text1"/>
          <w:sz w:val="22"/>
          <w:szCs w:val="22"/>
          <w14:textFill>
            <w14:solidFill>
              <w14:schemeClr w14:val="tx1"/>
            </w14:solidFill>
          </w14:textFill>
        </w:rPr>
        <w:t>Albert Bandura’s Social Learning Theory</w:t>
      </w:r>
      <w:r>
        <w:rPr>
          <w:rFonts w:ascii="Arial" w:hAnsi="Arial" w:cs="Arial"/>
          <w:color w:val="000000" w:themeColor="text1"/>
          <w:sz w:val="22"/>
          <w:szCs w:val="22"/>
          <w14:textFill>
            <w14:solidFill>
              <w14:schemeClr w14:val="tx1"/>
            </w14:solidFill>
          </w14:textFill>
        </w:rPr>
        <w:t xml:space="preserve"> [online]</w:t>
      </w:r>
      <w:r>
        <w:rPr>
          <w:rFonts w:ascii="Arial" w:hAnsi="Arial" w:cs="Arial"/>
          <w:color w:val="000000" w:themeColor="text1"/>
          <w:sz w:val="22"/>
          <w:szCs w:val="22"/>
          <w:lang w:val="en-GB"/>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 Available at: </w:t>
      </w:r>
      <w:r>
        <w:fldChar w:fldCharType="begin"/>
      </w:r>
      <w:r>
        <w:instrText xml:space="preserve"> HYPERLINK "https://simplypsychology.org/bandura.html." </w:instrText>
      </w:r>
      <w:r>
        <w:fldChar w:fldCharType="separate"/>
      </w:r>
      <w:r>
        <w:rPr>
          <w:rStyle w:val="9"/>
          <w:rFonts w:ascii="Arial" w:hAnsi="Arial" w:cs="Arial"/>
          <w:color w:val="000000" w:themeColor="text1"/>
          <w:sz w:val="22"/>
          <w:szCs w:val="22"/>
          <w14:textFill>
            <w14:solidFill>
              <w14:schemeClr w14:val="tx1"/>
            </w14:solidFill>
          </w14:textFill>
        </w:rPr>
        <w:t>https://simplypsychology.org/bandura.html.</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 Accessed 18 April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Nabavi, R. (2012). </w:t>
      </w:r>
      <w:r>
        <w:rPr>
          <w:rFonts w:ascii="Arial" w:hAnsi="Arial" w:cs="Arial"/>
          <w:i/>
          <w:iCs/>
          <w:color w:val="000000" w:themeColor="text1"/>
          <w:sz w:val="22"/>
          <w:szCs w:val="22"/>
          <w14:textFill>
            <w14:solidFill>
              <w14:schemeClr w14:val="tx1"/>
            </w14:solidFill>
          </w14:textFill>
        </w:rPr>
        <w:t>Bandura’s Social Learning Theory &amp; Social Cognitive Learning Theory</w:t>
      </w:r>
      <w:r>
        <w:rPr>
          <w:rFonts w:ascii="Arial" w:hAnsi="Arial" w:cs="Arial"/>
          <w:color w:val="000000" w:themeColor="text1"/>
          <w:sz w:val="22"/>
          <w:szCs w:val="22"/>
          <w14:textFill>
            <w14:solidFill>
              <w14:schemeClr w14:val="tx1"/>
            </w14:solidFill>
          </w14:textFill>
        </w:rPr>
        <w:t xml:space="preserve"> [online]. Available at: </w:t>
      </w:r>
      <w:r>
        <w:fldChar w:fldCharType="begin"/>
      </w:r>
      <w:r>
        <w:instrText xml:space="preserve"> HYPERLINK "https://davidamerland.com/images/pdf/BandurasTheory.pdf." </w:instrText>
      </w:r>
      <w:r>
        <w:fldChar w:fldCharType="separate"/>
      </w:r>
      <w:r>
        <w:rPr>
          <w:rStyle w:val="9"/>
          <w:rFonts w:ascii="Arial" w:hAnsi="Arial" w:cs="Arial"/>
          <w:color w:val="000000" w:themeColor="text1"/>
          <w:sz w:val="22"/>
          <w:szCs w:val="22"/>
          <w14:textFill>
            <w14:solidFill>
              <w14:schemeClr w14:val="tx1"/>
            </w14:solidFill>
          </w14:textFill>
        </w:rPr>
        <w:t>https://davidamerland.com/images/pdf/BandurasTheory.pdf.</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 xml:space="preserve"> (Accessed 2 April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hint="default" w:ascii="Arial" w:hAnsi="Arial" w:cs="Arial"/>
          <w:color w:val="000000" w:themeColor="text1"/>
          <w:sz w:val="22"/>
          <w:szCs w:val="22"/>
          <w:lang w:val="en-GB"/>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Sutton, J. (2021). </w:t>
      </w:r>
      <w:r>
        <w:rPr>
          <w:rFonts w:ascii="Arial" w:hAnsi="Arial" w:cs="Arial"/>
          <w:i/>
          <w:iCs/>
          <w:color w:val="000000" w:themeColor="text1"/>
          <w:sz w:val="22"/>
          <w:szCs w:val="22"/>
          <w14:textFill>
            <w14:solidFill>
              <w14:schemeClr w14:val="tx1"/>
            </w14:solidFill>
          </w14:textFill>
        </w:rPr>
        <w:t>What Is Bandura’s Social Learning Theory?</w:t>
      </w:r>
      <w:r>
        <w:rPr>
          <w:rFonts w:ascii="Arial" w:hAnsi="Arial" w:cs="Arial"/>
          <w:color w:val="000000" w:themeColor="text1"/>
          <w:sz w:val="22"/>
          <w:szCs w:val="22"/>
          <w14:textFill>
            <w14:solidFill>
              <w14:schemeClr w14:val="tx1"/>
            </w14:solidFill>
          </w14:textFill>
        </w:rPr>
        <w:t xml:space="preserve"> [online]. Available at: </w:t>
      </w:r>
      <w:r>
        <w:fldChar w:fldCharType="begin"/>
      </w:r>
      <w:r>
        <w:instrText xml:space="preserve"> HYPERLINK "https://positivepsychology.com/social-learning-theory-bandura/." </w:instrText>
      </w:r>
      <w:r>
        <w:fldChar w:fldCharType="separate"/>
      </w:r>
      <w:r>
        <w:rPr>
          <w:rStyle w:val="9"/>
          <w:rFonts w:ascii="Arial" w:hAnsi="Arial" w:cs="Arial"/>
          <w:color w:val="000000" w:themeColor="text1"/>
          <w:sz w:val="22"/>
          <w:szCs w:val="22"/>
          <w14:textFill>
            <w14:solidFill>
              <w14:schemeClr w14:val="tx1"/>
            </w14:solidFill>
          </w14:textFill>
        </w:rPr>
        <w:t>https://positivepsychology.com/social-learning-theory-bandura/.</w:t>
      </w:r>
      <w:r>
        <w:rPr>
          <w:rStyle w:val="9"/>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lang w:val="en-GB"/>
          <w14:textFill>
            <w14:solidFill>
              <w14:schemeClr w14:val="tx1"/>
            </w14:solidFill>
          </w14:textFill>
        </w:rPr>
        <w:t>(Accessed 10 April 2023)</w:t>
      </w:r>
      <w:r>
        <w:rPr>
          <w:rFonts w:hint="default" w:ascii="Arial" w:hAnsi="Arial" w:cs="Arial"/>
          <w:color w:val="000000" w:themeColor="text1"/>
          <w:sz w:val="22"/>
          <w:szCs w:val="22"/>
          <w:lang w:val="en-GB"/>
          <w14:textFill>
            <w14:solidFill>
              <w14:schemeClr w14:val="tx1"/>
            </w14:solidFill>
          </w14:textFill>
        </w:rPr>
        <w:t>.</w:t>
      </w:r>
    </w:p>
    <w:p>
      <w:pPr>
        <w:pStyle w:val="10"/>
        <w:spacing w:beforeAutospacing="0" w:after="210" w:afterAutospacing="0" w:line="360" w:lineRule="auto"/>
        <w:rPr>
          <w:rFonts w:ascii="Arial" w:hAnsi="Arial" w:cs="Arial"/>
          <w:sz w:val="22"/>
          <w:szCs w:val="22"/>
        </w:rPr>
      </w:pPr>
    </w:p>
    <w:p>
      <w:pPr>
        <w:pStyle w:val="10"/>
        <w:spacing w:beforeAutospacing="0" w:after="210" w:afterAutospacing="0" w:line="360" w:lineRule="auto"/>
        <w:rPr>
          <w:rFonts w:ascii="Arial" w:hAnsi="Arial" w:cs="Arial"/>
          <w:sz w:val="22"/>
          <w:szCs w:val="22"/>
        </w:rPr>
      </w:pPr>
      <w:r>
        <w:rPr>
          <w:rFonts w:ascii="Arial" w:hAnsi="Arial" w:cs="Arial"/>
          <w:sz w:val="22"/>
          <w:szCs w:val="22"/>
        </w:rPr>
        <w:t>.</w:t>
      </w:r>
    </w:p>
    <w:p>
      <w:pPr>
        <w:spacing w:line="360" w:lineRule="auto"/>
        <w:rPr>
          <w:rFonts w:ascii="Arial" w:hAnsi="Arial" w:cs="Arial"/>
          <w:b/>
          <w:bCs/>
          <w:sz w:val="22"/>
          <w:szCs w:val="22"/>
          <w:lang w:val="en-GB"/>
        </w:rPr>
      </w:pPr>
      <w:bookmarkStart w:id="10" w:name="_GoBack"/>
      <w:bookmarkEnd w:id="10"/>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p>
      <w:pPr>
        <w:spacing w:line="360" w:lineRule="auto"/>
        <w:rPr>
          <w:rFonts w:ascii="Arial" w:hAnsi="Arial" w:cs="Arial"/>
          <w:sz w:val="22"/>
          <w:szCs w:val="22"/>
          <w:lang w:val="en-GB"/>
        </w:rPr>
      </w:pPr>
    </w:p>
    <w:sectPr>
      <w:foot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1182773"/>
    </w:sdtPr>
    <w:sdtContent>
      <w:p>
        <w:pPr>
          <w:pStyle w:val="7"/>
          <w:jc w:val="right"/>
        </w:pPr>
        <w:r>
          <w:fldChar w:fldCharType="begin"/>
        </w:r>
        <w:r>
          <w:instrText xml:space="preserve"> PAGE   \* MERGEFORMAT </w:instrText>
        </w:r>
        <w:r>
          <w:fldChar w:fldCharType="separate"/>
        </w:r>
        <w:r>
          <w:t>2</w:t>
        </w:r>
        <w:r>
          <w:fldChar w:fldCharType="end"/>
        </w:r>
      </w:p>
    </w:sdtContent>
  </w:sdt>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hideSpellingErrors/>
  <w:hideGrammaticalErrors/>
  <w:documentProtection w:enforcement="0"/>
  <w:defaultTabStop w:val="720"/>
  <w:drawingGridVerticalSpacing w:val="156"/>
  <w:noPunctuationKerning w:val="1"/>
  <w:characterSpacingControl w:val="doNotCompress"/>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0Nza1NDc2Mzc3sDBT0lEKTi0uzszPAykwrgUAjX8bPSwAAAA="/>
  </w:docVars>
  <w:rsids>
    <w:rsidRoot w:val="46E22655"/>
    <w:rsid w:val="00003693"/>
    <w:rsid w:val="0011251B"/>
    <w:rsid w:val="001E5012"/>
    <w:rsid w:val="00211553"/>
    <w:rsid w:val="00236E18"/>
    <w:rsid w:val="002724CA"/>
    <w:rsid w:val="00282F69"/>
    <w:rsid w:val="002B3933"/>
    <w:rsid w:val="00327645"/>
    <w:rsid w:val="00331D94"/>
    <w:rsid w:val="0034531B"/>
    <w:rsid w:val="003E50E0"/>
    <w:rsid w:val="004108D6"/>
    <w:rsid w:val="00426F2C"/>
    <w:rsid w:val="00431CDD"/>
    <w:rsid w:val="00480B14"/>
    <w:rsid w:val="004A4B8F"/>
    <w:rsid w:val="004B1F78"/>
    <w:rsid w:val="004B6089"/>
    <w:rsid w:val="004B6CD9"/>
    <w:rsid w:val="004C0B87"/>
    <w:rsid w:val="005219A3"/>
    <w:rsid w:val="00542B75"/>
    <w:rsid w:val="00544D1A"/>
    <w:rsid w:val="00567AA3"/>
    <w:rsid w:val="005A5962"/>
    <w:rsid w:val="005B7DBE"/>
    <w:rsid w:val="005E5E67"/>
    <w:rsid w:val="00605554"/>
    <w:rsid w:val="006122FF"/>
    <w:rsid w:val="0062430F"/>
    <w:rsid w:val="00687A27"/>
    <w:rsid w:val="006C66F8"/>
    <w:rsid w:val="007A1A4A"/>
    <w:rsid w:val="007E1767"/>
    <w:rsid w:val="00807CB8"/>
    <w:rsid w:val="00823886"/>
    <w:rsid w:val="008C2959"/>
    <w:rsid w:val="00954B03"/>
    <w:rsid w:val="00A10E85"/>
    <w:rsid w:val="00AE3119"/>
    <w:rsid w:val="00AF2692"/>
    <w:rsid w:val="00B215E0"/>
    <w:rsid w:val="00B350AC"/>
    <w:rsid w:val="00B73674"/>
    <w:rsid w:val="00B862D5"/>
    <w:rsid w:val="00BB4D26"/>
    <w:rsid w:val="00BF4A13"/>
    <w:rsid w:val="00C14579"/>
    <w:rsid w:val="00CE0B7C"/>
    <w:rsid w:val="00CF089C"/>
    <w:rsid w:val="00D260E0"/>
    <w:rsid w:val="00D3142D"/>
    <w:rsid w:val="00D54AD8"/>
    <w:rsid w:val="00D6344F"/>
    <w:rsid w:val="00D815C5"/>
    <w:rsid w:val="00D85643"/>
    <w:rsid w:val="00DE1F7C"/>
    <w:rsid w:val="00E03432"/>
    <w:rsid w:val="00E30FAC"/>
    <w:rsid w:val="00E9777C"/>
    <w:rsid w:val="00ED58E1"/>
    <w:rsid w:val="00ED5A00"/>
    <w:rsid w:val="00ED7219"/>
    <w:rsid w:val="00FA1329"/>
    <w:rsid w:val="04732647"/>
    <w:rsid w:val="04AD10C6"/>
    <w:rsid w:val="05382715"/>
    <w:rsid w:val="06F16DB8"/>
    <w:rsid w:val="077566D6"/>
    <w:rsid w:val="0B642CE9"/>
    <w:rsid w:val="0BF202F5"/>
    <w:rsid w:val="0C246346"/>
    <w:rsid w:val="0D183D8B"/>
    <w:rsid w:val="0ED463D8"/>
    <w:rsid w:val="0F580DB7"/>
    <w:rsid w:val="102E6D1C"/>
    <w:rsid w:val="11447CAD"/>
    <w:rsid w:val="12D15108"/>
    <w:rsid w:val="12E33539"/>
    <w:rsid w:val="13807612"/>
    <w:rsid w:val="138C102F"/>
    <w:rsid w:val="142179C9"/>
    <w:rsid w:val="14657E67"/>
    <w:rsid w:val="163E126F"/>
    <w:rsid w:val="170850BA"/>
    <w:rsid w:val="17CF598E"/>
    <w:rsid w:val="183F0ACA"/>
    <w:rsid w:val="18A86119"/>
    <w:rsid w:val="18FA6510"/>
    <w:rsid w:val="191E13A9"/>
    <w:rsid w:val="1AAC2D66"/>
    <w:rsid w:val="1B192AA5"/>
    <w:rsid w:val="1BF81957"/>
    <w:rsid w:val="1C253938"/>
    <w:rsid w:val="1CEC1B1B"/>
    <w:rsid w:val="1E442786"/>
    <w:rsid w:val="1E6B67BB"/>
    <w:rsid w:val="1EB63404"/>
    <w:rsid w:val="1F332CA6"/>
    <w:rsid w:val="213C22E6"/>
    <w:rsid w:val="21556F04"/>
    <w:rsid w:val="220F0DD2"/>
    <w:rsid w:val="238E2BA1"/>
    <w:rsid w:val="23F0560A"/>
    <w:rsid w:val="24187C0D"/>
    <w:rsid w:val="24480FA2"/>
    <w:rsid w:val="272C4BAB"/>
    <w:rsid w:val="276205CD"/>
    <w:rsid w:val="27983FEE"/>
    <w:rsid w:val="27E56B08"/>
    <w:rsid w:val="290E73ED"/>
    <w:rsid w:val="2A242727"/>
    <w:rsid w:val="2B726905"/>
    <w:rsid w:val="2BB1742D"/>
    <w:rsid w:val="2C6721E1"/>
    <w:rsid w:val="2CB979B4"/>
    <w:rsid w:val="2DB43204"/>
    <w:rsid w:val="2DE64EBA"/>
    <w:rsid w:val="2F794705"/>
    <w:rsid w:val="2F8512FC"/>
    <w:rsid w:val="2FB15C4D"/>
    <w:rsid w:val="32943604"/>
    <w:rsid w:val="32A970B0"/>
    <w:rsid w:val="33501C21"/>
    <w:rsid w:val="33D72A06"/>
    <w:rsid w:val="34164C19"/>
    <w:rsid w:val="34F928A8"/>
    <w:rsid w:val="365A355D"/>
    <w:rsid w:val="37040D59"/>
    <w:rsid w:val="371371EE"/>
    <w:rsid w:val="37C456EC"/>
    <w:rsid w:val="37E43E90"/>
    <w:rsid w:val="38767A34"/>
    <w:rsid w:val="3A234FF4"/>
    <w:rsid w:val="3A836438"/>
    <w:rsid w:val="3AE74C19"/>
    <w:rsid w:val="3CB3128D"/>
    <w:rsid w:val="3CBE5E4E"/>
    <w:rsid w:val="3D577285"/>
    <w:rsid w:val="3D7E394C"/>
    <w:rsid w:val="3DC24CF3"/>
    <w:rsid w:val="3DD53A7C"/>
    <w:rsid w:val="3DF17B5D"/>
    <w:rsid w:val="3E612F34"/>
    <w:rsid w:val="3EAE2138"/>
    <w:rsid w:val="3FDF6807"/>
    <w:rsid w:val="3FF36CDA"/>
    <w:rsid w:val="402154C6"/>
    <w:rsid w:val="4033445D"/>
    <w:rsid w:val="408E028C"/>
    <w:rsid w:val="41036525"/>
    <w:rsid w:val="41923405"/>
    <w:rsid w:val="41E2438C"/>
    <w:rsid w:val="41F5450D"/>
    <w:rsid w:val="42DE0FF8"/>
    <w:rsid w:val="43193DDE"/>
    <w:rsid w:val="43727865"/>
    <w:rsid w:val="437F1C44"/>
    <w:rsid w:val="43B104BA"/>
    <w:rsid w:val="43B753A5"/>
    <w:rsid w:val="43E53DB4"/>
    <w:rsid w:val="449740CF"/>
    <w:rsid w:val="44B518E4"/>
    <w:rsid w:val="44DA16D0"/>
    <w:rsid w:val="463A730C"/>
    <w:rsid w:val="46E22655"/>
    <w:rsid w:val="47B85108"/>
    <w:rsid w:val="49460271"/>
    <w:rsid w:val="49BE437E"/>
    <w:rsid w:val="49CA0DC2"/>
    <w:rsid w:val="49E05655"/>
    <w:rsid w:val="4B3C2D5F"/>
    <w:rsid w:val="4C3462BF"/>
    <w:rsid w:val="4C7C0112"/>
    <w:rsid w:val="4C83676C"/>
    <w:rsid w:val="4DAE15C6"/>
    <w:rsid w:val="4E235B10"/>
    <w:rsid w:val="4FC74BC1"/>
    <w:rsid w:val="50782878"/>
    <w:rsid w:val="51026013"/>
    <w:rsid w:val="513E2C61"/>
    <w:rsid w:val="52374280"/>
    <w:rsid w:val="528B1ED6"/>
    <w:rsid w:val="532F31A9"/>
    <w:rsid w:val="53B316E5"/>
    <w:rsid w:val="543770F8"/>
    <w:rsid w:val="54805557"/>
    <w:rsid w:val="5494096F"/>
    <w:rsid w:val="55175CA3"/>
    <w:rsid w:val="552D54C7"/>
    <w:rsid w:val="55794BB0"/>
    <w:rsid w:val="56C53855"/>
    <w:rsid w:val="57342B3C"/>
    <w:rsid w:val="57691208"/>
    <w:rsid w:val="57C659BC"/>
    <w:rsid w:val="587A0A23"/>
    <w:rsid w:val="58BD1D7C"/>
    <w:rsid w:val="597F3BD7"/>
    <w:rsid w:val="5A2F34E3"/>
    <w:rsid w:val="5CD03307"/>
    <w:rsid w:val="5CD64696"/>
    <w:rsid w:val="5CF15EDF"/>
    <w:rsid w:val="5D284EF1"/>
    <w:rsid w:val="5DB03BEE"/>
    <w:rsid w:val="5E1824AD"/>
    <w:rsid w:val="5F61266B"/>
    <w:rsid w:val="5F667F53"/>
    <w:rsid w:val="5FDA532A"/>
    <w:rsid w:val="61050FC1"/>
    <w:rsid w:val="61DF1A53"/>
    <w:rsid w:val="61F5736C"/>
    <w:rsid w:val="6209631B"/>
    <w:rsid w:val="62C51434"/>
    <w:rsid w:val="6343756D"/>
    <w:rsid w:val="63442359"/>
    <w:rsid w:val="63B84AF5"/>
    <w:rsid w:val="64DD4813"/>
    <w:rsid w:val="653C6933"/>
    <w:rsid w:val="6563091A"/>
    <w:rsid w:val="65DD6A95"/>
    <w:rsid w:val="661A5016"/>
    <w:rsid w:val="675101FA"/>
    <w:rsid w:val="69540E1C"/>
    <w:rsid w:val="695B21AB"/>
    <w:rsid w:val="69C73CE4"/>
    <w:rsid w:val="6A3824EC"/>
    <w:rsid w:val="6BFD39ED"/>
    <w:rsid w:val="6D553B35"/>
    <w:rsid w:val="6D8E09D2"/>
    <w:rsid w:val="71025602"/>
    <w:rsid w:val="7141320D"/>
    <w:rsid w:val="71621C1B"/>
    <w:rsid w:val="718F4844"/>
    <w:rsid w:val="71A63D0B"/>
    <w:rsid w:val="71B42DA0"/>
    <w:rsid w:val="71D92806"/>
    <w:rsid w:val="72135E5F"/>
    <w:rsid w:val="727B38BE"/>
    <w:rsid w:val="72834520"/>
    <w:rsid w:val="730934A1"/>
    <w:rsid w:val="733028FA"/>
    <w:rsid w:val="74F11C15"/>
    <w:rsid w:val="752A3D3E"/>
    <w:rsid w:val="756B7C19"/>
    <w:rsid w:val="756E14B8"/>
    <w:rsid w:val="757A1C0A"/>
    <w:rsid w:val="75957151"/>
    <w:rsid w:val="75D03F20"/>
    <w:rsid w:val="766F7295"/>
    <w:rsid w:val="776A34BE"/>
    <w:rsid w:val="77A078AE"/>
    <w:rsid w:val="7A1430E2"/>
    <w:rsid w:val="7B684BA8"/>
    <w:rsid w:val="7BA2010D"/>
    <w:rsid w:val="7BE1342B"/>
    <w:rsid w:val="7C330D65"/>
    <w:rsid w:val="7C66113B"/>
    <w:rsid w:val="7D584F27"/>
    <w:rsid w:val="7F8865DD"/>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link w:val="17"/>
    <w:qFormat/>
    <w:uiPriority w:val="0"/>
    <w:pPr>
      <w:keepNext/>
      <w:keepLines/>
      <w:spacing w:line="360" w:lineRule="auto"/>
      <w:jc w:val="center"/>
      <w:outlineLvl w:val="0"/>
    </w:pPr>
    <w:rPr>
      <w:rFonts w:ascii="Arial" w:hAnsi="Arial" w:eastAsiaTheme="majorEastAsia" w:cstheme="majorBidi"/>
      <w:b/>
      <w:color w:val="000000" w:themeColor="text1"/>
      <w:sz w:val="22"/>
      <w:szCs w:val="32"/>
      <w14:textFill>
        <w14:solidFill>
          <w14:schemeClr w14:val="tx1"/>
        </w14:solidFill>
      </w14:textFill>
    </w:rPr>
  </w:style>
  <w:style w:type="paragraph" w:styleId="3">
    <w:name w:val="heading 2"/>
    <w:basedOn w:val="1"/>
    <w:next w:val="1"/>
    <w:link w:val="21"/>
    <w:unhideWhenUsed/>
    <w:qFormat/>
    <w:uiPriority w:val="0"/>
    <w:pPr>
      <w:keepNext/>
      <w:keepLines/>
      <w:spacing w:line="360" w:lineRule="auto"/>
      <w:outlineLvl w:val="1"/>
    </w:pPr>
    <w:rPr>
      <w:rFonts w:ascii="Arial" w:hAnsi="Arial" w:eastAsiaTheme="majorEastAsia" w:cstheme="majorBidi"/>
      <w:b/>
      <w:color w:val="000000" w:themeColor="text1"/>
      <w:sz w:val="22"/>
      <w:szCs w:val="26"/>
      <w14:textFill>
        <w14:solidFill>
          <w14:schemeClr w14:val="tx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FollowedHyperlink"/>
    <w:basedOn w:val="4"/>
    <w:uiPriority w:val="0"/>
    <w:rPr>
      <w:color w:val="954F72" w:themeColor="followedHyperlink"/>
      <w:u w:val="single"/>
      <w14:textFill>
        <w14:solidFill>
          <w14:schemeClr w14:val="folHlink"/>
        </w14:solidFill>
      </w14:textFill>
    </w:rPr>
  </w:style>
  <w:style w:type="paragraph" w:styleId="7">
    <w:name w:val="footer"/>
    <w:basedOn w:val="1"/>
    <w:link w:val="20"/>
    <w:qFormat/>
    <w:uiPriority w:val="99"/>
    <w:pPr>
      <w:tabs>
        <w:tab w:val="center" w:pos="4513"/>
        <w:tab w:val="right" w:pos="9026"/>
      </w:tabs>
    </w:pPr>
  </w:style>
  <w:style w:type="paragraph" w:styleId="8">
    <w:name w:val="header"/>
    <w:basedOn w:val="1"/>
    <w:link w:val="19"/>
    <w:qFormat/>
    <w:uiPriority w:val="0"/>
    <w:pPr>
      <w:tabs>
        <w:tab w:val="center" w:pos="4513"/>
        <w:tab w:val="right" w:pos="9026"/>
      </w:tabs>
    </w:pPr>
  </w:style>
  <w:style w:type="character" w:styleId="9">
    <w:name w:val="Hyperlink"/>
    <w:basedOn w:val="4"/>
    <w:qFormat/>
    <w:uiPriority w:val="99"/>
    <w:rPr>
      <w:color w:val="0000FF"/>
      <w:u w:val="single"/>
    </w:rPr>
  </w:style>
  <w:style w:type="paragraph" w:styleId="10">
    <w:name w:val="Normal (Web)"/>
    <w:basedOn w:val="1"/>
    <w:qFormat/>
    <w:uiPriority w:val="99"/>
    <w:pPr>
      <w:spacing w:beforeAutospacing="1" w:afterAutospacing="1"/>
    </w:pPr>
    <w:rPr>
      <w:rFonts w:ascii="Times New Roman" w:hAnsi="Times New Roman" w:eastAsia="SimSun" w:cs="Times New Roman"/>
      <w:sz w:val="24"/>
      <w:szCs w:val="24"/>
    </w:rPr>
  </w:style>
  <w:style w:type="paragraph" w:styleId="11">
    <w:name w:val="toc 1"/>
    <w:basedOn w:val="1"/>
    <w:next w:val="1"/>
    <w:unhideWhenUsed/>
    <w:qFormat/>
    <w:uiPriority w:val="39"/>
    <w:pPr>
      <w:spacing w:after="100" w:line="259" w:lineRule="auto"/>
    </w:pPr>
    <w:rPr>
      <w:rFonts w:cs="Times New Roman"/>
      <w:sz w:val="22"/>
      <w:szCs w:val="22"/>
      <w:lang w:eastAsia="en-US"/>
    </w:rPr>
  </w:style>
  <w:style w:type="paragraph" w:styleId="12">
    <w:name w:val="toc 2"/>
    <w:basedOn w:val="1"/>
    <w:next w:val="1"/>
    <w:unhideWhenUsed/>
    <w:qFormat/>
    <w:uiPriority w:val="39"/>
    <w:pPr>
      <w:spacing w:after="100" w:line="259" w:lineRule="auto"/>
      <w:ind w:left="220"/>
    </w:pPr>
    <w:rPr>
      <w:rFonts w:cs="Times New Roman"/>
      <w:sz w:val="22"/>
      <w:szCs w:val="22"/>
      <w:lang w:eastAsia="en-US"/>
    </w:rPr>
  </w:style>
  <w:style w:type="paragraph" w:styleId="13">
    <w:name w:val="toc 3"/>
    <w:basedOn w:val="1"/>
    <w:next w:val="1"/>
    <w:unhideWhenUsed/>
    <w:uiPriority w:val="39"/>
    <w:pPr>
      <w:spacing w:after="100" w:line="259" w:lineRule="auto"/>
      <w:ind w:left="440"/>
    </w:pPr>
    <w:rPr>
      <w:rFonts w:cs="Times New Roman"/>
      <w:sz w:val="22"/>
      <w:szCs w:val="22"/>
      <w:lang w:eastAsia="en-US"/>
    </w:rPr>
  </w:style>
  <w:style w:type="paragraph" w:customStyle="1" w:styleId="14">
    <w:name w:val="WPSOffice手动目录 1"/>
    <w:qFormat/>
    <w:uiPriority w:val="0"/>
    <w:rPr>
      <w:rFonts w:ascii="Times New Roman" w:hAnsi="Times New Roman" w:eastAsia="SimSun" w:cs="Times New Roman"/>
      <w:lang w:val="en-GB" w:eastAsia="en-GB" w:bidi="ar-SA"/>
    </w:rPr>
  </w:style>
  <w:style w:type="paragraph" w:styleId="15">
    <w:name w:val="List Paragraph"/>
    <w:basedOn w:val="1"/>
    <w:qFormat/>
    <w:uiPriority w:val="34"/>
    <w:pPr>
      <w:ind w:left="720"/>
      <w:contextualSpacing/>
    </w:pPr>
  </w:style>
  <w:style w:type="character" w:customStyle="1" w:styleId="16">
    <w:name w:val="Unresolved Mention1"/>
    <w:basedOn w:val="4"/>
    <w:semiHidden/>
    <w:unhideWhenUsed/>
    <w:qFormat/>
    <w:uiPriority w:val="99"/>
    <w:rPr>
      <w:color w:val="605E5C"/>
      <w:shd w:val="clear" w:color="auto" w:fill="E1DFDD"/>
    </w:rPr>
  </w:style>
  <w:style w:type="character" w:customStyle="1" w:styleId="17">
    <w:name w:val="Heading 1 Char"/>
    <w:basedOn w:val="4"/>
    <w:link w:val="2"/>
    <w:qFormat/>
    <w:uiPriority w:val="0"/>
    <w:rPr>
      <w:rFonts w:ascii="Arial" w:hAnsi="Arial" w:eastAsiaTheme="majorEastAsia" w:cstheme="majorBidi"/>
      <w:b/>
      <w:color w:val="000000" w:themeColor="text1"/>
      <w:sz w:val="22"/>
      <w:szCs w:val="32"/>
      <w:lang w:val="en-US" w:eastAsia="zh-CN"/>
      <w14:textFill>
        <w14:solidFill>
          <w14:schemeClr w14:val="tx1"/>
        </w14:solidFill>
      </w14:textFill>
    </w:rPr>
  </w:style>
  <w:style w:type="paragraph" w:customStyle="1" w:styleId="18">
    <w:name w:val="TOC Heading1"/>
    <w:basedOn w:val="2"/>
    <w:next w:val="1"/>
    <w:unhideWhenUsed/>
    <w:qFormat/>
    <w:uiPriority w:val="39"/>
    <w:pPr>
      <w:spacing w:line="259" w:lineRule="auto"/>
      <w:outlineLvl w:val="9"/>
    </w:pPr>
    <w:rPr>
      <w:lang w:eastAsia="en-US"/>
    </w:rPr>
  </w:style>
  <w:style w:type="character" w:customStyle="1" w:styleId="19">
    <w:name w:val="Header Char"/>
    <w:basedOn w:val="4"/>
    <w:link w:val="8"/>
    <w:qFormat/>
    <w:uiPriority w:val="0"/>
    <w:rPr>
      <w:rFonts w:asciiTheme="minorHAnsi" w:hAnsiTheme="minorHAnsi" w:eastAsiaTheme="minorEastAsia" w:cstheme="minorBidi"/>
      <w:lang w:val="en-US" w:eastAsia="zh-CN"/>
    </w:rPr>
  </w:style>
  <w:style w:type="character" w:customStyle="1" w:styleId="20">
    <w:name w:val="Footer Char"/>
    <w:basedOn w:val="4"/>
    <w:link w:val="7"/>
    <w:qFormat/>
    <w:uiPriority w:val="99"/>
    <w:rPr>
      <w:rFonts w:asciiTheme="minorHAnsi" w:hAnsiTheme="minorHAnsi" w:eastAsiaTheme="minorEastAsia" w:cstheme="minorBidi"/>
      <w:lang w:val="en-US" w:eastAsia="zh-CN"/>
    </w:rPr>
  </w:style>
  <w:style w:type="character" w:customStyle="1" w:styleId="21">
    <w:name w:val="Heading 2 Char"/>
    <w:basedOn w:val="4"/>
    <w:link w:val="3"/>
    <w:qFormat/>
    <w:uiPriority w:val="0"/>
    <w:rPr>
      <w:rFonts w:ascii="Arial" w:hAnsi="Arial" w:eastAsiaTheme="majorEastAsia" w:cstheme="majorBidi"/>
      <w:b/>
      <w:color w:val="000000" w:themeColor="text1"/>
      <w:sz w:val="22"/>
      <w:szCs w:val="26"/>
      <w:lang w:val="en-US" w:eastAsia="zh-CN"/>
      <w14:textFill>
        <w14:solidFill>
          <w14:schemeClr w14:val="tx1"/>
        </w14:solidFill>
      </w14:textFill>
    </w:rPr>
  </w:style>
  <w:style w:type="character" w:customStyle="1" w:styleId="22">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microsoft.com/office/2007/relationships/diagramDrawing" Target="diagrams/drawing1.xml"/><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11C23D4-7AA5-4E66-9FB5-AD5AA9444E04}" type="doc">
      <dgm:prSet loTypeId="urn:microsoft.com/office/officeart/2011/layout/TabList#1" loCatId="list" qsTypeId="urn:microsoft.com/office/officeart/2005/8/quickstyle/simple1#1" qsCatId="simple" csTypeId="urn:microsoft.com/office/officeart/2005/8/colors/accent0_1#1" csCatId="mainScheme" phldr="1"/>
      <dgm:spPr/>
      <dgm:t>
        <a:bodyPr/>
        <a:p>
          <a:endParaRPr lang="en-GB"/>
        </a:p>
      </dgm:t>
    </dgm:pt>
    <dgm:pt modelId="{6471673C-2C08-4F64-B337-1BC6554D017B}">
      <dgm:prSet phldrT="[Text]" custT="1"/>
      <dgm:spPr/>
      <dgm:t>
        <a:bodyPr/>
        <a:p>
          <a:r>
            <a:rPr lang="en-GB" sz="1000">
              <a:latin typeface="Arial" panose="020B0604020202020204" pitchFamily="2" charset="0"/>
              <a:cs typeface="Arial" panose="020B0604020202020204" pitchFamily="2" charset="0"/>
            </a:rPr>
            <a:t>Stage 1</a:t>
          </a:r>
        </a:p>
      </dgm:t>
    </dgm:pt>
    <dgm:pt modelId="{EE5AB174-DDB9-43E5-BF8C-10FFE31636C1}" cxnId="{EC94363A-B880-4764-82C8-2BB948FA2F13}" type="parTrans">
      <dgm:prSet/>
      <dgm:spPr/>
      <dgm:t>
        <a:bodyPr/>
        <a:p>
          <a:endParaRPr lang="en-GB"/>
        </a:p>
      </dgm:t>
    </dgm:pt>
    <dgm:pt modelId="{52505D76-C09C-4347-B82E-F75643BE3CF9}" cxnId="{EC94363A-B880-4764-82C8-2BB948FA2F13}" type="sibTrans">
      <dgm:prSet/>
      <dgm:spPr/>
      <dgm:t>
        <a:bodyPr/>
        <a:p>
          <a:endParaRPr lang="en-GB"/>
        </a:p>
      </dgm:t>
    </dgm:pt>
    <dgm:pt modelId="{4EB70967-9497-4BC6-9D96-EF1F195010DD}">
      <dgm:prSet phldrT="[Text]" custT="1"/>
      <dgm:spPr/>
      <dgm:t>
        <a:bodyPr/>
        <a:p>
          <a:r>
            <a:rPr lang="en-GB" sz="1000">
              <a:latin typeface="Arial" panose="020B0604020202020204" pitchFamily="2" charset="0"/>
              <a:cs typeface="Arial" panose="020B0604020202020204" pitchFamily="2" charset="0"/>
            </a:rPr>
            <a:t>Trust versus Mistrust</a:t>
          </a:r>
        </a:p>
      </dgm:t>
    </dgm:pt>
    <dgm:pt modelId="{D70937D4-52FB-44CC-BB06-C2F7D766F413}" cxnId="{F606A3E7-D627-4325-9985-ED9F40253273}" type="parTrans">
      <dgm:prSet/>
      <dgm:spPr/>
      <dgm:t>
        <a:bodyPr/>
        <a:p>
          <a:endParaRPr lang="en-GB"/>
        </a:p>
      </dgm:t>
    </dgm:pt>
    <dgm:pt modelId="{32639A20-63FC-4D92-8CA7-29A039FBFD0A}" cxnId="{F606A3E7-D627-4325-9985-ED9F40253273}" type="sibTrans">
      <dgm:prSet/>
      <dgm:spPr/>
      <dgm:t>
        <a:bodyPr/>
        <a:p>
          <a:endParaRPr lang="en-GB"/>
        </a:p>
      </dgm:t>
    </dgm:pt>
    <dgm:pt modelId="{C79AE5E6-A4EA-42A5-A88D-E8D92A39B388}">
      <dgm:prSet phldrT="[Text]" custT="1"/>
      <dgm:spPr/>
      <dgm:t>
        <a:bodyPr/>
        <a:p>
          <a:r>
            <a:rPr lang="en-GB" sz="1000">
              <a:latin typeface="Arial" panose="020B0604020202020204" pitchFamily="2" charset="0"/>
              <a:cs typeface="Arial" panose="020B0604020202020204" pitchFamily="2" charset="0"/>
            </a:rPr>
            <a:t>Begins from the birth of the infant until 18 months.</a:t>
          </a:r>
        </a:p>
      </dgm:t>
    </dgm:pt>
    <dgm:pt modelId="{E4C81102-AAE9-4CF1-98B2-819AF18F9E22}" cxnId="{9AB3C562-0986-43C1-8833-2E36ADA22B77}" type="parTrans">
      <dgm:prSet/>
      <dgm:spPr/>
      <dgm:t>
        <a:bodyPr/>
        <a:p>
          <a:endParaRPr lang="en-GB"/>
        </a:p>
      </dgm:t>
    </dgm:pt>
    <dgm:pt modelId="{8B159992-CE0C-4CAB-9679-B09F3929D071}" cxnId="{9AB3C562-0986-43C1-8833-2E36ADA22B77}" type="sibTrans">
      <dgm:prSet/>
      <dgm:spPr/>
      <dgm:t>
        <a:bodyPr/>
        <a:p>
          <a:endParaRPr lang="en-GB"/>
        </a:p>
      </dgm:t>
    </dgm:pt>
    <dgm:pt modelId="{9AA6A0A2-3585-4AF9-B3A2-19F9B5F0BF53}">
      <dgm:prSet phldrT="[Text]" custT="1"/>
      <dgm:spPr/>
      <dgm:t>
        <a:bodyPr/>
        <a:p>
          <a:r>
            <a:rPr lang="en-GB" sz="1000">
              <a:latin typeface="Arial" panose="020B0604020202020204" pitchFamily="2" charset="0"/>
              <a:cs typeface="Arial" panose="020B0604020202020204" pitchFamily="2" charset="0"/>
            </a:rPr>
            <a:t>Stage 2</a:t>
          </a:r>
        </a:p>
      </dgm:t>
    </dgm:pt>
    <dgm:pt modelId="{AE17065A-D972-4116-A4D8-F514E9B59C50}" cxnId="{47F1E9D2-1CEA-4FCF-AFA1-02E18BFDA300}" type="parTrans">
      <dgm:prSet/>
      <dgm:spPr/>
      <dgm:t>
        <a:bodyPr/>
        <a:p>
          <a:endParaRPr lang="en-GB"/>
        </a:p>
      </dgm:t>
    </dgm:pt>
    <dgm:pt modelId="{D9916D80-BDE1-4531-98B2-C37CEEACFF6C}" cxnId="{47F1E9D2-1CEA-4FCF-AFA1-02E18BFDA300}" type="sibTrans">
      <dgm:prSet/>
      <dgm:spPr/>
      <dgm:t>
        <a:bodyPr/>
        <a:p>
          <a:endParaRPr lang="en-GB"/>
        </a:p>
      </dgm:t>
    </dgm:pt>
    <dgm:pt modelId="{E43158E1-C462-47AE-A832-E4186184FEB9}">
      <dgm:prSet phldrT="[Text]" custT="1"/>
      <dgm:spPr/>
      <dgm:t>
        <a:bodyPr/>
        <a:p>
          <a:r>
            <a:rPr lang="en-GB" sz="1000">
              <a:latin typeface="Arial" panose="020B0604020202020204" pitchFamily="2" charset="0"/>
              <a:cs typeface="Arial" panose="020B0604020202020204" pitchFamily="2" charset="0"/>
            </a:rPr>
            <a:t>Autonomy versus Shame and Doubt</a:t>
          </a:r>
        </a:p>
      </dgm:t>
    </dgm:pt>
    <dgm:pt modelId="{1C3DE290-0CC5-4D84-810B-C821B935B2B2}" cxnId="{FE3ABB3A-B181-44C6-86A7-27571C9C72BD}" type="parTrans">
      <dgm:prSet/>
      <dgm:spPr/>
      <dgm:t>
        <a:bodyPr/>
        <a:p>
          <a:endParaRPr lang="en-GB"/>
        </a:p>
      </dgm:t>
    </dgm:pt>
    <dgm:pt modelId="{3EEE758C-4163-47DD-A8B9-5AC53D23663E}" cxnId="{FE3ABB3A-B181-44C6-86A7-27571C9C72BD}" type="sibTrans">
      <dgm:prSet/>
      <dgm:spPr/>
      <dgm:t>
        <a:bodyPr/>
        <a:p>
          <a:endParaRPr lang="en-GB"/>
        </a:p>
      </dgm:t>
    </dgm:pt>
    <dgm:pt modelId="{E118DB33-28D7-4006-83A5-82A5F4D04C75}">
      <dgm:prSet phldrT="[Text]" custT="1"/>
      <dgm:spPr/>
      <dgm:t>
        <a:bodyPr/>
        <a:p>
          <a:r>
            <a:rPr lang="en-GB" sz="1000">
              <a:latin typeface="Arial" panose="020B0604020202020204" pitchFamily="2" charset="0"/>
              <a:cs typeface="Arial" panose="020B0604020202020204" pitchFamily="2" charset="0"/>
            </a:rPr>
            <a:t>Early childfood.</a:t>
          </a:r>
        </a:p>
      </dgm:t>
    </dgm:pt>
    <dgm:pt modelId="{9A5963C3-2720-4540-BDE0-6CC8DE7D4B38}" cxnId="{D8848435-CF15-4A42-9570-19D3150347A9}" type="parTrans">
      <dgm:prSet/>
      <dgm:spPr/>
      <dgm:t>
        <a:bodyPr/>
        <a:p>
          <a:endParaRPr lang="en-GB"/>
        </a:p>
      </dgm:t>
    </dgm:pt>
    <dgm:pt modelId="{A325BDFF-53DA-47EC-BCC8-960F356A6280}" cxnId="{D8848435-CF15-4A42-9570-19D3150347A9}" type="sibTrans">
      <dgm:prSet/>
      <dgm:spPr/>
      <dgm:t>
        <a:bodyPr/>
        <a:p>
          <a:endParaRPr lang="en-GB"/>
        </a:p>
      </dgm:t>
    </dgm:pt>
    <dgm:pt modelId="{488026AF-F55F-4C77-B7A5-4CA599291C13}">
      <dgm:prSet phldrT="[Text]" custT="1"/>
      <dgm:spPr/>
      <dgm:t>
        <a:bodyPr/>
        <a:p>
          <a:r>
            <a:rPr lang="en-GB" sz="1000">
              <a:latin typeface="Arial" panose="020B0604020202020204" pitchFamily="2" charset="0"/>
              <a:cs typeface="Arial" panose="020B0604020202020204" pitchFamily="2" charset="0"/>
            </a:rPr>
            <a:t>Stage 3</a:t>
          </a:r>
        </a:p>
      </dgm:t>
    </dgm:pt>
    <dgm:pt modelId="{EA8A08DA-6B77-45C1-B6EF-1C92668FB0F8}" cxnId="{E5C7C928-CC46-4D86-9935-6D3E328A940E}" type="parTrans">
      <dgm:prSet/>
      <dgm:spPr/>
      <dgm:t>
        <a:bodyPr/>
        <a:p>
          <a:endParaRPr lang="en-GB"/>
        </a:p>
      </dgm:t>
    </dgm:pt>
    <dgm:pt modelId="{A95100FE-0F1F-4248-BB2B-CF039BC579DB}" cxnId="{E5C7C928-CC46-4D86-9935-6D3E328A940E}" type="sibTrans">
      <dgm:prSet/>
      <dgm:spPr/>
      <dgm:t>
        <a:bodyPr/>
        <a:p>
          <a:endParaRPr lang="en-GB"/>
        </a:p>
      </dgm:t>
    </dgm:pt>
    <dgm:pt modelId="{4EBD6ABA-6CE7-4B52-B8B0-6260E3DAE90E}">
      <dgm:prSet phldrT="[Text]" custT="1"/>
      <dgm:spPr/>
      <dgm:t>
        <a:bodyPr/>
        <a:p>
          <a:r>
            <a:rPr lang="en-GB" sz="1000">
              <a:latin typeface="Arial" panose="020B0604020202020204" pitchFamily="2" charset="0"/>
              <a:cs typeface="Arial" panose="020B0604020202020204" pitchFamily="2" charset="0"/>
            </a:rPr>
            <a:t>Ego integrity versus Despair</a:t>
          </a:r>
        </a:p>
      </dgm:t>
    </dgm:pt>
    <dgm:pt modelId="{3F3898AA-4BE0-4B39-8220-2E54912DD3E4}" cxnId="{D70E6865-9FB2-40B2-83D1-DB0EB2495D57}" type="parTrans">
      <dgm:prSet/>
      <dgm:spPr/>
      <dgm:t>
        <a:bodyPr/>
        <a:p>
          <a:endParaRPr lang="en-GB"/>
        </a:p>
      </dgm:t>
    </dgm:pt>
    <dgm:pt modelId="{422918F2-39E4-4E83-973B-0DC2DB75AB7E}" cxnId="{D70E6865-9FB2-40B2-83D1-DB0EB2495D57}" type="sibTrans">
      <dgm:prSet/>
      <dgm:spPr/>
      <dgm:t>
        <a:bodyPr/>
        <a:p>
          <a:endParaRPr lang="en-GB"/>
        </a:p>
      </dgm:t>
    </dgm:pt>
    <dgm:pt modelId="{FFF3BE74-1259-4C6D-BBB3-C5E5986CFD77}">
      <dgm:prSet phldrT="[Text]" custT="1"/>
      <dgm:spPr/>
      <dgm:t>
        <a:bodyPr/>
        <a:p>
          <a:r>
            <a:rPr lang="en-GB" sz="1000">
              <a:latin typeface="Arial" panose="020B0604020202020204" pitchFamily="2" charset="0"/>
              <a:cs typeface="Arial" panose="020B0604020202020204" pitchFamily="2" charset="0"/>
            </a:rPr>
            <a:t>Maturity</a:t>
          </a:r>
        </a:p>
      </dgm:t>
    </dgm:pt>
    <dgm:pt modelId="{48DE55E3-BC3E-4130-86C0-2B4738466B02}" cxnId="{5CFF0D48-E9D9-4708-B751-5991D60F99D1}" type="parTrans">
      <dgm:prSet/>
      <dgm:spPr/>
      <dgm:t>
        <a:bodyPr/>
        <a:p>
          <a:endParaRPr lang="en-GB"/>
        </a:p>
      </dgm:t>
    </dgm:pt>
    <dgm:pt modelId="{E4D72271-469D-4AA5-AEF6-71E7D5FF44AB}" cxnId="{5CFF0D48-E9D9-4708-B751-5991D60F99D1}" type="sibTrans">
      <dgm:prSet/>
      <dgm:spPr/>
      <dgm:t>
        <a:bodyPr/>
        <a:p>
          <a:endParaRPr lang="en-GB"/>
        </a:p>
      </dgm:t>
    </dgm:pt>
    <dgm:pt modelId="{CADD0C2E-F77A-4EA0-92A8-A26B47206A82}">
      <dgm:prSet phldrT="[Text]" custT="1"/>
      <dgm:spPr/>
      <dgm:t>
        <a:bodyPr/>
        <a:p>
          <a:r>
            <a:rPr lang="en-GB" sz="1000">
              <a:latin typeface="Arial" panose="020B0604020202020204" pitchFamily="2" charset="0"/>
              <a:cs typeface="Arial" panose="020B0604020202020204" pitchFamily="2" charset="0"/>
            </a:rPr>
            <a:t>Stage 4</a:t>
          </a:r>
        </a:p>
      </dgm:t>
    </dgm:pt>
    <dgm:pt modelId="{9DFAC340-4F99-4AEC-80D4-88B55F5BAFD2}" cxnId="{779AB963-EE26-451A-9A57-87731980601F}" type="parTrans">
      <dgm:prSet/>
      <dgm:spPr/>
      <dgm:t>
        <a:bodyPr/>
        <a:p>
          <a:endParaRPr lang="en-GB"/>
        </a:p>
      </dgm:t>
    </dgm:pt>
    <dgm:pt modelId="{16A9DFBF-F90B-41D2-8692-AB82DF22B581}" cxnId="{779AB963-EE26-451A-9A57-87731980601F}" type="sibTrans">
      <dgm:prSet/>
      <dgm:spPr/>
      <dgm:t>
        <a:bodyPr/>
        <a:p>
          <a:endParaRPr lang="en-GB"/>
        </a:p>
      </dgm:t>
    </dgm:pt>
    <dgm:pt modelId="{893425BB-0A4C-4411-934A-374D6F582E4D}">
      <dgm:prSet phldrT="[Text]" custT="1"/>
      <dgm:spPr/>
      <dgm:t>
        <a:bodyPr/>
        <a:p>
          <a:r>
            <a:rPr lang="en-GB" sz="1000">
              <a:latin typeface="Arial" panose="020B0604020202020204" pitchFamily="2" charset="0"/>
              <a:cs typeface="Arial" panose="020B0604020202020204" pitchFamily="2" charset="0"/>
            </a:rPr>
            <a:t>Stage 5</a:t>
          </a:r>
        </a:p>
      </dgm:t>
    </dgm:pt>
    <dgm:pt modelId="{78B0B96F-AE22-41A6-AED6-31F2FBECDBC8}" cxnId="{D37CB57D-CC26-4AB7-8791-7C5EC869C056}" type="parTrans">
      <dgm:prSet/>
      <dgm:spPr/>
      <dgm:t>
        <a:bodyPr/>
        <a:p>
          <a:endParaRPr lang="en-GB"/>
        </a:p>
      </dgm:t>
    </dgm:pt>
    <dgm:pt modelId="{7BCB2CF0-160A-4EFC-9C60-9E9A9DC34153}" cxnId="{D37CB57D-CC26-4AB7-8791-7C5EC869C056}" type="sibTrans">
      <dgm:prSet/>
      <dgm:spPr/>
      <dgm:t>
        <a:bodyPr/>
        <a:p>
          <a:endParaRPr lang="en-GB"/>
        </a:p>
      </dgm:t>
    </dgm:pt>
    <dgm:pt modelId="{41724A49-01FE-421D-AF5A-399AF04413EB}">
      <dgm:prSet phldrT="[Text]" custT="1"/>
      <dgm:spPr/>
      <dgm:t>
        <a:bodyPr/>
        <a:p>
          <a:r>
            <a:rPr lang="en-GB" sz="1000">
              <a:latin typeface="Arial" panose="020B0604020202020204" pitchFamily="2" charset="0"/>
              <a:cs typeface="Arial" panose="020B0604020202020204" pitchFamily="2" charset="0"/>
            </a:rPr>
            <a:t>Stage 6</a:t>
          </a:r>
        </a:p>
      </dgm:t>
    </dgm:pt>
    <dgm:pt modelId="{AE4A2C38-D983-4189-8CF2-43A14FA8AC4C}" cxnId="{E828811F-4482-43E0-A760-C4610A90EB3E}" type="parTrans">
      <dgm:prSet/>
      <dgm:spPr/>
      <dgm:t>
        <a:bodyPr/>
        <a:p>
          <a:endParaRPr lang="en-GB"/>
        </a:p>
      </dgm:t>
    </dgm:pt>
    <dgm:pt modelId="{01810663-33C6-4758-BCF9-053F39C75AB4}" cxnId="{E828811F-4482-43E0-A760-C4610A90EB3E}" type="sibTrans">
      <dgm:prSet/>
      <dgm:spPr/>
      <dgm:t>
        <a:bodyPr/>
        <a:p>
          <a:endParaRPr lang="en-GB"/>
        </a:p>
      </dgm:t>
    </dgm:pt>
    <dgm:pt modelId="{0897C885-42AD-4AC3-BA6E-CC67D08D3C58}">
      <dgm:prSet phldrT="[Text]" custT="1"/>
      <dgm:spPr/>
      <dgm:t>
        <a:bodyPr/>
        <a:p>
          <a:r>
            <a:rPr lang="en-GB" sz="1000">
              <a:latin typeface="Arial" panose="020B0604020202020204" pitchFamily="2" charset="0"/>
              <a:cs typeface="Arial" panose="020B0604020202020204" pitchFamily="2" charset="0"/>
            </a:rPr>
            <a:t>Stage 7</a:t>
          </a:r>
        </a:p>
      </dgm:t>
    </dgm:pt>
    <dgm:pt modelId="{AAA57FB5-536D-4716-A0D3-4EBE54B89254}" cxnId="{8250C801-E202-474F-BB45-00072C018C19}" type="parTrans">
      <dgm:prSet/>
      <dgm:spPr/>
      <dgm:t>
        <a:bodyPr/>
        <a:p>
          <a:endParaRPr lang="en-GB"/>
        </a:p>
      </dgm:t>
    </dgm:pt>
    <dgm:pt modelId="{8E9E27C0-2E41-404F-8521-7A3AFC5D0EC4}" cxnId="{8250C801-E202-474F-BB45-00072C018C19}" type="sibTrans">
      <dgm:prSet/>
      <dgm:spPr/>
      <dgm:t>
        <a:bodyPr/>
        <a:p>
          <a:endParaRPr lang="en-GB"/>
        </a:p>
      </dgm:t>
    </dgm:pt>
    <dgm:pt modelId="{2305C04A-C68F-4B2E-B8CA-6A60A40DCC08}">
      <dgm:prSet phldrT="[Text]" custT="1"/>
      <dgm:spPr/>
      <dgm:t>
        <a:bodyPr/>
        <a:p>
          <a:r>
            <a:rPr lang="en-GB" sz="1000">
              <a:latin typeface="Arial" panose="020B0604020202020204" pitchFamily="2" charset="0"/>
              <a:cs typeface="Arial" panose="020B0604020202020204" pitchFamily="2" charset="0"/>
            </a:rPr>
            <a:t>Stage 8</a:t>
          </a:r>
        </a:p>
      </dgm:t>
    </dgm:pt>
    <dgm:pt modelId="{44A3BF3B-6C30-4DCC-A731-C6B2849D721F}" cxnId="{9BB5090A-F2CF-4FF1-A075-AB4CD4A6899F}" type="parTrans">
      <dgm:prSet/>
      <dgm:spPr/>
      <dgm:t>
        <a:bodyPr/>
        <a:p>
          <a:endParaRPr lang="en-GB"/>
        </a:p>
      </dgm:t>
    </dgm:pt>
    <dgm:pt modelId="{5286D92F-6726-43E6-81C4-0E1698E16AD9}" cxnId="{9BB5090A-F2CF-4FF1-A075-AB4CD4A6899F}" type="sibTrans">
      <dgm:prSet/>
      <dgm:spPr/>
      <dgm:t>
        <a:bodyPr/>
        <a:p>
          <a:endParaRPr lang="en-GB"/>
        </a:p>
      </dgm:t>
    </dgm:pt>
    <dgm:pt modelId="{D979A0D4-B7B1-4681-AEB4-5EE70A088F1A}">
      <dgm:prSet custT="1"/>
      <dgm:spPr/>
      <dgm:t>
        <a:bodyPr/>
        <a:p>
          <a:r>
            <a:rPr lang="en-GB" sz="1000">
              <a:latin typeface="Arial" panose="020B0604020202020204" pitchFamily="2" charset="0"/>
              <a:cs typeface="Arial" panose="020B0604020202020204" pitchFamily="2" charset="0"/>
            </a:rPr>
            <a:t>Initiative versus Guilt</a:t>
          </a:r>
        </a:p>
      </dgm:t>
    </dgm:pt>
    <dgm:pt modelId="{56B2B1E4-06A5-4DC6-A466-64827ED44CED}" cxnId="{D1A81CA6-C4AA-4E11-AD09-970C98D8ACF1}" type="parTrans">
      <dgm:prSet/>
      <dgm:spPr/>
      <dgm:t>
        <a:bodyPr/>
        <a:p>
          <a:endParaRPr lang="en-GB"/>
        </a:p>
      </dgm:t>
    </dgm:pt>
    <dgm:pt modelId="{2DF185EE-F5DC-4F27-A1F2-2550842E0F86}" cxnId="{D1A81CA6-C4AA-4E11-AD09-970C98D8ACF1}" type="sibTrans">
      <dgm:prSet/>
      <dgm:spPr/>
      <dgm:t>
        <a:bodyPr/>
        <a:p>
          <a:endParaRPr lang="en-GB"/>
        </a:p>
      </dgm:t>
    </dgm:pt>
    <dgm:pt modelId="{717AD905-C399-48E9-A481-887FE42531D1}">
      <dgm:prSet custT="1"/>
      <dgm:spPr/>
      <dgm:t>
        <a:bodyPr/>
        <a:p>
          <a:r>
            <a:rPr lang="en-GB" sz="1000">
              <a:latin typeface="Arial" panose="020B0604020202020204" pitchFamily="2" charset="0"/>
              <a:cs typeface="Arial" panose="020B0604020202020204" pitchFamily="2" charset="0"/>
            </a:rPr>
            <a:t>Children assert themselves more often through direct play and social interactions.  </a:t>
          </a:r>
        </a:p>
      </dgm:t>
    </dgm:pt>
    <dgm:pt modelId="{1B488581-45A7-479A-AF86-98FBEC3D1837}" cxnId="{DE8E68EA-1093-45FA-9BCD-2C5DCF5F0E13}" type="parTrans">
      <dgm:prSet/>
      <dgm:spPr/>
      <dgm:t>
        <a:bodyPr/>
        <a:p>
          <a:endParaRPr lang="en-GB"/>
        </a:p>
      </dgm:t>
    </dgm:pt>
    <dgm:pt modelId="{B9829073-79B1-48D1-A702-E9AF31F9B9D1}" cxnId="{DE8E68EA-1093-45FA-9BCD-2C5DCF5F0E13}" type="sibTrans">
      <dgm:prSet/>
      <dgm:spPr/>
      <dgm:t>
        <a:bodyPr/>
        <a:p>
          <a:endParaRPr lang="en-GB"/>
        </a:p>
      </dgm:t>
    </dgm:pt>
    <dgm:pt modelId="{16DD35CC-7046-46A7-B68D-D4285E841E4A}">
      <dgm:prSet custT="1"/>
      <dgm:spPr/>
      <dgm:t>
        <a:bodyPr/>
        <a:p>
          <a:r>
            <a:rPr lang="en-GB" sz="1000">
              <a:latin typeface="Arial" panose="020B0604020202020204" pitchFamily="2" charset="0"/>
              <a:cs typeface="Arial" panose="020B0604020202020204" pitchFamily="2" charset="0"/>
            </a:rPr>
            <a:t>Industry versus Inferiority</a:t>
          </a:r>
        </a:p>
      </dgm:t>
    </dgm:pt>
    <dgm:pt modelId="{82719675-BEB7-4404-A999-C1C3408984F9}" cxnId="{E6774D43-50D7-46FF-BA1D-6C4F99CA466D}" type="parTrans">
      <dgm:prSet/>
      <dgm:spPr/>
      <dgm:t>
        <a:bodyPr/>
        <a:p>
          <a:endParaRPr lang="en-GB"/>
        </a:p>
      </dgm:t>
    </dgm:pt>
    <dgm:pt modelId="{222A0D50-9AA9-4F05-A11C-F6E524753BC4}" cxnId="{E6774D43-50D7-46FF-BA1D-6C4F99CA466D}" type="sibTrans">
      <dgm:prSet/>
      <dgm:spPr/>
      <dgm:t>
        <a:bodyPr/>
        <a:p>
          <a:endParaRPr lang="en-GB"/>
        </a:p>
      </dgm:t>
    </dgm:pt>
    <dgm:pt modelId="{D27F2CAD-4A9D-4000-9DD0-6E342BE923A9}">
      <dgm:prSet custT="1"/>
      <dgm:spPr/>
      <dgm:t>
        <a:bodyPr/>
        <a:p>
          <a:r>
            <a:rPr lang="en-GB" sz="1000">
              <a:latin typeface="Arial" panose="020B0604020202020204" pitchFamily="2" charset="0"/>
              <a:cs typeface="Arial" panose="020B0604020202020204" pitchFamily="2" charset="0"/>
            </a:rPr>
            <a:t>Involves children's early school years (ages 5–11). </a:t>
          </a:r>
        </a:p>
      </dgm:t>
    </dgm:pt>
    <dgm:pt modelId="{C48B2D28-2C1B-43DB-AA76-8854A30FA534}" cxnId="{365423F2-1ABA-4E44-9E28-27C87636441A}" type="parTrans">
      <dgm:prSet/>
      <dgm:spPr/>
      <dgm:t>
        <a:bodyPr/>
        <a:p>
          <a:endParaRPr lang="en-GB"/>
        </a:p>
      </dgm:t>
    </dgm:pt>
    <dgm:pt modelId="{60CE9287-C334-40D4-AE04-2F01C45974AD}" cxnId="{365423F2-1ABA-4E44-9E28-27C87636441A}" type="sibTrans">
      <dgm:prSet/>
      <dgm:spPr/>
      <dgm:t>
        <a:bodyPr/>
        <a:p>
          <a:endParaRPr lang="en-GB"/>
        </a:p>
      </dgm:t>
    </dgm:pt>
    <dgm:pt modelId="{4DFD854C-FCF4-4C37-8F65-C4206286D6CC}">
      <dgm:prSet custT="1"/>
      <dgm:spPr/>
      <dgm:t>
        <a:bodyPr/>
        <a:p>
          <a:r>
            <a:rPr lang="en-GB" sz="1000">
              <a:latin typeface="Arial" panose="020B0604020202020204" pitchFamily="2" charset="0"/>
              <a:cs typeface="Arial" panose="020B0604020202020204" pitchFamily="2" charset="0"/>
            </a:rPr>
            <a:t>Identity versus Role confusion</a:t>
          </a:r>
        </a:p>
      </dgm:t>
    </dgm:pt>
    <dgm:pt modelId="{F74179BA-F5C6-4376-A90D-B5B58D77CA2D}" cxnId="{BE8A662E-861C-49B1-84B1-11AB924330FD}" type="parTrans">
      <dgm:prSet/>
      <dgm:spPr/>
      <dgm:t>
        <a:bodyPr/>
        <a:p>
          <a:endParaRPr lang="en-GB"/>
        </a:p>
      </dgm:t>
    </dgm:pt>
    <dgm:pt modelId="{39A3AD43-55B2-4636-A3E4-954F44F72841}" cxnId="{BE8A662E-861C-49B1-84B1-11AB924330FD}" type="sibTrans">
      <dgm:prSet/>
      <dgm:spPr/>
      <dgm:t>
        <a:bodyPr/>
        <a:p>
          <a:endParaRPr lang="en-GB"/>
        </a:p>
      </dgm:t>
    </dgm:pt>
    <dgm:pt modelId="{90AED1E5-FC9A-4BC1-8332-1B7EED8FE188}">
      <dgm:prSet custT="1"/>
      <dgm:spPr/>
      <dgm:t>
        <a:bodyPr/>
        <a:p>
          <a:r>
            <a:rPr lang="en-GB" sz="1000">
              <a:latin typeface="Arial" panose="020B0604020202020204" pitchFamily="2" charset="0"/>
              <a:cs typeface="Arial" panose="020B0604020202020204" pitchFamily="2" charset="0"/>
            </a:rPr>
            <a:t>Intimacy versus Izolation</a:t>
          </a:r>
        </a:p>
      </dgm:t>
    </dgm:pt>
    <dgm:pt modelId="{1104215B-3352-4A2E-A712-5B81C5F01DAD}" cxnId="{60178FDA-0447-4810-9066-6290FDF856E1}" type="parTrans">
      <dgm:prSet/>
      <dgm:spPr/>
      <dgm:t>
        <a:bodyPr/>
        <a:p>
          <a:endParaRPr lang="en-GB"/>
        </a:p>
      </dgm:t>
    </dgm:pt>
    <dgm:pt modelId="{E5721E96-A4EC-4844-8F2E-8CECCE3761FB}" cxnId="{60178FDA-0447-4810-9066-6290FDF856E1}" type="sibTrans">
      <dgm:prSet/>
      <dgm:spPr/>
      <dgm:t>
        <a:bodyPr/>
        <a:p>
          <a:endParaRPr lang="en-GB"/>
        </a:p>
      </dgm:t>
    </dgm:pt>
    <dgm:pt modelId="{1FBDF41E-2799-426D-BB1C-9F17529C47E4}">
      <dgm:prSet custT="1"/>
      <dgm:spPr/>
      <dgm:t>
        <a:bodyPr/>
        <a:p>
          <a:r>
            <a:rPr lang="en-GB" sz="1000">
              <a:latin typeface="Arial" panose="020B0604020202020204" pitchFamily="2" charset="0"/>
              <a:cs typeface="Arial" panose="020B0604020202020204" pitchFamily="2" charset="0"/>
            </a:rPr>
            <a:t>Young adulthood.</a:t>
          </a:r>
        </a:p>
      </dgm:t>
    </dgm:pt>
    <dgm:pt modelId="{CBE0945B-54E0-45C2-AEF0-0E95E693FF44}" cxnId="{12DE108B-C0FA-4369-A77D-525E73EF78C2}" type="parTrans">
      <dgm:prSet/>
      <dgm:spPr/>
      <dgm:t>
        <a:bodyPr/>
        <a:p>
          <a:endParaRPr lang="en-GB"/>
        </a:p>
      </dgm:t>
    </dgm:pt>
    <dgm:pt modelId="{2C7BA997-5791-4EDC-9FFF-D32B45F3D43D}" cxnId="{12DE108B-C0FA-4369-A77D-525E73EF78C2}" type="sibTrans">
      <dgm:prSet/>
      <dgm:spPr/>
      <dgm:t>
        <a:bodyPr/>
        <a:p>
          <a:endParaRPr lang="en-GB"/>
        </a:p>
      </dgm:t>
    </dgm:pt>
    <dgm:pt modelId="{AFC62EEF-C9E4-481A-98BB-936EE57AE3F6}">
      <dgm:prSet custT="1"/>
      <dgm:spPr/>
      <dgm:t>
        <a:bodyPr/>
        <a:p>
          <a:r>
            <a:rPr lang="en-GB" sz="1000">
              <a:latin typeface="Arial" panose="020B0604020202020204" pitchFamily="2" charset="0"/>
              <a:cs typeface="Arial" panose="020B0604020202020204" pitchFamily="2" charset="0"/>
            </a:rPr>
            <a:t>Generativity versus Stagnation</a:t>
          </a:r>
        </a:p>
      </dgm:t>
    </dgm:pt>
    <dgm:pt modelId="{36538E06-85B0-4A8F-B22F-0FC468E4FB82}" cxnId="{E8F6CFE6-F97B-4C97-95B6-62D203AC4D66}" type="parTrans">
      <dgm:prSet/>
      <dgm:spPr/>
      <dgm:t>
        <a:bodyPr/>
        <a:p>
          <a:endParaRPr lang="en-GB"/>
        </a:p>
      </dgm:t>
    </dgm:pt>
    <dgm:pt modelId="{61A05CAF-1ABA-4A39-B88F-5EF4E6DDE0C0}" cxnId="{E8F6CFE6-F97B-4C97-95B6-62D203AC4D66}" type="sibTrans">
      <dgm:prSet/>
      <dgm:spPr/>
      <dgm:t>
        <a:bodyPr/>
        <a:p>
          <a:endParaRPr lang="en-GB"/>
        </a:p>
      </dgm:t>
    </dgm:pt>
    <dgm:pt modelId="{BEFAB361-F17F-4699-BE45-C3EC3BA8AAAB}">
      <dgm:prSet custT="1"/>
      <dgm:spPr/>
      <dgm:t>
        <a:bodyPr/>
        <a:p>
          <a:r>
            <a:rPr lang="en-GB" sz="1000">
              <a:latin typeface="Arial" panose="020B0604020202020204" pitchFamily="2" charset="0"/>
              <a:cs typeface="Arial" panose="020B0604020202020204" pitchFamily="2" charset="0"/>
            </a:rPr>
            <a:t>Middle adulthood.</a:t>
          </a:r>
        </a:p>
      </dgm:t>
    </dgm:pt>
    <dgm:pt modelId="{911ACEC2-A61C-4EFF-B7EA-6CD20BBC8E45}" cxnId="{D88D73C7-87FB-4F56-BE73-700E91247118}" type="parTrans">
      <dgm:prSet/>
      <dgm:spPr/>
      <dgm:t>
        <a:bodyPr/>
        <a:p>
          <a:endParaRPr lang="en-GB"/>
        </a:p>
      </dgm:t>
    </dgm:pt>
    <dgm:pt modelId="{6858A7A6-0733-481C-B602-567830769902}" cxnId="{D88D73C7-87FB-4F56-BE73-700E91247118}" type="sibTrans">
      <dgm:prSet/>
      <dgm:spPr/>
      <dgm:t>
        <a:bodyPr/>
        <a:p>
          <a:endParaRPr lang="en-GB"/>
        </a:p>
      </dgm:t>
    </dgm:pt>
    <dgm:pt modelId="{579F3EF0-954E-4D84-9572-62446FF86025}">
      <dgm:prSet phldrT="[Text]" custT="1"/>
      <dgm:spPr/>
      <dgm:t>
        <a:bodyPr/>
        <a:p>
          <a:r>
            <a:rPr lang="en-GB" sz="1000">
              <a:latin typeface="Arial" panose="020B0604020202020204" pitchFamily="2" charset="0"/>
              <a:cs typeface="Arial" panose="020B0604020202020204" pitchFamily="2" charset="0"/>
            </a:rPr>
            <a:t>Its success is predicated on the consistency and quality of the care it receives from its caregivers.</a:t>
          </a:r>
        </a:p>
      </dgm:t>
    </dgm:pt>
    <dgm:pt modelId="{F23DF59A-6DC2-478C-AEA6-47767662C804}" cxnId="{38ABCB59-7321-44C1-99AA-E2B0DDDDAF63}" type="parTrans">
      <dgm:prSet/>
      <dgm:spPr/>
      <dgm:t>
        <a:bodyPr/>
        <a:p>
          <a:endParaRPr lang="en-GB"/>
        </a:p>
      </dgm:t>
    </dgm:pt>
    <dgm:pt modelId="{671D8B21-3C02-4F5A-8D4B-E631257979D4}" cxnId="{38ABCB59-7321-44C1-99AA-E2B0DDDDAF63}" type="sibTrans">
      <dgm:prSet/>
      <dgm:spPr/>
      <dgm:t>
        <a:bodyPr/>
        <a:p>
          <a:endParaRPr lang="en-GB"/>
        </a:p>
      </dgm:t>
    </dgm:pt>
    <dgm:pt modelId="{C4739A59-C659-41E1-9572-A58AD48FAF7F}">
      <dgm:prSet phldrT="[Text]" custT="1"/>
      <dgm:spPr/>
      <dgm:t>
        <a:bodyPr/>
        <a:p>
          <a:r>
            <a:rPr lang="en-GB" sz="1000">
              <a:latin typeface="Arial" panose="020B0604020202020204" pitchFamily="2" charset="0"/>
              <a:cs typeface="Arial" panose="020B0604020202020204" pitchFamily="2" charset="0"/>
            </a:rPr>
            <a:t>The youngster will feel utterly reliant on adults and unable to trust them if they are not shown appropriate care and love. </a:t>
          </a:r>
        </a:p>
      </dgm:t>
    </dgm:pt>
    <dgm:pt modelId="{2B0B28E1-99BB-4B31-BECE-F70F2D6F3607}" cxnId="{85698089-5F91-4927-BD16-2ACAF4937ECA}" type="parTrans">
      <dgm:prSet/>
      <dgm:spPr/>
      <dgm:t>
        <a:bodyPr/>
        <a:p>
          <a:endParaRPr lang="en-GB"/>
        </a:p>
      </dgm:t>
    </dgm:pt>
    <dgm:pt modelId="{3E628EAE-3AA2-459F-8C4E-276D40D37399}" cxnId="{85698089-5F91-4927-BD16-2ACAF4937ECA}" type="sibTrans">
      <dgm:prSet/>
      <dgm:spPr/>
      <dgm:t>
        <a:bodyPr/>
        <a:p>
          <a:endParaRPr lang="en-GB"/>
        </a:p>
      </dgm:t>
    </dgm:pt>
    <dgm:pt modelId="{FAC6E9D5-996F-45FB-AECE-D8CB010ED1AC}">
      <dgm:prSet phldrT="[Text]" custT="1"/>
      <dgm:spPr/>
      <dgm:t>
        <a:bodyPr/>
        <a:p>
          <a:r>
            <a:rPr lang="en-GB" sz="1000">
              <a:latin typeface="Arial" panose="020B0604020202020204" pitchFamily="2" charset="0"/>
              <a:cs typeface="Arial" panose="020B0604020202020204" pitchFamily="2" charset="0"/>
            </a:rPr>
            <a:t>They greatly benefit from learning to manage their bodily functions.  </a:t>
          </a:r>
        </a:p>
      </dgm:t>
    </dgm:pt>
    <dgm:pt modelId="{C40C9934-8F88-4845-9245-286F67CDFC06}" cxnId="{5F0E2191-3F6B-4AC1-B703-940CA31D4E0C}" type="parTrans">
      <dgm:prSet/>
      <dgm:spPr/>
      <dgm:t>
        <a:bodyPr/>
        <a:p>
          <a:endParaRPr lang="en-GB"/>
        </a:p>
      </dgm:t>
    </dgm:pt>
    <dgm:pt modelId="{7EC5806B-9A78-431C-986F-7DB805004D28}" cxnId="{5F0E2191-3F6B-4AC1-B703-940CA31D4E0C}" type="sibTrans">
      <dgm:prSet/>
      <dgm:spPr/>
      <dgm:t>
        <a:bodyPr/>
        <a:p>
          <a:endParaRPr lang="en-GB"/>
        </a:p>
      </dgm:t>
    </dgm:pt>
    <dgm:pt modelId="{2D43A538-0418-4682-9CE4-1EDCC9C0A8AD}">
      <dgm:prSet phldrT="[Text]" custT="1"/>
      <dgm:spPr/>
      <dgm:t>
        <a:bodyPr/>
        <a:p>
          <a:r>
            <a:rPr lang="en-GB" sz="1000">
              <a:latin typeface="Arial" panose="020B0604020202020204" pitchFamily="2" charset="0"/>
              <a:cs typeface="Arial" panose="020B0604020202020204" pitchFamily="2" charset="0"/>
            </a:rPr>
            <a:t>Other significant events include growing autonomy over dietary habits, plaything selection, and toilet training. </a:t>
          </a:r>
        </a:p>
      </dgm:t>
    </dgm:pt>
    <dgm:pt modelId="{9A92B624-5B48-4B92-8F4B-6EB603CE2425}" cxnId="{C024192A-6B7C-4BC8-B339-94C313E59077}" type="parTrans">
      <dgm:prSet/>
      <dgm:spPr/>
      <dgm:t>
        <a:bodyPr/>
        <a:p>
          <a:endParaRPr lang="en-GB"/>
        </a:p>
      </dgm:t>
    </dgm:pt>
    <dgm:pt modelId="{4B212FE4-9768-4A65-A797-B9A70EA4A618}" cxnId="{C024192A-6B7C-4BC8-B339-94C313E59077}" type="sibTrans">
      <dgm:prSet/>
      <dgm:spPr/>
      <dgm:t>
        <a:bodyPr/>
        <a:p>
          <a:endParaRPr lang="en-GB"/>
        </a:p>
      </dgm:t>
    </dgm:pt>
    <dgm:pt modelId="{36EC88FB-6ED0-4994-8DB3-F940A05161F8}">
      <dgm:prSet custT="1"/>
      <dgm:spPr/>
      <dgm:t>
        <a:bodyPr/>
        <a:p>
          <a:r>
            <a:rPr lang="en-GB" sz="1000">
              <a:latin typeface="Arial" panose="020B0604020202020204" pitchFamily="2" charset="0"/>
              <a:cs typeface="Arial" panose="020B0604020202020204" pitchFamily="2" charset="0"/>
            </a:rPr>
            <a:t>They learn to establish their identities and take the initiative in their social environments throughout the formative preschool years.</a:t>
          </a:r>
        </a:p>
      </dgm:t>
    </dgm:pt>
    <dgm:pt modelId="{10130B87-D72D-4D49-991C-1B718B1B87E9}" cxnId="{5015AB97-857D-4EF5-8452-6482212AF361}" type="parTrans">
      <dgm:prSet/>
      <dgm:spPr/>
      <dgm:t>
        <a:bodyPr/>
        <a:p>
          <a:endParaRPr lang="en-GB"/>
        </a:p>
      </dgm:t>
    </dgm:pt>
    <dgm:pt modelId="{505A4DB0-98C5-4C6A-8B9F-C620CD511D6F}" cxnId="{5015AB97-857D-4EF5-8452-6482212AF361}" type="sibTrans">
      <dgm:prSet/>
      <dgm:spPr/>
      <dgm:t>
        <a:bodyPr/>
        <a:p>
          <a:endParaRPr lang="en-GB"/>
        </a:p>
      </dgm:t>
    </dgm:pt>
    <dgm:pt modelId="{8F814202-70CE-4069-BE27-1F2A582ABC87}">
      <dgm:prSet custT="1"/>
      <dgm:spPr/>
      <dgm:t>
        <a:bodyPr/>
        <a:p>
          <a:r>
            <a:rPr lang="en-GB" sz="1000">
              <a:latin typeface="Arial" panose="020B0604020202020204" pitchFamily="2" charset="0"/>
              <a:cs typeface="Arial" panose="020B0604020202020204" pitchFamily="2" charset="0"/>
            </a:rPr>
            <a:t>Regret, doubt, and a lack of effort are often present in those who lack these skills. </a:t>
          </a:r>
        </a:p>
      </dgm:t>
    </dgm:pt>
    <dgm:pt modelId="{95C8630B-D631-4A52-A890-02FD0653AEE8}" cxnId="{0D1FD924-EBAE-4F3E-B695-5C443B100E41}" type="parTrans">
      <dgm:prSet/>
      <dgm:spPr/>
      <dgm:t>
        <a:bodyPr/>
        <a:p>
          <a:endParaRPr lang="en-GB"/>
        </a:p>
      </dgm:t>
    </dgm:pt>
    <dgm:pt modelId="{7FA5B9C2-4E39-45F4-9C8F-1D42550C5AFE}" cxnId="{0D1FD924-EBAE-4F3E-B695-5C443B100E41}" type="sibTrans">
      <dgm:prSet/>
      <dgm:spPr/>
      <dgm:t>
        <a:bodyPr/>
        <a:p>
          <a:endParaRPr lang="en-GB"/>
        </a:p>
      </dgm:t>
    </dgm:pt>
    <dgm:pt modelId="{12D6BC0E-733B-4AFD-B16E-E13C822FD6A6}">
      <dgm:prSet custT="1"/>
      <dgm:spPr/>
      <dgm:t>
        <a:bodyPr/>
        <a:p>
          <a:r>
            <a:rPr lang="en-GB" sz="1000">
              <a:latin typeface="Arial" panose="020B0604020202020204" pitchFamily="2" charset="0"/>
              <a:cs typeface="Arial" panose="020B0604020202020204" pitchFamily="2" charset="0"/>
            </a:rPr>
            <a:t>Children learn to read, write, do sums, and do things independently. </a:t>
          </a:r>
        </a:p>
      </dgm:t>
    </dgm:pt>
    <dgm:pt modelId="{63DC5ED9-ECEF-4F31-956D-3A99FF7C5296}" cxnId="{ED4D99DF-88AB-4BA0-8DCE-EBDFCD7D2A64}" type="parTrans">
      <dgm:prSet/>
      <dgm:spPr/>
      <dgm:t>
        <a:bodyPr/>
        <a:p>
          <a:endParaRPr lang="en-GB"/>
        </a:p>
      </dgm:t>
    </dgm:pt>
    <dgm:pt modelId="{EE4E832E-EB55-46D1-9449-091ADD2F3AE2}" cxnId="{ED4D99DF-88AB-4BA0-8DCE-EBDFCD7D2A64}" type="sibTrans">
      <dgm:prSet/>
      <dgm:spPr/>
      <dgm:t>
        <a:bodyPr/>
        <a:p>
          <a:endParaRPr lang="en-GB"/>
        </a:p>
      </dgm:t>
    </dgm:pt>
    <dgm:pt modelId="{C75435F6-7558-4329-B7C6-4888429AE382}">
      <dgm:prSet custT="1"/>
      <dgm:spPr/>
      <dgm:t>
        <a:bodyPr/>
        <a:p>
          <a:r>
            <a:rPr lang="en-GB" sz="1000">
              <a:latin typeface="Arial" panose="020B0604020202020204" pitchFamily="2" charset="0"/>
              <a:cs typeface="Arial" panose="020B0604020202020204" pitchFamily="2" charset="0"/>
            </a:rPr>
            <a:t>They learn to take pleasure in their achievements and adapt to the challenges of their new environment. </a:t>
          </a:r>
        </a:p>
      </dgm:t>
    </dgm:pt>
    <dgm:pt modelId="{4E3F8249-5CED-4A95-8BFF-730D5728B643}" cxnId="{FAB3378B-5275-4B2F-8668-2D151BBEE9D7}" type="parTrans">
      <dgm:prSet/>
      <dgm:spPr/>
      <dgm:t>
        <a:bodyPr/>
        <a:p>
          <a:endParaRPr lang="en-GB"/>
        </a:p>
      </dgm:t>
    </dgm:pt>
    <dgm:pt modelId="{BADB67E5-5D99-43C4-8EF9-283098F7425E}" cxnId="{FAB3378B-5275-4B2F-8668-2D151BBEE9D7}" type="sibTrans">
      <dgm:prSet/>
      <dgm:spPr/>
      <dgm:t>
        <a:bodyPr/>
        <a:p>
          <a:endParaRPr lang="en-GB"/>
        </a:p>
      </dgm:t>
    </dgm:pt>
    <dgm:pt modelId="{2203A2F2-097C-476E-84C0-EDE76754BE45}">
      <dgm:prSet custT="1"/>
      <dgm:spPr/>
      <dgm:t>
        <a:bodyPr/>
        <a:p>
          <a:r>
            <a:rPr lang="en-GB" sz="1000">
              <a:latin typeface="Arial" panose="020B0604020202020204" pitchFamily="2" charset="0"/>
              <a:cs typeface="Arial" panose="020B0604020202020204" pitchFamily="2" charset="0"/>
            </a:rPr>
            <a:t>A significant source of self-esteem.</a:t>
          </a:r>
        </a:p>
      </dgm:t>
    </dgm:pt>
    <dgm:pt modelId="{BF3419DF-65B0-4317-AD16-6BAB4E8674C9}" cxnId="{C59D09B4-E655-4A8E-81BD-B327CF479A65}" type="parTrans">
      <dgm:prSet/>
      <dgm:spPr/>
      <dgm:t>
        <a:bodyPr/>
        <a:p>
          <a:endParaRPr lang="en-GB"/>
        </a:p>
      </dgm:t>
    </dgm:pt>
    <dgm:pt modelId="{8ACFD7FF-ED27-41FF-8FAF-BDF509564F6C}" cxnId="{C59D09B4-E655-4A8E-81BD-B327CF479A65}" type="sibTrans">
      <dgm:prSet/>
      <dgm:spPr/>
      <dgm:t>
        <a:bodyPr/>
        <a:p>
          <a:endParaRPr lang="en-GB"/>
        </a:p>
      </dgm:t>
    </dgm:pt>
    <dgm:pt modelId="{876C956B-11F6-4CA7-9D2B-8D0D00DA8FBD}">
      <dgm:prSet custT="1"/>
      <dgm:spPr/>
      <dgm:t>
        <a:bodyPr/>
        <a:p>
          <a:r>
            <a:rPr lang="en-GB" sz="1000">
              <a:latin typeface="Arial" panose="020B0604020202020204" pitchFamily="2" charset="0"/>
              <a:cs typeface="Arial" panose="020B0604020202020204" pitchFamily="2" charset="0"/>
            </a:rPr>
            <a:t>A strong sense of self and the confidence to be oneself are the results of success.</a:t>
          </a:r>
        </a:p>
      </dgm:t>
    </dgm:pt>
    <dgm:pt modelId="{C1D5586D-FC62-49A1-9DE7-0866E2091C23}" cxnId="{CD3E6D62-A749-453A-8622-8B3DA7109AE7}" type="parTrans">
      <dgm:prSet/>
      <dgm:spPr/>
      <dgm:t>
        <a:bodyPr/>
        <a:p>
          <a:endParaRPr lang="en-GB"/>
        </a:p>
      </dgm:t>
    </dgm:pt>
    <dgm:pt modelId="{C4FF8BF1-2FFA-4133-85AE-81BAADAAA0E0}" cxnId="{CD3E6D62-A749-453A-8622-8B3DA7109AE7}" type="sibTrans">
      <dgm:prSet/>
      <dgm:spPr/>
      <dgm:t>
        <a:bodyPr/>
        <a:p>
          <a:endParaRPr lang="en-GB"/>
        </a:p>
      </dgm:t>
    </dgm:pt>
    <dgm:pt modelId="{15E2BB76-6354-430E-8014-51EB5D878C66}">
      <dgm:prSet custT="1"/>
      <dgm:spPr/>
      <dgm:t>
        <a:bodyPr/>
        <a:p>
          <a:r>
            <a:rPr lang="en-GB" sz="1000">
              <a:latin typeface="Arial" panose="020B0604020202020204" pitchFamily="2" charset="0"/>
              <a:cs typeface="Arial" panose="020B0604020202020204" pitchFamily="2" charset="0"/>
            </a:rPr>
            <a:t>However, role uncertainty and insecurity are the results of failure.</a:t>
          </a:r>
        </a:p>
      </dgm:t>
    </dgm:pt>
    <dgm:pt modelId="{22916C29-EE25-4837-9FD5-A111958306D1}" cxnId="{EFF22CFF-C37F-4751-A908-B25CD5B3199F}" type="parTrans">
      <dgm:prSet/>
      <dgm:spPr/>
      <dgm:t>
        <a:bodyPr/>
        <a:p>
          <a:endParaRPr lang="en-GB"/>
        </a:p>
      </dgm:t>
    </dgm:pt>
    <dgm:pt modelId="{A597304D-C529-4CE8-A0A3-A7339FDD1DC8}" cxnId="{EFF22CFF-C37F-4751-A908-B25CD5B3199F}" type="sibTrans">
      <dgm:prSet/>
      <dgm:spPr/>
      <dgm:t>
        <a:bodyPr/>
        <a:p>
          <a:endParaRPr lang="en-GB"/>
        </a:p>
      </dgm:t>
    </dgm:pt>
    <dgm:pt modelId="{256A3DEB-F7BF-4B5D-957F-8DFF1199B29A}">
      <dgm:prSet custT="1"/>
      <dgm:spPr/>
      <dgm:t>
        <a:bodyPr/>
        <a:p>
          <a:r>
            <a:rPr lang="en-GB" sz="1000">
              <a:latin typeface="Arial" panose="020B0604020202020204" pitchFamily="2" charset="0"/>
              <a:cs typeface="Arial" panose="020B0604020202020204" pitchFamily="2" charset="0"/>
            </a:rPr>
            <a:t>The development of close, caring connections is the primary source of tension throughout this period. </a:t>
          </a:r>
        </a:p>
      </dgm:t>
    </dgm:pt>
    <dgm:pt modelId="{B0FF91FC-171D-46F4-93E0-C3B94C449BC5}" cxnId="{B42DEAD9-BCC9-44F7-BE08-475D59412F14}" type="parTrans">
      <dgm:prSet/>
      <dgm:spPr/>
      <dgm:t>
        <a:bodyPr/>
        <a:p>
          <a:endParaRPr lang="en-GB"/>
        </a:p>
      </dgm:t>
    </dgm:pt>
    <dgm:pt modelId="{ADA62DE0-4429-49E2-88E6-090D826CDC5B}" cxnId="{B42DEAD9-BCC9-44F7-BE08-475D59412F14}" type="sibTrans">
      <dgm:prSet/>
      <dgm:spPr/>
      <dgm:t>
        <a:bodyPr/>
        <a:p>
          <a:endParaRPr lang="en-GB"/>
        </a:p>
      </dgm:t>
    </dgm:pt>
    <dgm:pt modelId="{2B36C7DF-E6AD-485A-BCDA-B9AD8C3FB8D0}">
      <dgm:prSet custT="1"/>
      <dgm:spPr/>
      <dgm:t>
        <a:bodyPr/>
        <a:p>
          <a:r>
            <a:rPr lang="en-GB" sz="1000">
              <a:latin typeface="Arial" panose="020B0604020202020204" pitchFamily="2" charset="0"/>
              <a:cs typeface="Arial" panose="020B0604020202020204" pitchFamily="2" charset="0"/>
            </a:rPr>
            <a:t>The adolescent years are pivotal for psychological and social growth .</a:t>
          </a:r>
        </a:p>
      </dgm:t>
    </dgm:pt>
    <dgm:pt modelId="{1DAB3F3F-569A-4751-AF39-81FF23326C88}" cxnId="{5BA8F217-2057-4125-919F-95A0F5E98C9F}" type="sibTrans">
      <dgm:prSet/>
      <dgm:spPr/>
      <dgm:t>
        <a:bodyPr/>
        <a:p>
          <a:endParaRPr lang="en-GB"/>
        </a:p>
      </dgm:t>
    </dgm:pt>
    <dgm:pt modelId="{B22A54CF-8BCC-4026-9726-847BFF9CFB01}" cxnId="{5BA8F217-2057-4125-919F-95A0F5E98C9F}" type="parTrans">
      <dgm:prSet/>
      <dgm:spPr/>
      <dgm:t>
        <a:bodyPr/>
        <a:p>
          <a:endParaRPr lang="en-GB"/>
        </a:p>
      </dgm:t>
    </dgm:pt>
    <dgm:pt modelId="{05B6DB0A-A7AD-4921-826F-BD2B7CD09DA2}">
      <dgm:prSet custT="1"/>
      <dgm:spPr/>
      <dgm:t>
        <a:bodyPr/>
        <a:p>
          <a:r>
            <a:rPr lang="en-GB" sz="1000">
              <a:latin typeface="Arial" panose="020B0604020202020204" pitchFamily="2" charset="0"/>
              <a:cs typeface="Arial" panose="020B0604020202020204" pitchFamily="2" charset="0"/>
            </a:rPr>
            <a:t>Adolescence.</a:t>
          </a:r>
        </a:p>
      </dgm:t>
    </dgm:pt>
    <dgm:pt modelId="{F7607096-E897-408E-AD39-411E0215EB14}" cxnId="{5E84A4CE-09FE-4426-8CFD-67D1E12589BA}" type="parTrans">
      <dgm:prSet/>
      <dgm:spPr/>
      <dgm:t>
        <a:bodyPr/>
        <a:p>
          <a:endParaRPr lang="en-GB"/>
        </a:p>
      </dgm:t>
    </dgm:pt>
    <dgm:pt modelId="{AE199FB9-5ECB-4D5C-9999-02C8ED8174CC}" cxnId="{5E84A4CE-09FE-4426-8CFD-67D1E12589BA}" type="sibTrans">
      <dgm:prSet/>
      <dgm:spPr/>
      <dgm:t>
        <a:bodyPr/>
        <a:p>
          <a:endParaRPr lang="en-GB"/>
        </a:p>
      </dgm:t>
    </dgm:pt>
    <dgm:pt modelId="{492BD078-3D90-4771-8E44-0431B2AA8A06}">
      <dgm:prSet custT="1"/>
      <dgm:spPr/>
      <dgm:t>
        <a:bodyPr/>
        <a:p>
          <a:r>
            <a:rPr lang="en-GB" sz="1000">
              <a:latin typeface="Arial" panose="020B0604020202020204" pitchFamily="2" charset="0"/>
              <a:cs typeface="Arial" panose="020B0604020202020204" pitchFamily="2" charset="0"/>
            </a:rPr>
            <a:t>Preschool age.</a:t>
          </a:r>
        </a:p>
      </dgm:t>
    </dgm:pt>
    <dgm:pt modelId="{403D57F0-49B9-4832-8E2C-FB7CCD338F32}" cxnId="{156BDED3-64C5-4F44-97B1-B0331D6F2805}" type="parTrans">
      <dgm:prSet/>
      <dgm:spPr/>
      <dgm:t>
        <a:bodyPr/>
        <a:p>
          <a:endParaRPr lang="en-GB"/>
        </a:p>
      </dgm:t>
    </dgm:pt>
    <dgm:pt modelId="{6AFD6760-5438-4728-BF18-379C3588318B}" cxnId="{156BDED3-64C5-4F44-97B1-B0331D6F2805}" type="sibTrans">
      <dgm:prSet/>
      <dgm:spPr/>
      <dgm:t>
        <a:bodyPr/>
        <a:p>
          <a:endParaRPr lang="en-GB"/>
        </a:p>
      </dgm:t>
    </dgm:pt>
    <dgm:pt modelId="{BDE7D4E2-1DA1-4CC8-970A-74A1458870D4}">
      <dgm:prSet phldrT="[Text]" custT="1"/>
      <dgm:spPr/>
      <dgm:t>
        <a:bodyPr/>
        <a:p>
          <a:r>
            <a:rPr lang="en-GB" sz="1000">
              <a:latin typeface="Arial" panose="020B0604020202020204" pitchFamily="2" charset="0"/>
              <a:cs typeface="Arial" panose="020B0604020202020204" pitchFamily="2" charset="0"/>
            </a:rPr>
            <a:t>Children develop a sense of control and independence.</a:t>
          </a:r>
        </a:p>
      </dgm:t>
    </dgm:pt>
    <dgm:pt modelId="{15BA15DD-23CF-421A-9ACD-7A2DD50DEF61}" cxnId="{0C6834B8-3BD7-4E61-928F-25F1ACA50B4A}" type="parTrans">
      <dgm:prSet/>
      <dgm:spPr/>
      <dgm:t>
        <a:bodyPr/>
        <a:p>
          <a:endParaRPr lang="en-GB"/>
        </a:p>
      </dgm:t>
    </dgm:pt>
    <dgm:pt modelId="{20236BF2-E73A-4855-9E13-A919BA6BB430}" cxnId="{0C6834B8-3BD7-4E61-928F-25F1ACA50B4A}" type="sibTrans">
      <dgm:prSet/>
      <dgm:spPr/>
      <dgm:t>
        <a:bodyPr/>
        <a:p>
          <a:endParaRPr lang="en-GB"/>
        </a:p>
      </dgm:t>
    </dgm:pt>
    <dgm:pt modelId="{F541BC3E-D580-4465-A221-53C4F8A9C233}">
      <dgm:prSet custT="1"/>
      <dgm:spPr/>
      <dgm:t>
        <a:bodyPr/>
        <a:p>
          <a:r>
            <a:rPr lang="en-GB" sz="1000">
              <a:latin typeface="Arial" panose="020B0604020202020204" pitchFamily="2" charset="0"/>
              <a:cs typeface="Arial" panose="020B0604020202020204" pitchFamily="2" charset="0"/>
            </a:rPr>
            <a:t>Young adults require healthy interactions with others to thrive, and social isolation and loneliness are the consequences of failing to do so. </a:t>
          </a:r>
        </a:p>
      </dgm:t>
    </dgm:pt>
    <dgm:pt modelId="{CADE7CF0-D565-4CE3-91C1-55AC91713582}" cxnId="{6CFD56BE-ADAB-4C30-A5C1-2FC2AEC3585A}" type="parTrans">
      <dgm:prSet/>
      <dgm:spPr/>
      <dgm:t>
        <a:bodyPr/>
        <a:p>
          <a:endParaRPr lang="en-GB"/>
        </a:p>
      </dgm:t>
    </dgm:pt>
    <dgm:pt modelId="{CCB3F819-2344-4816-ACF9-2F3D9AC43944}" cxnId="{6CFD56BE-ADAB-4C30-A5C1-2FC2AEC3585A}" type="sibTrans">
      <dgm:prSet/>
      <dgm:spPr/>
      <dgm:t>
        <a:bodyPr/>
        <a:p>
          <a:endParaRPr lang="en-GB"/>
        </a:p>
      </dgm:t>
    </dgm:pt>
    <dgm:pt modelId="{C3D8041B-5527-4D63-9904-B0217D138F00}">
      <dgm:prSet custT="1"/>
      <dgm:spPr/>
      <dgm:t>
        <a:bodyPr/>
        <a:p>
          <a:r>
            <a:rPr lang="en-GB" sz="1000">
              <a:latin typeface="Arial" panose="020B0604020202020204" pitchFamily="2" charset="0"/>
              <a:cs typeface="Arial" panose="020B0604020202020204" pitchFamily="2" charset="0"/>
            </a:rPr>
            <a:t>Adults must leave a legacy by having children or making a beneficial change that helps others. </a:t>
          </a:r>
        </a:p>
      </dgm:t>
    </dgm:pt>
    <dgm:pt modelId="{ACC91A85-91C4-4AD4-8833-84BF198BA2D4}" cxnId="{F9F28AF7-B4F8-4C86-B583-010D9D714AD4}" type="parTrans">
      <dgm:prSet/>
      <dgm:spPr/>
      <dgm:t>
        <a:bodyPr/>
        <a:p>
          <a:endParaRPr lang="en-GB"/>
        </a:p>
      </dgm:t>
    </dgm:pt>
    <dgm:pt modelId="{934FDFD9-CABD-4F85-A5B2-0B71ACFD53F5}" cxnId="{F9F28AF7-B4F8-4C86-B583-010D9D714AD4}" type="sibTrans">
      <dgm:prSet/>
      <dgm:spPr/>
      <dgm:t>
        <a:bodyPr/>
        <a:p>
          <a:endParaRPr lang="en-GB"/>
        </a:p>
      </dgm:t>
    </dgm:pt>
    <dgm:pt modelId="{F1DAC41E-627B-4B1F-8186-C5EC33D0F925}">
      <dgm:prSet custT="1"/>
      <dgm:spPr/>
      <dgm:t>
        <a:bodyPr/>
        <a:p>
          <a:r>
            <a:rPr lang="en-GB" sz="1000">
              <a:latin typeface="Arial" panose="020B0604020202020204" pitchFamily="2" charset="0"/>
              <a:cs typeface="Arial" panose="020B0604020202020204" pitchFamily="2" charset="0"/>
            </a:rPr>
            <a:t>In contrast to those who have achieved success, those who have not will feel less engaged in the world. </a:t>
          </a:r>
        </a:p>
      </dgm:t>
    </dgm:pt>
    <dgm:pt modelId="{5FA2044B-5CD8-4E4D-AC2D-D4D41A01812B}" cxnId="{599599BC-F9F6-4662-96A2-2A8AFA2851A9}" type="parTrans">
      <dgm:prSet/>
      <dgm:spPr/>
      <dgm:t>
        <a:bodyPr/>
        <a:p>
          <a:endParaRPr lang="en-GB"/>
        </a:p>
      </dgm:t>
    </dgm:pt>
    <dgm:pt modelId="{9A1FD359-E304-4391-A374-2431C89B0C5E}" cxnId="{599599BC-F9F6-4662-96A2-2A8AFA2851A9}" type="sibTrans">
      <dgm:prSet/>
      <dgm:spPr/>
      <dgm:t>
        <a:bodyPr/>
        <a:p>
          <a:endParaRPr lang="en-GB"/>
        </a:p>
      </dgm:t>
    </dgm:pt>
    <dgm:pt modelId="{5254B038-0746-4111-AB66-00FD16AA27FD}">
      <dgm:prSet phldrT="[Text]" custT="1"/>
      <dgm:spPr/>
      <dgm:t>
        <a:bodyPr/>
        <a:p>
          <a:r>
            <a:rPr lang="en-GB" sz="1000">
              <a:latin typeface="Arial" panose="020B0604020202020204" pitchFamily="2" charset="0"/>
              <a:cs typeface="Arial" panose="020B0604020202020204" pitchFamily="2" charset="0"/>
            </a:rPr>
            <a:t>Older adults need to look back on their lives to determine whether or not they are satisfied with their choices and actions. </a:t>
          </a:r>
        </a:p>
      </dgm:t>
    </dgm:pt>
    <dgm:pt modelId="{A0CE0028-5190-4CEE-9F03-6910B8C1677F}" cxnId="{E8E4AFF3-4266-4EEB-B758-0E18551FFFEA}" type="parTrans">
      <dgm:prSet/>
      <dgm:spPr/>
      <dgm:t>
        <a:bodyPr/>
        <a:p>
          <a:endParaRPr lang="en-GB"/>
        </a:p>
      </dgm:t>
    </dgm:pt>
    <dgm:pt modelId="{39EBD3FE-FBE9-48CB-BB57-CEA90EED1E61}" cxnId="{E8E4AFF3-4266-4EEB-B758-0E18551FFFEA}" type="sibTrans">
      <dgm:prSet/>
      <dgm:spPr/>
      <dgm:t>
        <a:bodyPr/>
        <a:p>
          <a:endParaRPr lang="en-GB"/>
        </a:p>
      </dgm:t>
    </dgm:pt>
    <dgm:pt modelId="{190D90B6-51CE-44AF-8491-B84A854B6F0C}" type="pres">
      <dgm:prSet presAssocID="{511C23D4-7AA5-4E66-9FB5-AD5AA9444E04}" presName="Name0" presStyleCnt="0">
        <dgm:presLayoutVars>
          <dgm:chMax/>
          <dgm:chPref val="3"/>
          <dgm:dir/>
          <dgm:animOne val="branch"/>
          <dgm:animLvl val="lvl"/>
        </dgm:presLayoutVars>
      </dgm:prSet>
      <dgm:spPr/>
    </dgm:pt>
    <dgm:pt modelId="{16C9063B-28C0-4D81-B4F3-C4B091ED6E0C}" type="pres">
      <dgm:prSet presAssocID="{6471673C-2C08-4F64-B337-1BC6554D017B}" presName="composite" presStyleCnt="0"/>
      <dgm:spPr/>
    </dgm:pt>
    <dgm:pt modelId="{732AE8BE-3476-406E-964D-919711ACAB4F}" type="pres">
      <dgm:prSet presAssocID="{6471673C-2C08-4F64-B337-1BC6554D017B}" presName="FirstChild" presStyleLbl="revTx" presStyleIdx="0" presStyleCnt="16">
        <dgm:presLayoutVars>
          <dgm:chMax val="0"/>
          <dgm:chPref val="0"/>
          <dgm:bulletEnabled val="1"/>
        </dgm:presLayoutVars>
      </dgm:prSet>
      <dgm:spPr/>
    </dgm:pt>
    <dgm:pt modelId="{76F5BC9C-1092-4B82-9194-5F5A62E3685E}" type="pres">
      <dgm:prSet presAssocID="{6471673C-2C08-4F64-B337-1BC6554D017B}" presName="Parent" presStyleLbl="alignNode1" presStyleIdx="0" presStyleCnt="8">
        <dgm:presLayoutVars>
          <dgm:chMax val="3"/>
          <dgm:chPref val="3"/>
          <dgm:bulletEnabled val="1"/>
        </dgm:presLayoutVars>
      </dgm:prSet>
      <dgm:spPr/>
    </dgm:pt>
    <dgm:pt modelId="{1219D609-2996-4485-87E9-9ADBBCE2BB48}" type="pres">
      <dgm:prSet presAssocID="{6471673C-2C08-4F64-B337-1BC6554D017B}" presName="Accent" presStyleLbl="parChTrans1D1" presStyleIdx="0" presStyleCnt="8"/>
      <dgm:spPr/>
    </dgm:pt>
    <dgm:pt modelId="{981F8047-8273-4FFF-8C08-A6DDE11B420A}" type="pres">
      <dgm:prSet presAssocID="{6471673C-2C08-4F64-B337-1BC6554D017B}" presName="Child" presStyleLbl="revTx" presStyleIdx="1" presStyleCnt="16" custScaleY="215779">
        <dgm:presLayoutVars>
          <dgm:chMax val="0"/>
          <dgm:chPref val="0"/>
          <dgm:bulletEnabled val="1"/>
        </dgm:presLayoutVars>
      </dgm:prSet>
      <dgm:spPr/>
    </dgm:pt>
    <dgm:pt modelId="{E13DF6C5-075E-4CD8-B6FB-D62F1A3BA17B}" type="pres">
      <dgm:prSet presAssocID="{52505D76-C09C-4347-B82E-F75643BE3CF9}" presName="sibTrans" presStyleCnt="0"/>
      <dgm:spPr/>
    </dgm:pt>
    <dgm:pt modelId="{7F9D8EDC-87DA-44AE-80BB-35A43E0ECEA9}" type="pres">
      <dgm:prSet presAssocID="{9AA6A0A2-3585-4AF9-B3A2-19F9B5F0BF53}" presName="composite" presStyleCnt="0"/>
      <dgm:spPr/>
    </dgm:pt>
    <dgm:pt modelId="{2857E432-3E2E-43F2-95B7-6E5F1D4357AB}" type="pres">
      <dgm:prSet presAssocID="{9AA6A0A2-3585-4AF9-B3A2-19F9B5F0BF53}" presName="FirstChild" presStyleLbl="revTx" presStyleIdx="2" presStyleCnt="16">
        <dgm:presLayoutVars>
          <dgm:chMax val="0"/>
          <dgm:chPref val="0"/>
          <dgm:bulletEnabled val="1"/>
        </dgm:presLayoutVars>
      </dgm:prSet>
      <dgm:spPr/>
    </dgm:pt>
    <dgm:pt modelId="{76216F4E-3112-4F95-86C5-C0D41EE5951A}" type="pres">
      <dgm:prSet presAssocID="{9AA6A0A2-3585-4AF9-B3A2-19F9B5F0BF53}" presName="Parent" presStyleLbl="alignNode1" presStyleIdx="1" presStyleCnt="8">
        <dgm:presLayoutVars>
          <dgm:chMax val="3"/>
          <dgm:chPref val="3"/>
          <dgm:bulletEnabled val="1"/>
        </dgm:presLayoutVars>
      </dgm:prSet>
      <dgm:spPr/>
    </dgm:pt>
    <dgm:pt modelId="{ED464CA2-C2A7-4591-8748-D97352965DBD}" type="pres">
      <dgm:prSet presAssocID="{9AA6A0A2-3585-4AF9-B3A2-19F9B5F0BF53}" presName="Accent" presStyleLbl="parChTrans1D1" presStyleIdx="1" presStyleCnt="8"/>
      <dgm:spPr/>
    </dgm:pt>
    <dgm:pt modelId="{E2D31400-513D-4189-BD4A-C5851E5946D3}" type="pres">
      <dgm:prSet presAssocID="{9AA6A0A2-3585-4AF9-B3A2-19F9B5F0BF53}" presName="Child" presStyleLbl="revTx" presStyleIdx="3" presStyleCnt="16" custScaleY="220698">
        <dgm:presLayoutVars>
          <dgm:chMax val="0"/>
          <dgm:chPref val="0"/>
          <dgm:bulletEnabled val="1"/>
        </dgm:presLayoutVars>
      </dgm:prSet>
      <dgm:spPr/>
    </dgm:pt>
    <dgm:pt modelId="{00786DD8-31DD-4847-BCB1-0710D9B5A090}" type="pres">
      <dgm:prSet presAssocID="{D9916D80-BDE1-4531-98B2-C37CEEACFF6C}" presName="sibTrans" presStyleCnt="0"/>
      <dgm:spPr/>
    </dgm:pt>
    <dgm:pt modelId="{2CB80A6C-F37E-404B-A283-B7DC34C698E6}" type="pres">
      <dgm:prSet presAssocID="{488026AF-F55F-4C77-B7A5-4CA599291C13}" presName="composite" presStyleCnt="0"/>
      <dgm:spPr/>
    </dgm:pt>
    <dgm:pt modelId="{CA5DB5E7-A98F-4EE9-8C4A-DD57C59BAE6E}" type="pres">
      <dgm:prSet presAssocID="{488026AF-F55F-4C77-B7A5-4CA599291C13}" presName="FirstChild" presStyleLbl="revTx" presStyleIdx="4" presStyleCnt="16">
        <dgm:presLayoutVars>
          <dgm:chMax val="0"/>
          <dgm:chPref val="0"/>
          <dgm:bulletEnabled val="1"/>
        </dgm:presLayoutVars>
      </dgm:prSet>
      <dgm:spPr/>
    </dgm:pt>
    <dgm:pt modelId="{28CD80CE-CDB4-4CE6-BAA7-FE849736BEDA}" type="pres">
      <dgm:prSet presAssocID="{488026AF-F55F-4C77-B7A5-4CA599291C13}" presName="Parent" presStyleLbl="alignNode1" presStyleIdx="2" presStyleCnt="8">
        <dgm:presLayoutVars>
          <dgm:chMax val="3"/>
          <dgm:chPref val="3"/>
          <dgm:bulletEnabled val="1"/>
        </dgm:presLayoutVars>
      </dgm:prSet>
      <dgm:spPr/>
    </dgm:pt>
    <dgm:pt modelId="{50C58104-7015-4BE6-B430-8EFB0CA10582}" type="pres">
      <dgm:prSet presAssocID="{488026AF-F55F-4C77-B7A5-4CA599291C13}" presName="Accent" presStyleLbl="parChTrans1D1" presStyleIdx="2" presStyleCnt="8"/>
      <dgm:spPr/>
    </dgm:pt>
    <dgm:pt modelId="{B3B8F5E2-6BB7-4942-A00B-3514A4CE6DED}" type="pres">
      <dgm:prSet presAssocID="{488026AF-F55F-4C77-B7A5-4CA599291C13}" presName="Child" presStyleLbl="revTx" presStyleIdx="5" presStyleCnt="16" custScaleY="227174">
        <dgm:presLayoutVars>
          <dgm:chMax val="0"/>
          <dgm:chPref val="0"/>
          <dgm:bulletEnabled val="1"/>
        </dgm:presLayoutVars>
      </dgm:prSet>
      <dgm:spPr/>
    </dgm:pt>
    <dgm:pt modelId="{9026C39A-FA46-49EA-84B5-255615097B59}" type="pres">
      <dgm:prSet presAssocID="{A95100FE-0F1F-4248-BB2B-CF039BC579DB}" presName="sibTrans" presStyleCnt="0"/>
      <dgm:spPr/>
    </dgm:pt>
    <dgm:pt modelId="{D0858DAD-C6FB-477C-B32B-B637C0BED037}" type="pres">
      <dgm:prSet presAssocID="{CADD0C2E-F77A-4EA0-92A8-A26B47206A82}" presName="composite" presStyleCnt="0"/>
      <dgm:spPr/>
    </dgm:pt>
    <dgm:pt modelId="{7CEF0485-6F2A-499B-993C-70129CC27E36}" type="pres">
      <dgm:prSet presAssocID="{CADD0C2E-F77A-4EA0-92A8-A26B47206A82}" presName="FirstChild" presStyleLbl="revTx" presStyleIdx="6" presStyleCnt="16">
        <dgm:presLayoutVars>
          <dgm:chMax val="0"/>
          <dgm:chPref val="0"/>
          <dgm:bulletEnabled val="1"/>
        </dgm:presLayoutVars>
      </dgm:prSet>
      <dgm:spPr/>
    </dgm:pt>
    <dgm:pt modelId="{64BC533F-EDCF-4DF9-9BC9-403AD8436133}" type="pres">
      <dgm:prSet presAssocID="{CADD0C2E-F77A-4EA0-92A8-A26B47206A82}" presName="Parent" presStyleLbl="alignNode1" presStyleIdx="3" presStyleCnt="8">
        <dgm:presLayoutVars>
          <dgm:chMax val="3"/>
          <dgm:chPref val="3"/>
          <dgm:bulletEnabled val="1"/>
        </dgm:presLayoutVars>
      </dgm:prSet>
      <dgm:spPr/>
    </dgm:pt>
    <dgm:pt modelId="{2CFFF16B-215D-47E2-9533-E08E4B16172D}" type="pres">
      <dgm:prSet presAssocID="{CADD0C2E-F77A-4EA0-92A8-A26B47206A82}" presName="Accent" presStyleLbl="parChTrans1D1" presStyleIdx="3" presStyleCnt="8"/>
      <dgm:spPr/>
    </dgm:pt>
    <dgm:pt modelId="{5BCE61B2-DAA3-4914-A94C-8C7F0E8E6905}" type="pres">
      <dgm:prSet presAssocID="{CADD0C2E-F77A-4EA0-92A8-A26B47206A82}" presName="Child" presStyleLbl="revTx" presStyleIdx="7" presStyleCnt="16" custScaleY="234526">
        <dgm:presLayoutVars>
          <dgm:chMax val="0"/>
          <dgm:chPref val="0"/>
          <dgm:bulletEnabled val="1"/>
        </dgm:presLayoutVars>
      </dgm:prSet>
      <dgm:spPr/>
    </dgm:pt>
    <dgm:pt modelId="{ED08FB9E-5B94-444F-96F5-FD479AAA4728}" type="pres">
      <dgm:prSet presAssocID="{16A9DFBF-F90B-41D2-8692-AB82DF22B581}" presName="sibTrans" presStyleCnt="0"/>
      <dgm:spPr/>
    </dgm:pt>
    <dgm:pt modelId="{CF01D34B-D3D4-4D25-BD16-519F94392625}" type="pres">
      <dgm:prSet presAssocID="{893425BB-0A4C-4411-934A-374D6F582E4D}" presName="composite" presStyleCnt="0"/>
      <dgm:spPr/>
    </dgm:pt>
    <dgm:pt modelId="{C564DE52-65E8-4E36-8FD0-DC6B10A19C64}" type="pres">
      <dgm:prSet presAssocID="{893425BB-0A4C-4411-934A-374D6F582E4D}" presName="FirstChild" presStyleLbl="revTx" presStyleIdx="8" presStyleCnt="16">
        <dgm:presLayoutVars>
          <dgm:chMax val="0"/>
          <dgm:chPref val="0"/>
          <dgm:bulletEnabled val="1"/>
        </dgm:presLayoutVars>
      </dgm:prSet>
      <dgm:spPr/>
    </dgm:pt>
    <dgm:pt modelId="{FE1DE5DD-5461-4937-88E3-D100827B0F73}" type="pres">
      <dgm:prSet presAssocID="{893425BB-0A4C-4411-934A-374D6F582E4D}" presName="Parent" presStyleLbl="alignNode1" presStyleIdx="4" presStyleCnt="8">
        <dgm:presLayoutVars>
          <dgm:chMax val="3"/>
          <dgm:chPref val="3"/>
          <dgm:bulletEnabled val="1"/>
        </dgm:presLayoutVars>
      </dgm:prSet>
      <dgm:spPr/>
    </dgm:pt>
    <dgm:pt modelId="{E67FC80B-2DE9-42C6-9820-11D533D60E31}" type="pres">
      <dgm:prSet presAssocID="{893425BB-0A4C-4411-934A-374D6F582E4D}" presName="Accent" presStyleLbl="parChTrans1D1" presStyleIdx="4" presStyleCnt="8"/>
      <dgm:spPr/>
    </dgm:pt>
    <dgm:pt modelId="{29F571C7-79E5-4DB7-B448-7BB1951A00B2}" type="pres">
      <dgm:prSet presAssocID="{893425BB-0A4C-4411-934A-374D6F582E4D}" presName="Child" presStyleLbl="revTx" presStyleIdx="9" presStyleCnt="16" custScaleY="187716">
        <dgm:presLayoutVars>
          <dgm:chMax val="0"/>
          <dgm:chPref val="0"/>
          <dgm:bulletEnabled val="1"/>
        </dgm:presLayoutVars>
      </dgm:prSet>
      <dgm:spPr/>
    </dgm:pt>
    <dgm:pt modelId="{31336D9C-2363-403F-AE73-C7C07C08E626}" type="pres">
      <dgm:prSet presAssocID="{7BCB2CF0-160A-4EFC-9C60-9E9A9DC34153}" presName="sibTrans" presStyleCnt="0"/>
      <dgm:spPr/>
    </dgm:pt>
    <dgm:pt modelId="{9CCE5828-DF56-4BDB-9B46-6E1CAD147E1D}" type="pres">
      <dgm:prSet presAssocID="{41724A49-01FE-421D-AF5A-399AF04413EB}" presName="composite" presStyleCnt="0"/>
      <dgm:spPr/>
    </dgm:pt>
    <dgm:pt modelId="{93B1CC43-ADA7-48B1-BDF1-7B1A16BB8703}" type="pres">
      <dgm:prSet presAssocID="{41724A49-01FE-421D-AF5A-399AF04413EB}" presName="FirstChild" presStyleLbl="revTx" presStyleIdx="10" presStyleCnt="16">
        <dgm:presLayoutVars>
          <dgm:chMax val="0"/>
          <dgm:chPref val="0"/>
          <dgm:bulletEnabled val="1"/>
        </dgm:presLayoutVars>
      </dgm:prSet>
      <dgm:spPr/>
    </dgm:pt>
    <dgm:pt modelId="{9ABFF7A9-9B3D-4DEA-977D-1D268F4009B8}" type="pres">
      <dgm:prSet presAssocID="{41724A49-01FE-421D-AF5A-399AF04413EB}" presName="Parent" presStyleLbl="alignNode1" presStyleIdx="5" presStyleCnt="8">
        <dgm:presLayoutVars>
          <dgm:chMax val="3"/>
          <dgm:chPref val="3"/>
          <dgm:bulletEnabled val="1"/>
        </dgm:presLayoutVars>
      </dgm:prSet>
      <dgm:spPr/>
    </dgm:pt>
    <dgm:pt modelId="{C7120386-9065-46D3-A6E4-9B746C00C0B0}" type="pres">
      <dgm:prSet presAssocID="{41724A49-01FE-421D-AF5A-399AF04413EB}" presName="Accent" presStyleLbl="parChTrans1D1" presStyleIdx="5" presStyleCnt="8"/>
      <dgm:spPr/>
    </dgm:pt>
    <dgm:pt modelId="{8450BC64-BDA3-4D22-A796-B8161F4F4D0E}" type="pres">
      <dgm:prSet presAssocID="{41724A49-01FE-421D-AF5A-399AF04413EB}" presName="Child" presStyleLbl="revTx" presStyleIdx="11" presStyleCnt="16" custScaleY="212125">
        <dgm:presLayoutVars>
          <dgm:chMax val="0"/>
          <dgm:chPref val="0"/>
          <dgm:bulletEnabled val="1"/>
        </dgm:presLayoutVars>
      </dgm:prSet>
      <dgm:spPr/>
    </dgm:pt>
    <dgm:pt modelId="{550D317D-5C62-417D-A987-7E3F9A5CF5AA}" type="pres">
      <dgm:prSet presAssocID="{01810663-33C6-4758-BCF9-053F39C75AB4}" presName="sibTrans" presStyleCnt="0"/>
      <dgm:spPr/>
    </dgm:pt>
    <dgm:pt modelId="{C362651D-D232-4373-B303-A7D7C644F3D6}" type="pres">
      <dgm:prSet presAssocID="{0897C885-42AD-4AC3-BA6E-CC67D08D3C58}" presName="composite" presStyleCnt="0"/>
      <dgm:spPr/>
    </dgm:pt>
    <dgm:pt modelId="{BB9423A4-2D81-488D-B1C2-896DCA95540E}" type="pres">
      <dgm:prSet presAssocID="{0897C885-42AD-4AC3-BA6E-CC67D08D3C58}" presName="FirstChild" presStyleLbl="revTx" presStyleIdx="12" presStyleCnt="16">
        <dgm:presLayoutVars>
          <dgm:chMax val="0"/>
          <dgm:chPref val="0"/>
          <dgm:bulletEnabled val="1"/>
        </dgm:presLayoutVars>
      </dgm:prSet>
      <dgm:spPr/>
    </dgm:pt>
    <dgm:pt modelId="{4BDEFE35-D8E2-4F10-9B09-0BFE2E94665C}" type="pres">
      <dgm:prSet presAssocID="{0897C885-42AD-4AC3-BA6E-CC67D08D3C58}" presName="Parent" presStyleLbl="alignNode1" presStyleIdx="6" presStyleCnt="8">
        <dgm:presLayoutVars>
          <dgm:chMax val="3"/>
          <dgm:chPref val="3"/>
          <dgm:bulletEnabled val="1"/>
        </dgm:presLayoutVars>
      </dgm:prSet>
      <dgm:spPr/>
    </dgm:pt>
    <dgm:pt modelId="{8BD72DB9-AB70-4546-8AD3-826A7152B65B}" type="pres">
      <dgm:prSet presAssocID="{0897C885-42AD-4AC3-BA6E-CC67D08D3C58}" presName="Accent" presStyleLbl="parChTrans1D1" presStyleIdx="6" presStyleCnt="8"/>
      <dgm:spPr/>
    </dgm:pt>
    <dgm:pt modelId="{7EBD3665-21AC-4DB0-82E5-959BAF1463B9}" type="pres">
      <dgm:prSet presAssocID="{0897C885-42AD-4AC3-BA6E-CC67D08D3C58}" presName="Child" presStyleLbl="revTx" presStyleIdx="13" presStyleCnt="16" custScaleY="213896">
        <dgm:presLayoutVars>
          <dgm:chMax val="0"/>
          <dgm:chPref val="0"/>
          <dgm:bulletEnabled val="1"/>
        </dgm:presLayoutVars>
      </dgm:prSet>
      <dgm:spPr/>
    </dgm:pt>
    <dgm:pt modelId="{3CCD1A88-38B6-4445-A733-42DD6ABD2ACF}" type="pres">
      <dgm:prSet presAssocID="{8E9E27C0-2E41-404F-8521-7A3AFC5D0EC4}" presName="sibTrans" presStyleCnt="0"/>
      <dgm:spPr/>
    </dgm:pt>
    <dgm:pt modelId="{99F6E4E4-5EDB-465A-8068-64F384DBD19E}" type="pres">
      <dgm:prSet presAssocID="{2305C04A-C68F-4B2E-B8CA-6A60A40DCC08}" presName="composite" presStyleCnt="0"/>
      <dgm:spPr/>
    </dgm:pt>
    <dgm:pt modelId="{270F2DF0-A2BA-4CAA-9890-B82A50A3A4D8}" type="pres">
      <dgm:prSet presAssocID="{2305C04A-C68F-4B2E-B8CA-6A60A40DCC08}" presName="FirstChild" presStyleLbl="revTx" presStyleIdx="14" presStyleCnt="16">
        <dgm:presLayoutVars>
          <dgm:chMax val="0"/>
          <dgm:chPref val="0"/>
          <dgm:bulletEnabled val="1"/>
        </dgm:presLayoutVars>
      </dgm:prSet>
      <dgm:spPr/>
    </dgm:pt>
    <dgm:pt modelId="{1306A5CC-89C9-4867-AF4D-7226B79CA139}" type="pres">
      <dgm:prSet presAssocID="{2305C04A-C68F-4B2E-B8CA-6A60A40DCC08}" presName="Parent" presStyleLbl="alignNode1" presStyleIdx="7" presStyleCnt="8">
        <dgm:presLayoutVars>
          <dgm:chMax val="3"/>
          <dgm:chPref val="3"/>
          <dgm:bulletEnabled val="1"/>
        </dgm:presLayoutVars>
      </dgm:prSet>
      <dgm:spPr/>
    </dgm:pt>
    <dgm:pt modelId="{D10543A7-B6F7-4329-9FA5-B9D31EDCA9DC}" type="pres">
      <dgm:prSet presAssocID="{2305C04A-C68F-4B2E-B8CA-6A60A40DCC08}" presName="Accent" presStyleLbl="parChTrans1D1" presStyleIdx="7" presStyleCnt="8"/>
      <dgm:spPr/>
    </dgm:pt>
    <dgm:pt modelId="{33AD3C40-FD36-4036-AC63-6C4AFDDCB85D}" type="pres">
      <dgm:prSet presAssocID="{2305C04A-C68F-4B2E-B8CA-6A60A40DCC08}" presName="Child" presStyleLbl="revTx" presStyleIdx="15" presStyleCnt="16">
        <dgm:presLayoutVars>
          <dgm:chMax val="0"/>
          <dgm:chPref val="0"/>
          <dgm:bulletEnabled val="1"/>
        </dgm:presLayoutVars>
      </dgm:prSet>
      <dgm:spPr/>
    </dgm:pt>
  </dgm:ptLst>
  <dgm:cxnLst>
    <dgm:cxn modelId="{8250C801-E202-474F-BB45-00072C018C19}" srcId="{511C23D4-7AA5-4E66-9FB5-AD5AA9444E04}" destId="{0897C885-42AD-4AC3-BA6E-CC67D08D3C58}" srcOrd="6" destOrd="0" parTransId="{AAA57FB5-536D-4716-A0D3-4EBE54B89254}" sibTransId="{8E9E27C0-2E41-404F-8521-7A3AFC5D0EC4}"/>
    <dgm:cxn modelId="{E7546006-93F8-4B76-AC0F-B1CFC4E3B3B1}" type="presOf" srcId="{579F3EF0-954E-4D84-9572-62446FF86025}" destId="{981F8047-8273-4FFF-8C08-A6DDE11B420A}" srcOrd="0" destOrd="1" presId="urn:microsoft.com/office/officeart/2011/layout/TabList#1"/>
    <dgm:cxn modelId="{9BB5090A-F2CF-4FF1-A075-AB4CD4A6899F}" srcId="{511C23D4-7AA5-4E66-9FB5-AD5AA9444E04}" destId="{2305C04A-C68F-4B2E-B8CA-6A60A40DCC08}" srcOrd="7" destOrd="0" parTransId="{44A3BF3B-6C30-4DCC-A731-C6B2849D721F}" sibTransId="{5286D92F-6726-43E6-81C4-0E1698E16AD9}"/>
    <dgm:cxn modelId="{BE5E990C-CBAB-425D-9C4C-5A9195283F7A}" type="presOf" srcId="{1FBDF41E-2799-426D-BB1C-9F17529C47E4}" destId="{8450BC64-BDA3-4D22-A796-B8161F4F4D0E}" srcOrd="0" destOrd="0" presId="urn:microsoft.com/office/officeart/2011/layout/TabList#1"/>
    <dgm:cxn modelId="{B6561215-3187-4F22-AACC-EDFD7E0BB035}" type="presOf" srcId="{256A3DEB-F7BF-4B5D-957F-8DFF1199B29A}" destId="{8450BC64-BDA3-4D22-A796-B8161F4F4D0E}" srcOrd="0" destOrd="1" presId="urn:microsoft.com/office/officeart/2011/layout/TabList#1"/>
    <dgm:cxn modelId="{78143B15-E372-43DE-A1D7-F1158CA1E8B6}" type="presOf" srcId="{41724A49-01FE-421D-AF5A-399AF04413EB}" destId="{9ABFF7A9-9B3D-4DEA-977D-1D268F4009B8}" srcOrd="0" destOrd="0" presId="urn:microsoft.com/office/officeart/2011/layout/TabList#1"/>
    <dgm:cxn modelId="{5BA8F217-2057-4125-919F-95A0F5E98C9F}" srcId="{893425BB-0A4C-4411-934A-374D6F582E4D}" destId="{2B36C7DF-E6AD-485A-BCDA-B9AD8C3FB8D0}" srcOrd="2" destOrd="0" parTransId="{B22A54CF-8BCC-4026-9726-847BFF9CFB01}" sibTransId="{1DAB3F3F-569A-4751-AF39-81FF23326C88}"/>
    <dgm:cxn modelId="{E828811F-4482-43E0-A760-C4610A90EB3E}" srcId="{511C23D4-7AA5-4E66-9FB5-AD5AA9444E04}" destId="{41724A49-01FE-421D-AF5A-399AF04413EB}" srcOrd="5" destOrd="0" parTransId="{AE4A2C38-D983-4189-8CF2-43A14FA8AC4C}" sibTransId="{01810663-33C6-4758-BCF9-053F39C75AB4}"/>
    <dgm:cxn modelId="{BA773322-0A60-40C3-B80E-D733BBF2FF6C}" type="presOf" srcId="{4EB70967-9497-4BC6-9D96-EF1F195010DD}" destId="{732AE8BE-3476-406E-964D-919711ACAB4F}" srcOrd="0" destOrd="0" presId="urn:microsoft.com/office/officeart/2011/layout/TabList#1"/>
    <dgm:cxn modelId="{0D1FD924-EBAE-4F3E-B695-5C443B100E41}" srcId="{488026AF-F55F-4C77-B7A5-4CA599291C13}" destId="{8F814202-70CE-4069-BE27-1F2A582ABC87}" srcOrd="4" destOrd="0" parTransId="{95C8630B-D631-4A52-A890-02FD0653AEE8}" sibTransId="{7FA5B9C2-4E39-45F4-9C8F-1D42550C5AFE}"/>
    <dgm:cxn modelId="{E5C7C928-CC46-4D86-9935-6D3E328A940E}" srcId="{511C23D4-7AA5-4E66-9FB5-AD5AA9444E04}" destId="{488026AF-F55F-4C77-B7A5-4CA599291C13}" srcOrd="2" destOrd="0" parTransId="{EA8A08DA-6B77-45C1-B6EF-1C92668FB0F8}" sibTransId="{A95100FE-0F1F-4248-BB2B-CF039BC579DB}"/>
    <dgm:cxn modelId="{C024192A-6B7C-4BC8-B339-94C313E59077}" srcId="{9AA6A0A2-3585-4AF9-B3A2-19F9B5F0BF53}" destId="{2D43A538-0418-4682-9CE4-1EDCC9C0A8AD}" srcOrd="4" destOrd="0" parTransId="{9A92B624-5B48-4B92-8F4B-6EB603CE2425}" sibTransId="{4B212FE4-9768-4A65-A797-B9A70EA4A618}"/>
    <dgm:cxn modelId="{BE8A662E-861C-49B1-84B1-11AB924330FD}" srcId="{893425BB-0A4C-4411-934A-374D6F582E4D}" destId="{4DFD854C-FCF4-4C37-8F65-C4206286D6CC}" srcOrd="0" destOrd="0" parTransId="{F74179BA-F5C6-4376-A90D-B5B58D77CA2D}" sibTransId="{39A3AD43-55B2-4636-A3E4-954F44F72841}"/>
    <dgm:cxn modelId="{D8848435-CF15-4A42-9570-19D3150347A9}" srcId="{9AA6A0A2-3585-4AF9-B3A2-19F9B5F0BF53}" destId="{E118DB33-28D7-4006-83A5-82A5F4D04C75}" srcOrd="1" destOrd="0" parTransId="{9A5963C3-2720-4540-BDE0-6CC8DE7D4B38}" sibTransId="{A325BDFF-53DA-47EC-BCC8-960F356A6280}"/>
    <dgm:cxn modelId="{08B2B035-FCD2-4962-B26C-F8E49A8151DD}" type="presOf" srcId="{FFF3BE74-1259-4C6D-BBB3-C5E5986CFD77}" destId="{33AD3C40-FD36-4036-AC63-6C4AFDDCB85D}" srcOrd="0" destOrd="0" presId="urn:microsoft.com/office/officeart/2011/layout/TabList#1"/>
    <dgm:cxn modelId="{EC94363A-B880-4764-82C8-2BB948FA2F13}" srcId="{511C23D4-7AA5-4E66-9FB5-AD5AA9444E04}" destId="{6471673C-2C08-4F64-B337-1BC6554D017B}" srcOrd="0" destOrd="0" parTransId="{EE5AB174-DDB9-43E5-BF8C-10FFE31636C1}" sibTransId="{52505D76-C09C-4347-B82E-F75643BE3CF9}"/>
    <dgm:cxn modelId="{FE3ABB3A-B181-44C6-86A7-27571C9C72BD}" srcId="{9AA6A0A2-3585-4AF9-B3A2-19F9B5F0BF53}" destId="{E43158E1-C462-47AE-A832-E4186184FEB9}" srcOrd="0" destOrd="0" parTransId="{1C3DE290-0CC5-4D84-810B-C821B935B2B2}" sibTransId="{3EEE758C-4163-47DD-A8B9-5AC53D23663E}"/>
    <dgm:cxn modelId="{CF71DE3D-3B78-4407-9F3D-BC3189E40BB8}" type="presOf" srcId="{AFC62EEF-C9E4-481A-98BB-936EE57AE3F6}" destId="{BB9423A4-2D81-488D-B1C2-896DCA95540E}" srcOrd="0" destOrd="0" presId="urn:microsoft.com/office/officeart/2011/layout/TabList#1"/>
    <dgm:cxn modelId="{428B5E5E-5DD1-4148-98C7-8C9CA1B3C819}" type="presOf" srcId="{BDE7D4E2-1DA1-4CC8-970A-74A1458870D4}" destId="{E2D31400-513D-4189-BD4A-C5851E5946D3}" srcOrd="0" destOrd="1" presId="urn:microsoft.com/office/officeart/2011/layout/TabList#1"/>
    <dgm:cxn modelId="{CD3E6D62-A749-453A-8622-8B3DA7109AE7}" srcId="{893425BB-0A4C-4411-934A-374D6F582E4D}" destId="{876C956B-11F6-4CA7-9D2B-8D0D00DA8FBD}" srcOrd="3" destOrd="0" parTransId="{C1D5586D-FC62-49A1-9DE7-0866E2091C23}" sibTransId="{C4FF8BF1-2FFA-4133-85AE-81BAADAAA0E0}"/>
    <dgm:cxn modelId="{13827862-49B8-4935-841A-83668BC2D73D}" type="presOf" srcId="{5254B038-0746-4111-AB66-00FD16AA27FD}" destId="{33AD3C40-FD36-4036-AC63-6C4AFDDCB85D}" srcOrd="0" destOrd="1" presId="urn:microsoft.com/office/officeart/2011/layout/TabList#1"/>
    <dgm:cxn modelId="{2E015A42-94B7-4DA3-905C-8ECAB1A5696E}" type="presOf" srcId="{BEFAB361-F17F-4699-BE45-C3EC3BA8AAAB}" destId="{7EBD3665-21AC-4DB0-82E5-959BAF1463B9}" srcOrd="0" destOrd="0" presId="urn:microsoft.com/office/officeart/2011/layout/TabList#1"/>
    <dgm:cxn modelId="{9AB3C562-0986-43C1-8833-2E36ADA22B77}" srcId="{6471673C-2C08-4F64-B337-1BC6554D017B}" destId="{C79AE5E6-A4EA-42A5-A88D-E8D92A39B388}" srcOrd="1" destOrd="0" parTransId="{E4C81102-AAE9-4CF1-98B2-819AF18F9E22}" sibTransId="{8B159992-CE0C-4CAB-9679-B09F3929D071}"/>
    <dgm:cxn modelId="{E6774D43-50D7-46FF-BA1D-6C4F99CA466D}" srcId="{CADD0C2E-F77A-4EA0-92A8-A26B47206A82}" destId="{16DD35CC-7046-46A7-B68D-D4285E841E4A}" srcOrd="0" destOrd="0" parTransId="{82719675-BEB7-4404-A999-C1C3408984F9}" sibTransId="{222A0D50-9AA9-4F05-A11C-F6E524753BC4}"/>
    <dgm:cxn modelId="{779AB963-EE26-451A-9A57-87731980601F}" srcId="{511C23D4-7AA5-4E66-9FB5-AD5AA9444E04}" destId="{CADD0C2E-F77A-4EA0-92A8-A26B47206A82}" srcOrd="3" destOrd="0" parTransId="{9DFAC340-4F99-4AEC-80D4-88B55F5BAFD2}" sibTransId="{16A9DFBF-F90B-41D2-8692-AB82DF22B581}"/>
    <dgm:cxn modelId="{D70E6865-9FB2-40B2-83D1-DB0EB2495D57}" srcId="{2305C04A-C68F-4B2E-B8CA-6A60A40DCC08}" destId="{4EBD6ABA-6CE7-4B52-B8B0-6260E3DAE90E}" srcOrd="0" destOrd="0" parTransId="{3F3898AA-4BE0-4B39-8220-2E54912DD3E4}" sibTransId="{422918F2-39E4-4E83-973B-0DC2DB75AB7E}"/>
    <dgm:cxn modelId="{5CFF0D48-E9D9-4708-B751-5991D60F99D1}" srcId="{2305C04A-C68F-4B2E-B8CA-6A60A40DCC08}" destId="{FFF3BE74-1259-4C6D-BBB3-C5E5986CFD77}" srcOrd="1" destOrd="0" parTransId="{48DE55E3-BC3E-4130-86C0-2B4738466B02}" sibTransId="{E4D72271-469D-4AA5-AEF6-71E7D5FF44AB}"/>
    <dgm:cxn modelId="{DC2C2A69-45DE-4DC4-A23F-FF90DB18F1C0}" type="presOf" srcId="{E118DB33-28D7-4006-83A5-82A5F4D04C75}" destId="{E2D31400-513D-4189-BD4A-C5851E5946D3}" srcOrd="0" destOrd="0" presId="urn:microsoft.com/office/officeart/2011/layout/TabList#1"/>
    <dgm:cxn modelId="{9DE62E6C-D375-490A-8F13-D5692F929C39}" type="presOf" srcId="{893425BB-0A4C-4411-934A-374D6F582E4D}" destId="{FE1DE5DD-5461-4937-88E3-D100827B0F73}" srcOrd="0" destOrd="0" presId="urn:microsoft.com/office/officeart/2011/layout/TabList#1"/>
    <dgm:cxn modelId="{A66CB06C-A850-42FF-99D3-6FCAC83733E1}" type="presOf" srcId="{CADD0C2E-F77A-4EA0-92A8-A26B47206A82}" destId="{64BC533F-EDCF-4DF9-9BC9-403AD8436133}" srcOrd="0" destOrd="0" presId="urn:microsoft.com/office/officeart/2011/layout/TabList#1"/>
    <dgm:cxn modelId="{74A39F6D-D5F1-473F-BFB5-57274BCBBB59}" type="presOf" srcId="{2D43A538-0418-4682-9CE4-1EDCC9C0A8AD}" destId="{E2D31400-513D-4189-BD4A-C5851E5946D3}" srcOrd="0" destOrd="3" presId="urn:microsoft.com/office/officeart/2011/layout/TabList#1"/>
    <dgm:cxn modelId="{3740856E-7BCE-4952-8B27-768284FA60E0}" type="presOf" srcId="{C79AE5E6-A4EA-42A5-A88D-E8D92A39B388}" destId="{981F8047-8273-4FFF-8C08-A6DDE11B420A}" srcOrd="0" destOrd="0" presId="urn:microsoft.com/office/officeart/2011/layout/TabList#1"/>
    <dgm:cxn modelId="{5F38BA72-7B45-492F-BED6-695AABCCAC2D}" type="presOf" srcId="{C4739A59-C659-41E1-9572-A58AD48FAF7F}" destId="{981F8047-8273-4FFF-8C08-A6DDE11B420A}" srcOrd="0" destOrd="2" presId="urn:microsoft.com/office/officeart/2011/layout/TabList#1"/>
    <dgm:cxn modelId="{A6E28E53-286E-41F3-925F-F98A89F4AA73}" type="presOf" srcId="{36EC88FB-6ED0-4994-8DB3-F940A05161F8}" destId="{B3B8F5E2-6BB7-4942-A00B-3514A4CE6DED}" srcOrd="0" destOrd="2" presId="urn:microsoft.com/office/officeart/2011/layout/TabList#1"/>
    <dgm:cxn modelId="{BF301154-078B-4266-A7B8-1682E33195A2}" type="presOf" srcId="{6471673C-2C08-4F64-B337-1BC6554D017B}" destId="{76F5BC9C-1092-4B82-9194-5F5A62E3685E}" srcOrd="0" destOrd="0" presId="urn:microsoft.com/office/officeart/2011/layout/TabList#1"/>
    <dgm:cxn modelId="{80DF6F74-F650-4D38-AA5C-413137183EAC}" type="presOf" srcId="{D979A0D4-B7B1-4681-AEB4-5EE70A088F1A}" destId="{CA5DB5E7-A98F-4EE9-8C4A-DD57C59BAE6E}" srcOrd="0" destOrd="0" presId="urn:microsoft.com/office/officeart/2011/layout/TabList#1"/>
    <dgm:cxn modelId="{C1B96D56-F9AA-45C4-8D7F-5C94BDB1EC41}" type="presOf" srcId="{F541BC3E-D580-4465-A221-53C4F8A9C233}" destId="{8450BC64-BDA3-4D22-A796-B8161F4F4D0E}" srcOrd="0" destOrd="2" presId="urn:microsoft.com/office/officeart/2011/layout/TabList#1"/>
    <dgm:cxn modelId="{E8553F57-6CD0-4B28-AAF4-320DB4913458}" type="presOf" srcId="{C75435F6-7558-4329-B7C6-4888429AE382}" destId="{5BCE61B2-DAA3-4914-A94C-8C7F0E8E6905}" srcOrd="0" destOrd="2" presId="urn:microsoft.com/office/officeart/2011/layout/TabList#1"/>
    <dgm:cxn modelId="{3AE26D78-87CE-4637-B630-022C3746EED0}" type="presOf" srcId="{9AA6A0A2-3585-4AF9-B3A2-19F9B5F0BF53}" destId="{76216F4E-3112-4F95-86C5-C0D41EE5951A}" srcOrd="0" destOrd="0" presId="urn:microsoft.com/office/officeart/2011/layout/TabList#1"/>
    <dgm:cxn modelId="{38ABCB59-7321-44C1-99AA-E2B0DDDDAF63}" srcId="{6471673C-2C08-4F64-B337-1BC6554D017B}" destId="{579F3EF0-954E-4D84-9572-62446FF86025}" srcOrd="2" destOrd="0" parTransId="{F23DF59A-6DC2-478C-AEA6-47767662C804}" sibTransId="{671D8B21-3C02-4F5A-8D4B-E631257979D4}"/>
    <dgm:cxn modelId="{4C24107C-15B4-4424-83ED-FFD581ABE801}" type="presOf" srcId="{717AD905-C399-48E9-A481-887FE42531D1}" destId="{B3B8F5E2-6BB7-4942-A00B-3514A4CE6DED}" srcOrd="0" destOrd="1" presId="urn:microsoft.com/office/officeart/2011/layout/TabList#1"/>
    <dgm:cxn modelId="{D37CB57D-CC26-4AB7-8791-7C5EC869C056}" srcId="{511C23D4-7AA5-4E66-9FB5-AD5AA9444E04}" destId="{893425BB-0A4C-4411-934A-374D6F582E4D}" srcOrd="4" destOrd="0" parTransId="{78B0B96F-AE22-41A6-AED6-31F2FBECDBC8}" sibTransId="{7BCB2CF0-160A-4EFC-9C60-9E9A9DC34153}"/>
    <dgm:cxn modelId="{FC377582-363E-4F12-BB71-1B88A7DBDF48}" type="presOf" srcId="{15E2BB76-6354-430E-8014-51EB5D878C66}" destId="{29F571C7-79E5-4DB7-B448-7BB1951A00B2}" srcOrd="0" destOrd="3" presId="urn:microsoft.com/office/officeart/2011/layout/TabList#1"/>
    <dgm:cxn modelId="{85698089-5F91-4927-BD16-2ACAF4937ECA}" srcId="{6471673C-2C08-4F64-B337-1BC6554D017B}" destId="{C4739A59-C659-41E1-9572-A58AD48FAF7F}" srcOrd="3" destOrd="0" parTransId="{2B0B28E1-99BB-4B31-BECE-F70F2D6F3607}" sibTransId="{3E628EAE-3AA2-459F-8C4E-276D40D37399}"/>
    <dgm:cxn modelId="{12DE108B-C0FA-4369-A77D-525E73EF78C2}" srcId="{41724A49-01FE-421D-AF5A-399AF04413EB}" destId="{1FBDF41E-2799-426D-BB1C-9F17529C47E4}" srcOrd="1" destOrd="0" parTransId="{CBE0945B-54E0-45C2-AEF0-0E95E693FF44}" sibTransId="{2C7BA997-5791-4EDC-9FFF-D32B45F3D43D}"/>
    <dgm:cxn modelId="{FAB3378B-5275-4B2F-8668-2D151BBEE9D7}" srcId="{CADD0C2E-F77A-4EA0-92A8-A26B47206A82}" destId="{C75435F6-7558-4329-B7C6-4888429AE382}" srcOrd="3" destOrd="0" parTransId="{4E3F8249-5CED-4A95-8BFF-730D5728B643}" sibTransId="{BADB67E5-5D99-43C4-8EF9-283098F7425E}"/>
    <dgm:cxn modelId="{CCE72B90-ED71-4BB5-B8C9-C40A36AE830B}" type="presOf" srcId="{876C956B-11F6-4CA7-9D2B-8D0D00DA8FBD}" destId="{29F571C7-79E5-4DB7-B448-7BB1951A00B2}" srcOrd="0" destOrd="2" presId="urn:microsoft.com/office/officeart/2011/layout/TabList#1"/>
    <dgm:cxn modelId="{5F0E2191-3F6B-4AC1-B703-940CA31D4E0C}" srcId="{9AA6A0A2-3585-4AF9-B3A2-19F9B5F0BF53}" destId="{FAC6E9D5-996F-45FB-AECE-D8CB010ED1AC}" srcOrd="3" destOrd="0" parTransId="{C40C9934-8F88-4845-9245-286F67CDFC06}" sibTransId="{7EC5806B-9A78-431C-986F-7DB805004D28}"/>
    <dgm:cxn modelId="{E7AE5D95-5018-4828-B162-794F757DE0C1}" type="presOf" srcId="{C3D8041B-5527-4D63-9904-B0217D138F00}" destId="{7EBD3665-21AC-4DB0-82E5-959BAF1463B9}" srcOrd="0" destOrd="1" presId="urn:microsoft.com/office/officeart/2011/layout/TabList#1"/>
    <dgm:cxn modelId="{5015AB97-857D-4EF5-8452-6482212AF361}" srcId="{488026AF-F55F-4C77-B7A5-4CA599291C13}" destId="{36EC88FB-6ED0-4994-8DB3-F940A05161F8}" srcOrd="3" destOrd="0" parTransId="{10130B87-D72D-4D49-991C-1B718B1B87E9}" sibTransId="{505A4DB0-98C5-4C6A-8B9F-C620CD511D6F}"/>
    <dgm:cxn modelId="{98B8D197-1ACF-4294-B2FA-CDDA1C7B117D}" type="presOf" srcId="{2203A2F2-097C-476E-84C0-EDE76754BE45}" destId="{5BCE61B2-DAA3-4914-A94C-8C7F0E8E6905}" srcOrd="0" destOrd="3" presId="urn:microsoft.com/office/officeart/2011/layout/TabList#1"/>
    <dgm:cxn modelId="{FBB6049A-C673-4390-8E5C-D9E01756B240}" type="presOf" srcId="{0897C885-42AD-4AC3-BA6E-CC67D08D3C58}" destId="{4BDEFE35-D8E2-4F10-9B09-0BFE2E94665C}" srcOrd="0" destOrd="0" presId="urn:microsoft.com/office/officeart/2011/layout/TabList#1"/>
    <dgm:cxn modelId="{F5071E9A-47DA-431F-8404-B2E6C7443DC0}" type="presOf" srcId="{D27F2CAD-4A9D-4000-9DD0-6E342BE923A9}" destId="{5BCE61B2-DAA3-4914-A94C-8C7F0E8E6905}" srcOrd="0" destOrd="0" presId="urn:microsoft.com/office/officeart/2011/layout/TabList#1"/>
    <dgm:cxn modelId="{CF4F63A1-4B6E-43E3-B1E0-9297635620A9}" type="presOf" srcId="{12D6BC0E-733B-4AFD-B16E-E13C822FD6A6}" destId="{5BCE61B2-DAA3-4914-A94C-8C7F0E8E6905}" srcOrd="0" destOrd="1" presId="urn:microsoft.com/office/officeart/2011/layout/TabList#1"/>
    <dgm:cxn modelId="{71FC52A2-DD57-4BE4-B578-2C74E166F380}" type="presOf" srcId="{4DFD854C-FCF4-4C37-8F65-C4206286D6CC}" destId="{C564DE52-65E8-4E36-8FD0-DC6B10A19C64}" srcOrd="0" destOrd="0" presId="urn:microsoft.com/office/officeart/2011/layout/TabList#1"/>
    <dgm:cxn modelId="{D1A81CA6-C4AA-4E11-AD09-970C98D8ACF1}" srcId="{488026AF-F55F-4C77-B7A5-4CA599291C13}" destId="{D979A0D4-B7B1-4681-AEB4-5EE70A088F1A}" srcOrd="0" destOrd="0" parTransId="{56B2B1E4-06A5-4DC6-A466-64827ED44CED}" sibTransId="{2DF185EE-F5DC-4F27-A1F2-2550842E0F86}"/>
    <dgm:cxn modelId="{0F1E5CA8-4F58-4724-855E-2F87FE1418AB}" type="presOf" srcId="{F1DAC41E-627B-4B1F-8186-C5EC33D0F925}" destId="{7EBD3665-21AC-4DB0-82E5-959BAF1463B9}" srcOrd="0" destOrd="2" presId="urn:microsoft.com/office/officeart/2011/layout/TabList#1"/>
    <dgm:cxn modelId="{0581C4AA-43C3-4E94-98AF-C94D00733D6D}" type="presOf" srcId="{90AED1E5-FC9A-4BC1-8332-1B7EED8FE188}" destId="{93B1CC43-ADA7-48B1-BDF1-7B1A16BB8703}" srcOrd="0" destOrd="0" presId="urn:microsoft.com/office/officeart/2011/layout/TabList#1"/>
    <dgm:cxn modelId="{F94708AD-09B3-49A5-943C-D621C606A8B7}" type="presOf" srcId="{E43158E1-C462-47AE-A832-E4186184FEB9}" destId="{2857E432-3E2E-43F2-95B7-6E5F1D4357AB}" srcOrd="0" destOrd="0" presId="urn:microsoft.com/office/officeart/2011/layout/TabList#1"/>
    <dgm:cxn modelId="{8C44E0B1-8FFC-4A74-8BB9-0B092AD68C79}" type="presOf" srcId="{4EBD6ABA-6CE7-4B52-B8B0-6260E3DAE90E}" destId="{270F2DF0-A2BA-4CAA-9890-B82A50A3A4D8}" srcOrd="0" destOrd="0" presId="urn:microsoft.com/office/officeart/2011/layout/TabList#1"/>
    <dgm:cxn modelId="{C59D09B4-E655-4A8E-81BD-B327CF479A65}" srcId="{CADD0C2E-F77A-4EA0-92A8-A26B47206A82}" destId="{2203A2F2-097C-476E-84C0-EDE76754BE45}" srcOrd="4" destOrd="0" parTransId="{BF3419DF-65B0-4317-AD16-6BAB4E8674C9}" sibTransId="{8ACFD7FF-ED27-41FF-8FAF-BDF509564F6C}"/>
    <dgm:cxn modelId="{8CC0E0B7-903E-4CD9-ADE6-3EDDA03F358B}" type="presOf" srcId="{16DD35CC-7046-46A7-B68D-D4285E841E4A}" destId="{7CEF0485-6F2A-499B-993C-70129CC27E36}" srcOrd="0" destOrd="0" presId="urn:microsoft.com/office/officeart/2011/layout/TabList#1"/>
    <dgm:cxn modelId="{0C6834B8-3BD7-4E61-928F-25F1ACA50B4A}" srcId="{9AA6A0A2-3585-4AF9-B3A2-19F9B5F0BF53}" destId="{BDE7D4E2-1DA1-4CC8-970A-74A1458870D4}" srcOrd="2" destOrd="0" parTransId="{15BA15DD-23CF-421A-9ACD-7A2DD50DEF61}" sibTransId="{20236BF2-E73A-4855-9E13-A919BA6BB430}"/>
    <dgm:cxn modelId="{599599BC-F9F6-4662-96A2-2A8AFA2851A9}" srcId="{0897C885-42AD-4AC3-BA6E-CC67D08D3C58}" destId="{F1DAC41E-627B-4B1F-8186-C5EC33D0F925}" srcOrd="3" destOrd="0" parTransId="{5FA2044B-5CD8-4E4D-AC2D-D4D41A01812B}" sibTransId="{9A1FD359-E304-4391-A374-2431C89B0C5E}"/>
    <dgm:cxn modelId="{6CFD56BE-ADAB-4C30-A5C1-2FC2AEC3585A}" srcId="{41724A49-01FE-421D-AF5A-399AF04413EB}" destId="{F541BC3E-D580-4465-A221-53C4F8A9C233}" srcOrd="3" destOrd="0" parTransId="{CADE7CF0-D565-4CE3-91C1-55AC91713582}" sibTransId="{CCB3F819-2344-4816-ACF9-2F3D9AC43944}"/>
    <dgm:cxn modelId="{D88D73C7-87FB-4F56-BE73-700E91247118}" srcId="{0897C885-42AD-4AC3-BA6E-CC67D08D3C58}" destId="{BEFAB361-F17F-4699-BE45-C3EC3BA8AAAB}" srcOrd="1" destOrd="0" parTransId="{911ACEC2-A61C-4EFF-B7EA-6CD20BBC8E45}" sibTransId="{6858A7A6-0733-481C-B602-567830769902}"/>
    <dgm:cxn modelId="{F32BEECC-7D69-4C6F-822B-0DB1D59B0AD4}" type="presOf" srcId="{492BD078-3D90-4771-8E44-0431B2AA8A06}" destId="{B3B8F5E2-6BB7-4942-A00B-3514A4CE6DED}" srcOrd="0" destOrd="0" presId="urn:microsoft.com/office/officeart/2011/layout/TabList#1"/>
    <dgm:cxn modelId="{FE869ACE-F89E-4D44-81A6-B83742C040B0}" type="presOf" srcId="{488026AF-F55F-4C77-B7A5-4CA599291C13}" destId="{28CD80CE-CDB4-4CE6-BAA7-FE849736BEDA}" srcOrd="0" destOrd="0" presId="urn:microsoft.com/office/officeart/2011/layout/TabList#1"/>
    <dgm:cxn modelId="{5E84A4CE-09FE-4426-8CFD-67D1E12589BA}" srcId="{893425BB-0A4C-4411-934A-374D6F582E4D}" destId="{05B6DB0A-A7AD-4921-826F-BD2B7CD09DA2}" srcOrd="1" destOrd="0" parTransId="{F7607096-E897-408E-AD39-411E0215EB14}" sibTransId="{AE199FB9-5ECB-4D5C-9999-02C8ED8174CC}"/>
    <dgm:cxn modelId="{FAC71ED2-A4D3-4A37-902A-C1DC0576D563}" type="presOf" srcId="{8F814202-70CE-4069-BE27-1F2A582ABC87}" destId="{B3B8F5E2-6BB7-4942-A00B-3514A4CE6DED}" srcOrd="0" destOrd="3" presId="urn:microsoft.com/office/officeart/2011/layout/TabList#1"/>
    <dgm:cxn modelId="{47F1E9D2-1CEA-4FCF-AFA1-02E18BFDA300}" srcId="{511C23D4-7AA5-4E66-9FB5-AD5AA9444E04}" destId="{9AA6A0A2-3585-4AF9-B3A2-19F9B5F0BF53}" srcOrd="1" destOrd="0" parTransId="{AE17065A-D972-4116-A4D8-F514E9B59C50}" sibTransId="{D9916D80-BDE1-4531-98B2-C37CEEACFF6C}"/>
    <dgm:cxn modelId="{156BDED3-64C5-4F44-97B1-B0331D6F2805}" srcId="{488026AF-F55F-4C77-B7A5-4CA599291C13}" destId="{492BD078-3D90-4771-8E44-0431B2AA8A06}" srcOrd="1" destOrd="0" parTransId="{403D57F0-49B9-4832-8E2C-FB7CCD338F32}" sibTransId="{6AFD6760-5438-4728-BF18-379C3588318B}"/>
    <dgm:cxn modelId="{B42DEAD9-BCC9-44F7-BE08-475D59412F14}" srcId="{41724A49-01FE-421D-AF5A-399AF04413EB}" destId="{256A3DEB-F7BF-4B5D-957F-8DFF1199B29A}" srcOrd="2" destOrd="0" parTransId="{B0FF91FC-171D-46F4-93E0-C3B94C449BC5}" sibTransId="{ADA62DE0-4429-49E2-88E6-090D826CDC5B}"/>
    <dgm:cxn modelId="{60178FDA-0447-4810-9066-6290FDF856E1}" srcId="{41724A49-01FE-421D-AF5A-399AF04413EB}" destId="{90AED1E5-FC9A-4BC1-8332-1B7EED8FE188}" srcOrd="0" destOrd="0" parTransId="{1104215B-3352-4A2E-A712-5B81C5F01DAD}" sibTransId="{E5721E96-A4EC-4844-8F2E-8CECCE3761FB}"/>
    <dgm:cxn modelId="{ED4D99DF-88AB-4BA0-8DCE-EBDFCD7D2A64}" srcId="{CADD0C2E-F77A-4EA0-92A8-A26B47206A82}" destId="{12D6BC0E-733B-4AFD-B16E-E13C822FD6A6}" srcOrd="2" destOrd="0" parTransId="{63DC5ED9-ECEF-4F31-956D-3A99FF7C5296}" sibTransId="{EE4E832E-EB55-46D1-9449-091ADD2F3AE2}"/>
    <dgm:cxn modelId="{F3F08FE0-EE9F-4690-A667-02BB162D4BB8}" type="presOf" srcId="{2B36C7DF-E6AD-485A-BCDA-B9AD8C3FB8D0}" destId="{29F571C7-79E5-4DB7-B448-7BB1951A00B2}" srcOrd="0" destOrd="1" presId="urn:microsoft.com/office/officeart/2011/layout/TabList#1"/>
    <dgm:cxn modelId="{87E3EEE1-F146-44FD-8C2A-1F6FBD5616DE}" type="presOf" srcId="{511C23D4-7AA5-4E66-9FB5-AD5AA9444E04}" destId="{190D90B6-51CE-44AF-8491-B84A854B6F0C}" srcOrd="0" destOrd="0" presId="urn:microsoft.com/office/officeart/2011/layout/TabList#1"/>
    <dgm:cxn modelId="{51F30BE5-C024-4312-B7C3-BEC39EFBCD14}" type="presOf" srcId="{05B6DB0A-A7AD-4921-826F-BD2B7CD09DA2}" destId="{29F571C7-79E5-4DB7-B448-7BB1951A00B2}" srcOrd="0" destOrd="0" presId="urn:microsoft.com/office/officeart/2011/layout/TabList#1"/>
    <dgm:cxn modelId="{E8F6CFE6-F97B-4C97-95B6-62D203AC4D66}" srcId="{0897C885-42AD-4AC3-BA6E-CC67D08D3C58}" destId="{AFC62EEF-C9E4-481A-98BB-936EE57AE3F6}" srcOrd="0" destOrd="0" parTransId="{36538E06-85B0-4A8F-B22F-0FC468E4FB82}" sibTransId="{61A05CAF-1ABA-4A39-B88F-5EF4E6DDE0C0}"/>
    <dgm:cxn modelId="{F606A3E7-D627-4325-9985-ED9F40253273}" srcId="{6471673C-2C08-4F64-B337-1BC6554D017B}" destId="{4EB70967-9497-4BC6-9D96-EF1F195010DD}" srcOrd="0" destOrd="0" parTransId="{D70937D4-52FB-44CC-BB06-C2F7D766F413}" sibTransId="{32639A20-63FC-4D92-8CA7-29A039FBFD0A}"/>
    <dgm:cxn modelId="{3EF466EA-FA39-4381-A00C-B55CD542D299}" type="presOf" srcId="{FAC6E9D5-996F-45FB-AECE-D8CB010ED1AC}" destId="{E2D31400-513D-4189-BD4A-C5851E5946D3}" srcOrd="0" destOrd="2" presId="urn:microsoft.com/office/officeart/2011/layout/TabList#1"/>
    <dgm:cxn modelId="{DE8E68EA-1093-45FA-9BCD-2C5DCF5F0E13}" srcId="{488026AF-F55F-4C77-B7A5-4CA599291C13}" destId="{717AD905-C399-48E9-A481-887FE42531D1}" srcOrd="2" destOrd="0" parTransId="{1B488581-45A7-479A-AF86-98FBEC3D1837}" sibTransId="{B9829073-79B1-48D1-A702-E9AF31F9B9D1}"/>
    <dgm:cxn modelId="{C8760DF0-7645-43F5-95EC-9927F05FA09F}" type="presOf" srcId="{2305C04A-C68F-4B2E-B8CA-6A60A40DCC08}" destId="{1306A5CC-89C9-4867-AF4D-7226B79CA139}" srcOrd="0" destOrd="0" presId="urn:microsoft.com/office/officeart/2011/layout/TabList#1"/>
    <dgm:cxn modelId="{365423F2-1ABA-4E44-9E28-27C87636441A}" srcId="{CADD0C2E-F77A-4EA0-92A8-A26B47206A82}" destId="{D27F2CAD-4A9D-4000-9DD0-6E342BE923A9}" srcOrd="1" destOrd="0" parTransId="{C48B2D28-2C1B-43DB-AA76-8854A30FA534}" sibTransId="{60CE9287-C334-40D4-AE04-2F01C45974AD}"/>
    <dgm:cxn modelId="{E8E4AFF3-4266-4EEB-B758-0E18551FFFEA}" srcId="{2305C04A-C68F-4B2E-B8CA-6A60A40DCC08}" destId="{5254B038-0746-4111-AB66-00FD16AA27FD}" srcOrd="2" destOrd="0" parTransId="{A0CE0028-5190-4CEE-9F03-6910B8C1677F}" sibTransId="{39EBD3FE-FBE9-48CB-BB57-CEA90EED1E61}"/>
    <dgm:cxn modelId="{F9F28AF7-B4F8-4C86-B583-010D9D714AD4}" srcId="{0897C885-42AD-4AC3-BA6E-CC67D08D3C58}" destId="{C3D8041B-5527-4D63-9904-B0217D138F00}" srcOrd="2" destOrd="0" parTransId="{ACC91A85-91C4-4AD4-8833-84BF198BA2D4}" sibTransId="{934FDFD9-CABD-4F85-A5B2-0B71ACFD53F5}"/>
    <dgm:cxn modelId="{EFF22CFF-C37F-4751-A908-B25CD5B3199F}" srcId="{893425BB-0A4C-4411-934A-374D6F582E4D}" destId="{15E2BB76-6354-430E-8014-51EB5D878C66}" srcOrd="4" destOrd="0" parTransId="{22916C29-EE25-4837-9FD5-A111958306D1}" sibTransId="{A597304D-C529-4CE8-A0A3-A7339FDD1DC8}"/>
    <dgm:cxn modelId="{9EB4C498-6D2E-4900-A6B3-E7B2CAB5044B}" type="presParOf" srcId="{190D90B6-51CE-44AF-8491-B84A854B6F0C}" destId="{16C9063B-28C0-4D81-B4F3-C4B091ED6E0C}" srcOrd="0" destOrd="0" presId="urn:microsoft.com/office/officeart/2011/layout/TabList#1"/>
    <dgm:cxn modelId="{C2005CFC-45FA-4794-A521-E9354D03D168}" type="presParOf" srcId="{16C9063B-28C0-4D81-B4F3-C4B091ED6E0C}" destId="{732AE8BE-3476-406E-964D-919711ACAB4F}" srcOrd="0" destOrd="0" presId="urn:microsoft.com/office/officeart/2011/layout/TabList#1"/>
    <dgm:cxn modelId="{EB8EB9CB-E80C-44CB-B5E7-5EE696B76C76}" type="presParOf" srcId="{16C9063B-28C0-4D81-B4F3-C4B091ED6E0C}" destId="{76F5BC9C-1092-4B82-9194-5F5A62E3685E}" srcOrd="1" destOrd="0" presId="urn:microsoft.com/office/officeart/2011/layout/TabList#1"/>
    <dgm:cxn modelId="{CD0C6ECF-F929-4A40-895B-5632BE2135CA}" type="presParOf" srcId="{16C9063B-28C0-4D81-B4F3-C4B091ED6E0C}" destId="{1219D609-2996-4485-87E9-9ADBBCE2BB48}" srcOrd="2" destOrd="0" presId="urn:microsoft.com/office/officeart/2011/layout/TabList#1"/>
    <dgm:cxn modelId="{4887B442-3544-425A-A076-F5F8CB0FC34D}" type="presParOf" srcId="{190D90B6-51CE-44AF-8491-B84A854B6F0C}" destId="{981F8047-8273-4FFF-8C08-A6DDE11B420A}" srcOrd="1" destOrd="0" presId="urn:microsoft.com/office/officeart/2011/layout/TabList#1"/>
    <dgm:cxn modelId="{64E8F299-49A6-4B1E-A719-6E1002B62364}" type="presParOf" srcId="{190D90B6-51CE-44AF-8491-B84A854B6F0C}" destId="{E13DF6C5-075E-4CD8-B6FB-D62F1A3BA17B}" srcOrd="2" destOrd="0" presId="urn:microsoft.com/office/officeart/2011/layout/TabList#1"/>
    <dgm:cxn modelId="{B2D80399-CBC7-4AF0-8F89-0569F9240A5E}" type="presParOf" srcId="{190D90B6-51CE-44AF-8491-B84A854B6F0C}" destId="{7F9D8EDC-87DA-44AE-80BB-35A43E0ECEA9}" srcOrd="3" destOrd="0" presId="urn:microsoft.com/office/officeart/2011/layout/TabList#1"/>
    <dgm:cxn modelId="{010D7BA8-2AE8-4979-9D1B-AE463E37C54B}" type="presParOf" srcId="{7F9D8EDC-87DA-44AE-80BB-35A43E0ECEA9}" destId="{2857E432-3E2E-43F2-95B7-6E5F1D4357AB}" srcOrd="0" destOrd="0" presId="urn:microsoft.com/office/officeart/2011/layout/TabList#1"/>
    <dgm:cxn modelId="{AFEE3827-74CD-40DD-B704-F0D36600833E}" type="presParOf" srcId="{7F9D8EDC-87DA-44AE-80BB-35A43E0ECEA9}" destId="{76216F4E-3112-4F95-86C5-C0D41EE5951A}" srcOrd="1" destOrd="0" presId="urn:microsoft.com/office/officeart/2011/layout/TabList#1"/>
    <dgm:cxn modelId="{459BB7AD-FF49-4E6A-8963-2C0E97483CF4}" type="presParOf" srcId="{7F9D8EDC-87DA-44AE-80BB-35A43E0ECEA9}" destId="{ED464CA2-C2A7-4591-8748-D97352965DBD}" srcOrd="2" destOrd="0" presId="urn:microsoft.com/office/officeart/2011/layout/TabList#1"/>
    <dgm:cxn modelId="{AF05999C-1359-4A5B-92AA-AABF53D08C81}" type="presParOf" srcId="{190D90B6-51CE-44AF-8491-B84A854B6F0C}" destId="{E2D31400-513D-4189-BD4A-C5851E5946D3}" srcOrd="4" destOrd="0" presId="urn:microsoft.com/office/officeart/2011/layout/TabList#1"/>
    <dgm:cxn modelId="{157ACA45-8ACC-4A94-A014-054BF6FE7950}" type="presParOf" srcId="{190D90B6-51CE-44AF-8491-B84A854B6F0C}" destId="{00786DD8-31DD-4847-BCB1-0710D9B5A090}" srcOrd="5" destOrd="0" presId="urn:microsoft.com/office/officeart/2011/layout/TabList#1"/>
    <dgm:cxn modelId="{8EDC2AE4-C7B6-4128-AD5E-3F3B26707231}" type="presParOf" srcId="{190D90B6-51CE-44AF-8491-B84A854B6F0C}" destId="{2CB80A6C-F37E-404B-A283-B7DC34C698E6}" srcOrd="6" destOrd="0" presId="urn:microsoft.com/office/officeart/2011/layout/TabList#1"/>
    <dgm:cxn modelId="{115A05B8-6AAA-4638-9A2E-06F61794B7AD}" type="presParOf" srcId="{2CB80A6C-F37E-404B-A283-B7DC34C698E6}" destId="{CA5DB5E7-A98F-4EE9-8C4A-DD57C59BAE6E}" srcOrd="0" destOrd="0" presId="urn:microsoft.com/office/officeart/2011/layout/TabList#1"/>
    <dgm:cxn modelId="{B6133DA3-EBF9-4863-A82C-B5F55FB0CB61}" type="presParOf" srcId="{2CB80A6C-F37E-404B-A283-B7DC34C698E6}" destId="{28CD80CE-CDB4-4CE6-BAA7-FE849736BEDA}" srcOrd="1" destOrd="0" presId="urn:microsoft.com/office/officeart/2011/layout/TabList#1"/>
    <dgm:cxn modelId="{14992803-9561-4EBF-AF93-AED2C81643A2}" type="presParOf" srcId="{2CB80A6C-F37E-404B-A283-B7DC34C698E6}" destId="{50C58104-7015-4BE6-B430-8EFB0CA10582}" srcOrd="2" destOrd="0" presId="urn:microsoft.com/office/officeart/2011/layout/TabList#1"/>
    <dgm:cxn modelId="{72B74BB0-3076-4884-8F47-8B5B7999C470}" type="presParOf" srcId="{190D90B6-51CE-44AF-8491-B84A854B6F0C}" destId="{B3B8F5E2-6BB7-4942-A00B-3514A4CE6DED}" srcOrd="7" destOrd="0" presId="urn:microsoft.com/office/officeart/2011/layout/TabList#1"/>
    <dgm:cxn modelId="{8A59F521-C7C6-4379-8973-72BE2784C267}" type="presParOf" srcId="{190D90B6-51CE-44AF-8491-B84A854B6F0C}" destId="{9026C39A-FA46-49EA-84B5-255615097B59}" srcOrd="8" destOrd="0" presId="urn:microsoft.com/office/officeart/2011/layout/TabList#1"/>
    <dgm:cxn modelId="{974E7186-129E-4107-A766-9FB1086507B0}" type="presParOf" srcId="{190D90B6-51CE-44AF-8491-B84A854B6F0C}" destId="{D0858DAD-C6FB-477C-B32B-B637C0BED037}" srcOrd="9" destOrd="0" presId="urn:microsoft.com/office/officeart/2011/layout/TabList#1"/>
    <dgm:cxn modelId="{23AA2740-617B-44E2-A827-0F2DA252542A}" type="presParOf" srcId="{D0858DAD-C6FB-477C-B32B-B637C0BED037}" destId="{7CEF0485-6F2A-499B-993C-70129CC27E36}" srcOrd="0" destOrd="0" presId="urn:microsoft.com/office/officeart/2011/layout/TabList#1"/>
    <dgm:cxn modelId="{4B95A41B-5276-45EF-BDF6-95F7AC39F49E}" type="presParOf" srcId="{D0858DAD-C6FB-477C-B32B-B637C0BED037}" destId="{64BC533F-EDCF-4DF9-9BC9-403AD8436133}" srcOrd="1" destOrd="0" presId="urn:microsoft.com/office/officeart/2011/layout/TabList#1"/>
    <dgm:cxn modelId="{DA24FAF2-0B17-438D-A3AA-C2CC89DC792A}" type="presParOf" srcId="{D0858DAD-C6FB-477C-B32B-B637C0BED037}" destId="{2CFFF16B-215D-47E2-9533-E08E4B16172D}" srcOrd="2" destOrd="0" presId="urn:microsoft.com/office/officeart/2011/layout/TabList#1"/>
    <dgm:cxn modelId="{66115837-2441-4A3D-BC47-8BDEFF0C8456}" type="presParOf" srcId="{190D90B6-51CE-44AF-8491-B84A854B6F0C}" destId="{5BCE61B2-DAA3-4914-A94C-8C7F0E8E6905}" srcOrd="10" destOrd="0" presId="urn:microsoft.com/office/officeart/2011/layout/TabList#1"/>
    <dgm:cxn modelId="{27EA8455-82AF-4BD6-B7AA-F3B20659D805}" type="presParOf" srcId="{190D90B6-51CE-44AF-8491-B84A854B6F0C}" destId="{ED08FB9E-5B94-444F-96F5-FD479AAA4728}" srcOrd="11" destOrd="0" presId="urn:microsoft.com/office/officeart/2011/layout/TabList#1"/>
    <dgm:cxn modelId="{214202EF-6AF9-4FF8-9105-05EAA14EA7B8}" type="presParOf" srcId="{190D90B6-51CE-44AF-8491-B84A854B6F0C}" destId="{CF01D34B-D3D4-4D25-BD16-519F94392625}" srcOrd="12" destOrd="0" presId="urn:microsoft.com/office/officeart/2011/layout/TabList#1"/>
    <dgm:cxn modelId="{5428E9F0-279E-4D63-BA90-BA6C974C8968}" type="presParOf" srcId="{CF01D34B-D3D4-4D25-BD16-519F94392625}" destId="{C564DE52-65E8-4E36-8FD0-DC6B10A19C64}" srcOrd="0" destOrd="0" presId="urn:microsoft.com/office/officeart/2011/layout/TabList#1"/>
    <dgm:cxn modelId="{1CCD028A-A145-4CD7-8A78-F1DA21D18729}" type="presParOf" srcId="{CF01D34B-D3D4-4D25-BD16-519F94392625}" destId="{FE1DE5DD-5461-4937-88E3-D100827B0F73}" srcOrd="1" destOrd="0" presId="urn:microsoft.com/office/officeart/2011/layout/TabList#1"/>
    <dgm:cxn modelId="{030D5218-0955-40B8-B53A-23B4D74324AC}" type="presParOf" srcId="{CF01D34B-D3D4-4D25-BD16-519F94392625}" destId="{E67FC80B-2DE9-42C6-9820-11D533D60E31}" srcOrd="2" destOrd="0" presId="urn:microsoft.com/office/officeart/2011/layout/TabList#1"/>
    <dgm:cxn modelId="{752A861A-F386-4515-B423-E5F003AEB031}" type="presParOf" srcId="{190D90B6-51CE-44AF-8491-B84A854B6F0C}" destId="{29F571C7-79E5-4DB7-B448-7BB1951A00B2}" srcOrd="13" destOrd="0" presId="urn:microsoft.com/office/officeart/2011/layout/TabList#1"/>
    <dgm:cxn modelId="{3DF4EB53-ACBC-44FB-AA51-0CC3D45BD853}" type="presParOf" srcId="{190D90B6-51CE-44AF-8491-B84A854B6F0C}" destId="{31336D9C-2363-403F-AE73-C7C07C08E626}" srcOrd="14" destOrd="0" presId="urn:microsoft.com/office/officeart/2011/layout/TabList#1"/>
    <dgm:cxn modelId="{A3E13150-0622-489C-85D5-ECF10F54A787}" type="presParOf" srcId="{190D90B6-51CE-44AF-8491-B84A854B6F0C}" destId="{9CCE5828-DF56-4BDB-9B46-6E1CAD147E1D}" srcOrd="15" destOrd="0" presId="urn:microsoft.com/office/officeart/2011/layout/TabList#1"/>
    <dgm:cxn modelId="{1F8C1F56-3F7F-45C7-9650-0FC553EE982E}" type="presParOf" srcId="{9CCE5828-DF56-4BDB-9B46-6E1CAD147E1D}" destId="{93B1CC43-ADA7-48B1-BDF1-7B1A16BB8703}" srcOrd="0" destOrd="0" presId="urn:microsoft.com/office/officeart/2011/layout/TabList#1"/>
    <dgm:cxn modelId="{DB74A39D-00CC-4F88-BFFF-EC8FD20A1661}" type="presParOf" srcId="{9CCE5828-DF56-4BDB-9B46-6E1CAD147E1D}" destId="{9ABFF7A9-9B3D-4DEA-977D-1D268F4009B8}" srcOrd="1" destOrd="0" presId="urn:microsoft.com/office/officeart/2011/layout/TabList#1"/>
    <dgm:cxn modelId="{DC46BFFF-6C9C-4398-AB69-3430E8F69015}" type="presParOf" srcId="{9CCE5828-DF56-4BDB-9B46-6E1CAD147E1D}" destId="{C7120386-9065-46D3-A6E4-9B746C00C0B0}" srcOrd="2" destOrd="0" presId="urn:microsoft.com/office/officeart/2011/layout/TabList#1"/>
    <dgm:cxn modelId="{17743A7A-6547-4E65-8CC4-0900AE419518}" type="presParOf" srcId="{190D90B6-51CE-44AF-8491-B84A854B6F0C}" destId="{8450BC64-BDA3-4D22-A796-B8161F4F4D0E}" srcOrd="16" destOrd="0" presId="urn:microsoft.com/office/officeart/2011/layout/TabList#1"/>
    <dgm:cxn modelId="{9F7978BE-BD0A-43A4-B86E-05E8488A02BA}" type="presParOf" srcId="{190D90B6-51CE-44AF-8491-B84A854B6F0C}" destId="{550D317D-5C62-417D-A987-7E3F9A5CF5AA}" srcOrd="17" destOrd="0" presId="urn:microsoft.com/office/officeart/2011/layout/TabList#1"/>
    <dgm:cxn modelId="{679CDE84-483B-4EE2-9EB5-9C20B02E9041}" type="presParOf" srcId="{190D90B6-51CE-44AF-8491-B84A854B6F0C}" destId="{C362651D-D232-4373-B303-A7D7C644F3D6}" srcOrd="18" destOrd="0" presId="urn:microsoft.com/office/officeart/2011/layout/TabList#1"/>
    <dgm:cxn modelId="{977A56B0-9064-4921-A39F-FF58F0EC80F4}" type="presParOf" srcId="{C362651D-D232-4373-B303-A7D7C644F3D6}" destId="{BB9423A4-2D81-488D-B1C2-896DCA95540E}" srcOrd="0" destOrd="0" presId="urn:microsoft.com/office/officeart/2011/layout/TabList#1"/>
    <dgm:cxn modelId="{5F45CE68-74BE-458D-86EF-232D4D657766}" type="presParOf" srcId="{C362651D-D232-4373-B303-A7D7C644F3D6}" destId="{4BDEFE35-D8E2-4F10-9B09-0BFE2E94665C}" srcOrd="1" destOrd="0" presId="urn:microsoft.com/office/officeart/2011/layout/TabList#1"/>
    <dgm:cxn modelId="{23F4BC19-7472-48A7-B59D-B7DC50937AA9}" type="presParOf" srcId="{C362651D-D232-4373-B303-A7D7C644F3D6}" destId="{8BD72DB9-AB70-4546-8AD3-826A7152B65B}" srcOrd="2" destOrd="0" presId="urn:microsoft.com/office/officeart/2011/layout/TabList#1"/>
    <dgm:cxn modelId="{903E3CF4-3E74-47E1-ADBF-44C1714FADC0}" type="presParOf" srcId="{190D90B6-51CE-44AF-8491-B84A854B6F0C}" destId="{7EBD3665-21AC-4DB0-82E5-959BAF1463B9}" srcOrd="19" destOrd="0" presId="urn:microsoft.com/office/officeart/2011/layout/TabList#1"/>
    <dgm:cxn modelId="{E51E5F05-3444-42C3-9FDF-6540EF5E7D6B}" type="presParOf" srcId="{190D90B6-51CE-44AF-8491-B84A854B6F0C}" destId="{3CCD1A88-38B6-4445-A733-42DD6ABD2ACF}" srcOrd="20" destOrd="0" presId="urn:microsoft.com/office/officeart/2011/layout/TabList#1"/>
    <dgm:cxn modelId="{DC3D45D8-9F21-464E-9A1F-5E9BC90C470E}" type="presParOf" srcId="{190D90B6-51CE-44AF-8491-B84A854B6F0C}" destId="{99F6E4E4-5EDB-465A-8068-64F384DBD19E}" srcOrd="21" destOrd="0" presId="urn:microsoft.com/office/officeart/2011/layout/TabList#1"/>
    <dgm:cxn modelId="{9A9AE809-613C-448A-A12F-E47804D5006D}" type="presParOf" srcId="{99F6E4E4-5EDB-465A-8068-64F384DBD19E}" destId="{270F2DF0-A2BA-4CAA-9890-B82A50A3A4D8}" srcOrd="0" destOrd="0" presId="urn:microsoft.com/office/officeart/2011/layout/TabList#1"/>
    <dgm:cxn modelId="{B71EC166-D63B-4EE7-B6F2-E7A26215AC0C}" type="presParOf" srcId="{99F6E4E4-5EDB-465A-8068-64F384DBD19E}" destId="{1306A5CC-89C9-4867-AF4D-7226B79CA139}" srcOrd="1" destOrd="0" presId="urn:microsoft.com/office/officeart/2011/layout/TabList#1"/>
    <dgm:cxn modelId="{4017268D-AA77-42CB-8729-4B150134C6DE}" type="presParOf" srcId="{99F6E4E4-5EDB-465A-8068-64F384DBD19E}" destId="{D10543A7-B6F7-4329-9FA5-B9D31EDCA9DC}" srcOrd="2" destOrd="0" presId="urn:microsoft.com/office/officeart/2011/layout/TabList#1"/>
    <dgm:cxn modelId="{07949FB7-0880-49DD-BC4A-5297C0BF7C54}" type="presParOf" srcId="{190D90B6-51CE-44AF-8491-B84A854B6F0C}" destId="{33AD3C40-FD36-4036-AC63-6C4AFDDCB85D}" srcOrd="22" destOrd="0" presId="urn:microsoft.com/office/officeart/2011/layout/Tab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314950" cy="7409815"/>
        <a:chOff x="0" y="0"/>
        <a:chExt cx="5314950" cy="7409815"/>
      </a:xfrm>
    </dsp:grpSpPr>
    <dsp:sp modelId="{1219D609-2996-4485-87E9-9ADBBCE2BB48}">
      <dsp:nvSpPr>
        <dsp:cNvPr id="5" name="Straight Connector 4"/>
        <dsp:cNvSpPr/>
      </dsp:nvSpPr>
      <dsp:spPr bwMode="white">
        <a:xfrm>
          <a:off x="0" y="182539"/>
          <a:ext cx="5314950" cy="0"/>
        </a:xfrm>
        <a:prstGeom prst="line">
          <a:avLst/>
        </a:prstGeom>
      </dsp:spPr>
      <dsp:style>
        <a:lnRef idx="2">
          <a:schemeClr val="dk1">
            <a:shade val="60000"/>
          </a:schemeClr>
        </a:lnRef>
        <a:fillRef idx="0">
          <a:schemeClr val="dk1"/>
        </a:fillRef>
        <a:effectRef idx="0">
          <a:scrgbClr r="0" g="0" b="0"/>
        </a:effectRef>
        <a:fontRef idx="minor"/>
      </dsp:style>
      <dsp:txXfrm>
        <a:off x="0" y="182539"/>
        <a:ext cx="5314950" cy="0"/>
      </dsp:txXfrm>
    </dsp:sp>
    <dsp:sp modelId="{ED464CA2-C2A7-4591-8748-D97352965DBD}">
      <dsp:nvSpPr>
        <dsp:cNvPr id="9" name="Straight Connector 8"/>
        <dsp:cNvSpPr/>
      </dsp:nvSpPr>
      <dsp:spPr bwMode="white">
        <a:xfrm>
          <a:off x="0" y="1162083"/>
          <a:ext cx="5314950" cy="0"/>
        </a:xfrm>
        <a:prstGeom prst="line">
          <a:avLst/>
        </a:prstGeom>
      </dsp:spPr>
      <dsp:style>
        <a:lnRef idx="2">
          <a:schemeClr val="dk1">
            <a:shade val="60000"/>
          </a:schemeClr>
        </a:lnRef>
        <a:fillRef idx="0">
          <a:schemeClr val="dk1"/>
        </a:fillRef>
        <a:effectRef idx="0">
          <a:scrgbClr r="0" g="0" b="0"/>
        </a:effectRef>
        <a:fontRef idx="minor"/>
      </dsp:style>
      <dsp:txXfrm>
        <a:off x="0" y="1162083"/>
        <a:ext cx="5314950" cy="0"/>
      </dsp:txXfrm>
    </dsp:sp>
    <dsp:sp modelId="{50C58104-7015-4BE6-B430-8EFB0CA10582}">
      <dsp:nvSpPr>
        <dsp:cNvPr id="13" name="Straight Connector 12"/>
        <dsp:cNvSpPr/>
      </dsp:nvSpPr>
      <dsp:spPr bwMode="white">
        <a:xfrm>
          <a:off x="0" y="2159588"/>
          <a:ext cx="5314950" cy="0"/>
        </a:xfrm>
        <a:prstGeom prst="line">
          <a:avLst/>
        </a:prstGeom>
      </dsp:spPr>
      <dsp:style>
        <a:lnRef idx="2">
          <a:schemeClr val="dk1">
            <a:shade val="60000"/>
          </a:schemeClr>
        </a:lnRef>
        <a:fillRef idx="0">
          <a:schemeClr val="dk1"/>
        </a:fillRef>
        <a:effectRef idx="0">
          <a:scrgbClr r="0" g="0" b="0"/>
        </a:effectRef>
        <a:fontRef idx="minor"/>
      </dsp:style>
      <dsp:txXfrm>
        <a:off x="0" y="2159588"/>
        <a:ext cx="5314950" cy="0"/>
      </dsp:txXfrm>
    </dsp:sp>
    <dsp:sp modelId="{2CFFF16B-215D-47E2-9533-E08E4B16172D}">
      <dsp:nvSpPr>
        <dsp:cNvPr id="17" name="Straight Connector 16"/>
        <dsp:cNvSpPr/>
      </dsp:nvSpPr>
      <dsp:spPr bwMode="white">
        <a:xfrm>
          <a:off x="0" y="3180739"/>
          <a:ext cx="5314950" cy="0"/>
        </a:xfrm>
        <a:prstGeom prst="line">
          <a:avLst/>
        </a:prstGeom>
      </dsp:spPr>
      <dsp:style>
        <a:lnRef idx="2">
          <a:schemeClr val="dk1">
            <a:shade val="60000"/>
          </a:schemeClr>
        </a:lnRef>
        <a:fillRef idx="0">
          <a:schemeClr val="dk1"/>
        </a:fillRef>
        <a:effectRef idx="0">
          <a:scrgbClr r="0" g="0" b="0"/>
        </a:effectRef>
        <a:fontRef idx="minor"/>
      </dsp:style>
      <dsp:txXfrm>
        <a:off x="0" y="3180739"/>
        <a:ext cx="5314950" cy="0"/>
      </dsp:txXfrm>
    </dsp:sp>
    <dsp:sp modelId="{E67FC80B-2DE9-42C6-9820-11D533D60E31}">
      <dsp:nvSpPr>
        <dsp:cNvPr id="21" name="Straight Connector 20"/>
        <dsp:cNvSpPr/>
      </dsp:nvSpPr>
      <dsp:spPr bwMode="white">
        <a:xfrm>
          <a:off x="0" y="4228735"/>
          <a:ext cx="5314950" cy="0"/>
        </a:xfrm>
        <a:prstGeom prst="line">
          <a:avLst/>
        </a:prstGeom>
      </dsp:spPr>
      <dsp:style>
        <a:lnRef idx="2">
          <a:schemeClr val="dk1">
            <a:shade val="60000"/>
          </a:schemeClr>
        </a:lnRef>
        <a:fillRef idx="0">
          <a:schemeClr val="dk1"/>
        </a:fillRef>
        <a:effectRef idx="0">
          <a:scrgbClr r="0" g="0" b="0"/>
        </a:effectRef>
        <a:fontRef idx="minor"/>
      </dsp:style>
      <dsp:txXfrm>
        <a:off x="0" y="4228735"/>
        <a:ext cx="5314950" cy="0"/>
      </dsp:txXfrm>
    </dsp:sp>
    <dsp:sp modelId="{C7120386-9065-46D3-A6E4-9B746C00C0B0}">
      <dsp:nvSpPr>
        <dsp:cNvPr id="25" name="Straight Connector 24"/>
        <dsp:cNvSpPr/>
      </dsp:nvSpPr>
      <dsp:spPr bwMode="white">
        <a:xfrm>
          <a:off x="0" y="5105812"/>
          <a:ext cx="5314950" cy="0"/>
        </a:xfrm>
        <a:prstGeom prst="line">
          <a:avLst/>
        </a:prstGeom>
      </dsp:spPr>
      <dsp:style>
        <a:lnRef idx="2">
          <a:schemeClr val="dk1">
            <a:shade val="60000"/>
          </a:schemeClr>
        </a:lnRef>
        <a:fillRef idx="0">
          <a:schemeClr val="dk1"/>
        </a:fillRef>
        <a:effectRef idx="0">
          <a:scrgbClr r="0" g="0" b="0"/>
        </a:effectRef>
        <a:fontRef idx="minor"/>
      </dsp:style>
      <dsp:txXfrm>
        <a:off x="0" y="5105812"/>
        <a:ext cx="5314950" cy="0"/>
      </dsp:txXfrm>
    </dsp:sp>
    <dsp:sp modelId="{8BD72DB9-AB70-4546-8AD3-826A7152B65B}">
      <dsp:nvSpPr>
        <dsp:cNvPr id="29" name="Straight Connector 28"/>
        <dsp:cNvSpPr/>
      </dsp:nvSpPr>
      <dsp:spPr bwMode="white">
        <a:xfrm>
          <a:off x="0" y="6072014"/>
          <a:ext cx="5314950" cy="0"/>
        </a:xfrm>
        <a:prstGeom prst="line">
          <a:avLst/>
        </a:prstGeom>
      </dsp:spPr>
      <dsp:style>
        <a:lnRef idx="2">
          <a:schemeClr val="dk1">
            <a:shade val="60000"/>
          </a:schemeClr>
        </a:lnRef>
        <a:fillRef idx="0">
          <a:schemeClr val="dk1"/>
        </a:fillRef>
        <a:effectRef idx="0">
          <a:scrgbClr r="0" g="0" b="0"/>
        </a:effectRef>
        <a:fontRef idx="minor"/>
      </dsp:style>
      <dsp:txXfrm>
        <a:off x="0" y="6072014"/>
        <a:ext cx="5314950" cy="0"/>
      </dsp:txXfrm>
    </dsp:sp>
    <dsp:sp modelId="{D10543A7-B6F7-4329-9FA5-B9D31EDCA9DC}">
      <dsp:nvSpPr>
        <dsp:cNvPr id="33" name="Straight Connector 32"/>
        <dsp:cNvSpPr/>
      </dsp:nvSpPr>
      <dsp:spPr bwMode="white">
        <a:xfrm>
          <a:off x="0" y="7044683"/>
          <a:ext cx="5314950" cy="0"/>
        </a:xfrm>
        <a:prstGeom prst="line">
          <a:avLst/>
        </a:prstGeom>
      </dsp:spPr>
      <dsp:style>
        <a:lnRef idx="2">
          <a:schemeClr val="dk1">
            <a:shade val="60000"/>
          </a:schemeClr>
        </a:lnRef>
        <a:fillRef idx="0">
          <a:schemeClr val="dk1"/>
        </a:fillRef>
        <a:effectRef idx="0">
          <a:scrgbClr r="0" g="0" b="0"/>
        </a:effectRef>
        <a:fontRef idx="minor"/>
      </dsp:style>
      <dsp:txXfrm>
        <a:off x="0" y="7044683"/>
        <a:ext cx="5314950" cy="0"/>
      </dsp:txXfrm>
    </dsp:sp>
    <dsp:sp modelId="{732AE8BE-3476-406E-964D-919711ACAB4F}">
      <dsp:nvSpPr>
        <dsp:cNvPr id="3" name="Rectangles 2"/>
        <dsp:cNvSpPr/>
      </dsp:nvSpPr>
      <dsp:spPr bwMode="white">
        <a:xfrm>
          <a:off x="1381887" y="0"/>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Trust versus Mistrust</a:t>
          </a:r>
          <a:endParaRPr>
            <a:solidFill>
              <a:schemeClr val="tx1"/>
            </a:solidFill>
          </a:endParaRPr>
        </a:p>
      </dsp:txBody>
      <dsp:txXfrm>
        <a:off x="1381887" y="0"/>
        <a:ext cx="3933063" cy="182539"/>
      </dsp:txXfrm>
    </dsp:sp>
    <dsp:sp modelId="{76F5BC9C-1092-4B82-9194-5F5A62E3685E}">
      <dsp:nvSpPr>
        <dsp:cNvPr id="4" name="Round Same Side Corner Rectangle 3"/>
        <dsp:cNvSpPr/>
      </dsp:nvSpPr>
      <dsp:spPr bwMode="white">
        <a:xfrm>
          <a:off x="0" y="0"/>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1</a:t>
          </a:r>
          <a:endParaRPr>
            <a:solidFill>
              <a:schemeClr val="dk1"/>
            </a:solidFill>
          </a:endParaRPr>
        </a:p>
      </dsp:txBody>
      <dsp:txXfrm>
        <a:off x="0" y="0"/>
        <a:ext cx="1381887" cy="182539"/>
      </dsp:txXfrm>
    </dsp:sp>
    <dsp:sp modelId="{981F8047-8273-4FFF-8C08-A6DDE11B420A}">
      <dsp:nvSpPr>
        <dsp:cNvPr id="6" name="Rectangles 5"/>
        <dsp:cNvSpPr/>
      </dsp:nvSpPr>
      <dsp:spPr bwMode="white">
        <a:xfrm>
          <a:off x="0" y="182539"/>
          <a:ext cx="5314950" cy="78787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Begins from the birth of the infant until 18 months.</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Its success is predicated on the consistency and quality of the care it receives from its caregivers.</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The youngster will feel utterly reliant on adults and unable to trust them if they are not shown appropriate care and love. </a:t>
          </a:r>
          <a:endParaRPr>
            <a:solidFill>
              <a:schemeClr val="tx1"/>
            </a:solidFill>
          </a:endParaRPr>
        </a:p>
      </dsp:txBody>
      <dsp:txXfrm>
        <a:off x="0" y="182539"/>
        <a:ext cx="5314950" cy="787879"/>
      </dsp:txXfrm>
    </dsp:sp>
    <dsp:sp modelId="{2857E432-3E2E-43F2-95B7-6E5F1D4357AB}">
      <dsp:nvSpPr>
        <dsp:cNvPr id="7" name="Rectangles 6"/>
        <dsp:cNvSpPr/>
      </dsp:nvSpPr>
      <dsp:spPr bwMode="white">
        <a:xfrm>
          <a:off x="1381887" y="979544"/>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Autonomy versus Shame and Doubt</a:t>
          </a:r>
          <a:endParaRPr>
            <a:solidFill>
              <a:schemeClr val="tx1"/>
            </a:solidFill>
          </a:endParaRPr>
        </a:p>
      </dsp:txBody>
      <dsp:txXfrm>
        <a:off x="1381887" y="979544"/>
        <a:ext cx="3933063" cy="182539"/>
      </dsp:txXfrm>
    </dsp:sp>
    <dsp:sp modelId="{76216F4E-3112-4F95-86C5-C0D41EE5951A}">
      <dsp:nvSpPr>
        <dsp:cNvPr id="8" name="Round Same Side Corner Rectangle 7"/>
        <dsp:cNvSpPr/>
      </dsp:nvSpPr>
      <dsp:spPr bwMode="white">
        <a:xfrm>
          <a:off x="0" y="979544"/>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2</a:t>
          </a:r>
          <a:endParaRPr>
            <a:solidFill>
              <a:schemeClr val="dk1"/>
            </a:solidFill>
          </a:endParaRPr>
        </a:p>
      </dsp:txBody>
      <dsp:txXfrm>
        <a:off x="0" y="979544"/>
        <a:ext cx="1381887" cy="182539"/>
      </dsp:txXfrm>
    </dsp:sp>
    <dsp:sp modelId="{E2D31400-513D-4189-BD4A-C5851E5946D3}">
      <dsp:nvSpPr>
        <dsp:cNvPr id="10" name="Rectangles 9"/>
        <dsp:cNvSpPr/>
      </dsp:nvSpPr>
      <dsp:spPr bwMode="white">
        <a:xfrm>
          <a:off x="0" y="1162083"/>
          <a:ext cx="5314950" cy="8058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Early childfood.</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Children develop a sense of control and independence.</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They greatly benefit from learning to manage their bodily functions.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Other significant events include growing autonomy over dietary habits, plaything selection, and toilet training. </a:t>
          </a:r>
          <a:endParaRPr>
            <a:solidFill>
              <a:schemeClr val="tx1"/>
            </a:solidFill>
          </a:endParaRPr>
        </a:p>
      </dsp:txBody>
      <dsp:txXfrm>
        <a:off x="0" y="1162083"/>
        <a:ext cx="5314950" cy="805839"/>
      </dsp:txXfrm>
    </dsp:sp>
    <dsp:sp modelId="{CA5DB5E7-A98F-4EE9-8C4A-DD57C59BAE6E}">
      <dsp:nvSpPr>
        <dsp:cNvPr id="11" name="Rectangles 10"/>
        <dsp:cNvSpPr/>
      </dsp:nvSpPr>
      <dsp:spPr bwMode="white">
        <a:xfrm>
          <a:off x="1381887" y="1977049"/>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Initiative versus Guilt</a:t>
          </a:r>
          <a:endParaRPr>
            <a:solidFill>
              <a:schemeClr val="tx1"/>
            </a:solidFill>
          </a:endParaRPr>
        </a:p>
      </dsp:txBody>
      <dsp:txXfrm>
        <a:off x="1381887" y="1977049"/>
        <a:ext cx="3933063" cy="182539"/>
      </dsp:txXfrm>
    </dsp:sp>
    <dsp:sp modelId="{28CD80CE-CDB4-4CE6-BAA7-FE849736BEDA}">
      <dsp:nvSpPr>
        <dsp:cNvPr id="12" name="Round Same Side Corner Rectangle 11"/>
        <dsp:cNvSpPr/>
      </dsp:nvSpPr>
      <dsp:spPr bwMode="white">
        <a:xfrm>
          <a:off x="0" y="1977049"/>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3</a:t>
          </a:r>
          <a:endParaRPr>
            <a:solidFill>
              <a:schemeClr val="dk1"/>
            </a:solidFill>
          </a:endParaRPr>
        </a:p>
      </dsp:txBody>
      <dsp:txXfrm>
        <a:off x="0" y="1977049"/>
        <a:ext cx="1381887" cy="182539"/>
      </dsp:txXfrm>
    </dsp:sp>
    <dsp:sp modelId="{B3B8F5E2-6BB7-4942-A00B-3514A4CE6DED}">
      <dsp:nvSpPr>
        <dsp:cNvPr id="14" name="Rectangles 13"/>
        <dsp:cNvSpPr/>
      </dsp:nvSpPr>
      <dsp:spPr bwMode="white">
        <a:xfrm>
          <a:off x="0" y="2159588"/>
          <a:ext cx="5314950" cy="829485"/>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Preschool age.</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Children assert themselves more often through direct play and social interactions.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They learn to establish their identities and take the initiative in their social environments throughout the formative preschool years.</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Regret, doubt, and a lack of effort are often present in those who lack these skills. </a:t>
          </a:r>
          <a:endParaRPr>
            <a:solidFill>
              <a:schemeClr val="tx1"/>
            </a:solidFill>
          </a:endParaRPr>
        </a:p>
      </dsp:txBody>
      <dsp:txXfrm>
        <a:off x="0" y="2159588"/>
        <a:ext cx="5314950" cy="829485"/>
      </dsp:txXfrm>
    </dsp:sp>
    <dsp:sp modelId="{7CEF0485-6F2A-499B-993C-70129CC27E36}">
      <dsp:nvSpPr>
        <dsp:cNvPr id="15" name="Rectangles 14"/>
        <dsp:cNvSpPr/>
      </dsp:nvSpPr>
      <dsp:spPr bwMode="white">
        <a:xfrm>
          <a:off x="1381887" y="2998200"/>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Industry versus Inferiority</a:t>
          </a:r>
          <a:endParaRPr>
            <a:solidFill>
              <a:schemeClr val="tx1"/>
            </a:solidFill>
          </a:endParaRPr>
        </a:p>
      </dsp:txBody>
      <dsp:txXfrm>
        <a:off x="1381887" y="2998200"/>
        <a:ext cx="3933063" cy="182539"/>
      </dsp:txXfrm>
    </dsp:sp>
    <dsp:sp modelId="{64BC533F-EDCF-4DF9-9BC9-403AD8436133}">
      <dsp:nvSpPr>
        <dsp:cNvPr id="16" name="Round Same Side Corner Rectangle 15"/>
        <dsp:cNvSpPr/>
      </dsp:nvSpPr>
      <dsp:spPr bwMode="white">
        <a:xfrm>
          <a:off x="0" y="2998200"/>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4</a:t>
          </a:r>
          <a:endParaRPr>
            <a:solidFill>
              <a:schemeClr val="dk1"/>
            </a:solidFill>
          </a:endParaRPr>
        </a:p>
      </dsp:txBody>
      <dsp:txXfrm>
        <a:off x="0" y="2998200"/>
        <a:ext cx="1381887" cy="182539"/>
      </dsp:txXfrm>
    </dsp:sp>
    <dsp:sp modelId="{5BCE61B2-DAA3-4914-A94C-8C7F0E8E6905}">
      <dsp:nvSpPr>
        <dsp:cNvPr id="18" name="Rectangles 17"/>
        <dsp:cNvSpPr/>
      </dsp:nvSpPr>
      <dsp:spPr bwMode="white">
        <a:xfrm>
          <a:off x="0" y="3180739"/>
          <a:ext cx="5314950" cy="856330"/>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Involves children's early school years (ages 5–11).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Children learn to read, write, do sums, and do things independently.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They learn to take pleasure in their achievements and adapt to the challenges of their new environment.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A significant source of self-esteem.</a:t>
          </a:r>
          <a:endParaRPr>
            <a:solidFill>
              <a:schemeClr val="tx1"/>
            </a:solidFill>
          </a:endParaRPr>
        </a:p>
      </dsp:txBody>
      <dsp:txXfrm>
        <a:off x="0" y="3180739"/>
        <a:ext cx="5314950" cy="856330"/>
      </dsp:txXfrm>
    </dsp:sp>
    <dsp:sp modelId="{C564DE52-65E8-4E36-8FD0-DC6B10A19C64}">
      <dsp:nvSpPr>
        <dsp:cNvPr id="19" name="Rectangles 18"/>
        <dsp:cNvSpPr/>
      </dsp:nvSpPr>
      <dsp:spPr bwMode="white">
        <a:xfrm>
          <a:off x="1381887" y="4046196"/>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Identity versus Role confusion</a:t>
          </a:r>
          <a:endParaRPr>
            <a:solidFill>
              <a:schemeClr val="tx1"/>
            </a:solidFill>
          </a:endParaRPr>
        </a:p>
      </dsp:txBody>
      <dsp:txXfrm>
        <a:off x="1381887" y="4046196"/>
        <a:ext cx="3933063" cy="182539"/>
      </dsp:txXfrm>
    </dsp:sp>
    <dsp:sp modelId="{FE1DE5DD-5461-4937-88E3-D100827B0F73}">
      <dsp:nvSpPr>
        <dsp:cNvPr id="20" name="Round Same Side Corner Rectangle 19"/>
        <dsp:cNvSpPr/>
      </dsp:nvSpPr>
      <dsp:spPr bwMode="white">
        <a:xfrm>
          <a:off x="0" y="4046196"/>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5</a:t>
          </a:r>
          <a:endParaRPr>
            <a:solidFill>
              <a:schemeClr val="dk1"/>
            </a:solidFill>
          </a:endParaRPr>
        </a:p>
      </dsp:txBody>
      <dsp:txXfrm>
        <a:off x="0" y="4046196"/>
        <a:ext cx="1381887" cy="182539"/>
      </dsp:txXfrm>
    </dsp:sp>
    <dsp:sp modelId="{29F571C7-79E5-4DB7-B448-7BB1951A00B2}">
      <dsp:nvSpPr>
        <dsp:cNvPr id="22" name="Rectangles 21"/>
        <dsp:cNvSpPr/>
      </dsp:nvSpPr>
      <dsp:spPr bwMode="white">
        <a:xfrm>
          <a:off x="0" y="4228735"/>
          <a:ext cx="5314950" cy="685412"/>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Adolescence.</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The adolescent years are pivotal for psychological and social growth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A strong sense of self and the confidence to be oneself are the results of success.</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However, role uncertainty and insecurity are the results of failure.</a:t>
          </a:r>
          <a:endParaRPr>
            <a:solidFill>
              <a:schemeClr val="tx1"/>
            </a:solidFill>
          </a:endParaRPr>
        </a:p>
      </dsp:txBody>
      <dsp:txXfrm>
        <a:off x="0" y="4228735"/>
        <a:ext cx="5314950" cy="685412"/>
      </dsp:txXfrm>
    </dsp:sp>
    <dsp:sp modelId="{93B1CC43-ADA7-48B1-BDF1-7B1A16BB8703}">
      <dsp:nvSpPr>
        <dsp:cNvPr id="23" name="Rectangles 22"/>
        <dsp:cNvSpPr/>
      </dsp:nvSpPr>
      <dsp:spPr bwMode="white">
        <a:xfrm>
          <a:off x="1381887" y="4923273"/>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Intimacy versus Izolation</a:t>
          </a:r>
          <a:endParaRPr>
            <a:solidFill>
              <a:schemeClr val="tx1"/>
            </a:solidFill>
          </a:endParaRPr>
        </a:p>
      </dsp:txBody>
      <dsp:txXfrm>
        <a:off x="1381887" y="4923273"/>
        <a:ext cx="3933063" cy="182539"/>
      </dsp:txXfrm>
    </dsp:sp>
    <dsp:sp modelId="{9ABFF7A9-9B3D-4DEA-977D-1D268F4009B8}">
      <dsp:nvSpPr>
        <dsp:cNvPr id="24" name="Round Same Side Corner Rectangle 23"/>
        <dsp:cNvSpPr/>
      </dsp:nvSpPr>
      <dsp:spPr bwMode="white">
        <a:xfrm>
          <a:off x="0" y="4923273"/>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6</a:t>
          </a:r>
          <a:endParaRPr>
            <a:solidFill>
              <a:schemeClr val="dk1"/>
            </a:solidFill>
          </a:endParaRPr>
        </a:p>
      </dsp:txBody>
      <dsp:txXfrm>
        <a:off x="0" y="4923273"/>
        <a:ext cx="1381887" cy="182539"/>
      </dsp:txXfrm>
    </dsp:sp>
    <dsp:sp modelId="{8450BC64-BDA3-4D22-A796-B8161F4F4D0E}">
      <dsp:nvSpPr>
        <dsp:cNvPr id="26" name="Rectangles 25"/>
        <dsp:cNvSpPr/>
      </dsp:nvSpPr>
      <dsp:spPr bwMode="white">
        <a:xfrm>
          <a:off x="0" y="5105812"/>
          <a:ext cx="5314950" cy="774537"/>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Young adulthood.</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The development of close, caring connections is the primary source of tension throughout this period.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Young adults require healthy interactions with others to thrive, and social isolation and loneliness are the consequences of failing to do so. </a:t>
          </a:r>
          <a:endParaRPr>
            <a:solidFill>
              <a:schemeClr val="tx1"/>
            </a:solidFill>
          </a:endParaRPr>
        </a:p>
      </dsp:txBody>
      <dsp:txXfrm>
        <a:off x="0" y="5105812"/>
        <a:ext cx="5314950" cy="774537"/>
      </dsp:txXfrm>
    </dsp:sp>
    <dsp:sp modelId="{BB9423A4-2D81-488D-B1C2-896DCA95540E}">
      <dsp:nvSpPr>
        <dsp:cNvPr id="27" name="Rectangles 26"/>
        <dsp:cNvSpPr/>
      </dsp:nvSpPr>
      <dsp:spPr bwMode="white">
        <a:xfrm>
          <a:off x="1381887" y="5889475"/>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Generativity versus Stagnation</a:t>
          </a:r>
          <a:endParaRPr>
            <a:solidFill>
              <a:schemeClr val="tx1"/>
            </a:solidFill>
          </a:endParaRPr>
        </a:p>
      </dsp:txBody>
      <dsp:txXfrm>
        <a:off x="1381887" y="5889475"/>
        <a:ext cx="3933063" cy="182539"/>
      </dsp:txXfrm>
    </dsp:sp>
    <dsp:sp modelId="{4BDEFE35-D8E2-4F10-9B09-0BFE2E94665C}">
      <dsp:nvSpPr>
        <dsp:cNvPr id="28" name="Round Same Side Corner Rectangle 27"/>
        <dsp:cNvSpPr/>
      </dsp:nvSpPr>
      <dsp:spPr bwMode="white">
        <a:xfrm>
          <a:off x="0" y="5889475"/>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7</a:t>
          </a:r>
          <a:endParaRPr>
            <a:solidFill>
              <a:schemeClr val="dk1"/>
            </a:solidFill>
          </a:endParaRPr>
        </a:p>
      </dsp:txBody>
      <dsp:txXfrm>
        <a:off x="0" y="5889475"/>
        <a:ext cx="1381887" cy="182539"/>
      </dsp:txXfrm>
    </dsp:sp>
    <dsp:sp modelId="{7EBD3665-21AC-4DB0-82E5-959BAF1463B9}">
      <dsp:nvSpPr>
        <dsp:cNvPr id="30" name="Rectangles 29"/>
        <dsp:cNvSpPr/>
      </dsp:nvSpPr>
      <dsp:spPr bwMode="white">
        <a:xfrm>
          <a:off x="0" y="6072014"/>
          <a:ext cx="5314950" cy="781003"/>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Middle adulthood.</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Adults must leave a legacy by having children or making a beneficial change that helps others. </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In contrast to those who have achieved success, those who have not will feel less engaged in the world. </a:t>
          </a:r>
          <a:endParaRPr>
            <a:solidFill>
              <a:schemeClr val="tx1"/>
            </a:solidFill>
          </a:endParaRPr>
        </a:p>
      </dsp:txBody>
      <dsp:txXfrm>
        <a:off x="0" y="6072014"/>
        <a:ext cx="5314950" cy="781003"/>
      </dsp:txXfrm>
    </dsp:sp>
    <dsp:sp modelId="{270F2DF0-A2BA-4CAA-9890-B82A50A3A4D8}">
      <dsp:nvSpPr>
        <dsp:cNvPr id="31" name="Rectangles 30"/>
        <dsp:cNvSpPr/>
      </dsp:nvSpPr>
      <dsp:spPr bwMode="white">
        <a:xfrm>
          <a:off x="1381887" y="6862144"/>
          <a:ext cx="3933063" cy="182539"/>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b"/>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00">
              <a:solidFill>
                <a:schemeClr val="tx1"/>
              </a:solidFill>
              <a:latin typeface="Arial" panose="020B0604020202020204" pitchFamily="2" charset="0"/>
              <a:cs typeface="Arial" panose="020B0604020202020204" pitchFamily="2" charset="0"/>
            </a:rPr>
            <a:t>Ego integrity versus Despair</a:t>
          </a:r>
          <a:endParaRPr>
            <a:solidFill>
              <a:schemeClr val="tx1"/>
            </a:solidFill>
          </a:endParaRPr>
        </a:p>
      </dsp:txBody>
      <dsp:txXfrm>
        <a:off x="1381887" y="6862144"/>
        <a:ext cx="3933063" cy="182539"/>
      </dsp:txXfrm>
    </dsp:sp>
    <dsp:sp modelId="{1306A5CC-89C9-4867-AF4D-7226B79CA139}">
      <dsp:nvSpPr>
        <dsp:cNvPr id="32" name="Round Same Side Corner Rectangle 31"/>
        <dsp:cNvSpPr/>
      </dsp:nvSpPr>
      <dsp:spPr bwMode="white">
        <a:xfrm>
          <a:off x="0" y="6862144"/>
          <a:ext cx="1381887" cy="182539"/>
        </a:xfrm>
        <a:prstGeom prst="round2SameRect">
          <a:avLst>
            <a:gd name="adj1" fmla="val 16670"/>
            <a:gd name="adj2" fmla="val 0"/>
          </a:avLst>
        </a:prstGeom>
      </dsp:spPr>
      <dsp:style>
        <a:lnRef idx="2">
          <a:schemeClr val="dk1">
            <a:shade val="80000"/>
          </a:schemeClr>
        </a:lnRef>
        <a:fillRef idx="1">
          <a:schemeClr val="lt1"/>
        </a:fillRef>
        <a:effectRef idx="0">
          <a:scrgbClr r="0" g="0" b="0"/>
        </a:effectRef>
        <a:fontRef idx="minor">
          <a:schemeClr val="lt1"/>
        </a:fontRef>
      </dsp:style>
      <dsp:txBody>
        <a:bodyPr lIns="19050" tIns="19050" rIns="19050" bIns="1905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GB" sz="1000">
              <a:solidFill>
                <a:schemeClr val="dk1"/>
              </a:solidFill>
              <a:latin typeface="Arial" panose="020B0604020202020204" pitchFamily="2" charset="0"/>
              <a:cs typeface="Arial" panose="020B0604020202020204" pitchFamily="2" charset="0"/>
            </a:rPr>
            <a:t>Stage 8</a:t>
          </a:r>
          <a:endParaRPr>
            <a:solidFill>
              <a:schemeClr val="dk1"/>
            </a:solidFill>
          </a:endParaRPr>
        </a:p>
      </dsp:txBody>
      <dsp:txXfrm>
        <a:off x="0" y="6862144"/>
        <a:ext cx="1381887" cy="182539"/>
      </dsp:txXfrm>
    </dsp:sp>
    <dsp:sp modelId="{33AD3C40-FD36-4036-AC63-6C4AFDDCB85D}">
      <dsp:nvSpPr>
        <dsp:cNvPr id="34" name="Rectangles 33"/>
        <dsp:cNvSpPr/>
      </dsp:nvSpPr>
      <dsp:spPr bwMode="white">
        <a:xfrm>
          <a:off x="0" y="7044683"/>
          <a:ext cx="5314950" cy="365132"/>
        </a:xfrm>
        <a:prstGeom prst="rect">
          <a:avLst/>
        </a:prstGeom>
      </dsp:spPr>
      <dsp:style>
        <a:lnRef idx="0">
          <a:schemeClr val="dk1">
            <a:alpha val="0"/>
          </a:schemeClr>
        </a:lnRef>
        <a:fillRef idx="0">
          <a:schemeClr val="lt1">
            <a:alpha val="0"/>
          </a:schemeClr>
        </a:fillRef>
        <a:effectRef idx="0">
          <a:scrgbClr r="0" g="0" b="0"/>
        </a:effectRef>
        <a:fontRef idx="minor"/>
      </dsp:style>
      <dsp:txBody>
        <a:bodyPr lIns="19050" tIns="19050" rIns="19050" bIns="1905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Maturity</a:t>
          </a:r>
          <a:endParaRPr lang="en-GB" sz="1000">
            <a:solidFill>
              <a:schemeClr val="tx1"/>
            </a:solidFill>
            <a:latin typeface="Arial" panose="020B0604020202020204" pitchFamily="2" charset="0"/>
            <a:cs typeface="Arial" panose="020B0604020202020204" pitchFamily="2" charset="0"/>
          </a:endParaRPr>
        </a:p>
        <a:p>
          <a:pPr marL="57150" lvl="1" indent="-57150">
            <a:lnSpc>
              <a:spcPct val="100000"/>
            </a:lnSpc>
            <a:spcBef>
              <a:spcPct val="0"/>
            </a:spcBef>
            <a:spcAft>
              <a:spcPct val="15000"/>
            </a:spcAft>
            <a:buChar char="•"/>
          </a:pPr>
          <a:r>
            <a:rPr lang="en-GB" sz="1000">
              <a:solidFill>
                <a:schemeClr val="tx1"/>
              </a:solidFill>
              <a:latin typeface="Arial" panose="020B0604020202020204" pitchFamily="2" charset="0"/>
              <a:cs typeface="Arial" panose="020B0604020202020204" pitchFamily="2" charset="0"/>
            </a:rPr>
            <a:t>Older adults need to look back on their lives to determine whether or not they are satisfied with their choices and actions. </a:t>
          </a:r>
          <a:endParaRPr>
            <a:solidFill>
              <a:schemeClr val="tx1"/>
            </a:solidFill>
          </a:endParaRPr>
        </a:p>
      </dsp:txBody>
      <dsp:txXfrm>
        <a:off x="0" y="7044683"/>
        <a:ext cx="5314950" cy="365132"/>
      </dsp:txXfrm>
    </dsp:sp>
  </dsp:spTree>
</dsp:drawing>
</file>

<file path=word/diagrams/layout1.xml><?xml version="1.0" encoding="utf-8"?>
<dgm:layoutDef xmlns:dgm="http://schemas.openxmlformats.org/drawingml/2006/diagram" xmlns:a="http://schemas.openxmlformats.org/drawingml/2006/main" uniqueId="urn:microsoft.com/office/officeart/2011/layout/TabList#1">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parTxRTLAlign" val="l"/>
                <dgm:param type="txAnchorVertCh" val="b"/>
                <dgm:param type="txAnchorVert" val="b"/>
              </dgm:alg>
            </dgm:if>
            <dgm:else name="Name6">
              <dgm:alg type="tx">
                <dgm:param type="parTxLTRAlign" val="r"/>
                <dgm:param type="parTxRTLAlign" val="r"/>
                <dgm:param type="shpTxLTRAlignCh" val="r"/>
                <dgm:param type="txAnchorVertCh" val="b"/>
                <dgm:param type="txAnchorVert" val="b"/>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parTxLTRAlign" val="l"/>
                  <dgm:param type="parTxRTLAlign" val="l"/>
                  <dgm:param type="stBulletLvl" val="1"/>
                  <dgm:param type="txAnchorVert" val="t"/>
                </dgm:alg>
              </dgm:if>
              <dgm:else name="Name14">
                <dgm:alg type="tx">
                  <dgm:param type="parTxLTRAlign" val="r"/>
                  <dgm:param type="parTxRTLAlign" val="r"/>
                  <dgm:param type="shpTxLTRAlignCh" val="r"/>
                  <dgm:param type="stBulletLvl" val="1"/>
                  <dgm:param type="txAnchorVert" val="t"/>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0D532-7C7F-4F25-8FDA-9F1286A01C6A}">
  <ds:schemaRefs/>
</ds:datastoreItem>
</file>

<file path=docProps/app.xml><?xml version="1.0" encoding="utf-8"?>
<Properties xmlns="http://schemas.openxmlformats.org/officeDocument/2006/extended-properties" xmlns:vt="http://schemas.openxmlformats.org/officeDocument/2006/docPropsVTypes">
  <Template>Normal</Template>
  <Pages>10</Pages>
  <Words>2062</Words>
  <Characters>12251</Characters>
  <Lines>298</Lines>
  <Paragraphs>130</Paragraphs>
  <TotalTime>0</TotalTime>
  <ScaleCrop>false</ScaleCrop>
  <LinksUpToDate>false</LinksUpToDate>
  <CharactersWithSpaces>14183</CharactersWithSpaces>
  <Application>WPS Office_11.2.0.11516_F1E327BC-269C-435d-A152-05C5408002CA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2023-05-01T17:17:00Z</dcterms:created>
  <dc:creator>Gyulok Harla</dc:creator>
  <cp:lastModifiedBy>Gyulok Harla</cp:lastModifiedBy>
  <dcterms:modified xsi:type="dcterms:W3CDTF">2023-05-03T22:17:42Z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2057-11.2.0.11516</vt:lpwstr>
  </property>
  <property fmtid="{D5CDD505-2E9C-101B-9397-08002B2CF9AE}" pid="3" name="ICV">
    <vt:lpwstr>FC2F677E69CB4217AB4B4CF31AA7E87C</vt:lpwstr>
  </property>
  <property fmtid="{D5CDD505-2E9C-101B-9397-08002B2CF9AE}" pid="4" name="GrammarlyDocumentId">
    <vt:lpwstr>9d402e8dd65ad538a883ecd02ec60da36e49b0be88d0dd899fa1f9351709e3a2</vt:lpwstr>
  </property>
</Properties>
</file>