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5E7011" w14:textId="0864EBFD" w:rsidR="00EF0547" w:rsidRPr="005356D0" w:rsidRDefault="00EF0547" w:rsidP="005356D0">
      <w:pPr>
        <w:spacing w:line="360" w:lineRule="auto"/>
        <w:jc w:val="center"/>
        <w:rPr>
          <w:rFonts w:ascii="Arial" w:hAnsi="Arial" w:cs="Arial"/>
        </w:rPr>
      </w:pPr>
      <w:bookmarkStart w:id="0" w:name="_Toc211437169"/>
      <w:r w:rsidRPr="005356D0">
        <w:rPr>
          <w:rFonts w:ascii="Arial" w:hAnsi="Arial" w:cs="Arial"/>
        </w:rPr>
        <w:t>Marketing Management Component 1</w:t>
      </w:r>
    </w:p>
    <w:p w14:paraId="63FDF08C" w14:textId="77777777" w:rsidR="00EF0547" w:rsidRPr="005356D0" w:rsidRDefault="00EF0547" w:rsidP="005356D0">
      <w:pPr>
        <w:spacing w:line="360" w:lineRule="auto"/>
        <w:jc w:val="center"/>
        <w:rPr>
          <w:rFonts w:ascii="Arial" w:hAnsi="Arial" w:cs="Arial"/>
        </w:rPr>
      </w:pPr>
      <w:r w:rsidRPr="005356D0">
        <w:rPr>
          <w:rFonts w:ascii="Arial" w:hAnsi="Arial" w:cs="Arial"/>
          <w:noProof/>
        </w:rPr>
        <w:drawing>
          <wp:inline distT="0" distB="0" distL="0" distR="0" wp14:anchorId="61D9BDEC" wp14:editId="7957FA92">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00229CA" w14:textId="77777777" w:rsidR="00EF0547" w:rsidRPr="005356D0" w:rsidRDefault="00EF0547" w:rsidP="005356D0">
      <w:pPr>
        <w:spacing w:line="360" w:lineRule="auto"/>
        <w:jc w:val="center"/>
        <w:rPr>
          <w:rFonts w:ascii="Arial" w:hAnsi="Arial" w:cs="Arial"/>
        </w:rPr>
      </w:pPr>
    </w:p>
    <w:p w14:paraId="0E09F8B0" w14:textId="353BFB85" w:rsidR="00EF0547" w:rsidRPr="005356D0" w:rsidRDefault="00EF0547" w:rsidP="005356D0">
      <w:pPr>
        <w:spacing w:line="360" w:lineRule="auto"/>
        <w:jc w:val="center"/>
        <w:rPr>
          <w:rFonts w:ascii="Arial" w:hAnsi="Arial" w:cs="Arial"/>
        </w:rPr>
      </w:pPr>
      <w:r w:rsidRPr="005356D0">
        <w:rPr>
          <w:rFonts w:ascii="Arial" w:hAnsi="Arial" w:cs="Arial"/>
        </w:rPr>
        <w:t>Student Name:</w:t>
      </w:r>
      <w:r w:rsidR="00A906D0">
        <w:rPr>
          <w:rFonts w:ascii="Arial" w:hAnsi="Arial" w:cs="Arial"/>
        </w:rPr>
        <w:t xml:space="preserve"> </w:t>
      </w:r>
      <w:proofErr w:type="spellStart"/>
      <w:r w:rsidR="00A906D0">
        <w:rPr>
          <w:rFonts w:ascii="Arial" w:hAnsi="Arial" w:cs="Arial"/>
        </w:rPr>
        <w:t>Jigarkumar</w:t>
      </w:r>
      <w:proofErr w:type="spellEnd"/>
      <w:r w:rsidR="00A906D0">
        <w:rPr>
          <w:rFonts w:ascii="Arial" w:hAnsi="Arial" w:cs="Arial"/>
        </w:rPr>
        <w:t xml:space="preserve"> Prajapati</w:t>
      </w:r>
    </w:p>
    <w:p w14:paraId="2F96244C" w14:textId="77777777" w:rsidR="00EF0547" w:rsidRPr="005356D0" w:rsidRDefault="00EF0547" w:rsidP="005356D0">
      <w:pPr>
        <w:spacing w:line="360" w:lineRule="auto"/>
        <w:jc w:val="center"/>
        <w:rPr>
          <w:rFonts w:ascii="Arial" w:hAnsi="Arial" w:cs="Arial"/>
        </w:rPr>
      </w:pPr>
    </w:p>
    <w:p w14:paraId="2DFB3F78" w14:textId="7406EE34" w:rsidR="00EF0547" w:rsidRPr="005356D0" w:rsidRDefault="00EF0547" w:rsidP="005356D0">
      <w:pPr>
        <w:spacing w:line="360" w:lineRule="auto"/>
        <w:jc w:val="center"/>
        <w:rPr>
          <w:rFonts w:ascii="Arial" w:hAnsi="Arial" w:cs="Arial"/>
        </w:rPr>
      </w:pPr>
      <w:r w:rsidRPr="005356D0">
        <w:rPr>
          <w:rFonts w:ascii="Arial" w:hAnsi="Arial" w:cs="Arial"/>
        </w:rPr>
        <w:t>Student ID:</w:t>
      </w:r>
      <w:r w:rsidR="00A906D0">
        <w:rPr>
          <w:rFonts w:ascii="Arial" w:hAnsi="Arial" w:cs="Arial"/>
        </w:rPr>
        <w:t>2430810</w:t>
      </w:r>
    </w:p>
    <w:p w14:paraId="1ABE997D" w14:textId="77777777" w:rsidR="00EF0547" w:rsidRPr="005356D0" w:rsidRDefault="00EF0547" w:rsidP="005356D0">
      <w:pPr>
        <w:spacing w:line="360" w:lineRule="auto"/>
        <w:jc w:val="center"/>
        <w:rPr>
          <w:rFonts w:ascii="Arial" w:hAnsi="Arial" w:cs="Arial"/>
        </w:rPr>
      </w:pPr>
    </w:p>
    <w:p w14:paraId="1D132169" w14:textId="77777777" w:rsidR="00EF0547" w:rsidRPr="005356D0" w:rsidRDefault="00EF0547" w:rsidP="005356D0">
      <w:pPr>
        <w:spacing w:line="360" w:lineRule="auto"/>
        <w:jc w:val="center"/>
        <w:rPr>
          <w:rFonts w:ascii="Arial" w:hAnsi="Arial" w:cs="Arial"/>
        </w:rPr>
      </w:pPr>
    </w:p>
    <w:p w14:paraId="01F57A30" w14:textId="77777777" w:rsidR="00EF0547" w:rsidRPr="005356D0" w:rsidRDefault="00EF0547" w:rsidP="005356D0">
      <w:pPr>
        <w:spacing w:line="360" w:lineRule="auto"/>
        <w:jc w:val="center"/>
        <w:rPr>
          <w:rFonts w:ascii="Arial" w:hAnsi="Arial" w:cs="Arial"/>
        </w:rPr>
      </w:pPr>
      <w:r w:rsidRPr="005356D0">
        <w:rPr>
          <w:rFonts w:ascii="Arial" w:hAnsi="Arial" w:cs="Arial"/>
        </w:rPr>
        <w:t>Module Name: Marketing Management</w:t>
      </w:r>
    </w:p>
    <w:p w14:paraId="0915D497" w14:textId="180EBA45" w:rsidR="00A906D0" w:rsidRDefault="00EF0547" w:rsidP="00A906D0">
      <w:pPr>
        <w:spacing w:line="360" w:lineRule="auto"/>
        <w:jc w:val="center"/>
        <w:rPr>
          <w:rFonts w:ascii="Arial" w:hAnsi="Arial" w:cs="Arial"/>
        </w:rPr>
      </w:pPr>
      <w:r w:rsidRPr="005356D0">
        <w:rPr>
          <w:rFonts w:ascii="Arial" w:hAnsi="Arial" w:cs="Arial"/>
        </w:rPr>
        <w:t>Module Code: LCMB7024</w:t>
      </w:r>
    </w:p>
    <w:p w14:paraId="54426F24" w14:textId="77777777" w:rsidR="00A906D0" w:rsidRDefault="00A906D0" w:rsidP="00A906D0">
      <w:pPr>
        <w:spacing w:line="360" w:lineRule="auto"/>
        <w:jc w:val="center"/>
        <w:rPr>
          <w:rFonts w:ascii="Arial" w:hAnsi="Arial" w:cs="Arial"/>
        </w:rPr>
      </w:pPr>
    </w:p>
    <w:p w14:paraId="2B6B72AF" w14:textId="77777777" w:rsidR="00A906D0" w:rsidRDefault="00A906D0" w:rsidP="00A906D0">
      <w:pPr>
        <w:spacing w:line="360" w:lineRule="auto"/>
        <w:jc w:val="center"/>
        <w:rPr>
          <w:rFonts w:ascii="Arial" w:hAnsi="Arial" w:cs="Arial"/>
        </w:rPr>
      </w:pPr>
    </w:p>
    <w:p w14:paraId="2E2216ED" w14:textId="0872EF30" w:rsidR="00EF0547" w:rsidRPr="005356D0" w:rsidRDefault="00A906D0" w:rsidP="00A906D0">
      <w:pPr>
        <w:spacing w:line="360" w:lineRule="auto"/>
        <w:rPr>
          <w:rFonts w:ascii="Arial" w:hAnsi="Arial" w:cs="Arial"/>
        </w:rPr>
      </w:pPr>
      <w:r>
        <w:rPr>
          <w:rFonts w:ascii="Arial" w:hAnsi="Arial" w:cs="Arial"/>
        </w:rPr>
        <w:t xml:space="preserve">                                     </w:t>
      </w:r>
      <w:r w:rsidR="00EF0547" w:rsidRPr="005356D0">
        <w:rPr>
          <w:rFonts w:ascii="Arial" w:hAnsi="Arial" w:cs="Arial"/>
        </w:rPr>
        <w:t xml:space="preserve">Lecturer’s </w:t>
      </w:r>
      <w:proofErr w:type="gramStart"/>
      <w:r w:rsidR="00EF0547" w:rsidRPr="005356D0">
        <w:rPr>
          <w:rFonts w:ascii="Arial" w:hAnsi="Arial" w:cs="Arial"/>
        </w:rPr>
        <w:t>Name</w:t>
      </w:r>
      <w:r>
        <w:rPr>
          <w:rFonts w:ascii="Arial" w:hAnsi="Arial" w:cs="Arial"/>
        </w:rPr>
        <w:t xml:space="preserve">  :</w:t>
      </w:r>
      <w:proofErr w:type="gramEnd"/>
      <w:r w:rsidRPr="00A906D0">
        <w:rPr>
          <w:rFonts w:ascii="Segoe UI" w:hAnsi="Segoe UI" w:cs="Segoe UI"/>
          <w:color w:val="1D2125"/>
          <w:sz w:val="20"/>
          <w:szCs w:val="20"/>
          <w:shd w:val="clear" w:color="auto" w:fill="FFFFFF"/>
        </w:rPr>
        <w:t xml:space="preserve"> </w:t>
      </w:r>
      <w:r w:rsidRPr="00A906D0">
        <w:rPr>
          <w:rFonts w:ascii="Arial" w:hAnsi="Arial" w:cs="Arial"/>
        </w:rPr>
        <w:t>Dr. Laila Maazouz</w:t>
      </w:r>
    </w:p>
    <w:p w14:paraId="6CD65E68" w14:textId="1CA3741E" w:rsidR="00EF0547" w:rsidRPr="005356D0" w:rsidRDefault="00EF0547" w:rsidP="005356D0">
      <w:pPr>
        <w:spacing w:line="360" w:lineRule="auto"/>
        <w:jc w:val="center"/>
        <w:rPr>
          <w:rFonts w:ascii="Arial" w:hAnsi="Arial" w:cs="Arial"/>
        </w:rPr>
      </w:pPr>
      <w:r w:rsidRPr="005356D0">
        <w:rPr>
          <w:rFonts w:ascii="Arial" w:hAnsi="Arial" w:cs="Arial"/>
        </w:rPr>
        <w:t>Work Count:</w:t>
      </w:r>
      <w:r w:rsidR="00DC252A">
        <w:rPr>
          <w:rFonts w:ascii="Arial" w:hAnsi="Arial" w:cs="Arial"/>
        </w:rPr>
        <w:t>2562</w:t>
      </w:r>
    </w:p>
    <w:p w14:paraId="76F0B397" w14:textId="78A84486" w:rsidR="00EE3F33" w:rsidRPr="005356D0" w:rsidRDefault="00EF0547" w:rsidP="005356D0">
      <w:pPr>
        <w:spacing w:line="360" w:lineRule="auto"/>
        <w:jc w:val="center"/>
        <w:rPr>
          <w:rFonts w:ascii="Arial" w:hAnsi="Arial" w:cs="Arial"/>
        </w:rPr>
      </w:pPr>
      <w:r w:rsidRPr="005356D0">
        <w:rPr>
          <w:rFonts w:ascii="Arial" w:hAnsi="Arial" w:cs="Arial"/>
        </w:rPr>
        <w:t>Term 1</w:t>
      </w:r>
    </w:p>
    <w:p w14:paraId="6A59CAAE" w14:textId="77777777" w:rsidR="00EE3F33" w:rsidRPr="005356D0" w:rsidRDefault="00EE3F33" w:rsidP="005356D0">
      <w:pPr>
        <w:spacing w:after="160" w:line="360" w:lineRule="auto"/>
        <w:rPr>
          <w:rFonts w:ascii="Arial" w:hAnsi="Arial" w:cs="Arial"/>
        </w:rPr>
      </w:pPr>
      <w:r w:rsidRPr="005356D0">
        <w:rPr>
          <w:rFonts w:ascii="Arial" w:hAnsi="Arial" w:cs="Arial"/>
        </w:rPr>
        <w:br w:type="page"/>
      </w:r>
    </w:p>
    <w:sdt>
      <w:sdtPr>
        <w:rPr>
          <w:rFonts w:ascii="Arial" w:eastAsiaTheme="minorHAnsi" w:hAnsi="Arial" w:cs="Arial"/>
          <w:color w:val="auto"/>
          <w:kern w:val="2"/>
          <w:sz w:val="24"/>
          <w:szCs w:val="24"/>
          <w:lang w:val="en-GB"/>
          <w14:ligatures w14:val="standardContextual"/>
        </w:rPr>
        <w:id w:val="-990251723"/>
        <w:docPartObj>
          <w:docPartGallery w:val="Table of Contents"/>
          <w:docPartUnique/>
        </w:docPartObj>
      </w:sdtPr>
      <w:sdtEndPr>
        <w:rPr>
          <w:b/>
          <w:bCs/>
          <w:noProof/>
        </w:rPr>
      </w:sdtEndPr>
      <w:sdtContent>
        <w:p w14:paraId="6D576714" w14:textId="1074ACAD" w:rsidR="00EE3F33" w:rsidRPr="005356D0" w:rsidRDefault="00EE3F33" w:rsidP="005356D0">
          <w:pPr>
            <w:pStyle w:val="TOCHeading"/>
            <w:spacing w:line="360" w:lineRule="auto"/>
            <w:jc w:val="center"/>
            <w:rPr>
              <w:rFonts w:ascii="Arial" w:hAnsi="Arial" w:cs="Arial"/>
              <w:b/>
              <w:bCs/>
            </w:rPr>
          </w:pPr>
          <w:r w:rsidRPr="005356D0">
            <w:rPr>
              <w:rFonts w:ascii="Arial" w:hAnsi="Arial" w:cs="Arial"/>
              <w:b/>
              <w:bCs/>
            </w:rPr>
            <w:t>Contents</w:t>
          </w:r>
        </w:p>
        <w:p w14:paraId="4E8D9545" w14:textId="4F48F896" w:rsidR="00EE3F33" w:rsidRPr="005356D0" w:rsidRDefault="00EE3F33" w:rsidP="005356D0">
          <w:pPr>
            <w:pStyle w:val="TOC1"/>
            <w:tabs>
              <w:tab w:val="right" w:leader="dot" w:pos="9016"/>
            </w:tabs>
            <w:spacing w:line="360" w:lineRule="auto"/>
            <w:rPr>
              <w:rFonts w:ascii="Arial" w:hAnsi="Arial" w:cs="Arial"/>
              <w:noProof/>
            </w:rPr>
          </w:pPr>
          <w:r w:rsidRPr="005356D0">
            <w:rPr>
              <w:rFonts w:ascii="Arial" w:hAnsi="Arial" w:cs="Arial"/>
            </w:rPr>
            <w:fldChar w:fldCharType="begin"/>
          </w:r>
          <w:r w:rsidRPr="005356D0">
            <w:rPr>
              <w:rFonts w:ascii="Arial" w:hAnsi="Arial" w:cs="Arial"/>
            </w:rPr>
            <w:instrText xml:space="preserve"> TOC \o "1-3" \h \z \u </w:instrText>
          </w:r>
          <w:r w:rsidRPr="005356D0">
            <w:rPr>
              <w:rFonts w:ascii="Arial" w:hAnsi="Arial" w:cs="Arial"/>
            </w:rPr>
            <w:fldChar w:fldCharType="separate"/>
          </w:r>
          <w:hyperlink w:anchor="_Toc214471800" w:history="1">
            <w:r w:rsidRPr="005356D0">
              <w:rPr>
                <w:rStyle w:val="Hyperlink"/>
                <w:rFonts w:ascii="Arial" w:hAnsi="Arial" w:cs="Arial"/>
                <w:noProof/>
              </w:rPr>
              <w:t>1. Introduction</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_Toc214471800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3</w:t>
            </w:r>
            <w:r w:rsidRPr="005356D0">
              <w:rPr>
                <w:rFonts w:ascii="Arial" w:hAnsi="Arial" w:cs="Arial"/>
                <w:noProof/>
                <w:webHidden/>
              </w:rPr>
              <w:fldChar w:fldCharType="end"/>
            </w:r>
          </w:hyperlink>
        </w:p>
        <w:p w14:paraId="28A461A4" w14:textId="6033A33C" w:rsidR="00EE3F33" w:rsidRPr="005356D0" w:rsidRDefault="00EE3F33" w:rsidP="005356D0">
          <w:pPr>
            <w:pStyle w:val="TOC1"/>
            <w:tabs>
              <w:tab w:val="right" w:leader="dot" w:pos="9016"/>
            </w:tabs>
            <w:spacing w:line="360" w:lineRule="auto"/>
            <w:rPr>
              <w:rFonts w:ascii="Arial" w:hAnsi="Arial" w:cs="Arial"/>
              <w:noProof/>
            </w:rPr>
          </w:pPr>
          <w:hyperlink w:anchor="_Toc214471801" w:history="1">
            <w:r w:rsidRPr="005356D0">
              <w:rPr>
                <w:rStyle w:val="Hyperlink"/>
                <w:rFonts w:ascii="Arial" w:hAnsi="Arial" w:cs="Arial"/>
                <w:noProof/>
              </w:rPr>
              <w:t>2. Task 1: Critical Analysis of the Macro Marketing Environment</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_Toc214471801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3</w:t>
            </w:r>
            <w:r w:rsidRPr="005356D0">
              <w:rPr>
                <w:rFonts w:ascii="Arial" w:hAnsi="Arial" w:cs="Arial"/>
                <w:noProof/>
                <w:webHidden/>
              </w:rPr>
              <w:fldChar w:fldCharType="end"/>
            </w:r>
          </w:hyperlink>
        </w:p>
        <w:p w14:paraId="4542A7CB" w14:textId="76C8FEE6" w:rsidR="00EE3F33" w:rsidRPr="005356D0" w:rsidRDefault="00EE3F33" w:rsidP="005356D0">
          <w:pPr>
            <w:pStyle w:val="TOC2"/>
            <w:tabs>
              <w:tab w:val="right" w:leader="dot" w:pos="9016"/>
            </w:tabs>
            <w:spacing w:line="360" w:lineRule="auto"/>
            <w:rPr>
              <w:rFonts w:ascii="Arial" w:hAnsi="Arial" w:cs="Arial"/>
              <w:noProof/>
            </w:rPr>
          </w:pPr>
          <w:hyperlink w:anchor="_Toc214471802" w:history="1">
            <w:r w:rsidRPr="005356D0">
              <w:rPr>
                <w:rStyle w:val="Hyperlink"/>
                <w:rFonts w:ascii="Arial" w:hAnsi="Arial" w:cs="Arial"/>
                <w:noProof/>
              </w:rPr>
              <w:t>2.1 Overview of the Macro Marketing Environment</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_Toc214471802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3</w:t>
            </w:r>
            <w:r w:rsidRPr="005356D0">
              <w:rPr>
                <w:rFonts w:ascii="Arial" w:hAnsi="Arial" w:cs="Arial"/>
                <w:noProof/>
                <w:webHidden/>
              </w:rPr>
              <w:fldChar w:fldCharType="end"/>
            </w:r>
          </w:hyperlink>
        </w:p>
        <w:p w14:paraId="292C0112" w14:textId="2ED51F55" w:rsidR="00EE3F33" w:rsidRPr="005356D0" w:rsidRDefault="00EE3F33" w:rsidP="005356D0">
          <w:pPr>
            <w:pStyle w:val="TOC2"/>
            <w:tabs>
              <w:tab w:val="right" w:leader="dot" w:pos="9016"/>
            </w:tabs>
            <w:spacing w:line="360" w:lineRule="auto"/>
            <w:rPr>
              <w:rFonts w:ascii="Arial" w:hAnsi="Arial" w:cs="Arial"/>
              <w:noProof/>
            </w:rPr>
          </w:pPr>
          <w:hyperlink w:anchor="_Toc214471803" w:history="1">
            <w:r w:rsidRPr="005356D0">
              <w:rPr>
                <w:rStyle w:val="Hyperlink"/>
                <w:rFonts w:ascii="Arial" w:hAnsi="Arial" w:cs="Arial"/>
                <w:noProof/>
              </w:rPr>
              <w:t>2.2 Selection of Two External Macro Marketing Actors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_Toc214471803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6</w:t>
            </w:r>
            <w:r w:rsidRPr="005356D0">
              <w:rPr>
                <w:rFonts w:ascii="Arial" w:hAnsi="Arial" w:cs="Arial"/>
                <w:noProof/>
                <w:webHidden/>
              </w:rPr>
              <w:fldChar w:fldCharType="end"/>
            </w:r>
          </w:hyperlink>
        </w:p>
        <w:p w14:paraId="1831DFB7" w14:textId="79640DE4" w:rsidR="00EE3F33" w:rsidRPr="005356D0" w:rsidRDefault="00EE3F33" w:rsidP="005356D0">
          <w:pPr>
            <w:pStyle w:val="TOC2"/>
            <w:tabs>
              <w:tab w:val="right" w:leader="dot" w:pos="9016"/>
            </w:tabs>
            <w:spacing w:line="360" w:lineRule="auto"/>
            <w:rPr>
              <w:rFonts w:ascii="Arial" w:hAnsi="Arial" w:cs="Arial"/>
              <w:noProof/>
            </w:rPr>
          </w:pPr>
          <w:hyperlink w:anchor="_Toc214471804" w:history="1">
            <w:r w:rsidRPr="005356D0">
              <w:rPr>
                <w:rStyle w:val="Hyperlink"/>
                <w:rFonts w:ascii="Arial" w:hAnsi="Arial" w:cs="Arial"/>
                <w:noProof/>
              </w:rPr>
              <w:t>Rationale behind choosing the factors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_Toc214471804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6</w:t>
            </w:r>
            <w:r w:rsidRPr="005356D0">
              <w:rPr>
                <w:rFonts w:ascii="Arial" w:hAnsi="Arial" w:cs="Arial"/>
                <w:noProof/>
                <w:webHidden/>
              </w:rPr>
              <w:fldChar w:fldCharType="end"/>
            </w:r>
          </w:hyperlink>
        </w:p>
        <w:p w14:paraId="4C603098" w14:textId="58D15A13" w:rsidR="00EE3F33" w:rsidRPr="005356D0" w:rsidRDefault="00EE3F33" w:rsidP="005356D0">
          <w:pPr>
            <w:pStyle w:val="TOC2"/>
            <w:tabs>
              <w:tab w:val="right" w:leader="dot" w:pos="9016"/>
            </w:tabs>
            <w:spacing w:line="360" w:lineRule="auto"/>
            <w:rPr>
              <w:rFonts w:ascii="Arial" w:hAnsi="Arial" w:cs="Arial"/>
              <w:noProof/>
            </w:rPr>
          </w:pPr>
          <w:hyperlink w:anchor="_Toc214471805" w:history="1">
            <w:r w:rsidRPr="005356D0">
              <w:rPr>
                <w:rStyle w:val="Hyperlink"/>
                <w:rFonts w:ascii="Arial" w:hAnsi="Arial" w:cs="Arial"/>
                <w:noProof/>
              </w:rPr>
              <w:t>The relevance and current influence within the chosen industry, considering two pioneering company and two follower company</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_Toc214471805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7</w:t>
            </w:r>
            <w:r w:rsidRPr="005356D0">
              <w:rPr>
                <w:rFonts w:ascii="Arial" w:hAnsi="Arial" w:cs="Arial"/>
                <w:noProof/>
                <w:webHidden/>
              </w:rPr>
              <w:fldChar w:fldCharType="end"/>
            </w:r>
          </w:hyperlink>
        </w:p>
        <w:p w14:paraId="21350B24" w14:textId="3503CB3E" w:rsidR="00EE3F33" w:rsidRPr="005356D0" w:rsidRDefault="00EE3F33" w:rsidP="005356D0">
          <w:pPr>
            <w:pStyle w:val="TOC2"/>
            <w:tabs>
              <w:tab w:val="right" w:leader="dot" w:pos="9016"/>
            </w:tabs>
            <w:spacing w:line="360" w:lineRule="auto"/>
            <w:rPr>
              <w:rFonts w:ascii="Arial" w:hAnsi="Arial" w:cs="Arial"/>
              <w:noProof/>
            </w:rPr>
          </w:pPr>
          <w:hyperlink w:anchor="_Toc214471806" w:history="1">
            <w:r w:rsidRPr="005356D0">
              <w:rPr>
                <w:rStyle w:val="Hyperlink"/>
                <w:rFonts w:ascii="Arial" w:hAnsi="Arial" w:cs="Arial"/>
                <w:noProof/>
              </w:rPr>
              <w:t>2.3 Critical Analysis of Each Actor</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_Toc214471806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7</w:t>
            </w:r>
            <w:r w:rsidRPr="005356D0">
              <w:rPr>
                <w:rFonts w:ascii="Arial" w:hAnsi="Arial" w:cs="Arial"/>
                <w:noProof/>
                <w:webHidden/>
              </w:rPr>
              <w:fldChar w:fldCharType="end"/>
            </w:r>
          </w:hyperlink>
        </w:p>
        <w:p w14:paraId="0AF92857" w14:textId="19F31F84" w:rsidR="00EE3F33" w:rsidRPr="005356D0" w:rsidRDefault="00EE3F33" w:rsidP="005356D0">
          <w:pPr>
            <w:pStyle w:val="TOC1"/>
            <w:tabs>
              <w:tab w:val="right" w:leader="dot" w:pos="9016"/>
            </w:tabs>
            <w:spacing w:line="360" w:lineRule="auto"/>
            <w:rPr>
              <w:rFonts w:ascii="Arial" w:hAnsi="Arial" w:cs="Arial"/>
              <w:noProof/>
            </w:rPr>
          </w:pPr>
          <w:hyperlink w:anchor="_Toc214471807" w:history="1">
            <w:r w:rsidRPr="005356D0">
              <w:rPr>
                <w:rStyle w:val="Hyperlink"/>
                <w:rFonts w:ascii="Arial" w:hAnsi="Arial" w:cs="Arial"/>
                <w:noProof/>
              </w:rPr>
              <w:t>3. Task 2: Strategic Responses of Pioneering and Follower Organisations (Approx. 1,000 words)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_Toc214471807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8</w:t>
            </w:r>
            <w:r w:rsidRPr="005356D0">
              <w:rPr>
                <w:rFonts w:ascii="Arial" w:hAnsi="Arial" w:cs="Arial"/>
                <w:noProof/>
                <w:webHidden/>
              </w:rPr>
              <w:fldChar w:fldCharType="end"/>
            </w:r>
          </w:hyperlink>
        </w:p>
        <w:p w14:paraId="138D574B" w14:textId="496AB72E" w:rsidR="00EE3F33" w:rsidRPr="005356D0" w:rsidRDefault="00EE3F33" w:rsidP="005356D0">
          <w:pPr>
            <w:pStyle w:val="TOC2"/>
            <w:tabs>
              <w:tab w:val="right" w:leader="dot" w:pos="9016"/>
            </w:tabs>
            <w:spacing w:line="360" w:lineRule="auto"/>
            <w:rPr>
              <w:rFonts w:ascii="Arial" w:hAnsi="Arial" w:cs="Arial"/>
              <w:noProof/>
            </w:rPr>
          </w:pPr>
          <w:hyperlink w:anchor="_Toc214471808" w:history="1">
            <w:r w:rsidRPr="005356D0">
              <w:rPr>
                <w:rStyle w:val="Hyperlink"/>
                <w:rFonts w:ascii="Arial" w:hAnsi="Arial" w:cs="Arial"/>
                <w:noProof/>
              </w:rPr>
              <w:t>3.1 Pioneering Organisations’ Strategic Responses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_Toc214471808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8</w:t>
            </w:r>
            <w:r w:rsidRPr="005356D0">
              <w:rPr>
                <w:rFonts w:ascii="Arial" w:hAnsi="Arial" w:cs="Arial"/>
                <w:noProof/>
                <w:webHidden/>
              </w:rPr>
              <w:fldChar w:fldCharType="end"/>
            </w:r>
          </w:hyperlink>
        </w:p>
        <w:p w14:paraId="305A88E0" w14:textId="5871D05B" w:rsidR="00EE3F33" w:rsidRPr="005356D0" w:rsidRDefault="00EE3F33" w:rsidP="005356D0">
          <w:pPr>
            <w:pStyle w:val="TOC2"/>
            <w:tabs>
              <w:tab w:val="right" w:leader="dot" w:pos="9016"/>
            </w:tabs>
            <w:spacing w:line="360" w:lineRule="auto"/>
            <w:rPr>
              <w:rFonts w:ascii="Arial" w:hAnsi="Arial" w:cs="Arial"/>
              <w:noProof/>
            </w:rPr>
          </w:pPr>
          <w:hyperlink w:anchor="_Toc214471809" w:history="1">
            <w:r w:rsidRPr="005356D0">
              <w:rPr>
                <w:rStyle w:val="Hyperlink"/>
                <w:rFonts w:ascii="Arial" w:hAnsi="Arial" w:cs="Arial"/>
                <w:noProof/>
              </w:rPr>
              <w:t>Ansoff’s Growth Matrix</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_Toc214471809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8</w:t>
            </w:r>
            <w:r w:rsidRPr="005356D0">
              <w:rPr>
                <w:rFonts w:ascii="Arial" w:hAnsi="Arial" w:cs="Arial"/>
                <w:noProof/>
                <w:webHidden/>
              </w:rPr>
              <w:fldChar w:fldCharType="end"/>
            </w:r>
          </w:hyperlink>
        </w:p>
        <w:p w14:paraId="1C41CECC" w14:textId="0CA68843" w:rsidR="00EE3F33" w:rsidRPr="005356D0" w:rsidRDefault="00EE3F33" w:rsidP="005356D0">
          <w:pPr>
            <w:pStyle w:val="TOC2"/>
            <w:tabs>
              <w:tab w:val="right" w:leader="dot" w:pos="9016"/>
            </w:tabs>
            <w:spacing w:line="360" w:lineRule="auto"/>
            <w:rPr>
              <w:rFonts w:ascii="Arial" w:hAnsi="Arial" w:cs="Arial"/>
              <w:noProof/>
            </w:rPr>
          </w:pPr>
          <w:hyperlink w:anchor="_Toc214471810" w:history="1">
            <w:r w:rsidRPr="005356D0">
              <w:rPr>
                <w:rStyle w:val="Hyperlink"/>
                <w:rFonts w:ascii="Arial" w:hAnsi="Arial" w:cs="Arial"/>
                <w:noProof/>
              </w:rPr>
              <w:t>Porter’s Generic Strategies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_Toc214471810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9</w:t>
            </w:r>
            <w:r w:rsidRPr="005356D0">
              <w:rPr>
                <w:rFonts w:ascii="Arial" w:hAnsi="Arial" w:cs="Arial"/>
                <w:noProof/>
                <w:webHidden/>
              </w:rPr>
              <w:fldChar w:fldCharType="end"/>
            </w:r>
          </w:hyperlink>
        </w:p>
        <w:p w14:paraId="23A71E49" w14:textId="2B385983" w:rsidR="00EE3F33" w:rsidRPr="005356D0" w:rsidRDefault="00EE3F33" w:rsidP="005356D0">
          <w:pPr>
            <w:pStyle w:val="TOC2"/>
            <w:tabs>
              <w:tab w:val="right" w:leader="dot" w:pos="9016"/>
            </w:tabs>
            <w:spacing w:line="360" w:lineRule="auto"/>
            <w:rPr>
              <w:rFonts w:ascii="Arial" w:hAnsi="Arial" w:cs="Arial"/>
              <w:noProof/>
            </w:rPr>
          </w:pPr>
          <w:hyperlink w:anchor="_Toc214471811" w:history="1">
            <w:r w:rsidRPr="005356D0">
              <w:rPr>
                <w:rStyle w:val="Hyperlink"/>
                <w:rFonts w:ascii="Arial" w:hAnsi="Arial" w:cs="Arial"/>
                <w:noProof/>
              </w:rPr>
              <w:t>Support the analysis with industry examples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_Toc214471811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9</w:t>
            </w:r>
            <w:r w:rsidRPr="005356D0">
              <w:rPr>
                <w:rFonts w:ascii="Arial" w:hAnsi="Arial" w:cs="Arial"/>
                <w:noProof/>
                <w:webHidden/>
              </w:rPr>
              <w:fldChar w:fldCharType="end"/>
            </w:r>
          </w:hyperlink>
        </w:p>
        <w:p w14:paraId="5D419682" w14:textId="388658FA" w:rsidR="00EE3F33" w:rsidRPr="005356D0" w:rsidRDefault="00EE3F33" w:rsidP="005356D0">
          <w:pPr>
            <w:pStyle w:val="TOC2"/>
            <w:tabs>
              <w:tab w:val="right" w:leader="dot" w:pos="9016"/>
            </w:tabs>
            <w:spacing w:line="360" w:lineRule="auto"/>
            <w:rPr>
              <w:rFonts w:ascii="Arial" w:hAnsi="Arial" w:cs="Arial"/>
              <w:noProof/>
            </w:rPr>
          </w:pPr>
          <w:hyperlink w:anchor="_Toc214471812" w:history="1">
            <w:r w:rsidRPr="005356D0">
              <w:rPr>
                <w:rStyle w:val="Hyperlink"/>
                <w:rFonts w:ascii="Arial" w:hAnsi="Arial" w:cs="Arial"/>
                <w:noProof/>
              </w:rPr>
              <w:t>3.3 Follower Organisations’ Strategic Responses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_Toc214471812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10</w:t>
            </w:r>
            <w:r w:rsidRPr="005356D0">
              <w:rPr>
                <w:rFonts w:ascii="Arial" w:hAnsi="Arial" w:cs="Arial"/>
                <w:noProof/>
                <w:webHidden/>
              </w:rPr>
              <w:fldChar w:fldCharType="end"/>
            </w:r>
          </w:hyperlink>
        </w:p>
        <w:p w14:paraId="3837D7B6" w14:textId="2D72850D" w:rsidR="00EE3F33" w:rsidRPr="005356D0" w:rsidRDefault="00EE3F33" w:rsidP="005356D0">
          <w:pPr>
            <w:pStyle w:val="TOC2"/>
            <w:tabs>
              <w:tab w:val="right" w:leader="dot" w:pos="9016"/>
            </w:tabs>
            <w:spacing w:line="360" w:lineRule="auto"/>
            <w:rPr>
              <w:rFonts w:ascii="Arial" w:hAnsi="Arial" w:cs="Arial"/>
              <w:noProof/>
            </w:rPr>
          </w:pPr>
          <w:hyperlink w:anchor="_Toc214471813" w:history="1">
            <w:r w:rsidRPr="005356D0">
              <w:rPr>
                <w:rStyle w:val="Hyperlink"/>
                <w:rFonts w:ascii="Arial" w:hAnsi="Arial" w:cs="Arial"/>
                <w:noProof/>
              </w:rPr>
              <w:t>Porter’s Generic Strategies: Competitive Positioning of Followers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_Toc214471813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11</w:t>
            </w:r>
            <w:r w:rsidRPr="005356D0">
              <w:rPr>
                <w:rFonts w:ascii="Arial" w:hAnsi="Arial" w:cs="Arial"/>
                <w:noProof/>
                <w:webHidden/>
              </w:rPr>
              <w:fldChar w:fldCharType="end"/>
            </w:r>
          </w:hyperlink>
        </w:p>
        <w:p w14:paraId="515B3CD4" w14:textId="14091B7A" w:rsidR="00EE3F33" w:rsidRPr="005356D0" w:rsidRDefault="00EE3F33" w:rsidP="005356D0">
          <w:pPr>
            <w:pStyle w:val="TOC2"/>
            <w:tabs>
              <w:tab w:val="right" w:leader="dot" w:pos="9016"/>
            </w:tabs>
            <w:spacing w:line="360" w:lineRule="auto"/>
            <w:rPr>
              <w:rFonts w:ascii="Arial" w:hAnsi="Arial" w:cs="Arial"/>
              <w:noProof/>
            </w:rPr>
          </w:pPr>
          <w:hyperlink w:anchor="_Toc214471814" w:history="1">
            <w:r w:rsidRPr="005356D0">
              <w:rPr>
                <w:rStyle w:val="Hyperlink"/>
                <w:rFonts w:ascii="Arial" w:hAnsi="Arial" w:cs="Arial"/>
                <w:noProof/>
              </w:rPr>
              <w:t>Support the analysis with industry examples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_Toc214471814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11</w:t>
            </w:r>
            <w:r w:rsidRPr="005356D0">
              <w:rPr>
                <w:rFonts w:ascii="Arial" w:hAnsi="Arial" w:cs="Arial"/>
                <w:noProof/>
                <w:webHidden/>
              </w:rPr>
              <w:fldChar w:fldCharType="end"/>
            </w:r>
          </w:hyperlink>
        </w:p>
        <w:p w14:paraId="34397772" w14:textId="276D89AA" w:rsidR="00EE3F33" w:rsidRPr="005356D0" w:rsidRDefault="00EE3F33" w:rsidP="005356D0">
          <w:pPr>
            <w:pStyle w:val="TOC1"/>
            <w:tabs>
              <w:tab w:val="right" w:leader="dot" w:pos="9016"/>
            </w:tabs>
            <w:spacing w:line="360" w:lineRule="auto"/>
            <w:rPr>
              <w:rFonts w:ascii="Arial" w:hAnsi="Arial" w:cs="Arial"/>
              <w:noProof/>
            </w:rPr>
          </w:pPr>
          <w:hyperlink w:anchor="_Toc214471815" w:history="1">
            <w:r w:rsidRPr="005356D0">
              <w:rPr>
                <w:rStyle w:val="Hyperlink"/>
                <w:rFonts w:ascii="Arial" w:hAnsi="Arial" w:cs="Arial"/>
                <w:noProof/>
              </w:rPr>
              <w:t>4. Conclusion</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_Toc214471815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11</w:t>
            </w:r>
            <w:r w:rsidRPr="005356D0">
              <w:rPr>
                <w:rFonts w:ascii="Arial" w:hAnsi="Arial" w:cs="Arial"/>
                <w:noProof/>
                <w:webHidden/>
              </w:rPr>
              <w:fldChar w:fldCharType="end"/>
            </w:r>
          </w:hyperlink>
        </w:p>
        <w:p w14:paraId="1BA80F82" w14:textId="2DFE2B81" w:rsidR="00EE3F33" w:rsidRPr="005356D0" w:rsidRDefault="00EE3F33" w:rsidP="005356D0">
          <w:pPr>
            <w:pStyle w:val="TOC1"/>
            <w:tabs>
              <w:tab w:val="right" w:leader="dot" w:pos="9016"/>
            </w:tabs>
            <w:spacing w:line="360" w:lineRule="auto"/>
            <w:rPr>
              <w:rFonts w:ascii="Arial" w:hAnsi="Arial" w:cs="Arial"/>
              <w:noProof/>
            </w:rPr>
          </w:pPr>
          <w:hyperlink w:anchor="_Toc214471816" w:history="1">
            <w:r w:rsidRPr="005356D0">
              <w:rPr>
                <w:rStyle w:val="Hyperlink"/>
                <w:rFonts w:ascii="Arial" w:hAnsi="Arial" w:cs="Arial"/>
                <w:noProof/>
              </w:rPr>
              <w:t>References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_Toc214471816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13</w:t>
            </w:r>
            <w:r w:rsidRPr="005356D0">
              <w:rPr>
                <w:rFonts w:ascii="Arial" w:hAnsi="Arial" w:cs="Arial"/>
                <w:noProof/>
                <w:webHidden/>
              </w:rPr>
              <w:fldChar w:fldCharType="end"/>
            </w:r>
          </w:hyperlink>
        </w:p>
        <w:p w14:paraId="4D1A5BC8" w14:textId="0AD7B62E" w:rsidR="00EE3F33" w:rsidRPr="005356D0" w:rsidRDefault="00EE3F33" w:rsidP="005356D0">
          <w:pPr>
            <w:spacing w:line="360" w:lineRule="auto"/>
            <w:rPr>
              <w:rFonts w:ascii="Arial" w:hAnsi="Arial" w:cs="Arial"/>
            </w:rPr>
          </w:pPr>
          <w:r w:rsidRPr="005356D0">
            <w:rPr>
              <w:rFonts w:ascii="Arial" w:hAnsi="Arial" w:cs="Arial"/>
              <w:b/>
              <w:bCs/>
              <w:noProof/>
            </w:rPr>
            <w:fldChar w:fldCharType="end"/>
          </w:r>
        </w:p>
      </w:sdtContent>
    </w:sdt>
    <w:p w14:paraId="5A513698" w14:textId="77777777" w:rsidR="00EF0547" w:rsidRPr="005356D0" w:rsidRDefault="00EF0547" w:rsidP="005356D0">
      <w:pPr>
        <w:spacing w:line="360" w:lineRule="auto"/>
        <w:jc w:val="both"/>
        <w:rPr>
          <w:rFonts w:ascii="Arial" w:hAnsi="Arial" w:cs="Arial"/>
        </w:rPr>
      </w:pPr>
    </w:p>
    <w:p w14:paraId="0B2692C8" w14:textId="77777777" w:rsidR="00EF0547" w:rsidRPr="005356D0" w:rsidRDefault="00EF0547" w:rsidP="005356D0">
      <w:pPr>
        <w:spacing w:line="360" w:lineRule="auto"/>
        <w:jc w:val="both"/>
        <w:rPr>
          <w:rFonts w:ascii="Arial" w:hAnsi="Arial" w:cs="Arial"/>
        </w:rPr>
      </w:pPr>
      <w:r w:rsidRPr="005356D0">
        <w:rPr>
          <w:rFonts w:ascii="Arial" w:hAnsi="Arial" w:cs="Arial"/>
        </w:rPr>
        <w:br w:type="page"/>
      </w:r>
    </w:p>
    <w:p w14:paraId="0429DCF0" w14:textId="76FF9E21" w:rsidR="00B26487" w:rsidRPr="005356D0" w:rsidRDefault="00B26487" w:rsidP="005356D0">
      <w:pPr>
        <w:pStyle w:val="Heading1"/>
        <w:rPr>
          <w:rFonts w:ascii="Arial" w:hAnsi="Arial" w:cs="Arial"/>
        </w:rPr>
      </w:pPr>
      <w:bookmarkStart w:id="1" w:name="_Toc214471800"/>
      <w:r w:rsidRPr="005356D0">
        <w:rPr>
          <w:rFonts w:ascii="Arial" w:hAnsi="Arial" w:cs="Arial"/>
        </w:rPr>
        <w:lastRenderedPageBreak/>
        <w:t>1. Introduction</w:t>
      </w:r>
      <w:bookmarkEnd w:id="1"/>
      <w:r w:rsidRPr="005356D0">
        <w:rPr>
          <w:rFonts w:ascii="Arial" w:hAnsi="Arial" w:cs="Arial"/>
        </w:rPr>
        <w:t xml:space="preserve"> </w:t>
      </w:r>
      <w:bookmarkEnd w:id="0"/>
    </w:p>
    <w:p w14:paraId="404C14CA" w14:textId="79B5ADA7" w:rsidR="00227745" w:rsidRPr="005356D0" w:rsidRDefault="00227745" w:rsidP="005356D0">
      <w:pPr>
        <w:spacing w:line="360" w:lineRule="auto"/>
        <w:jc w:val="both"/>
        <w:rPr>
          <w:rFonts w:ascii="Arial" w:hAnsi="Arial" w:cs="Arial"/>
        </w:rPr>
      </w:pPr>
    </w:p>
    <w:p w14:paraId="61C72E2B" w14:textId="2A14234F" w:rsidR="0085157E" w:rsidRPr="005356D0" w:rsidRDefault="0085157E" w:rsidP="005356D0">
      <w:pPr>
        <w:spacing w:line="360" w:lineRule="auto"/>
        <w:jc w:val="both"/>
        <w:rPr>
          <w:rFonts w:ascii="Arial" w:hAnsi="Arial" w:cs="Arial"/>
        </w:rPr>
      </w:pPr>
      <w:r w:rsidRPr="005356D0">
        <w:rPr>
          <w:rFonts w:ascii="Arial" w:hAnsi="Arial" w:cs="Arial"/>
        </w:rPr>
        <w:t xml:space="preserve"> Strategic Marketing management requires plenty of assessment of the internal as well as the external environment, which could include nuances of the economy, like GDP per capita, inflation, purchasing power, technological awareness, and </w:t>
      </w:r>
      <w:r w:rsidR="00613C96" w:rsidRPr="005356D0">
        <w:rPr>
          <w:rFonts w:ascii="Arial" w:hAnsi="Arial" w:cs="Arial"/>
        </w:rPr>
        <w:t xml:space="preserve">government initiatives and </w:t>
      </w:r>
      <w:r w:rsidRPr="005356D0">
        <w:rPr>
          <w:rFonts w:ascii="Arial" w:hAnsi="Arial" w:cs="Arial"/>
        </w:rPr>
        <w:t xml:space="preserve">advancements. Hence, assessing and strategizing based on the external environment is extremely crucial. </w:t>
      </w:r>
      <w:r w:rsidR="00613C96" w:rsidRPr="005356D0">
        <w:rPr>
          <w:rFonts w:ascii="Arial" w:hAnsi="Arial" w:cs="Arial"/>
        </w:rPr>
        <w:t>The paper here addresses the external environment through the application of the PESTLE framework. One doing so, the paper continues to present how a pioneer company and a follower company fare by abiding by the PESTLE factors in the context of their strategic marketing initiatives. The paper further endorses the application of Porter’s Generic Model and Ansoff Matrix to assess the strategies considered for further growth and future marketing pursuit.</w:t>
      </w:r>
    </w:p>
    <w:p w14:paraId="318009D3" w14:textId="65A25B30" w:rsidR="00613C96" w:rsidRPr="005356D0" w:rsidRDefault="00613C96" w:rsidP="005356D0">
      <w:pPr>
        <w:spacing w:line="360" w:lineRule="auto"/>
        <w:jc w:val="both"/>
        <w:rPr>
          <w:rFonts w:ascii="Arial" w:hAnsi="Arial" w:cs="Arial"/>
        </w:rPr>
      </w:pPr>
      <w:r w:rsidRPr="005356D0">
        <w:rPr>
          <w:rFonts w:ascii="Arial" w:hAnsi="Arial" w:cs="Arial"/>
        </w:rPr>
        <w:t xml:space="preserve">Assessing macro-marketing environments often prepares a company for the long run, and it holds true in this highly competitive market. For instance, if the GDP per capita or purchasing power of a nation </w:t>
      </w:r>
      <w:proofErr w:type="gramStart"/>
      <w:r w:rsidRPr="005356D0">
        <w:rPr>
          <w:rFonts w:ascii="Arial" w:hAnsi="Arial" w:cs="Arial"/>
        </w:rPr>
        <w:t>is considered to be</w:t>
      </w:r>
      <w:proofErr w:type="gramEnd"/>
      <w:r w:rsidRPr="005356D0">
        <w:rPr>
          <w:rFonts w:ascii="Arial" w:hAnsi="Arial" w:cs="Arial"/>
        </w:rPr>
        <w:t xml:space="preserve"> deep in the coming times, a company may consider placing </w:t>
      </w:r>
      <w:r w:rsidR="005572BC" w:rsidRPr="005356D0">
        <w:rPr>
          <w:rFonts w:ascii="Arial" w:hAnsi="Arial" w:cs="Arial"/>
        </w:rPr>
        <w:t>its</w:t>
      </w:r>
      <w:r w:rsidRPr="005356D0">
        <w:rPr>
          <w:rFonts w:ascii="Arial" w:hAnsi="Arial" w:cs="Arial"/>
        </w:rPr>
        <w:t xml:space="preserve"> products in a way that people’s affinity towards it remains, thereby making it an aspect of </w:t>
      </w:r>
      <w:r w:rsidR="00463ECD" w:rsidRPr="005356D0">
        <w:rPr>
          <w:rFonts w:ascii="Arial" w:hAnsi="Arial" w:cs="Arial"/>
        </w:rPr>
        <w:t xml:space="preserve">necessity. In this way, companies may further consider reducing the pricing as in nations worldwide, the consumers often tend to be price sensitive. Hence, incorporating these factors </w:t>
      </w:r>
      <w:r w:rsidR="005572BC" w:rsidRPr="005356D0">
        <w:rPr>
          <w:rFonts w:ascii="Arial" w:hAnsi="Arial" w:cs="Arial"/>
        </w:rPr>
        <w:t>incites</w:t>
      </w:r>
      <w:r w:rsidR="00463ECD" w:rsidRPr="005356D0">
        <w:rPr>
          <w:rFonts w:ascii="Arial" w:hAnsi="Arial" w:cs="Arial"/>
        </w:rPr>
        <w:t xml:space="preserve"> companies to conceptualize a marketing framework, where placement, price </w:t>
      </w:r>
      <w:r w:rsidR="005572BC" w:rsidRPr="005356D0">
        <w:rPr>
          <w:rFonts w:ascii="Arial" w:hAnsi="Arial" w:cs="Arial"/>
        </w:rPr>
        <w:t>are</w:t>
      </w:r>
      <w:r w:rsidR="00463ECD" w:rsidRPr="005356D0">
        <w:rPr>
          <w:rFonts w:ascii="Arial" w:hAnsi="Arial" w:cs="Arial"/>
        </w:rPr>
        <w:t xml:space="preserve"> </w:t>
      </w:r>
      <w:r w:rsidR="005572BC" w:rsidRPr="005356D0">
        <w:rPr>
          <w:rFonts w:ascii="Arial" w:hAnsi="Arial" w:cs="Arial"/>
        </w:rPr>
        <w:t>well-suited</w:t>
      </w:r>
      <w:r w:rsidR="00463ECD" w:rsidRPr="005356D0">
        <w:rPr>
          <w:rFonts w:ascii="Arial" w:hAnsi="Arial" w:cs="Arial"/>
        </w:rPr>
        <w:t xml:space="preserve"> to the external environment. The structure of the report would be to assess the macro </w:t>
      </w:r>
      <w:r w:rsidR="005572BC" w:rsidRPr="005356D0">
        <w:rPr>
          <w:rFonts w:ascii="Arial" w:hAnsi="Arial" w:cs="Arial"/>
        </w:rPr>
        <w:t xml:space="preserve">marketing environment using PESTLE, </w:t>
      </w:r>
      <w:r w:rsidR="005E4D7A" w:rsidRPr="005356D0">
        <w:rPr>
          <w:rFonts w:ascii="Arial" w:hAnsi="Arial" w:cs="Arial"/>
        </w:rPr>
        <w:t>conducting</w:t>
      </w:r>
      <w:r w:rsidR="005572BC" w:rsidRPr="005356D0">
        <w:rPr>
          <w:rFonts w:ascii="Arial" w:hAnsi="Arial" w:cs="Arial"/>
        </w:rPr>
        <w:t xml:space="preserve"> a critical analysis of each factor</w:t>
      </w:r>
      <w:r w:rsidR="00463ECD" w:rsidRPr="005356D0">
        <w:rPr>
          <w:rFonts w:ascii="Arial" w:hAnsi="Arial" w:cs="Arial"/>
        </w:rPr>
        <w:t xml:space="preserve">. Moreover, one </w:t>
      </w:r>
      <w:r w:rsidR="005572BC" w:rsidRPr="005356D0">
        <w:rPr>
          <w:rFonts w:ascii="Arial" w:hAnsi="Arial" w:cs="Arial"/>
        </w:rPr>
        <w:t>finds out the factors that the strategic responses are journaled with evidence</w:t>
      </w:r>
      <w:r w:rsidR="00463ECD" w:rsidRPr="005356D0">
        <w:rPr>
          <w:rFonts w:ascii="Arial" w:hAnsi="Arial" w:cs="Arial"/>
        </w:rPr>
        <w:t xml:space="preserve"> from literature and current examples. </w:t>
      </w:r>
    </w:p>
    <w:p w14:paraId="790D28FD" w14:textId="77777777" w:rsidR="00613C96" w:rsidRPr="005356D0" w:rsidRDefault="00613C96" w:rsidP="005356D0">
      <w:pPr>
        <w:spacing w:line="360" w:lineRule="auto"/>
        <w:jc w:val="both"/>
        <w:rPr>
          <w:rFonts w:ascii="Arial" w:hAnsi="Arial" w:cs="Arial"/>
        </w:rPr>
      </w:pPr>
    </w:p>
    <w:p w14:paraId="21A8A2FD" w14:textId="2428B2C1" w:rsidR="00B26487" w:rsidRPr="005356D0" w:rsidRDefault="00B26487" w:rsidP="005356D0">
      <w:pPr>
        <w:pStyle w:val="Heading1"/>
        <w:rPr>
          <w:rFonts w:ascii="Arial" w:hAnsi="Arial" w:cs="Arial"/>
        </w:rPr>
      </w:pPr>
      <w:bookmarkStart w:id="2" w:name="_Toc214471801"/>
      <w:bookmarkStart w:id="3" w:name="_Toc211437170"/>
      <w:r w:rsidRPr="005356D0">
        <w:rPr>
          <w:rFonts w:ascii="Arial" w:hAnsi="Arial" w:cs="Arial"/>
        </w:rPr>
        <w:t>2. Task 1: Critical Analysis of the Macro Marketing Environment</w:t>
      </w:r>
      <w:bookmarkEnd w:id="2"/>
      <w:r w:rsidRPr="005356D0">
        <w:rPr>
          <w:rFonts w:ascii="Arial" w:hAnsi="Arial" w:cs="Arial"/>
        </w:rPr>
        <w:t xml:space="preserve"> </w:t>
      </w:r>
      <w:bookmarkEnd w:id="3"/>
    </w:p>
    <w:p w14:paraId="5D817C68" w14:textId="77777777" w:rsidR="00B26487" w:rsidRPr="005356D0" w:rsidRDefault="00B26487" w:rsidP="005356D0">
      <w:pPr>
        <w:pStyle w:val="Heading2"/>
        <w:rPr>
          <w:rFonts w:ascii="Arial" w:hAnsi="Arial" w:cs="Arial"/>
        </w:rPr>
      </w:pPr>
      <w:bookmarkStart w:id="4" w:name="_Toc211437171"/>
      <w:bookmarkStart w:id="5" w:name="_Toc214471802"/>
      <w:r w:rsidRPr="005356D0">
        <w:rPr>
          <w:rFonts w:ascii="Arial" w:hAnsi="Arial" w:cs="Arial"/>
        </w:rPr>
        <w:t>2.1 Overview of the Macro Marketing Environment</w:t>
      </w:r>
      <w:bookmarkEnd w:id="4"/>
      <w:bookmarkEnd w:id="5"/>
    </w:p>
    <w:p w14:paraId="333A13AE" w14:textId="7FDE5A65" w:rsidR="00036EE7" w:rsidRPr="005356D0" w:rsidRDefault="00A02BF5" w:rsidP="005356D0">
      <w:pPr>
        <w:spacing w:line="360" w:lineRule="auto"/>
        <w:jc w:val="both"/>
        <w:rPr>
          <w:rFonts w:ascii="Arial" w:hAnsi="Arial" w:cs="Arial"/>
        </w:rPr>
      </w:pPr>
      <w:proofErr w:type="spellStart"/>
      <w:r w:rsidRPr="005356D0">
        <w:rPr>
          <w:rFonts w:ascii="Arial" w:hAnsi="Arial" w:cs="Arial"/>
        </w:rPr>
        <w:t>Silinevicha</w:t>
      </w:r>
      <w:proofErr w:type="spellEnd"/>
      <w:r w:rsidRPr="005356D0">
        <w:rPr>
          <w:rFonts w:ascii="Arial" w:hAnsi="Arial" w:cs="Arial"/>
        </w:rPr>
        <w:t xml:space="preserve"> and Kalinina (2017) </w:t>
      </w:r>
      <w:r w:rsidR="00036EE7" w:rsidRPr="005356D0">
        <w:rPr>
          <w:rFonts w:ascii="Arial" w:hAnsi="Arial" w:cs="Arial"/>
        </w:rPr>
        <w:t xml:space="preserve">identified Pestle Framework aids in presenting all the factors that Marketers need to consider prior to formulating area-specific or product-specific marketing strategies. The data are derived from the context of India and the UK, presenting a comparison between the </w:t>
      </w:r>
      <w:proofErr w:type="gramStart"/>
      <w:r w:rsidR="00036EE7" w:rsidRPr="005356D0">
        <w:rPr>
          <w:rFonts w:ascii="Arial" w:hAnsi="Arial" w:cs="Arial"/>
        </w:rPr>
        <w:t>GDP</w:t>
      </w:r>
      <w:proofErr w:type="gramEnd"/>
      <w:r w:rsidR="00036EE7" w:rsidRPr="005356D0">
        <w:rPr>
          <w:rFonts w:ascii="Arial" w:hAnsi="Arial" w:cs="Arial"/>
        </w:rPr>
        <w:t xml:space="preserve"> per capita of both nations, and the differences in legal statutes, abiding by which marketeers are required to consider </w:t>
      </w:r>
      <w:r w:rsidR="00036EE7" w:rsidRPr="005356D0">
        <w:rPr>
          <w:rFonts w:ascii="Arial" w:hAnsi="Arial" w:cs="Arial"/>
        </w:rPr>
        <w:lastRenderedPageBreak/>
        <w:t>formulating marketing strategies. The table below enunciates how PESTLE analysis enables Marketers in the context of strategic marketing management.</w:t>
      </w:r>
    </w:p>
    <w:tbl>
      <w:tblPr>
        <w:tblStyle w:val="TableGrid"/>
        <w:tblW w:w="0" w:type="auto"/>
        <w:tblLook w:val="04A0" w:firstRow="1" w:lastRow="0" w:firstColumn="1" w:lastColumn="0" w:noHBand="0" w:noVBand="1"/>
      </w:tblPr>
      <w:tblGrid>
        <w:gridCol w:w="1835"/>
        <w:gridCol w:w="2544"/>
        <w:gridCol w:w="2100"/>
        <w:gridCol w:w="2537"/>
      </w:tblGrid>
      <w:tr w:rsidR="00265DBE" w:rsidRPr="005356D0" w14:paraId="4639012A" w14:textId="77777777" w:rsidTr="009321AB">
        <w:tc>
          <w:tcPr>
            <w:tcW w:w="0" w:type="auto"/>
            <w:hideMark/>
          </w:tcPr>
          <w:p w14:paraId="26B4571B" w14:textId="77777777" w:rsidR="00036EE7" w:rsidRPr="00DF5AEE" w:rsidRDefault="00036EE7" w:rsidP="005356D0">
            <w:pPr>
              <w:spacing w:line="360" w:lineRule="auto"/>
              <w:jc w:val="center"/>
              <w:rPr>
                <w:rFonts w:ascii="Arial" w:hAnsi="Arial" w:cs="Arial"/>
                <w:b/>
                <w:bCs/>
                <w:i/>
                <w:iCs/>
                <w:sz w:val="20"/>
                <w:szCs w:val="20"/>
                <w:u w:val="single"/>
              </w:rPr>
            </w:pPr>
            <w:r w:rsidRPr="00DF5AEE">
              <w:rPr>
                <w:rFonts w:ascii="Arial" w:hAnsi="Arial" w:cs="Arial"/>
                <w:b/>
                <w:bCs/>
                <w:i/>
                <w:iCs/>
                <w:sz w:val="20"/>
                <w:szCs w:val="20"/>
                <w:u w:val="single"/>
              </w:rPr>
              <w:t>PESTEL Dimension</w:t>
            </w:r>
            <w:r w:rsidRPr="005356D0">
              <w:rPr>
                <w:rFonts w:ascii="Arial" w:hAnsi="Arial" w:cs="Arial"/>
                <w:b/>
                <w:bCs/>
                <w:i/>
                <w:iCs/>
                <w:sz w:val="20"/>
                <w:szCs w:val="20"/>
                <w:u w:val="single"/>
              </w:rPr>
              <w:t>s, which often provide an overview on the macro-environment</w:t>
            </w:r>
          </w:p>
        </w:tc>
        <w:tc>
          <w:tcPr>
            <w:tcW w:w="0" w:type="auto"/>
            <w:hideMark/>
          </w:tcPr>
          <w:p w14:paraId="6F7E6FDC" w14:textId="4085939D" w:rsidR="00036EE7" w:rsidRPr="00DF5AEE" w:rsidRDefault="00036EE7" w:rsidP="005356D0">
            <w:pPr>
              <w:spacing w:line="360" w:lineRule="auto"/>
              <w:jc w:val="center"/>
              <w:rPr>
                <w:rFonts w:ascii="Arial" w:hAnsi="Arial" w:cs="Arial"/>
                <w:b/>
                <w:bCs/>
                <w:i/>
                <w:iCs/>
                <w:sz w:val="20"/>
                <w:szCs w:val="20"/>
                <w:u w:val="single"/>
              </w:rPr>
            </w:pPr>
            <w:r w:rsidRPr="00DF5AEE">
              <w:rPr>
                <w:rFonts w:ascii="Arial" w:hAnsi="Arial" w:cs="Arial"/>
                <w:b/>
                <w:bCs/>
                <w:i/>
                <w:iCs/>
                <w:sz w:val="20"/>
                <w:szCs w:val="20"/>
                <w:u w:val="single"/>
              </w:rPr>
              <w:t>India</w:t>
            </w:r>
            <w:r w:rsidRPr="005356D0">
              <w:rPr>
                <w:rFonts w:ascii="Arial" w:hAnsi="Arial" w:cs="Arial"/>
                <w:b/>
                <w:bCs/>
                <w:i/>
                <w:iCs/>
                <w:sz w:val="20"/>
                <w:szCs w:val="20"/>
                <w:u w:val="single"/>
              </w:rPr>
              <w:t xml:space="preserve"> pretext</w:t>
            </w:r>
          </w:p>
        </w:tc>
        <w:tc>
          <w:tcPr>
            <w:tcW w:w="0" w:type="auto"/>
            <w:hideMark/>
          </w:tcPr>
          <w:p w14:paraId="60964EF2" w14:textId="5F7CC09B" w:rsidR="00036EE7" w:rsidRPr="00DF5AEE" w:rsidRDefault="00036EE7" w:rsidP="005356D0">
            <w:pPr>
              <w:spacing w:line="360" w:lineRule="auto"/>
              <w:jc w:val="center"/>
              <w:rPr>
                <w:rFonts w:ascii="Arial" w:hAnsi="Arial" w:cs="Arial"/>
                <w:b/>
                <w:bCs/>
                <w:i/>
                <w:iCs/>
                <w:sz w:val="20"/>
                <w:szCs w:val="20"/>
                <w:u w:val="single"/>
              </w:rPr>
            </w:pPr>
            <w:r w:rsidRPr="00DF5AEE">
              <w:rPr>
                <w:rFonts w:ascii="Arial" w:hAnsi="Arial" w:cs="Arial"/>
                <w:b/>
                <w:bCs/>
                <w:i/>
                <w:iCs/>
                <w:sz w:val="20"/>
                <w:szCs w:val="20"/>
                <w:u w:val="single"/>
              </w:rPr>
              <w:t>United Kingdom</w:t>
            </w:r>
            <w:r w:rsidRPr="005356D0">
              <w:rPr>
                <w:rFonts w:ascii="Arial" w:hAnsi="Arial" w:cs="Arial"/>
                <w:b/>
                <w:bCs/>
                <w:i/>
                <w:iCs/>
                <w:sz w:val="20"/>
                <w:szCs w:val="20"/>
                <w:u w:val="single"/>
              </w:rPr>
              <w:t xml:space="preserve"> pretext</w:t>
            </w:r>
          </w:p>
        </w:tc>
        <w:tc>
          <w:tcPr>
            <w:tcW w:w="0" w:type="auto"/>
            <w:hideMark/>
          </w:tcPr>
          <w:p w14:paraId="015F75DB" w14:textId="4FF5DA97" w:rsidR="00036EE7" w:rsidRPr="00DF5AEE" w:rsidRDefault="00036EE7" w:rsidP="005356D0">
            <w:pPr>
              <w:spacing w:line="360" w:lineRule="auto"/>
              <w:jc w:val="center"/>
              <w:rPr>
                <w:rFonts w:ascii="Arial" w:hAnsi="Arial" w:cs="Arial"/>
                <w:b/>
                <w:bCs/>
                <w:i/>
                <w:iCs/>
                <w:sz w:val="20"/>
                <w:szCs w:val="20"/>
                <w:u w:val="single"/>
              </w:rPr>
            </w:pPr>
            <w:r w:rsidRPr="00DF5AEE">
              <w:rPr>
                <w:rFonts w:ascii="Arial" w:hAnsi="Arial" w:cs="Arial"/>
                <w:b/>
                <w:bCs/>
                <w:i/>
                <w:iCs/>
                <w:sz w:val="20"/>
                <w:szCs w:val="20"/>
                <w:u w:val="single"/>
              </w:rPr>
              <w:t>Relevance to Marketing Strategy</w:t>
            </w:r>
            <w:r w:rsidRPr="005356D0">
              <w:rPr>
                <w:rFonts w:ascii="Arial" w:hAnsi="Arial" w:cs="Arial"/>
                <w:b/>
                <w:bCs/>
                <w:i/>
                <w:iCs/>
                <w:sz w:val="20"/>
                <w:szCs w:val="20"/>
                <w:u w:val="single"/>
              </w:rPr>
              <w:t>, as in what marketers are supposed to do</w:t>
            </w:r>
          </w:p>
        </w:tc>
      </w:tr>
      <w:tr w:rsidR="00265DBE" w:rsidRPr="005356D0" w14:paraId="611D87D3" w14:textId="77777777" w:rsidTr="009321AB">
        <w:tc>
          <w:tcPr>
            <w:tcW w:w="0" w:type="auto"/>
            <w:hideMark/>
          </w:tcPr>
          <w:p w14:paraId="13EE815A"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Political</w:t>
            </w:r>
            <w:r w:rsidRPr="005356D0">
              <w:rPr>
                <w:rFonts w:ascii="Arial" w:hAnsi="Arial" w:cs="Arial"/>
                <w:sz w:val="20"/>
                <w:szCs w:val="20"/>
              </w:rPr>
              <w:t xml:space="preserve"> factors</w:t>
            </w:r>
          </w:p>
        </w:tc>
        <w:tc>
          <w:tcPr>
            <w:tcW w:w="0" w:type="auto"/>
            <w:hideMark/>
          </w:tcPr>
          <w:p w14:paraId="3FE51783"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To assume the nation has a stable democracy, however, </w:t>
            </w:r>
            <w:r w:rsidRPr="00DF5AEE">
              <w:rPr>
                <w:rFonts w:ascii="Arial" w:hAnsi="Arial" w:cs="Arial"/>
                <w:sz w:val="20"/>
                <w:szCs w:val="20"/>
              </w:rPr>
              <w:t xml:space="preserve">regulatory complexity and bureaucracy </w:t>
            </w:r>
            <w:r w:rsidRPr="005356D0">
              <w:rPr>
                <w:rFonts w:ascii="Arial" w:hAnsi="Arial" w:cs="Arial"/>
                <w:sz w:val="20"/>
                <w:szCs w:val="20"/>
              </w:rPr>
              <w:t>issues persist</w:t>
            </w:r>
            <w:r w:rsidRPr="00DF5AEE">
              <w:rPr>
                <w:rFonts w:ascii="Arial" w:hAnsi="Arial" w:cs="Arial"/>
                <w:sz w:val="20"/>
                <w:szCs w:val="20"/>
              </w:rPr>
              <w:t xml:space="preserve">. </w:t>
            </w:r>
          </w:p>
          <w:p w14:paraId="52C3D0CF" w14:textId="15271854"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The nation’s </w:t>
            </w:r>
            <w:r w:rsidRPr="00DF5AEE">
              <w:rPr>
                <w:rFonts w:ascii="Arial" w:hAnsi="Arial" w:cs="Arial"/>
                <w:sz w:val="20"/>
                <w:szCs w:val="20"/>
              </w:rPr>
              <w:t>government pushes “Make in India” and incentives for manufacturing</w:t>
            </w:r>
            <w:r w:rsidR="00A02BF5" w:rsidRPr="005356D0">
              <w:rPr>
                <w:rFonts w:ascii="Arial" w:hAnsi="Arial" w:cs="Arial"/>
                <w:sz w:val="20"/>
                <w:szCs w:val="20"/>
              </w:rPr>
              <w:t xml:space="preserve"> (Bertelsmann Stiftung, BTI </w:t>
            </w:r>
            <w:proofErr w:type="gramStart"/>
            <w:r w:rsidR="00A02BF5" w:rsidRPr="005356D0">
              <w:rPr>
                <w:rFonts w:ascii="Arial" w:hAnsi="Arial" w:cs="Arial"/>
                <w:sz w:val="20"/>
                <w:szCs w:val="20"/>
              </w:rPr>
              <w:t xml:space="preserve">2024 </w:t>
            </w:r>
            <w:r w:rsidRPr="00DF5AEE">
              <w:rPr>
                <w:rFonts w:ascii="Arial" w:hAnsi="Arial" w:cs="Arial"/>
                <w:sz w:val="20"/>
                <w:szCs w:val="20"/>
              </w:rPr>
              <w:t>.</w:t>
            </w:r>
            <w:proofErr w:type="gramEnd"/>
          </w:p>
        </w:tc>
        <w:tc>
          <w:tcPr>
            <w:tcW w:w="0" w:type="auto"/>
            <w:hideMark/>
          </w:tcPr>
          <w:p w14:paraId="3D2E7555"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UK enjoys one of the most m</w:t>
            </w:r>
            <w:r w:rsidRPr="00DF5AEE">
              <w:rPr>
                <w:rFonts w:ascii="Arial" w:hAnsi="Arial" w:cs="Arial"/>
                <w:sz w:val="20"/>
                <w:szCs w:val="20"/>
              </w:rPr>
              <w:t>ature legal and regulatory system</w:t>
            </w:r>
          </w:p>
          <w:p w14:paraId="3A581971" w14:textId="25EAB342"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However, the nation has experienced strenuous trade tensions, (e.g., with the U.S.),</w:t>
            </w:r>
            <w:r w:rsidRPr="00DF5AEE">
              <w:rPr>
                <w:rFonts w:ascii="Arial" w:hAnsi="Arial" w:cs="Arial"/>
                <w:sz w:val="20"/>
                <w:szCs w:val="20"/>
              </w:rPr>
              <w:t xml:space="preserve"> and fiscal constraints</w:t>
            </w:r>
            <w:r w:rsidRPr="005356D0">
              <w:rPr>
                <w:rFonts w:ascii="Arial" w:hAnsi="Arial" w:cs="Arial"/>
                <w:sz w:val="20"/>
                <w:szCs w:val="20"/>
              </w:rPr>
              <w:t xml:space="preserve"> as identified in (</w:t>
            </w:r>
            <w:r w:rsidR="00520A47" w:rsidRPr="005356D0">
              <w:rPr>
                <w:rFonts w:ascii="Arial" w:hAnsi="Arial" w:cs="Arial"/>
                <w:sz w:val="20"/>
                <w:szCs w:val="20"/>
              </w:rPr>
              <w:t xml:space="preserve">OECD (2015) </w:t>
            </w:r>
            <w:r w:rsidRPr="005356D0">
              <w:rPr>
                <w:rFonts w:ascii="Arial" w:hAnsi="Arial" w:cs="Arial"/>
                <w:sz w:val="20"/>
                <w:szCs w:val="20"/>
              </w:rPr>
              <w:t xml:space="preserve"> </w:t>
            </w:r>
          </w:p>
        </w:tc>
        <w:tc>
          <w:tcPr>
            <w:tcW w:w="0" w:type="auto"/>
            <w:hideMark/>
          </w:tcPr>
          <w:p w14:paraId="60D4DC8A"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Marketers </w:t>
            </w:r>
            <w:r w:rsidRPr="005356D0">
              <w:rPr>
                <w:rFonts w:ascii="Arial" w:hAnsi="Arial" w:cs="Arial"/>
                <w:sz w:val="20"/>
                <w:szCs w:val="20"/>
              </w:rPr>
              <w:t xml:space="preserve">here are in need to contemplate strategies pertaining to </w:t>
            </w:r>
            <w:r w:rsidRPr="00DF5AEE">
              <w:rPr>
                <w:rFonts w:ascii="Arial" w:hAnsi="Arial" w:cs="Arial"/>
                <w:sz w:val="20"/>
                <w:szCs w:val="20"/>
              </w:rPr>
              <w:t>policy uncertainty, incentives, and trade regimes. In India, manufacturing and local sourcing can be leveraged; in the UK, compliance and risk-management matter.</w:t>
            </w:r>
          </w:p>
        </w:tc>
      </w:tr>
      <w:tr w:rsidR="00265DBE" w:rsidRPr="005356D0" w14:paraId="12457B16" w14:textId="77777777" w:rsidTr="009321AB">
        <w:tc>
          <w:tcPr>
            <w:tcW w:w="0" w:type="auto"/>
            <w:hideMark/>
          </w:tcPr>
          <w:p w14:paraId="44F0A6DC"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Economic</w:t>
            </w:r>
          </w:p>
        </w:tc>
        <w:tc>
          <w:tcPr>
            <w:tcW w:w="0" w:type="auto"/>
            <w:hideMark/>
          </w:tcPr>
          <w:p w14:paraId="5F3E0D67"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Economic data is crucial for many companies to strategize their marketing principles.  For instance, </w:t>
            </w:r>
          </w:p>
          <w:p w14:paraId="6A950D32" w14:textId="459145DE"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GDP per capita in India</w:t>
            </w:r>
            <w:r w:rsidRPr="005356D0">
              <w:rPr>
                <w:rFonts w:ascii="Arial" w:hAnsi="Arial" w:cs="Arial"/>
                <w:sz w:val="20"/>
                <w:szCs w:val="20"/>
              </w:rPr>
              <w:t xml:space="preserve"> is US$2.86k</w:t>
            </w:r>
            <w:r w:rsidRPr="00DF5AEE">
              <w:rPr>
                <w:rFonts w:ascii="Arial" w:hAnsi="Arial" w:cs="Arial"/>
                <w:sz w:val="20"/>
                <w:szCs w:val="20"/>
              </w:rPr>
              <w:t xml:space="preserve"> 2025, forecast</w:t>
            </w:r>
            <w:r w:rsidRPr="005356D0">
              <w:rPr>
                <w:rFonts w:ascii="Arial" w:hAnsi="Arial" w:cs="Arial"/>
                <w:sz w:val="20"/>
                <w:szCs w:val="20"/>
              </w:rPr>
              <w:t xml:space="preserve"> </w:t>
            </w:r>
            <w:r w:rsidR="00A02BF5" w:rsidRPr="005356D0">
              <w:rPr>
                <w:rFonts w:ascii="Arial" w:hAnsi="Arial" w:cs="Arial"/>
                <w:sz w:val="20"/>
                <w:szCs w:val="20"/>
              </w:rPr>
              <w:t xml:space="preserve">(Statista (2025) </w:t>
            </w:r>
          </w:p>
          <w:p w14:paraId="73281CC4"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However, despite this, as in low GDP per capita, compared to other emerging nations, the  </w:t>
            </w:r>
          </w:p>
          <w:p w14:paraId="64E470BB" w14:textId="259D14FA"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growth </w:t>
            </w:r>
            <w:r w:rsidRPr="005356D0">
              <w:rPr>
                <w:rFonts w:ascii="Arial" w:hAnsi="Arial" w:cs="Arial"/>
                <w:sz w:val="20"/>
                <w:szCs w:val="20"/>
              </w:rPr>
              <w:t xml:space="preserve">is </w:t>
            </w:r>
            <w:r w:rsidRPr="00DF5AEE">
              <w:rPr>
                <w:rFonts w:ascii="Arial" w:hAnsi="Arial" w:cs="Arial"/>
                <w:sz w:val="20"/>
                <w:szCs w:val="20"/>
              </w:rPr>
              <w:t>strong: RBI projects FY26 growth ~ 6.8%</w:t>
            </w:r>
            <w:r w:rsidRPr="005356D0">
              <w:rPr>
                <w:rFonts w:ascii="Arial" w:hAnsi="Arial" w:cs="Arial"/>
                <w:sz w:val="20"/>
                <w:szCs w:val="20"/>
              </w:rPr>
              <w:t xml:space="preserve"> (</w:t>
            </w:r>
            <w:r w:rsidR="00A02BF5" w:rsidRPr="005356D0">
              <w:rPr>
                <w:rFonts w:ascii="Arial" w:hAnsi="Arial" w:cs="Arial"/>
                <w:sz w:val="20"/>
                <w:szCs w:val="20"/>
              </w:rPr>
              <w:t>Statista (2025)</w:t>
            </w:r>
            <w:r w:rsidRPr="005356D0">
              <w:rPr>
                <w:rFonts w:ascii="Arial" w:hAnsi="Arial" w:cs="Arial"/>
                <w:sz w:val="20"/>
                <w:szCs w:val="20"/>
              </w:rPr>
              <w:t xml:space="preserve">. The nation experiences a certain </w:t>
            </w:r>
            <w:r w:rsidR="00A02BF5" w:rsidRPr="005356D0">
              <w:rPr>
                <w:rFonts w:ascii="Arial" w:hAnsi="Arial" w:cs="Arial"/>
                <w:sz w:val="20"/>
                <w:szCs w:val="20"/>
              </w:rPr>
              <w:t xml:space="preserve">period where inflation is moderate: RBI projects </w:t>
            </w:r>
            <w:r w:rsidRPr="00DF5AEE">
              <w:rPr>
                <w:rFonts w:ascii="Arial" w:hAnsi="Arial" w:cs="Arial"/>
                <w:sz w:val="20"/>
                <w:szCs w:val="20"/>
              </w:rPr>
              <w:t xml:space="preserve">2.6% for FY26. </w:t>
            </w:r>
          </w:p>
        </w:tc>
        <w:tc>
          <w:tcPr>
            <w:tcW w:w="0" w:type="auto"/>
            <w:hideMark/>
          </w:tcPr>
          <w:p w14:paraId="2AC59492" w14:textId="6B5547FB"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GDP growth is sluggish</w:t>
            </w:r>
            <w:r w:rsidRPr="005356D0">
              <w:rPr>
                <w:rFonts w:ascii="Arial" w:hAnsi="Arial" w:cs="Arial"/>
                <w:sz w:val="20"/>
                <w:szCs w:val="20"/>
              </w:rPr>
              <w:t xml:space="preserve"> as identified in </w:t>
            </w:r>
            <w:r w:rsidRPr="00DF5AEE">
              <w:rPr>
                <w:rFonts w:ascii="Arial" w:hAnsi="Arial" w:cs="Arial"/>
                <w:sz w:val="20"/>
                <w:szCs w:val="20"/>
              </w:rPr>
              <w:t>EY ITEM Club forecasts ~ 1.0% in 2025</w:t>
            </w:r>
            <w:r w:rsidRPr="005356D0">
              <w:rPr>
                <w:rFonts w:ascii="Arial" w:hAnsi="Arial" w:cs="Arial"/>
                <w:sz w:val="20"/>
                <w:szCs w:val="20"/>
              </w:rPr>
              <w:t xml:space="preserve"> </w:t>
            </w:r>
            <w:r w:rsidR="00520A47" w:rsidRPr="005356D0">
              <w:rPr>
                <w:rFonts w:ascii="Arial" w:hAnsi="Arial" w:cs="Arial"/>
                <w:sz w:val="20"/>
                <w:szCs w:val="20"/>
              </w:rPr>
              <w:t>(EY, 2025)</w:t>
            </w:r>
          </w:p>
          <w:p w14:paraId="78E16852" w14:textId="60C21DB1"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 Inflation is elevated: expected ~3.4% in 2025</w:t>
            </w:r>
            <w:r w:rsidRPr="005356D0">
              <w:rPr>
                <w:rFonts w:ascii="Arial" w:hAnsi="Arial" w:cs="Arial"/>
                <w:sz w:val="20"/>
                <w:szCs w:val="20"/>
              </w:rPr>
              <w:t xml:space="preserve"> </w:t>
            </w:r>
            <w:r w:rsidR="00520A47" w:rsidRPr="005356D0">
              <w:rPr>
                <w:rFonts w:ascii="Arial" w:hAnsi="Arial" w:cs="Arial"/>
                <w:sz w:val="20"/>
                <w:szCs w:val="20"/>
              </w:rPr>
              <w:t>(EY, 2025)</w:t>
            </w:r>
          </w:p>
          <w:p w14:paraId="7A6C1655" w14:textId="6B344F9F"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GDP per capita ~ US$ 52,400–54,000</w:t>
            </w:r>
            <w:r w:rsidR="00520A47" w:rsidRPr="005356D0">
              <w:rPr>
                <w:rFonts w:ascii="Arial" w:hAnsi="Arial" w:cs="Arial"/>
                <w:sz w:val="20"/>
                <w:szCs w:val="20"/>
              </w:rPr>
              <w:t xml:space="preserve"> (EY, 2025)</w:t>
            </w:r>
          </w:p>
        </w:tc>
        <w:tc>
          <w:tcPr>
            <w:tcW w:w="0" w:type="auto"/>
            <w:hideMark/>
          </w:tcPr>
          <w:p w14:paraId="1FA1C786"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The marketers here need to consider a certain difference in consumer purchasing power and growth trajectory to </w:t>
            </w:r>
            <w:r w:rsidRPr="00DF5AEE">
              <w:rPr>
                <w:rFonts w:ascii="Arial" w:hAnsi="Arial" w:cs="Arial"/>
                <w:sz w:val="20"/>
                <w:szCs w:val="20"/>
              </w:rPr>
              <w:t xml:space="preserve">influence segmentation, pricing, and product strategy. In India, </w:t>
            </w:r>
            <w:r w:rsidRPr="005356D0">
              <w:rPr>
                <w:rFonts w:ascii="Arial" w:hAnsi="Arial" w:cs="Arial"/>
                <w:sz w:val="20"/>
                <w:szCs w:val="20"/>
              </w:rPr>
              <w:t xml:space="preserve">a certain </w:t>
            </w:r>
            <w:r w:rsidRPr="00DF5AEE">
              <w:rPr>
                <w:rFonts w:ascii="Arial" w:hAnsi="Arial" w:cs="Arial"/>
                <w:sz w:val="20"/>
                <w:szCs w:val="20"/>
              </w:rPr>
              <w:t xml:space="preserve">value-driven and aspirational marketing </w:t>
            </w:r>
            <w:r w:rsidRPr="005356D0">
              <w:rPr>
                <w:rFonts w:ascii="Arial" w:hAnsi="Arial" w:cs="Arial"/>
                <w:sz w:val="20"/>
                <w:szCs w:val="20"/>
              </w:rPr>
              <w:t>works</w:t>
            </w:r>
          </w:p>
          <w:p w14:paraId="1C7010E9" w14:textId="77777777"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However, </w:t>
            </w:r>
            <w:r w:rsidRPr="00DF5AEE">
              <w:rPr>
                <w:rFonts w:ascii="Arial" w:hAnsi="Arial" w:cs="Arial"/>
                <w:sz w:val="20"/>
                <w:szCs w:val="20"/>
              </w:rPr>
              <w:t>in the UK, managing price sensitivity and cost-push inflation is critical.</w:t>
            </w:r>
          </w:p>
        </w:tc>
      </w:tr>
      <w:tr w:rsidR="00265DBE" w:rsidRPr="005356D0" w14:paraId="012D7906" w14:textId="77777777" w:rsidTr="009321AB">
        <w:tc>
          <w:tcPr>
            <w:tcW w:w="0" w:type="auto"/>
            <w:hideMark/>
          </w:tcPr>
          <w:p w14:paraId="0E8FB690"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lastRenderedPageBreak/>
              <w:t>Social</w:t>
            </w:r>
          </w:p>
        </w:tc>
        <w:tc>
          <w:tcPr>
            <w:tcW w:w="0" w:type="auto"/>
            <w:hideMark/>
          </w:tcPr>
          <w:p w14:paraId="3A5B754D" w14:textId="77777777"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Very large, young population</w:t>
            </w:r>
          </w:p>
          <w:p w14:paraId="61AFCD48" w14:textId="77777777"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rising middle class</w:t>
            </w:r>
          </w:p>
          <w:p w14:paraId="35492C48" w14:textId="06D37904"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urbanisation growing Income inequality remains a challenge</w:t>
            </w:r>
            <w:r w:rsidRPr="005356D0">
              <w:rPr>
                <w:rFonts w:ascii="Arial" w:hAnsi="Arial" w:cs="Arial"/>
                <w:sz w:val="20"/>
                <w:szCs w:val="20"/>
              </w:rPr>
              <w:t xml:space="preserve"> (</w:t>
            </w:r>
            <w:proofErr w:type="spellStart"/>
            <w:r w:rsidR="009D7314" w:rsidRPr="005356D0">
              <w:rPr>
                <w:rFonts w:ascii="Arial" w:hAnsi="Arial" w:cs="Arial"/>
                <w:sz w:val="20"/>
                <w:szCs w:val="20"/>
              </w:rPr>
              <w:t>Worldometer</w:t>
            </w:r>
            <w:proofErr w:type="spellEnd"/>
            <w:r w:rsidR="009D7314" w:rsidRPr="005356D0">
              <w:rPr>
                <w:rFonts w:ascii="Arial" w:hAnsi="Arial" w:cs="Arial"/>
                <w:sz w:val="20"/>
                <w:szCs w:val="20"/>
              </w:rPr>
              <w:t xml:space="preserve"> (2025) </w:t>
            </w:r>
          </w:p>
          <w:p w14:paraId="306339D8" w14:textId="2724F59E" w:rsidR="00265DBE" w:rsidRPr="00DF5AEE" w:rsidRDefault="00265DBE" w:rsidP="005356D0">
            <w:pPr>
              <w:spacing w:line="360" w:lineRule="auto"/>
              <w:jc w:val="both"/>
              <w:rPr>
                <w:rFonts w:ascii="Arial" w:hAnsi="Arial" w:cs="Arial"/>
                <w:sz w:val="20"/>
                <w:szCs w:val="20"/>
              </w:rPr>
            </w:pPr>
            <w:r w:rsidRPr="005356D0">
              <w:rPr>
                <w:rFonts w:ascii="Arial" w:hAnsi="Arial" w:cs="Arial"/>
                <w:sz w:val="20"/>
                <w:szCs w:val="20"/>
              </w:rPr>
              <w:t xml:space="preserve">India 2025 population is estimated at 1,463,865,525 people at mid-year. India population is equivalent to 17.78% of the total world population </w:t>
            </w:r>
            <w:proofErr w:type="spellStart"/>
            <w:r w:rsidRPr="005356D0">
              <w:rPr>
                <w:rFonts w:ascii="Arial" w:hAnsi="Arial" w:cs="Arial"/>
                <w:sz w:val="20"/>
                <w:szCs w:val="20"/>
              </w:rPr>
              <w:t>Worldometer</w:t>
            </w:r>
            <w:proofErr w:type="spellEnd"/>
            <w:r w:rsidRPr="005356D0">
              <w:rPr>
                <w:rFonts w:ascii="Arial" w:hAnsi="Arial" w:cs="Arial"/>
                <w:sz w:val="20"/>
                <w:szCs w:val="20"/>
              </w:rPr>
              <w:t xml:space="preserve"> (2025) </w:t>
            </w:r>
          </w:p>
        </w:tc>
        <w:tc>
          <w:tcPr>
            <w:tcW w:w="0" w:type="auto"/>
            <w:hideMark/>
          </w:tcPr>
          <w:p w14:paraId="4B02E922" w14:textId="73D07B3D"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Aging population, high service consumption, and social welfare expectations</w:t>
            </w:r>
            <w:r w:rsidRPr="005356D0">
              <w:rPr>
                <w:rFonts w:ascii="Arial" w:hAnsi="Arial" w:cs="Arial"/>
                <w:sz w:val="20"/>
                <w:szCs w:val="20"/>
              </w:rPr>
              <w:t xml:space="preserve"> (</w:t>
            </w:r>
            <w:r w:rsidR="00520A47" w:rsidRPr="005356D0">
              <w:rPr>
                <w:rFonts w:ascii="Arial" w:hAnsi="Arial" w:cs="Arial"/>
                <w:sz w:val="20"/>
                <w:szCs w:val="20"/>
              </w:rPr>
              <w:t>House of Commons Library, 2024).</w:t>
            </w:r>
          </w:p>
          <w:p w14:paraId="69AEE284" w14:textId="1EEAA636" w:rsidR="00265DBE" w:rsidRPr="00DF5AEE" w:rsidRDefault="00265DBE" w:rsidP="005356D0">
            <w:pPr>
              <w:spacing w:line="360" w:lineRule="auto"/>
              <w:jc w:val="both"/>
              <w:rPr>
                <w:rFonts w:ascii="Arial" w:hAnsi="Arial" w:cs="Arial"/>
                <w:sz w:val="20"/>
                <w:szCs w:val="20"/>
              </w:rPr>
            </w:pPr>
            <w:r w:rsidRPr="005356D0">
              <w:rPr>
                <w:rFonts w:ascii="Arial" w:hAnsi="Arial" w:cs="Arial"/>
                <w:sz w:val="20"/>
                <w:szCs w:val="20"/>
              </w:rPr>
              <w:t xml:space="preserve"> The UK's population is also ageing. In 2022, there were around 12.7 million people aged 65 or over in the UK, making up 19% of the </w:t>
            </w:r>
            <w:proofErr w:type="gramStart"/>
            <w:r w:rsidRPr="005356D0">
              <w:rPr>
                <w:rFonts w:ascii="Arial" w:hAnsi="Arial" w:cs="Arial"/>
                <w:sz w:val="20"/>
                <w:szCs w:val="20"/>
              </w:rPr>
              <w:t>population</w:t>
            </w:r>
            <w:r w:rsidR="00520A47" w:rsidRPr="005356D0">
              <w:rPr>
                <w:rFonts w:ascii="Arial" w:hAnsi="Arial" w:cs="Arial"/>
                <w:sz w:val="20"/>
                <w:szCs w:val="20"/>
              </w:rPr>
              <w:t xml:space="preserve">  (</w:t>
            </w:r>
            <w:proofErr w:type="gramEnd"/>
            <w:r w:rsidR="00520A47" w:rsidRPr="005356D0">
              <w:rPr>
                <w:rFonts w:ascii="Arial" w:hAnsi="Arial" w:cs="Arial"/>
                <w:sz w:val="20"/>
                <w:szCs w:val="20"/>
              </w:rPr>
              <w:t>EY, 2025)</w:t>
            </w:r>
          </w:p>
        </w:tc>
        <w:tc>
          <w:tcPr>
            <w:tcW w:w="0" w:type="auto"/>
            <w:hideMark/>
          </w:tcPr>
          <w:p w14:paraId="7534D3FE" w14:textId="77777777"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India</w:t>
            </w:r>
            <w:r w:rsidRPr="005356D0">
              <w:rPr>
                <w:rFonts w:ascii="Arial" w:hAnsi="Arial" w:cs="Arial"/>
                <w:sz w:val="20"/>
                <w:szCs w:val="20"/>
              </w:rPr>
              <w:t>’s marketers</w:t>
            </w:r>
            <w:r w:rsidRPr="00DF5AEE">
              <w:rPr>
                <w:rFonts w:ascii="Arial" w:hAnsi="Arial" w:cs="Arial"/>
                <w:sz w:val="20"/>
                <w:szCs w:val="20"/>
              </w:rPr>
              <w:t xml:space="preserve"> can tap into youth and mass-market aspirations</w:t>
            </w:r>
          </w:p>
          <w:p w14:paraId="06B5A2A6" w14:textId="77777777"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However, in UK the usual</w:t>
            </w:r>
            <w:r w:rsidRPr="00DF5AEE">
              <w:rPr>
                <w:rFonts w:ascii="Arial" w:hAnsi="Arial" w:cs="Arial"/>
                <w:sz w:val="20"/>
                <w:szCs w:val="20"/>
              </w:rPr>
              <w:t xml:space="preserve"> products may target older demographics, premium services, and socially responsible branding.</w:t>
            </w:r>
          </w:p>
        </w:tc>
      </w:tr>
      <w:tr w:rsidR="00265DBE" w:rsidRPr="005356D0" w14:paraId="3221C6F8" w14:textId="77777777" w:rsidTr="009321AB">
        <w:tc>
          <w:tcPr>
            <w:tcW w:w="0" w:type="auto"/>
            <w:hideMark/>
          </w:tcPr>
          <w:p w14:paraId="48888FEE"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Technological</w:t>
            </w:r>
          </w:p>
        </w:tc>
        <w:tc>
          <w:tcPr>
            <w:tcW w:w="0" w:type="auto"/>
            <w:hideMark/>
          </w:tcPr>
          <w:p w14:paraId="3A067282" w14:textId="4EB220DC"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Rapid digital adoption, increasing mobile internet penetration, growth in fintech</w:t>
            </w:r>
            <w:r w:rsidRPr="005356D0">
              <w:rPr>
                <w:rFonts w:ascii="Arial" w:hAnsi="Arial" w:cs="Arial"/>
                <w:sz w:val="20"/>
                <w:szCs w:val="20"/>
              </w:rPr>
              <w:t xml:space="preserve"> </w:t>
            </w:r>
            <w:r w:rsidR="00265DBE" w:rsidRPr="005356D0">
              <w:rPr>
                <w:rFonts w:ascii="Arial" w:hAnsi="Arial" w:cs="Arial"/>
                <w:sz w:val="20"/>
                <w:szCs w:val="20"/>
              </w:rPr>
              <w:t xml:space="preserve">(U.S International Trade Administration, 2025) </w:t>
            </w:r>
          </w:p>
          <w:p w14:paraId="2463AA63" w14:textId="08EEE5F3"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Mobile and internet penetration in India has emerged in recent years</w:t>
            </w:r>
            <w:r w:rsidR="00265DBE" w:rsidRPr="005356D0">
              <w:rPr>
                <w:rFonts w:ascii="Arial" w:hAnsi="Arial" w:cs="Arial"/>
                <w:sz w:val="20"/>
                <w:szCs w:val="20"/>
              </w:rPr>
              <w:t xml:space="preserve">.  As of mid-2024, there are over 650 million smartphone users, and internet subscribers have surpassed 950 million (U.S International Trade Administration, 2025) </w:t>
            </w:r>
          </w:p>
        </w:tc>
        <w:tc>
          <w:tcPr>
            <w:tcW w:w="0" w:type="auto"/>
            <w:hideMark/>
          </w:tcPr>
          <w:p w14:paraId="1E8C648B" w14:textId="6AE99AF5"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Highly developed digital infrastructure, but regulatory scrutiny on data</w:t>
            </w:r>
            <w:r w:rsidRPr="005356D0">
              <w:rPr>
                <w:rFonts w:ascii="Arial" w:hAnsi="Arial" w:cs="Arial"/>
                <w:sz w:val="20"/>
                <w:szCs w:val="20"/>
              </w:rPr>
              <w:t xml:space="preserve"> or </w:t>
            </w:r>
            <w:r w:rsidRPr="00DF5AEE">
              <w:rPr>
                <w:rFonts w:ascii="Arial" w:hAnsi="Arial" w:cs="Arial"/>
                <w:sz w:val="20"/>
                <w:szCs w:val="20"/>
              </w:rPr>
              <w:t>privacy remains strong</w:t>
            </w:r>
            <w:r w:rsidRPr="005356D0">
              <w:rPr>
                <w:rFonts w:ascii="Arial" w:hAnsi="Arial" w:cs="Arial"/>
                <w:sz w:val="20"/>
                <w:szCs w:val="20"/>
              </w:rPr>
              <w:t xml:space="preserve"> </w:t>
            </w:r>
            <w:r w:rsidR="00520A47" w:rsidRPr="005356D0">
              <w:rPr>
                <w:rFonts w:ascii="Arial" w:hAnsi="Arial" w:cs="Arial"/>
                <w:sz w:val="20"/>
                <w:szCs w:val="20"/>
              </w:rPr>
              <w:t>(EY, 2025)</w:t>
            </w:r>
          </w:p>
        </w:tc>
        <w:tc>
          <w:tcPr>
            <w:tcW w:w="0" w:type="auto"/>
            <w:hideMark/>
          </w:tcPr>
          <w:p w14:paraId="0AF9F467" w14:textId="77777777"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These factors e</w:t>
            </w:r>
            <w:r w:rsidRPr="00DF5AEE">
              <w:rPr>
                <w:rFonts w:ascii="Arial" w:hAnsi="Arial" w:cs="Arial"/>
                <w:sz w:val="20"/>
                <w:szCs w:val="20"/>
              </w:rPr>
              <w:t>nable digital-first strategies in both markets, but in India growth opportunities lie in mass digitalisation; in the UK, data protection and privacy can be differentiators.</w:t>
            </w:r>
          </w:p>
        </w:tc>
      </w:tr>
      <w:tr w:rsidR="00265DBE" w:rsidRPr="005356D0" w14:paraId="3D0DAEA8" w14:textId="77777777" w:rsidTr="009321AB">
        <w:tc>
          <w:tcPr>
            <w:tcW w:w="0" w:type="auto"/>
            <w:hideMark/>
          </w:tcPr>
          <w:p w14:paraId="54DAF0BC"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Environmental</w:t>
            </w:r>
          </w:p>
        </w:tc>
        <w:tc>
          <w:tcPr>
            <w:tcW w:w="0" w:type="auto"/>
            <w:hideMark/>
          </w:tcPr>
          <w:p w14:paraId="6E523190"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Pressures from pollution, resource constraints, </w:t>
            </w:r>
            <w:r w:rsidRPr="005356D0">
              <w:rPr>
                <w:rFonts w:ascii="Arial" w:hAnsi="Arial" w:cs="Arial"/>
                <w:sz w:val="20"/>
                <w:szCs w:val="20"/>
              </w:rPr>
              <w:t xml:space="preserve">and </w:t>
            </w:r>
            <w:r w:rsidRPr="00DF5AEE">
              <w:rPr>
                <w:rFonts w:ascii="Arial" w:hAnsi="Arial" w:cs="Arial"/>
                <w:sz w:val="20"/>
                <w:szCs w:val="20"/>
              </w:rPr>
              <w:t>climate vulnerability. Growing regulatory push for green energy.</w:t>
            </w:r>
            <w:r w:rsidRPr="005356D0">
              <w:rPr>
                <w:rFonts w:ascii="Arial" w:hAnsi="Arial" w:cs="Arial"/>
                <w:sz w:val="20"/>
                <w:szCs w:val="20"/>
              </w:rPr>
              <w:t xml:space="preserve"> For instance, the winter months in North India witness a surge in </w:t>
            </w:r>
            <w:r w:rsidRPr="005356D0">
              <w:rPr>
                <w:rFonts w:ascii="Arial" w:hAnsi="Arial" w:cs="Arial"/>
                <w:sz w:val="20"/>
                <w:szCs w:val="20"/>
              </w:rPr>
              <w:lastRenderedPageBreak/>
              <w:t xml:space="preserve">pollution, owing to husk burning. </w:t>
            </w:r>
          </w:p>
        </w:tc>
        <w:tc>
          <w:tcPr>
            <w:tcW w:w="0" w:type="auto"/>
            <w:hideMark/>
          </w:tcPr>
          <w:p w14:paraId="62445646"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lastRenderedPageBreak/>
              <w:t>Focus on net-zero, sustainability regulations, and carbon pricing.</w:t>
            </w:r>
          </w:p>
        </w:tc>
        <w:tc>
          <w:tcPr>
            <w:tcW w:w="0" w:type="auto"/>
            <w:hideMark/>
          </w:tcPr>
          <w:p w14:paraId="72AEAA19" w14:textId="77777777"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Sustainability is increasingly important</w:t>
            </w:r>
            <w:r w:rsidRPr="005356D0">
              <w:rPr>
                <w:rFonts w:ascii="Arial" w:hAnsi="Arial" w:cs="Arial"/>
                <w:sz w:val="20"/>
                <w:szCs w:val="20"/>
              </w:rPr>
              <w:t xml:space="preserve">, and </w:t>
            </w:r>
            <w:r w:rsidRPr="00DF5AEE">
              <w:rPr>
                <w:rFonts w:ascii="Arial" w:hAnsi="Arial" w:cs="Arial"/>
                <w:sz w:val="20"/>
                <w:szCs w:val="20"/>
              </w:rPr>
              <w:t>brands in both markets must consider green credentials</w:t>
            </w:r>
          </w:p>
          <w:p w14:paraId="31C065C9" w14:textId="77777777"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 </w:t>
            </w:r>
            <w:r w:rsidRPr="00DF5AEE">
              <w:rPr>
                <w:rFonts w:ascii="Arial" w:hAnsi="Arial" w:cs="Arial"/>
                <w:sz w:val="20"/>
                <w:szCs w:val="20"/>
              </w:rPr>
              <w:t xml:space="preserve">supply-chain ethics, and eco-innovation. In India, “green affordability” may </w:t>
            </w:r>
            <w:r w:rsidRPr="00DF5AEE">
              <w:rPr>
                <w:rFonts w:ascii="Arial" w:hAnsi="Arial" w:cs="Arial"/>
                <w:sz w:val="20"/>
                <w:szCs w:val="20"/>
              </w:rPr>
              <w:lastRenderedPageBreak/>
              <w:t>be key; in the UK, compliance and brand purpose resonate.</w:t>
            </w:r>
          </w:p>
        </w:tc>
      </w:tr>
      <w:tr w:rsidR="00265DBE" w:rsidRPr="005356D0" w14:paraId="54D87FB0" w14:textId="77777777" w:rsidTr="009321AB">
        <w:tc>
          <w:tcPr>
            <w:tcW w:w="0" w:type="auto"/>
            <w:hideMark/>
          </w:tcPr>
          <w:p w14:paraId="50F22651"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lastRenderedPageBreak/>
              <w:t>Legal</w:t>
            </w:r>
          </w:p>
        </w:tc>
        <w:tc>
          <w:tcPr>
            <w:tcW w:w="0" w:type="auto"/>
            <w:hideMark/>
          </w:tcPr>
          <w:p w14:paraId="74B4CF9C"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Complex labour laws, tax regulations, and compliance requirements; evolving e-commerce rules.</w:t>
            </w:r>
          </w:p>
        </w:tc>
        <w:tc>
          <w:tcPr>
            <w:tcW w:w="0" w:type="auto"/>
            <w:hideMark/>
          </w:tcPr>
          <w:p w14:paraId="578D79DF"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Robust legal framework, but regulatory costs are high, and there is increased scrutiny on competition, data.</w:t>
            </w:r>
          </w:p>
        </w:tc>
        <w:tc>
          <w:tcPr>
            <w:tcW w:w="0" w:type="auto"/>
            <w:hideMark/>
          </w:tcPr>
          <w:p w14:paraId="698956EC"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Marketers </w:t>
            </w:r>
            <w:r w:rsidRPr="005356D0">
              <w:rPr>
                <w:rFonts w:ascii="Arial" w:hAnsi="Arial" w:cs="Arial"/>
                <w:sz w:val="20"/>
                <w:szCs w:val="20"/>
              </w:rPr>
              <w:t xml:space="preserve">are mandated to be </w:t>
            </w:r>
            <w:r w:rsidRPr="00DF5AEE">
              <w:rPr>
                <w:rFonts w:ascii="Arial" w:hAnsi="Arial" w:cs="Arial"/>
                <w:sz w:val="20"/>
                <w:szCs w:val="20"/>
              </w:rPr>
              <w:t>aware of compliance costs, data laws (especially in digital marketing), and labour regulations in both markets. Legal risk c</w:t>
            </w:r>
            <w:r w:rsidRPr="005356D0">
              <w:rPr>
                <w:rFonts w:ascii="Arial" w:hAnsi="Arial" w:cs="Arial"/>
                <w:sz w:val="20"/>
                <w:szCs w:val="20"/>
              </w:rPr>
              <w:t xml:space="preserve">ould </w:t>
            </w:r>
            <w:r w:rsidRPr="00DF5AEE">
              <w:rPr>
                <w:rFonts w:ascii="Arial" w:hAnsi="Arial" w:cs="Arial"/>
                <w:sz w:val="20"/>
                <w:szCs w:val="20"/>
              </w:rPr>
              <w:t>drive strategy around partnerships, distribution, and operations.</w:t>
            </w:r>
          </w:p>
        </w:tc>
      </w:tr>
    </w:tbl>
    <w:p w14:paraId="175B5ABA" w14:textId="77777777" w:rsidR="00036EE7" w:rsidRPr="005356D0" w:rsidRDefault="00036EE7" w:rsidP="005356D0">
      <w:pPr>
        <w:spacing w:line="360" w:lineRule="auto"/>
        <w:jc w:val="both"/>
        <w:rPr>
          <w:rFonts w:ascii="Arial" w:hAnsi="Arial" w:cs="Arial"/>
        </w:rPr>
      </w:pPr>
    </w:p>
    <w:p w14:paraId="368BE61F" w14:textId="5BEA70D2" w:rsidR="00B26487" w:rsidRPr="005356D0" w:rsidRDefault="00B26487" w:rsidP="005356D0">
      <w:pPr>
        <w:pStyle w:val="Heading2"/>
        <w:rPr>
          <w:rFonts w:ascii="Arial" w:hAnsi="Arial" w:cs="Arial"/>
        </w:rPr>
      </w:pPr>
      <w:bookmarkStart w:id="6" w:name="_Toc211437172"/>
      <w:bookmarkStart w:id="7" w:name="_Toc214471803"/>
      <w:r w:rsidRPr="005356D0">
        <w:rPr>
          <w:rFonts w:ascii="Arial" w:hAnsi="Arial" w:cs="Arial"/>
        </w:rPr>
        <w:t>2.2 Selection of Two External Macro Marketing Actors</w:t>
      </w:r>
      <w:bookmarkEnd w:id="6"/>
      <w:bookmarkEnd w:id="7"/>
    </w:p>
    <w:p w14:paraId="6336D8A0" w14:textId="7DFDFA64" w:rsidR="00960E54" w:rsidRPr="005356D0" w:rsidRDefault="00960E54" w:rsidP="005356D0">
      <w:pPr>
        <w:spacing w:after="160" w:line="360" w:lineRule="auto"/>
        <w:jc w:val="both"/>
        <w:rPr>
          <w:rFonts w:ascii="Arial" w:hAnsi="Arial" w:cs="Arial"/>
        </w:rPr>
      </w:pPr>
      <w:r w:rsidRPr="005356D0">
        <w:rPr>
          <w:rFonts w:ascii="Arial" w:hAnsi="Arial" w:cs="Arial"/>
        </w:rPr>
        <w:t>Identification and justification of the selection of two external actors, which would be environmental and economic for this paper</w:t>
      </w:r>
    </w:p>
    <w:p w14:paraId="61BD8F8A" w14:textId="137BD4FA" w:rsidR="00960E54" w:rsidRPr="005356D0" w:rsidRDefault="00960E54" w:rsidP="005356D0">
      <w:pPr>
        <w:spacing w:after="160" w:line="360" w:lineRule="auto"/>
        <w:jc w:val="both"/>
        <w:rPr>
          <w:rFonts w:ascii="Arial" w:hAnsi="Arial" w:cs="Arial"/>
        </w:rPr>
      </w:pPr>
      <w:r w:rsidRPr="005356D0">
        <w:rPr>
          <w:rFonts w:ascii="Arial" w:hAnsi="Arial" w:cs="Arial"/>
        </w:rPr>
        <w:t xml:space="preserve">Factors chosen for this paper for further discussion would be </w:t>
      </w:r>
    </w:p>
    <w:p w14:paraId="54A6901F" w14:textId="6AF13E4F" w:rsidR="00960E54" w:rsidRPr="005356D0" w:rsidRDefault="00960E54" w:rsidP="005356D0">
      <w:pPr>
        <w:pStyle w:val="ListParagraph"/>
        <w:numPr>
          <w:ilvl w:val="0"/>
          <w:numId w:val="9"/>
        </w:numPr>
        <w:spacing w:after="160" w:line="360" w:lineRule="auto"/>
        <w:jc w:val="both"/>
        <w:rPr>
          <w:rFonts w:ascii="Arial" w:hAnsi="Arial" w:cs="Arial"/>
        </w:rPr>
      </w:pPr>
      <w:r w:rsidRPr="005356D0">
        <w:rPr>
          <w:rFonts w:ascii="Arial" w:hAnsi="Arial" w:cs="Arial"/>
        </w:rPr>
        <w:t>The economy factors</w:t>
      </w:r>
    </w:p>
    <w:p w14:paraId="4CB33951" w14:textId="77777777" w:rsidR="00F8798F" w:rsidRPr="005356D0" w:rsidRDefault="00960E54" w:rsidP="005356D0">
      <w:pPr>
        <w:pStyle w:val="ListParagraph"/>
        <w:numPr>
          <w:ilvl w:val="0"/>
          <w:numId w:val="9"/>
        </w:numPr>
        <w:spacing w:after="160" w:line="360" w:lineRule="auto"/>
        <w:jc w:val="both"/>
        <w:rPr>
          <w:rFonts w:ascii="Arial" w:hAnsi="Arial" w:cs="Arial"/>
        </w:rPr>
      </w:pPr>
      <w:r w:rsidRPr="005356D0">
        <w:rPr>
          <w:rFonts w:ascii="Arial" w:hAnsi="Arial" w:cs="Arial"/>
        </w:rPr>
        <w:t xml:space="preserve">The environment factors </w:t>
      </w:r>
    </w:p>
    <w:p w14:paraId="40C2A91A" w14:textId="16FF668D" w:rsidR="00A117DB" w:rsidRPr="005356D0" w:rsidRDefault="00A117DB" w:rsidP="005356D0">
      <w:pPr>
        <w:pStyle w:val="Heading2"/>
        <w:rPr>
          <w:rFonts w:ascii="Arial" w:hAnsi="Arial" w:cs="Arial"/>
        </w:rPr>
      </w:pPr>
      <w:bookmarkStart w:id="8" w:name="_Toc214471804"/>
      <w:r w:rsidRPr="005356D0">
        <w:rPr>
          <w:rFonts w:ascii="Arial" w:hAnsi="Arial" w:cs="Arial"/>
        </w:rPr>
        <w:t>Rationale behind choosing the factors</w:t>
      </w:r>
      <w:bookmarkEnd w:id="8"/>
    </w:p>
    <w:p w14:paraId="75E78DAE" w14:textId="42597174" w:rsidR="00F8798F" w:rsidRPr="005356D0" w:rsidRDefault="00F8798F" w:rsidP="005356D0">
      <w:pPr>
        <w:spacing w:after="160" w:line="360" w:lineRule="auto"/>
        <w:jc w:val="both"/>
        <w:rPr>
          <w:rFonts w:ascii="Arial" w:hAnsi="Arial" w:cs="Arial"/>
        </w:rPr>
      </w:pPr>
      <w:r w:rsidRPr="005356D0">
        <w:rPr>
          <w:rFonts w:ascii="Arial" w:hAnsi="Arial" w:cs="Arial"/>
        </w:rPr>
        <w:t xml:space="preserve">The economic factors are chosen </w:t>
      </w:r>
      <w:proofErr w:type="gramStart"/>
      <w:r w:rsidRPr="005356D0">
        <w:rPr>
          <w:rFonts w:ascii="Arial" w:hAnsi="Arial" w:cs="Arial"/>
        </w:rPr>
        <w:t>cause</w:t>
      </w:r>
      <w:proofErr w:type="gramEnd"/>
      <w:r w:rsidRPr="005356D0">
        <w:rPr>
          <w:rFonts w:ascii="Arial" w:hAnsi="Arial" w:cs="Arial"/>
        </w:rPr>
        <w:t xml:space="preserve"> they present an idea pertaining to how marketers consider making strategies abiding by the recent norms, and the purchasing power of the nation. For </w:t>
      </w:r>
      <w:proofErr w:type="gramStart"/>
      <w:r w:rsidRPr="005356D0">
        <w:rPr>
          <w:rFonts w:ascii="Arial" w:hAnsi="Arial" w:cs="Arial"/>
        </w:rPr>
        <w:t>instance,  the</w:t>
      </w:r>
      <w:proofErr w:type="gramEnd"/>
      <w:r w:rsidRPr="005356D0">
        <w:rPr>
          <w:rFonts w:ascii="Arial" w:hAnsi="Arial" w:cs="Arial"/>
        </w:rPr>
        <w:t xml:space="preserve"> GDP per capita growth is usually sluggish in the UK, as GDP growth is forecasted at just ~1.3% by the British Chambers of Commerce </w:t>
      </w:r>
      <w:r w:rsidR="00F420CA" w:rsidRPr="005356D0">
        <w:rPr>
          <w:rFonts w:ascii="Arial" w:hAnsi="Arial" w:cs="Arial"/>
        </w:rPr>
        <w:t>British Chambers of Commerce (2025)</w:t>
      </w:r>
      <w:r w:rsidRPr="005356D0">
        <w:rPr>
          <w:rFonts w:ascii="Arial" w:hAnsi="Arial" w:cs="Arial"/>
        </w:rPr>
        <w:t xml:space="preserve"> or 1.5% per EY ITEM Club </w:t>
      </w:r>
      <w:r w:rsidR="00520A47" w:rsidRPr="005356D0">
        <w:rPr>
          <w:rFonts w:ascii="Arial" w:hAnsi="Arial" w:cs="Arial"/>
        </w:rPr>
        <w:t>(EY, 2025)</w:t>
      </w:r>
      <w:r w:rsidRPr="005356D0">
        <w:rPr>
          <w:rFonts w:ascii="Arial" w:hAnsi="Arial" w:cs="Arial"/>
        </w:rPr>
        <w:t xml:space="preserve">. Moreover, inflation is expected to average ~3.4%.  Marketeers as suggested by </w:t>
      </w:r>
      <w:r w:rsidR="00F420CA" w:rsidRPr="005356D0">
        <w:rPr>
          <w:rFonts w:ascii="Arial" w:hAnsi="Arial" w:cs="Arial"/>
        </w:rPr>
        <w:t xml:space="preserve">Brands (2023), </w:t>
      </w:r>
      <w:r w:rsidRPr="005356D0">
        <w:rPr>
          <w:rFonts w:ascii="Arial" w:hAnsi="Arial" w:cs="Arial"/>
        </w:rPr>
        <w:t>must consider that this strained macro-economic environment strongly impacts consumer spending, business investment, and pricing strategies.</w:t>
      </w:r>
    </w:p>
    <w:p w14:paraId="4F33387B" w14:textId="61C6F106" w:rsidR="00F8798F" w:rsidRPr="005356D0" w:rsidRDefault="00F420CA" w:rsidP="005356D0">
      <w:pPr>
        <w:spacing w:line="360" w:lineRule="auto"/>
        <w:jc w:val="both"/>
        <w:rPr>
          <w:rFonts w:ascii="Arial" w:hAnsi="Arial" w:cs="Arial"/>
        </w:rPr>
      </w:pPr>
      <w:proofErr w:type="gramStart"/>
      <w:r w:rsidRPr="005356D0">
        <w:rPr>
          <w:rFonts w:ascii="Arial" w:hAnsi="Arial" w:cs="Arial"/>
        </w:rPr>
        <w:t>Brands (2023),</w:t>
      </w:r>
      <w:proofErr w:type="gramEnd"/>
      <w:r w:rsidRPr="005356D0">
        <w:rPr>
          <w:rFonts w:ascii="Arial" w:hAnsi="Arial" w:cs="Arial"/>
        </w:rPr>
        <w:t xml:space="preserve"> </w:t>
      </w:r>
      <w:r w:rsidR="00F8798F" w:rsidRPr="005356D0">
        <w:rPr>
          <w:rFonts w:ascii="Arial" w:hAnsi="Arial" w:cs="Arial"/>
        </w:rPr>
        <w:t>further enunciated that Marketeers are further required to strategize abiding by the environmental nuances of the nation. For instance, the UK is making major strides in emissions reduction: greenhouse gas emissions fell by 4% in 2024 to 371 Mt CO</w:t>
      </w:r>
      <w:r w:rsidR="00F8798F" w:rsidRPr="005356D0">
        <w:rPr>
          <w:rFonts w:ascii="Cambria Math" w:hAnsi="Cambria Math" w:cs="Cambria Math"/>
        </w:rPr>
        <w:t>₂</w:t>
      </w:r>
      <w:r w:rsidR="00F8798F" w:rsidRPr="005356D0">
        <w:rPr>
          <w:rFonts w:ascii="Arial" w:hAnsi="Arial" w:cs="Arial"/>
        </w:rPr>
        <w:t>-equivalent (</w:t>
      </w:r>
      <w:r w:rsidRPr="005356D0">
        <w:rPr>
          <w:rFonts w:ascii="Arial" w:hAnsi="Arial" w:cs="Arial"/>
        </w:rPr>
        <w:t>Harvey, 2025)</w:t>
      </w:r>
      <w:r w:rsidR="00F8798F" w:rsidRPr="005356D0">
        <w:rPr>
          <w:rFonts w:ascii="Arial" w:hAnsi="Arial" w:cs="Arial"/>
        </w:rPr>
        <w:t xml:space="preserve">.  The UK has further considered cutting emissions by over 43% since 1990. These trends affect the purchasing behaviour </w:t>
      </w:r>
      <w:r w:rsidRPr="005356D0">
        <w:rPr>
          <w:rFonts w:ascii="Arial" w:hAnsi="Arial" w:cs="Arial"/>
        </w:rPr>
        <w:t>of</w:t>
      </w:r>
      <w:r w:rsidR="00F8798F" w:rsidRPr="005356D0">
        <w:rPr>
          <w:rFonts w:ascii="Arial" w:hAnsi="Arial" w:cs="Arial"/>
        </w:rPr>
        <w:t xml:space="preserve"> </w:t>
      </w:r>
      <w:r w:rsidR="00F8798F" w:rsidRPr="005356D0">
        <w:rPr>
          <w:rFonts w:ascii="Arial" w:hAnsi="Arial" w:cs="Arial"/>
        </w:rPr>
        <w:lastRenderedPageBreak/>
        <w:t>the consumer and directly influence consumer expectations, regulatory risks, and green marketing opportunities</w:t>
      </w:r>
      <w:r w:rsidRPr="005356D0">
        <w:rPr>
          <w:rFonts w:ascii="Arial" w:hAnsi="Arial" w:cs="Arial"/>
        </w:rPr>
        <w:t xml:space="preserve"> (Harvey, 2025)</w:t>
      </w:r>
      <w:r w:rsidR="00F8798F" w:rsidRPr="005356D0">
        <w:rPr>
          <w:rFonts w:ascii="Arial" w:hAnsi="Arial" w:cs="Arial"/>
        </w:rPr>
        <w:t xml:space="preserve">. </w:t>
      </w:r>
    </w:p>
    <w:p w14:paraId="6FAB99C0" w14:textId="77777777" w:rsidR="00F8798F" w:rsidRPr="005356D0" w:rsidRDefault="00F8798F" w:rsidP="005356D0">
      <w:pPr>
        <w:spacing w:after="160" w:line="360" w:lineRule="auto"/>
        <w:jc w:val="both"/>
        <w:rPr>
          <w:rFonts w:ascii="Arial" w:hAnsi="Arial" w:cs="Arial"/>
        </w:rPr>
      </w:pPr>
    </w:p>
    <w:p w14:paraId="0AFB934B" w14:textId="1C682C27" w:rsidR="00960E54" w:rsidRPr="005356D0" w:rsidRDefault="00960E54" w:rsidP="005356D0">
      <w:pPr>
        <w:pStyle w:val="Heading2"/>
        <w:rPr>
          <w:rFonts w:ascii="Arial" w:hAnsi="Arial" w:cs="Arial"/>
        </w:rPr>
      </w:pPr>
      <w:bookmarkStart w:id="9" w:name="_Toc214471805"/>
      <w:r w:rsidRPr="005356D0">
        <w:rPr>
          <w:rFonts w:ascii="Arial" w:hAnsi="Arial" w:cs="Arial"/>
        </w:rPr>
        <w:t xml:space="preserve">The </w:t>
      </w:r>
      <w:r w:rsidR="00B26487" w:rsidRPr="005356D0">
        <w:rPr>
          <w:rFonts w:ascii="Arial" w:hAnsi="Arial" w:cs="Arial"/>
        </w:rPr>
        <w:t xml:space="preserve">relevance and current influence within the chosen industry, </w:t>
      </w:r>
      <w:bookmarkStart w:id="10" w:name="_Toc211437173"/>
      <w:r w:rsidRPr="005356D0">
        <w:rPr>
          <w:rFonts w:ascii="Arial" w:hAnsi="Arial" w:cs="Arial"/>
        </w:rPr>
        <w:t>considering two pioneering company and two follower company</w:t>
      </w:r>
      <w:bookmarkEnd w:id="9"/>
    </w:p>
    <w:p w14:paraId="5449A098" w14:textId="7DC0A339" w:rsidR="00A117DB" w:rsidRPr="005356D0" w:rsidRDefault="00A117DB" w:rsidP="005356D0">
      <w:pPr>
        <w:spacing w:line="360" w:lineRule="auto"/>
        <w:jc w:val="both"/>
        <w:rPr>
          <w:rFonts w:ascii="Arial" w:hAnsi="Arial" w:cs="Arial"/>
        </w:rPr>
      </w:pPr>
      <w:r w:rsidRPr="005356D0">
        <w:rPr>
          <w:rFonts w:ascii="Arial" w:hAnsi="Arial" w:cs="Arial"/>
        </w:rPr>
        <w:t>The chosen industry for the paper, happens to be the UK’s energy sector.</w:t>
      </w:r>
      <w:r w:rsidR="00483D20" w:rsidRPr="005356D0">
        <w:rPr>
          <w:rFonts w:ascii="Arial" w:hAnsi="Arial" w:cs="Arial"/>
        </w:rPr>
        <w:t xml:space="preserve"> UK’ s energy sector is </w:t>
      </w:r>
      <w:proofErr w:type="gramStart"/>
      <w:r w:rsidR="00483D20" w:rsidRPr="005356D0">
        <w:rPr>
          <w:rFonts w:ascii="Arial" w:hAnsi="Arial" w:cs="Arial"/>
        </w:rPr>
        <w:t>diverse</w:t>
      </w:r>
      <w:proofErr w:type="gramEnd"/>
      <w:r w:rsidR="00483D20" w:rsidRPr="005356D0">
        <w:rPr>
          <w:rFonts w:ascii="Arial" w:hAnsi="Arial" w:cs="Arial"/>
        </w:rPr>
        <w:t xml:space="preserve"> and it is often influenced by the nation’s economy. </w:t>
      </w:r>
      <w:r w:rsidRPr="005356D0">
        <w:rPr>
          <w:rFonts w:ascii="Arial" w:hAnsi="Arial" w:cs="Arial"/>
        </w:rPr>
        <w:t>The justifications are presented in the below given format:</w:t>
      </w:r>
    </w:p>
    <w:tbl>
      <w:tblPr>
        <w:tblStyle w:val="TableGrid"/>
        <w:tblW w:w="0" w:type="auto"/>
        <w:tblLook w:val="04A0" w:firstRow="1" w:lastRow="0" w:firstColumn="1" w:lastColumn="0" w:noHBand="0" w:noVBand="1"/>
      </w:tblPr>
      <w:tblGrid>
        <w:gridCol w:w="972"/>
        <w:gridCol w:w="1403"/>
        <w:gridCol w:w="6641"/>
      </w:tblGrid>
      <w:tr w:rsidR="00483D20" w:rsidRPr="00714A18" w14:paraId="491FCE4F" w14:textId="77777777" w:rsidTr="009321AB">
        <w:tc>
          <w:tcPr>
            <w:tcW w:w="0" w:type="auto"/>
            <w:hideMark/>
          </w:tcPr>
          <w:p w14:paraId="25FB808A"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Type</w:t>
            </w:r>
          </w:p>
        </w:tc>
        <w:tc>
          <w:tcPr>
            <w:tcW w:w="0" w:type="auto"/>
            <w:hideMark/>
          </w:tcPr>
          <w:p w14:paraId="3C7EFBAF"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Company</w:t>
            </w:r>
          </w:p>
        </w:tc>
        <w:tc>
          <w:tcPr>
            <w:tcW w:w="0" w:type="auto"/>
            <w:hideMark/>
          </w:tcPr>
          <w:p w14:paraId="6E8A4256"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Role &amp; Influence</w:t>
            </w:r>
          </w:p>
        </w:tc>
      </w:tr>
      <w:tr w:rsidR="00483D20" w:rsidRPr="00714A18" w14:paraId="51E7BBD0" w14:textId="77777777" w:rsidTr="009321AB">
        <w:tc>
          <w:tcPr>
            <w:tcW w:w="0" w:type="auto"/>
            <w:hideMark/>
          </w:tcPr>
          <w:p w14:paraId="643A8A48"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Pioneer</w:t>
            </w:r>
          </w:p>
        </w:tc>
        <w:tc>
          <w:tcPr>
            <w:tcW w:w="0" w:type="auto"/>
            <w:hideMark/>
          </w:tcPr>
          <w:p w14:paraId="34D7E757"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Octopus Energy</w:t>
            </w:r>
          </w:p>
        </w:tc>
        <w:tc>
          <w:tcPr>
            <w:tcW w:w="0" w:type="auto"/>
            <w:hideMark/>
          </w:tcPr>
          <w:p w14:paraId="59D2BFC2" w14:textId="77777777" w:rsidR="00483D20" w:rsidRPr="005356D0" w:rsidRDefault="00483D20" w:rsidP="005356D0">
            <w:pPr>
              <w:spacing w:line="360" w:lineRule="auto"/>
              <w:jc w:val="both"/>
              <w:rPr>
                <w:rFonts w:ascii="Arial" w:hAnsi="Arial" w:cs="Arial"/>
                <w:sz w:val="20"/>
                <w:szCs w:val="20"/>
              </w:rPr>
            </w:pPr>
            <w:r w:rsidRPr="00714A18">
              <w:rPr>
                <w:rFonts w:ascii="Arial" w:hAnsi="Arial" w:cs="Arial"/>
                <w:sz w:val="20"/>
                <w:szCs w:val="20"/>
              </w:rPr>
              <w:t xml:space="preserve">A UK green-energy disruptor: as of Jan 2025, it holds ~23.7% of the UK household energy market (12.9 </w:t>
            </w:r>
            <w:proofErr w:type="spellStart"/>
            <w:r w:rsidRPr="00714A18">
              <w:rPr>
                <w:rFonts w:ascii="Arial" w:hAnsi="Arial" w:cs="Arial"/>
                <w:sz w:val="20"/>
                <w:szCs w:val="20"/>
              </w:rPr>
              <w:t>mn</w:t>
            </w:r>
            <w:proofErr w:type="spellEnd"/>
            <w:r w:rsidRPr="00714A18">
              <w:rPr>
                <w:rFonts w:ascii="Arial" w:hAnsi="Arial" w:cs="Arial"/>
                <w:sz w:val="20"/>
                <w:szCs w:val="20"/>
              </w:rPr>
              <w:t xml:space="preserve"> accounts).</w:t>
            </w:r>
          </w:p>
          <w:p w14:paraId="05135670" w14:textId="3AA6F25E"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 xml:space="preserve"> Its tech-platform Kraken enables smart renewables, dynamic pricing, and EV charging, driving economic scale and environmental impact</w:t>
            </w:r>
            <w:r w:rsidRPr="005356D0">
              <w:rPr>
                <w:rFonts w:ascii="Arial" w:hAnsi="Arial" w:cs="Arial"/>
                <w:sz w:val="20"/>
                <w:szCs w:val="20"/>
              </w:rPr>
              <w:t xml:space="preserve"> </w:t>
            </w:r>
            <w:r w:rsidR="00A16246" w:rsidRPr="005356D0">
              <w:rPr>
                <w:rFonts w:ascii="Arial" w:hAnsi="Arial" w:cs="Arial"/>
                <w:sz w:val="20"/>
                <w:szCs w:val="20"/>
              </w:rPr>
              <w:t>(</w:t>
            </w:r>
            <w:r w:rsidR="00A16246" w:rsidRPr="00F47EF4">
              <w:rPr>
                <w:rFonts w:ascii="Arial" w:hAnsi="Arial" w:cs="Arial"/>
                <w:sz w:val="20"/>
                <w:szCs w:val="20"/>
              </w:rPr>
              <w:t>Octopus Energy</w:t>
            </w:r>
            <w:r w:rsidR="00A16246" w:rsidRPr="005356D0">
              <w:rPr>
                <w:rFonts w:ascii="Arial" w:hAnsi="Arial" w:cs="Arial"/>
                <w:sz w:val="20"/>
                <w:szCs w:val="20"/>
              </w:rPr>
              <w:t xml:space="preserve">, </w:t>
            </w:r>
            <w:r w:rsidR="00A16246" w:rsidRPr="00F47EF4">
              <w:rPr>
                <w:rFonts w:ascii="Arial" w:hAnsi="Arial" w:cs="Arial"/>
                <w:sz w:val="20"/>
                <w:szCs w:val="20"/>
              </w:rPr>
              <w:t xml:space="preserve">2025) </w:t>
            </w:r>
          </w:p>
        </w:tc>
      </w:tr>
      <w:tr w:rsidR="00483D20" w:rsidRPr="00714A18" w14:paraId="48EFE5D4" w14:textId="77777777" w:rsidTr="009321AB">
        <w:tc>
          <w:tcPr>
            <w:tcW w:w="0" w:type="auto"/>
            <w:hideMark/>
          </w:tcPr>
          <w:p w14:paraId="421CEC16"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Pioneer</w:t>
            </w:r>
          </w:p>
        </w:tc>
        <w:tc>
          <w:tcPr>
            <w:tcW w:w="0" w:type="auto"/>
            <w:hideMark/>
          </w:tcPr>
          <w:p w14:paraId="6A99D371" w14:textId="77777777" w:rsidR="00483D20" w:rsidRPr="00714A18" w:rsidRDefault="00483D20" w:rsidP="005356D0">
            <w:pPr>
              <w:spacing w:line="360" w:lineRule="auto"/>
              <w:jc w:val="both"/>
              <w:rPr>
                <w:rFonts w:ascii="Arial" w:hAnsi="Arial" w:cs="Arial"/>
                <w:sz w:val="20"/>
                <w:szCs w:val="20"/>
              </w:rPr>
            </w:pPr>
            <w:proofErr w:type="spellStart"/>
            <w:r w:rsidRPr="00714A18">
              <w:rPr>
                <w:rFonts w:ascii="Arial" w:hAnsi="Arial" w:cs="Arial"/>
                <w:sz w:val="20"/>
                <w:szCs w:val="20"/>
              </w:rPr>
              <w:t>Polymateria</w:t>
            </w:r>
            <w:proofErr w:type="spellEnd"/>
          </w:p>
        </w:tc>
        <w:tc>
          <w:tcPr>
            <w:tcW w:w="0" w:type="auto"/>
            <w:hideMark/>
          </w:tcPr>
          <w:p w14:paraId="2A5192E2" w14:textId="77777777" w:rsidR="00483D20" w:rsidRPr="005356D0" w:rsidRDefault="00483D20" w:rsidP="005356D0">
            <w:pPr>
              <w:spacing w:line="360" w:lineRule="auto"/>
              <w:jc w:val="both"/>
              <w:rPr>
                <w:rFonts w:ascii="Arial" w:hAnsi="Arial" w:cs="Arial"/>
                <w:sz w:val="20"/>
                <w:szCs w:val="20"/>
              </w:rPr>
            </w:pPr>
            <w:r w:rsidRPr="00714A18">
              <w:rPr>
                <w:rFonts w:ascii="Arial" w:hAnsi="Arial" w:cs="Arial"/>
                <w:sz w:val="20"/>
                <w:szCs w:val="20"/>
              </w:rPr>
              <w:t>A UK cleantech firm producing biodegradable plastics via “biotransformation” technology, which fully degrades common plastic forms in under a year without microplastics.</w:t>
            </w:r>
          </w:p>
          <w:p w14:paraId="167CB31C" w14:textId="3AE57081"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This influences environmental regulation and circular-economy models in manufacturing</w:t>
            </w:r>
            <w:r w:rsidRPr="005356D0">
              <w:rPr>
                <w:rFonts w:ascii="Arial" w:hAnsi="Arial" w:cs="Arial"/>
                <w:sz w:val="20"/>
                <w:szCs w:val="20"/>
              </w:rPr>
              <w:t xml:space="preserve"> </w:t>
            </w:r>
            <w:r w:rsidR="00A16246" w:rsidRPr="005356D0">
              <w:rPr>
                <w:rFonts w:ascii="Arial" w:hAnsi="Arial" w:cs="Arial"/>
                <w:sz w:val="20"/>
                <w:szCs w:val="20"/>
              </w:rPr>
              <w:t>(</w:t>
            </w:r>
            <w:proofErr w:type="spellStart"/>
            <w:r w:rsidR="00A16246" w:rsidRPr="005356D0">
              <w:rPr>
                <w:rFonts w:ascii="Arial" w:hAnsi="Arial" w:cs="Arial"/>
                <w:sz w:val="20"/>
                <w:szCs w:val="20"/>
              </w:rPr>
              <w:t>Polymateria</w:t>
            </w:r>
            <w:proofErr w:type="spellEnd"/>
            <w:r w:rsidR="00A16246" w:rsidRPr="005356D0">
              <w:rPr>
                <w:rFonts w:ascii="Arial" w:hAnsi="Arial" w:cs="Arial"/>
                <w:sz w:val="20"/>
                <w:szCs w:val="20"/>
              </w:rPr>
              <w:t xml:space="preserve"> Ltd, 2025) </w:t>
            </w:r>
          </w:p>
        </w:tc>
      </w:tr>
      <w:tr w:rsidR="00483D20" w:rsidRPr="00714A18" w14:paraId="57BE2A32" w14:textId="77777777" w:rsidTr="009321AB">
        <w:tc>
          <w:tcPr>
            <w:tcW w:w="0" w:type="auto"/>
            <w:hideMark/>
          </w:tcPr>
          <w:p w14:paraId="3650D9BF"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Follower</w:t>
            </w:r>
          </w:p>
        </w:tc>
        <w:tc>
          <w:tcPr>
            <w:tcW w:w="0" w:type="auto"/>
            <w:hideMark/>
          </w:tcPr>
          <w:p w14:paraId="56BE4529" w14:textId="77777777" w:rsidR="00483D20" w:rsidRPr="00714A18" w:rsidRDefault="00483D20" w:rsidP="005356D0">
            <w:pPr>
              <w:spacing w:line="360" w:lineRule="auto"/>
              <w:jc w:val="both"/>
              <w:rPr>
                <w:rFonts w:ascii="Arial" w:hAnsi="Arial" w:cs="Arial"/>
                <w:sz w:val="20"/>
                <w:szCs w:val="20"/>
              </w:rPr>
            </w:pPr>
            <w:proofErr w:type="spellStart"/>
            <w:r w:rsidRPr="00714A18">
              <w:rPr>
                <w:rFonts w:ascii="Arial" w:hAnsi="Arial" w:cs="Arial"/>
                <w:sz w:val="20"/>
                <w:szCs w:val="20"/>
              </w:rPr>
              <w:t>Yayzy</w:t>
            </w:r>
            <w:proofErr w:type="spellEnd"/>
          </w:p>
        </w:tc>
        <w:tc>
          <w:tcPr>
            <w:tcW w:w="0" w:type="auto"/>
            <w:hideMark/>
          </w:tcPr>
          <w:p w14:paraId="5C700864" w14:textId="77777777" w:rsidR="00483D20" w:rsidRPr="005356D0" w:rsidRDefault="00483D20" w:rsidP="005356D0">
            <w:pPr>
              <w:spacing w:line="360" w:lineRule="auto"/>
              <w:jc w:val="both"/>
              <w:rPr>
                <w:rFonts w:ascii="Arial" w:hAnsi="Arial" w:cs="Arial"/>
                <w:sz w:val="20"/>
                <w:szCs w:val="20"/>
              </w:rPr>
            </w:pPr>
            <w:r w:rsidRPr="00714A18">
              <w:rPr>
                <w:rFonts w:ascii="Arial" w:hAnsi="Arial" w:cs="Arial"/>
                <w:sz w:val="20"/>
                <w:szCs w:val="20"/>
              </w:rPr>
              <w:t>A London-based climate-fintech that tracks individual CO</w:t>
            </w:r>
            <w:r w:rsidRPr="00714A18">
              <w:rPr>
                <w:rFonts w:ascii="Cambria Math" w:hAnsi="Cambria Math" w:cs="Cambria Math"/>
                <w:sz w:val="20"/>
                <w:szCs w:val="20"/>
              </w:rPr>
              <w:t>₂</w:t>
            </w:r>
            <w:r w:rsidRPr="00714A18">
              <w:rPr>
                <w:rFonts w:ascii="Arial" w:hAnsi="Arial" w:cs="Arial"/>
                <w:sz w:val="20"/>
                <w:szCs w:val="20"/>
              </w:rPr>
              <w:t xml:space="preserve"> emissions via purchase data</w:t>
            </w:r>
            <w:r w:rsidRPr="005356D0">
              <w:rPr>
                <w:rFonts w:ascii="Arial" w:hAnsi="Arial" w:cs="Arial"/>
                <w:sz w:val="20"/>
                <w:szCs w:val="20"/>
              </w:rPr>
              <w:t xml:space="preserve"> </w:t>
            </w:r>
          </w:p>
          <w:p w14:paraId="50FEBDA4" w14:textId="6FB327C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It follows the environmental-pioneer model, helping consumers and banks quantify their carbon footprints</w:t>
            </w:r>
            <w:r w:rsidRPr="005356D0">
              <w:rPr>
                <w:rFonts w:ascii="Arial" w:hAnsi="Arial" w:cs="Arial"/>
                <w:sz w:val="20"/>
                <w:szCs w:val="20"/>
              </w:rPr>
              <w:t xml:space="preserve"> </w:t>
            </w:r>
            <w:proofErr w:type="spellStart"/>
            <w:r w:rsidR="00C86D14" w:rsidRPr="005356D0">
              <w:rPr>
                <w:rFonts w:ascii="Arial" w:hAnsi="Arial" w:cs="Arial"/>
                <w:sz w:val="20"/>
                <w:szCs w:val="20"/>
              </w:rPr>
              <w:t>Yayzy</w:t>
            </w:r>
            <w:proofErr w:type="spellEnd"/>
            <w:r w:rsidR="00C86D14" w:rsidRPr="005356D0">
              <w:rPr>
                <w:rFonts w:ascii="Arial" w:hAnsi="Arial" w:cs="Arial"/>
                <w:sz w:val="20"/>
                <w:szCs w:val="20"/>
              </w:rPr>
              <w:t xml:space="preserve"> Ltd (2025) </w:t>
            </w:r>
          </w:p>
        </w:tc>
      </w:tr>
      <w:tr w:rsidR="00483D20" w:rsidRPr="00714A18" w14:paraId="41FC4970" w14:textId="77777777" w:rsidTr="009321AB">
        <w:tc>
          <w:tcPr>
            <w:tcW w:w="0" w:type="auto"/>
            <w:hideMark/>
          </w:tcPr>
          <w:p w14:paraId="3565B667"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Follower</w:t>
            </w:r>
          </w:p>
        </w:tc>
        <w:tc>
          <w:tcPr>
            <w:tcW w:w="0" w:type="auto"/>
            <w:hideMark/>
          </w:tcPr>
          <w:p w14:paraId="1A135906"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RSK Group</w:t>
            </w:r>
          </w:p>
        </w:tc>
        <w:tc>
          <w:tcPr>
            <w:tcW w:w="0" w:type="auto"/>
            <w:hideMark/>
          </w:tcPr>
          <w:p w14:paraId="734AF938" w14:textId="77777777" w:rsidR="00483D20" w:rsidRPr="005356D0" w:rsidRDefault="00483D20" w:rsidP="005356D0">
            <w:pPr>
              <w:spacing w:line="360" w:lineRule="auto"/>
              <w:jc w:val="both"/>
              <w:rPr>
                <w:rFonts w:ascii="Arial" w:hAnsi="Arial" w:cs="Arial"/>
                <w:sz w:val="20"/>
                <w:szCs w:val="20"/>
              </w:rPr>
            </w:pPr>
            <w:r w:rsidRPr="00714A18">
              <w:rPr>
                <w:rFonts w:ascii="Arial" w:hAnsi="Arial" w:cs="Arial"/>
                <w:sz w:val="20"/>
                <w:szCs w:val="20"/>
              </w:rPr>
              <w:t>UK environmental-engineering services company (turnover £2.2 bn in FY 2025)</w:t>
            </w:r>
          </w:p>
          <w:p w14:paraId="1E47C278" w14:textId="03457525" w:rsidR="00483D20" w:rsidRPr="00714A18" w:rsidRDefault="00483D20" w:rsidP="005356D0">
            <w:pPr>
              <w:spacing w:line="360" w:lineRule="auto"/>
              <w:jc w:val="both"/>
              <w:rPr>
                <w:rFonts w:ascii="Arial" w:hAnsi="Arial" w:cs="Arial"/>
                <w:sz w:val="20"/>
                <w:szCs w:val="20"/>
              </w:rPr>
            </w:pPr>
            <w:r w:rsidRPr="005356D0">
              <w:rPr>
                <w:rFonts w:ascii="Arial" w:hAnsi="Arial" w:cs="Arial"/>
                <w:sz w:val="20"/>
                <w:szCs w:val="20"/>
              </w:rPr>
              <w:t xml:space="preserve"> Despite being, large </w:t>
            </w:r>
            <w:r w:rsidRPr="00714A18">
              <w:rPr>
                <w:rFonts w:ascii="Arial" w:hAnsi="Arial" w:cs="Arial"/>
                <w:sz w:val="20"/>
                <w:szCs w:val="20"/>
              </w:rPr>
              <w:t>RSK is more of an implementer/follower in applying green engineering solutions across sectors rather than a pure innovator</w:t>
            </w:r>
            <w:r w:rsidRPr="005356D0">
              <w:rPr>
                <w:rFonts w:ascii="Arial" w:hAnsi="Arial" w:cs="Arial"/>
                <w:sz w:val="20"/>
                <w:szCs w:val="20"/>
              </w:rPr>
              <w:t xml:space="preserve"> </w:t>
            </w:r>
            <w:r w:rsidR="00C86D14" w:rsidRPr="005356D0">
              <w:rPr>
                <w:rFonts w:ascii="Arial" w:hAnsi="Arial" w:cs="Arial"/>
                <w:sz w:val="20"/>
                <w:szCs w:val="20"/>
              </w:rPr>
              <w:t xml:space="preserve">(RSK </w:t>
            </w:r>
            <w:proofErr w:type="gramStart"/>
            <w:r w:rsidR="00C86D14" w:rsidRPr="005356D0">
              <w:rPr>
                <w:rFonts w:ascii="Arial" w:hAnsi="Arial" w:cs="Arial"/>
                <w:sz w:val="20"/>
                <w:szCs w:val="20"/>
              </w:rPr>
              <w:t>Group ,</w:t>
            </w:r>
            <w:proofErr w:type="gramEnd"/>
            <w:r w:rsidR="00C86D14" w:rsidRPr="005356D0">
              <w:rPr>
                <w:rFonts w:ascii="Arial" w:hAnsi="Arial" w:cs="Arial"/>
                <w:sz w:val="20"/>
                <w:szCs w:val="20"/>
              </w:rPr>
              <w:t xml:space="preserve"> 2025). </w:t>
            </w:r>
          </w:p>
        </w:tc>
      </w:tr>
    </w:tbl>
    <w:p w14:paraId="289A25D3" w14:textId="77777777" w:rsidR="00A117DB" w:rsidRPr="005356D0" w:rsidRDefault="00A117DB" w:rsidP="005356D0">
      <w:pPr>
        <w:spacing w:line="360" w:lineRule="auto"/>
        <w:jc w:val="both"/>
        <w:rPr>
          <w:rFonts w:ascii="Arial" w:hAnsi="Arial" w:cs="Arial"/>
        </w:rPr>
      </w:pPr>
    </w:p>
    <w:p w14:paraId="1F556B44" w14:textId="7DF635F4" w:rsidR="00B26487" w:rsidRPr="005356D0" w:rsidRDefault="00B26487" w:rsidP="005356D0">
      <w:pPr>
        <w:pStyle w:val="Heading2"/>
        <w:rPr>
          <w:rFonts w:ascii="Arial" w:hAnsi="Arial" w:cs="Arial"/>
        </w:rPr>
      </w:pPr>
      <w:bookmarkStart w:id="11" w:name="_Toc214471806"/>
      <w:r w:rsidRPr="005356D0">
        <w:rPr>
          <w:rFonts w:ascii="Arial" w:hAnsi="Arial" w:cs="Arial"/>
        </w:rPr>
        <w:t>2.3 Critical Analysis of Each Actor</w:t>
      </w:r>
      <w:bookmarkEnd w:id="10"/>
      <w:bookmarkEnd w:id="11"/>
    </w:p>
    <w:p w14:paraId="643717A8" w14:textId="749964B3" w:rsidR="005572BC" w:rsidRPr="005356D0" w:rsidRDefault="00483D20" w:rsidP="005356D0">
      <w:pPr>
        <w:spacing w:after="160" w:line="360" w:lineRule="auto"/>
        <w:jc w:val="both"/>
        <w:rPr>
          <w:rFonts w:ascii="Arial" w:hAnsi="Arial" w:cs="Arial"/>
        </w:rPr>
      </w:pPr>
      <w:bookmarkStart w:id="12" w:name="_Toc211437174"/>
      <w:r w:rsidRPr="005356D0">
        <w:rPr>
          <w:rFonts w:ascii="Arial" w:hAnsi="Arial" w:cs="Arial"/>
          <w:noProof/>
        </w:rPr>
        <w:lastRenderedPageBreak/>
        <w:drawing>
          <wp:inline distT="0" distB="0" distL="0" distR="0" wp14:anchorId="3BB9127A" wp14:editId="2B3DE6C1">
            <wp:extent cx="5731510" cy="2621280"/>
            <wp:effectExtent l="76200" t="76200" r="135890" b="140970"/>
            <wp:docPr id="133875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750657" name=""/>
                    <pic:cNvPicPr/>
                  </pic:nvPicPr>
                  <pic:blipFill>
                    <a:blip r:embed="rId9"/>
                    <a:stretch>
                      <a:fillRect/>
                    </a:stretch>
                  </pic:blipFill>
                  <pic:spPr>
                    <a:xfrm>
                      <a:off x="0" y="0"/>
                      <a:ext cx="5731510" cy="2621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6A45EA" w14:textId="587688B9" w:rsidR="00B26487" w:rsidRPr="005356D0" w:rsidRDefault="00B26487" w:rsidP="005356D0">
      <w:pPr>
        <w:pStyle w:val="Heading1"/>
        <w:rPr>
          <w:rFonts w:ascii="Arial" w:hAnsi="Arial" w:cs="Arial"/>
        </w:rPr>
      </w:pPr>
      <w:bookmarkStart w:id="13" w:name="_Toc214471807"/>
      <w:r w:rsidRPr="005356D0">
        <w:rPr>
          <w:rFonts w:ascii="Arial" w:hAnsi="Arial" w:cs="Arial"/>
        </w:rPr>
        <w:t>3. Task 2: Strategic Responses of Pioneering and Follower Organisations (Approx. 1,000 words)</w:t>
      </w:r>
      <w:bookmarkEnd w:id="12"/>
      <w:bookmarkEnd w:id="13"/>
    </w:p>
    <w:p w14:paraId="6A091159" w14:textId="77777777" w:rsidR="00B26487" w:rsidRPr="005356D0" w:rsidRDefault="00B26487" w:rsidP="005356D0">
      <w:pPr>
        <w:pStyle w:val="Heading2"/>
        <w:rPr>
          <w:rFonts w:ascii="Arial" w:hAnsi="Arial" w:cs="Arial"/>
        </w:rPr>
      </w:pPr>
      <w:bookmarkStart w:id="14" w:name="_Toc211437175"/>
      <w:bookmarkStart w:id="15" w:name="_Toc214471808"/>
      <w:r w:rsidRPr="005356D0">
        <w:rPr>
          <w:rFonts w:ascii="Arial" w:hAnsi="Arial" w:cs="Arial"/>
        </w:rPr>
        <w:t>3.1 Pioneering Organisations’ Strategic Responses</w:t>
      </w:r>
      <w:bookmarkEnd w:id="14"/>
      <w:bookmarkEnd w:id="15"/>
    </w:p>
    <w:p w14:paraId="69201204" w14:textId="77777777" w:rsidR="00515B5B" w:rsidRPr="005356D0" w:rsidRDefault="00515B5B" w:rsidP="005356D0">
      <w:pPr>
        <w:spacing w:line="360" w:lineRule="auto"/>
        <w:jc w:val="both"/>
        <w:rPr>
          <w:rFonts w:ascii="Arial" w:hAnsi="Arial" w:cs="Arial"/>
        </w:rPr>
      </w:pPr>
      <w:bookmarkStart w:id="16" w:name="_Hlk214468448"/>
    </w:p>
    <w:p w14:paraId="07352A81" w14:textId="77777777" w:rsidR="00515B5B" w:rsidRPr="005356D0" w:rsidRDefault="00515B5B" w:rsidP="005356D0">
      <w:pPr>
        <w:spacing w:line="360" w:lineRule="auto"/>
        <w:jc w:val="both"/>
        <w:rPr>
          <w:rFonts w:ascii="Arial" w:hAnsi="Arial" w:cs="Arial"/>
        </w:rPr>
      </w:pPr>
      <w:r w:rsidRPr="005356D0">
        <w:rPr>
          <w:rFonts w:ascii="Arial" w:hAnsi="Arial" w:cs="Arial"/>
        </w:rPr>
        <w:t xml:space="preserve">The strategic responses of the Pioneers company are discussed through the Ansoff Matrix, initially, where aspects like Market penetration, product development, Market development, and diversification are considered. Both the pioneer companies are considered for providing a comparative analysis. </w:t>
      </w:r>
    </w:p>
    <w:p w14:paraId="1DAC4698" w14:textId="77777777" w:rsidR="00515B5B" w:rsidRPr="005356D0" w:rsidRDefault="00515B5B" w:rsidP="005356D0">
      <w:pPr>
        <w:pStyle w:val="Heading2"/>
        <w:rPr>
          <w:rFonts w:ascii="Arial" w:hAnsi="Arial" w:cs="Arial"/>
        </w:rPr>
      </w:pPr>
      <w:bookmarkStart w:id="17" w:name="_Toc214471809"/>
      <w:r w:rsidRPr="005356D0">
        <w:rPr>
          <w:rFonts w:ascii="Arial" w:hAnsi="Arial" w:cs="Arial"/>
        </w:rPr>
        <w:t>Ansoff’s Growth Matrix</w:t>
      </w:r>
      <w:bookmarkEnd w:id="17"/>
    </w:p>
    <w:tbl>
      <w:tblPr>
        <w:tblStyle w:val="TableGrid"/>
        <w:tblW w:w="0" w:type="auto"/>
        <w:tblLook w:val="04A0" w:firstRow="1" w:lastRow="0" w:firstColumn="1" w:lastColumn="0" w:noHBand="0" w:noVBand="1"/>
      </w:tblPr>
      <w:tblGrid>
        <w:gridCol w:w="1573"/>
        <w:gridCol w:w="3476"/>
        <w:gridCol w:w="3967"/>
      </w:tblGrid>
      <w:tr w:rsidR="00C86D14" w:rsidRPr="005356D0" w14:paraId="7EDED038" w14:textId="77777777" w:rsidTr="009321AB">
        <w:tc>
          <w:tcPr>
            <w:tcW w:w="0" w:type="auto"/>
            <w:hideMark/>
          </w:tcPr>
          <w:p w14:paraId="751D03BE"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Growth Strategy</w:t>
            </w:r>
          </w:p>
        </w:tc>
        <w:tc>
          <w:tcPr>
            <w:tcW w:w="0" w:type="auto"/>
            <w:hideMark/>
          </w:tcPr>
          <w:p w14:paraId="752577A5" w14:textId="77777777" w:rsidR="00515B5B" w:rsidRPr="00D45A1A" w:rsidRDefault="00515B5B" w:rsidP="005356D0">
            <w:pPr>
              <w:spacing w:line="360" w:lineRule="auto"/>
              <w:jc w:val="center"/>
              <w:rPr>
                <w:rFonts w:ascii="Arial" w:hAnsi="Arial" w:cs="Arial"/>
                <w:b/>
                <w:bCs/>
                <w:i/>
                <w:iCs/>
                <w:sz w:val="20"/>
                <w:szCs w:val="20"/>
                <w:u w:val="single"/>
              </w:rPr>
            </w:pPr>
            <w:r w:rsidRPr="00D45A1A">
              <w:rPr>
                <w:rFonts w:ascii="Arial" w:hAnsi="Arial" w:cs="Arial"/>
                <w:b/>
                <w:bCs/>
                <w:i/>
                <w:iCs/>
                <w:sz w:val="20"/>
                <w:szCs w:val="20"/>
                <w:u w:val="single"/>
              </w:rPr>
              <w:t>Octopus Energy</w:t>
            </w:r>
          </w:p>
        </w:tc>
        <w:tc>
          <w:tcPr>
            <w:tcW w:w="0" w:type="auto"/>
            <w:hideMark/>
          </w:tcPr>
          <w:p w14:paraId="396BFD3D" w14:textId="77777777" w:rsidR="00515B5B" w:rsidRPr="00D45A1A" w:rsidRDefault="00515B5B" w:rsidP="005356D0">
            <w:pPr>
              <w:spacing w:line="360" w:lineRule="auto"/>
              <w:jc w:val="center"/>
              <w:rPr>
                <w:rFonts w:ascii="Arial" w:hAnsi="Arial" w:cs="Arial"/>
                <w:b/>
                <w:bCs/>
                <w:i/>
                <w:iCs/>
                <w:sz w:val="20"/>
                <w:szCs w:val="20"/>
                <w:u w:val="single"/>
              </w:rPr>
            </w:pPr>
            <w:proofErr w:type="spellStart"/>
            <w:r w:rsidRPr="00D45A1A">
              <w:rPr>
                <w:rFonts w:ascii="Arial" w:hAnsi="Arial" w:cs="Arial"/>
                <w:b/>
                <w:bCs/>
                <w:i/>
                <w:iCs/>
                <w:sz w:val="20"/>
                <w:szCs w:val="20"/>
                <w:u w:val="single"/>
              </w:rPr>
              <w:t>Polymateria</w:t>
            </w:r>
            <w:proofErr w:type="spellEnd"/>
          </w:p>
        </w:tc>
      </w:tr>
      <w:tr w:rsidR="00C86D14" w:rsidRPr="005356D0" w14:paraId="40CCF94E" w14:textId="77777777" w:rsidTr="009321AB">
        <w:tc>
          <w:tcPr>
            <w:tcW w:w="0" w:type="auto"/>
            <w:hideMark/>
          </w:tcPr>
          <w:p w14:paraId="44E6E3FD"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Market Penetration</w:t>
            </w:r>
          </w:p>
        </w:tc>
        <w:tc>
          <w:tcPr>
            <w:tcW w:w="0" w:type="auto"/>
            <w:hideMark/>
          </w:tcPr>
          <w:p w14:paraId="68C52D43" w14:textId="5B89239B"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Rapid UK customer growth</w:t>
            </w:r>
            <w:r w:rsidRPr="005356D0">
              <w:rPr>
                <w:rFonts w:ascii="Arial" w:hAnsi="Arial" w:cs="Arial"/>
                <w:sz w:val="20"/>
                <w:szCs w:val="20"/>
              </w:rPr>
              <w:t xml:space="preserve">, as witnessed from </w:t>
            </w:r>
            <w:r w:rsidRPr="00D45A1A">
              <w:rPr>
                <w:rFonts w:ascii="Arial" w:hAnsi="Arial" w:cs="Arial"/>
                <w:sz w:val="20"/>
                <w:szCs w:val="20"/>
              </w:rPr>
              <w:t>12.9 million meters (~23.7% market share as of Jan 2025)</w:t>
            </w:r>
            <w:r w:rsidRPr="005356D0">
              <w:rPr>
                <w:rFonts w:ascii="Arial" w:hAnsi="Arial" w:cs="Arial"/>
                <w:sz w:val="20"/>
                <w:szCs w:val="20"/>
              </w:rPr>
              <w:t xml:space="preserve"> </w:t>
            </w:r>
            <w:r w:rsidR="00C86D14" w:rsidRPr="005356D0">
              <w:rPr>
                <w:rFonts w:ascii="Arial" w:hAnsi="Arial" w:cs="Arial"/>
                <w:sz w:val="20"/>
                <w:szCs w:val="20"/>
              </w:rPr>
              <w:t>(</w:t>
            </w:r>
            <w:r w:rsidR="00C86D14" w:rsidRPr="00F47EF4">
              <w:rPr>
                <w:rFonts w:ascii="Arial" w:hAnsi="Arial" w:cs="Arial"/>
                <w:sz w:val="20"/>
                <w:szCs w:val="20"/>
              </w:rPr>
              <w:t>Octopus Energy</w:t>
            </w:r>
            <w:r w:rsidR="00C86D14" w:rsidRPr="005356D0">
              <w:rPr>
                <w:rFonts w:ascii="Arial" w:hAnsi="Arial" w:cs="Arial"/>
                <w:sz w:val="20"/>
                <w:szCs w:val="20"/>
              </w:rPr>
              <w:t xml:space="preserve">, </w:t>
            </w:r>
            <w:r w:rsidR="00C86D14" w:rsidRPr="00F47EF4">
              <w:rPr>
                <w:rFonts w:ascii="Arial" w:hAnsi="Arial" w:cs="Arial"/>
                <w:sz w:val="20"/>
                <w:szCs w:val="20"/>
              </w:rPr>
              <w:t xml:space="preserve">2025) </w:t>
            </w:r>
          </w:p>
        </w:tc>
        <w:tc>
          <w:tcPr>
            <w:tcW w:w="0" w:type="auto"/>
            <w:hideMark/>
          </w:tcPr>
          <w:p w14:paraId="6F6640B3" w14:textId="1DCA3911"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Push current biodegradable tech into existing packaging markets via licensing to large brands/manufacturers</w:t>
            </w:r>
            <w:r w:rsidRPr="005356D0">
              <w:rPr>
                <w:rFonts w:ascii="Arial" w:hAnsi="Arial" w:cs="Arial"/>
                <w:sz w:val="20"/>
                <w:szCs w:val="20"/>
              </w:rPr>
              <w:t xml:space="preserve"> </w:t>
            </w:r>
            <w:proofErr w:type="gramStart"/>
            <w:r w:rsidRPr="005356D0">
              <w:rPr>
                <w:rFonts w:ascii="Arial" w:hAnsi="Arial" w:cs="Arial"/>
                <w:sz w:val="20"/>
                <w:szCs w:val="20"/>
              </w:rPr>
              <w:t>(</w:t>
            </w:r>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Ltd, 2025</w:t>
            </w:r>
            <w:proofErr w:type="gramStart"/>
            <w:r w:rsidR="00C86D14" w:rsidRPr="005356D0">
              <w:rPr>
                <w:rFonts w:ascii="Arial" w:hAnsi="Arial" w:cs="Arial"/>
                <w:sz w:val="20"/>
                <w:szCs w:val="20"/>
              </w:rPr>
              <w:t xml:space="preserve">) </w:t>
            </w:r>
            <w:r w:rsidRPr="00D45A1A">
              <w:rPr>
                <w:rFonts w:ascii="Arial" w:hAnsi="Arial" w:cs="Arial"/>
                <w:sz w:val="20"/>
                <w:szCs w:val="20"/>
              </w:rPr>
              <w:t>.</w:t>
            </w:r>
            <w:proofErr w:type="gramEnd"/>
          </w:p>
        </w:tc>
      </w:tr>
      <w:tr w:rsidR="00C86D14" w:rsidRPr="005356D0" w14:paraId="2546F966" w14:textId="77777777" w:rsidTr="009321AB">
        <w:tc>
          <w:tcPr>
            <w:tcW w:w="0" w:type="auto"/>
            <w:hideMark/>
          </w:tcPr>
          <w:p w14:paraId="1284FCEE"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Product Development</w:t>
            </w:r>
          </w:p>
        </w:tc>
        <w:tc>
          <w:tcPr>
            <w:tcW w:w="0" w:type="auto"/>
            <w:hideMark/>
          </w:tcPr>
          <w:p w14:paraId="12E7F6E7" w14:textId="7C1FEDB0"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Develops and upsells smart-tariff products, EV charging, heat-pump installations</w:t>
            </w:r>
            <w:r w:rsidRPr="005356D0">
              <w:rPr>
                <w:rFonts w:ascii="Arial" w:hAnsi="Arial" w:cs="Arial"/>
                <w:sz w:val="20"/>
                <w:szCs w:val="20"/>
              </w:rPr>
              <w:t xml:space="preserve"> with its new innovations there making it a process pioneers</w:t>
            </w:r>
            <w:r w:rsidR="00C86D14" w:rsidRPr="005356D0">
              <w:rPr>
                <w:rFonts w:ascii="Arial" w:hAnsi="Arial" w:cs="Arial"/>
                <w:sz w:val="20"/>
                <w:szCs w:val="20"/>
              </w:rPr>
              <w:t xml:space="preserve"> (</w:t>
            </w:r>
            <w:r w:rsidR="00C86D14" w:rsidRPr="00F47EF4">
              <w:rPr>
                <w:rFonts w:ascii="Arial" w:hAnsi="Arial" w:cs="Arial"/>
                <w:sz w:val="20"/>
                <w:szCs w:val="20"/>
              </w:rPr>
              <w:t>Octopus Energy</w:t>
            </w:r>
            <w:r w:rsidR="00C86D14" w:rsidRPr="005356D0">
              <w:rPr>
                <w:rFonts w:ascii="Arial" w:hAnsi="Arial" w:cs="Arial"/>
                <w:sz w:val="20"/>
                <w:szCs w:val="20"/>
              </w:rPr>
              <w:t xml:space="preserve">, </w:t>
            </w:r>
            <w:r w:rsidR="00C86D14" w:rsidRPr="00F47EF4">
              <w:rPr>
                <w:rFonts w:ascii="Arial" w:hAnsi="Arial" w:cs="Arial"/>
                <w:sz w:val="20"/>
                <w:szCs w:val="20"/>
              </w:rPr>
              <w:t xml:space="preserve">2025) </w:t>
            </w:r>
          </w:p>
        </w:tc>
        <w:tc>
          <w:tcPr>
            <w:tcW w:w="0" w:type="auto"/>
            <w:hideMark/>
          </w:tcPr>
          <w:p w14:paraId="67F7B77C" w14:textId="012E9EF8"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Biotransformation masterbatch that can be drop-in for existing plastic production, enabling time-controlled biodegradation</w:t>
            </w:r>
            <w:r w:rsidRPr="005356D0">
              <w:rPr>
                <w:rFonts w:ascii="Arial" w:hAnsi="Arial" w:cs="Arial"/>
                <w:sz w:val="20"/>
                <w:szCs w:val="20"/>
              </w:rPr>
              <w:t xml:space="preserve"> </w:t>
            </w:r>
            <w:proofErr w:type="gramStart"/>
            <w:r w:rsidRPr="005356D0">
              <w:rPr>
                <w:rFonts w:ascii="Arial" w:hAnsi="Arial" w:cs="Arial"/>
                <w:sz w:val="20"/>
                <w:szCs w:val="20"/>
              </w:rPr>
              <w:t>(</w:t>
            </w:r>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w:t>
            </w:r>
            <w:proofErr w:type="gramStart"/>
            <w:r w:rsidR="00C86D14" w:rsidRPr="005356D0">
              <w:rPr>
                <w:rFonts w:ascii="Arial" w:hAnsi="Arial" w:cs="Arial"/>
                <w:sz w:val="20"/>
                <w:szCs w:val="20"/>
              </w:rPr>
              <w:t>Ltd ,</w:t>
            </w:r>
            <w:proofErr w:type="gramEnd"/>
            <w:r w:rsidR="00C86D14" w:rsidRPr="005356D0">
              <w:rPr>
                <w:rFonts w:ascii="Arial" w:hAnsi="Arial" w:cs="Arial"/>
                <w:sz w:val="20"/>
                <w:szCs w:val="20"/>
              </w:rPr>
              <w:t xml:space="preserve"> 2025) </w:t>
            </w:r>
          </w:p>
        </w:tc>
      </w:tr>
      <w:tr w:rsidR="00C86D14" w:rsidRPr="005356D0" w14:paraId="6941BB67" w14:textId="77777777" w:rsidTr="009321AB">
        <w:tc>
          <w:tcPr>
            <w:tcW w:w="0" w:type="auto"/>
            <w:hideMark/>
          </w:tcPr>
          <w:p w14:paraId="2EDA805E"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Market Development</w:t>
            </w:r>
          </w:p>
        </w:tc>
        <w:tc>
          <w:tcPr>
            <w:tcW w:w="0" w:type="auto"/>
            <w:hideMark/>
          </w:tcPr>
          <w:p w14:paraId="0F7B667A" w14:textId="4C240358"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Expanding Kraken platform globally; non-UK retail base tripled to 1.2 million</w:t>
            </w:r>
            <w:r w:rsidRPr="005356D0">
              <w:rPr>
                <w:rFonts w:ascii="Arial" w:hAnsi="Arial" w:cs="Arial"/>
                <w:sz w:val="20"/>
                <w:szCs w:val="20"/>
              </w:rPr>
              <w:t xml:space="preserve"> (</w:t>
            </w:r>
            <w:r w:rsidR="00C86D14" w:rsidRPr="00F47EF4">
              <w:rPr>
                <w:rFonts w:ascii="Arial" w:hAnsi="Arial" w:cs="Arial"/>
                <w:sz w:val="20"/>
                <w:szCs w:val="20"/>
              </w:rPr>
              <w:t>Octopus Energy</w:t>
            </w:r>
            <w:r w:rsidR="00C86D14" w:rsidRPr="005356D0">
              <w:rPr>
                <w:rFonts w:ascii="Arial" w:hAnsi="Arial" w:cs="Arial"/>
                <w:sz w:val="20"/>
                <w:szCs w:val="20"/>
              </w:rPr>
              <w:t xml:space="preserve">, </w:t>
            </w:r>
            <w:r w:rsidR="00C86D14" w:rsidRPr="00F47EF4">
              <w:rPr>
                <w:rFonts w:ascii="Arial" w:hAnsi="Arial" w:cs="Arial"/>
                <w:sz w:val="20"/>
                <w:szCs w:val="20"/>
              </w:rPr>
              <w:t>2025</w:t>
            </w:r>
            <w:proofErr w:type="gramStart"/>
            <w:r w:rsidR="00C86D14" w:rsidRPr="00F47EF4">
              <w:rPr>
                <w:rFonts w:ascii="Arial" w:hAnsi="Arial" w:cs="Arial"/>
                <w:sz w:val="20"/>
                <w:szCs w:val="20"/>
              </w:rPr>
              <w:t xml:space="preserve">) </w:t>
            </w:r>
            <w:r w:rsidR="00C86D14" w:rsidRPr="005356D0">
              <w:rPr>
                <w:rFonts w:ascii="Arial" w:hAnsi="Arial" w:cs="Arial"/>
                <w:sz w:val="20"/>
                <w:szCs w:val="20"/>
              </w:rPr>
              <w:t>)</w:t>
            </w:r>
            <w:proofErr w:type="gramEnd"/>
          </w:p>
        </w:tc>
        <w:tc>
          <w:tcPr>
            <w:tcW w:w="0" w:type="auto"/>
            <w:hideMark/>
          </w:tcPr>
          <w:p w14:paraId="0C16FF03" w14:textId="749538B4"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Entering new geographies: recently signed distribution/roll-out deals (e.g., Malaysia) for biotransformation tech</w:t>
            </w:r>
            <w:r w:rsidRPr="005356D0">
              <w:rPr>
                <w:rFonts w:ascii="Arial" w:hAnsi="Arial" w:cs="Arial"/>
                <w:sz w:val="20"/>
                <w:szCs w:val="20"/>
              </w:rPr>
              <w:t xml:space="preserve"> </w:t>
            </w:r>
            <w:proofErr w:type="gramStart"/>
            <w:r w:rsidRPr="005356D0">
              <w:rPr>
                <w:rFonts w:ascii="Arial" w:hAnsi="Arial" w:cs="Arial"/>
                <w:sz w:val="20"/>
                <w:szCs w:val="20"/>
              </w:rPr>
              <w:t>(</w:t>
            </w:r>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w:t>
            </w:r>
            <w:proofErr w:type="gramStart"/>
            <w:r w:rsidR="00C86D14" w:rsidRPr="005356D0">
              <w:rPr>
                <w:rFonts w:ascii="Arial" w:hAnsi="Arial" w:cs="Arial"/>
                <w:sz w:val="20"/>
                <w:szCs w:val="20"/>
              </w:rPr>
              <w:t>Ltd ,</w:t>
            </w:r>
            <w:proofErr w:type="gramEnd"/>
            <w:r w:rsidR="00C86D14" w:rsidRPr="005356D0">
              <w:rPr>
                <w:rFonts w:ascii="Arial" w:hAnsi="Arial" w:cs="Arial"/>
                <w:sz w:val="20"/>
                <w:szCs w:val="20"/>
              </w:rPr>
              <w:t xml:space="preserve"> 2025) </w:t>
            </w:r>
          </w:p>
        </w:tc>
      </w:tr>
      <w:tr w:rsidR="00C86D14" w:rsidRPr="005356D0" w14:paraId="35043456" w14:textId="77777777" w:rsidTr="009321AB">
        <w:tc>
          <w:tcPr>
            <w:tcW w:w="0" w:type="auto"/>
            <w:hideMark/>
          </w:tcPr>
          <w:p w14:paraId="19BF49CB"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lastRenderedPageBreak/>
              <w:t>Diversification</w:t>
            </w:r>
          </w:p>
        </w:tc>
        <w:tc>
          <w:tcPr>
            <w:tcW w:w="0" w:type="auto"/>
            <w:hideMark/>
          </w:tcPr>
          <w:p w14:paraId="5A7EAF63" w14:textId="6D7B5CBC"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Licensing Kraken OS into water and telecom utilities</w:t>
            </w:r>
            <w:r w:rsidRPr="005356D0">
              <w:rPr>
                <w:rFonts w:ascii="Arial" w:hAnsi="Arial" w:cs="Arial"/>
                <w:sz w:val="20"/>
                <w:szCs w:val="20"/>
              </w:rPr>
              <w:t>, another novelty making it a pioneer</w:t>
            </w:r>
            <w:r w:rsidR="00C86D14" w:rsidRPr="005356D0">
              <w:rPr>
                <w:rFonts w:ascii="Arial" w:hAnsi="Arial" w:cs="Arial"/>
                <w:sz w:val="20"/>
                <w:szCs w:val="20"/>
              </w:rPr>
              <w:t xml:space="preserve"> (</w:t>
            </w:r>
            <w:r w:rsidR="00C86D14" w:rsidRPr="00F47EF4">
              <w:rPr>
                <w:rFonts w:ascii="Arial" w:hAnsi="Arial" w:cs="Arial"/>
                <w:sz w:val="20"/>
                <w:szCs w:val="20"/>
              </w:rPr>
              <w:t>Octopus Energy</w:t>
            </w:r>
            <w:r w:rsidR="00C86D14" w:rsidRPr="005356D0">
              <w:rPr>
                <w:rFonts w:ascii="Arial" w:hAnsi="Arial" w:cs="Arial"/>
                <w:sz w:val="20"/>
                <w:szCs w:val="20"/>
              </w:rPr>
              <w:t xml:space="preserve">, </w:t>
            </w:r>
            <w:r w:rsidR="00C86D14" w:rsidRPr="00F47EF4">
              <w:rPr>
                <w:rFonts w:ascii="Arial" w:hAnsi="Arial" w:cs="Arial"/>
                <w:sz w:val="20"/>
                <w:szCs w:val="20"/>
              </w:rPr>
              <w:t xml:space="preserve">2025) </w:t>
            </w:r>
          </w:p>
        </w:tc>
        <w:tc>
          <w:tcPr>
            <w:tcW w:w="0" w:type="auto"/>
            <w:hideMark/>
          </w:tcPr>
          <w:p w14:paraId="491B3D1C" w14:textId="200AE1CC"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Exploring different polymer applications (films, non-woven, PP/PE packaging) for biodegradation in various segments</w:t>
            </w:r>
            <w:r w:rsidR="00C86D14" w:rsidRPr="005356D0">
              <w:rPr>
                <w:rFonts w:ascii="Arial" w:hAnsi="Arial" w:cs="Arial"/>
                <w:sz w:val="20"/>
                <w:szCs w:val="20"/>
              </w:rPr>
              <w:t xml:space="preserve"> </w:t>
            </w:r>
            <w:proofErr w:type="gramStart"/>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Ltd, 2025) </w:t>
            </w:r>
          </w:p>
        </w:tc>
      </w:tr>
    </w:tbl>
    <w:p w14:paraId="3AF5EA95" w14:textId="77777777" w:rsidR="00515B5B" w:rsidRPr="005356D0" w:rsidRDefault="00515B5B" w:rsidP="005356D0">
      <w:pPr>
        <w:spacing w:line="360" w:lineRule="auto"/>
        <w:jc w:val="both"/>
        <w:rPr>
          <w:rFonts w:ascii="Arial" w:hAnsi="Arial" w:cs="Arial"/>
        </w:rPr>
      </w:pPr>
    </w:p>
    <w:p w14:paraId="7CEFACD5" w14:textId="0064ED72" w:rsidR="00B26487" w:rsidRPr="005356D0" w:rsidRDefault="00B26487" w:rsidP="005356D0">
      <w:pPr>
        <w:pStyle w:val="Heading2"/>
        <w:rPr>
          <w:rFonts w:ascii="Arial" w:hAnsi="Arial" w:cs="Arial"/>
        </w:rPr>
      </w:pPr>
      <w:bookmarkStart w:id="18" w:name="_Toc214471810"/>
      <w:r w:rsidRPr="005356D0">
        <w:rPr>
          <w:rFonts w:ascii="Arial" w:hAnsi="Arial" w:cs="Arial"/>
        </w:rPr>
        <w:t>Porter’s Generic Strategies</w:t>
      </w:r>
      <w:bookmarkEnd w:id="18"/>
    </w:p>
    <w:p w14:paraId="24C3BF26" w14:textId="5694A3D8" w:rsidR="00E36735" w:rsidRPr="00087220" w:rsidRDefault="00E36735" w:rsidP="005356D0">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1705"/>
        <w:gridCol w:w="3253"/>
        <w:gridCol w:w="4058"/>
      </w:tblGrid>
      <w:tr w:rsidR="005356D0" w:rsidRPr="005356D0" w14:paraId="72839F66" w14:textId="77777777" w:rsidTr="00E36735">
        <w:tc>
          <w:tcPr>
            <w:tcW w:w="0" w:type="auto"/>
            <w:hideMark/>
          </w:tcPr>
          <w:p w14:paraId="0488DDDD" w14:textId="77777777" w:rsidR="00E36735" w:rsidRPr="00087220" w:rsidRDefault="00E36735" w:rsidP="005356D0">
            <w:pPr>
              <w:spacing w:line="360" w:lineRule="auto"/>
              <w:jc w:val="both"/>
              <w:rPr>
                <w:rFonts w:ascii="Arial" w:hAnsi="Arial" w:cs="Arial"/>
                <w:b/>
                <w:bCs/>
                <w:sz w:val="20"/>
                <w:szCs w:val="20"/>
              </w:rPr>
            </w:pPr>
            <w:r w:rsidRPr="00087220">
              <w:rPr>
                <w:rFonts w:ascii="Arial" w:hAnsi="Arial" w:cs="Arial"/>
                <w:b/>
                <w:bCs/>
                <w:sz w:val="20"/>
                <w:szCs w:val="20"/>
              </w:rPr>
              <w:t>Strategy Type</w:t>
            </w:r>
          </w:p>
        </w:tc>
        <w:tc>
          <w:tcPr>
            <w:tcW w:w="0" w:type="auto"/>
            <w:hideMark/>
          </w:tcPr>
          <w:p w14:paraId="11B41E96" w14:textId="77777777" w:rsidR="00E36735" w:rsidRPr="00087220" w:rsidRDefault="00E36735" w:rsidP="005356D0">
            <w:pPr>
              <w:spacing w:line="360" w:lineRule="auto"/>
              <w:jc w:val="both"/>
              <w:rPr>
                <w:rFonts w:ascii="Arial" w:hAnsi="Arial" w:cs="Arial"/>
                <w:b/>
                <w:bCs/>
                <w:sz w:val="20"/>
                <w:szCs w:val="20"/>
              </w:rPr>
            </w:pPr>
            <w:r w:rsidRPr="00087220">
              <w:rPr>
                <w:rFonts w:ascii="Arial" w:hAnsi="Arial" w:cs="Arial"/>
                <w:b/>
                <w:bCs/>
                <w:sz w:val="20"/>
                <w:szCs w:val="20"/>
              </w:rPr>
              <w:t>Octopus Energy</w:t>
            </w:r>
            <w:r w:rsidRPr="005356D0">
              <w:rPr>
                <w:rFonts w:ascii="Arial" w:hAnsi="Arial" w:cs="Arial"/>
                <w:b/>
                <w:bCs/>
                <w:sz w:val="20"/>
                <w:szCs w:val="20"/>
              </w:rPr>
              <w:t xml:space="preserve">’s strategic responses and how it abides by the nuances of the macro-marketing environment. </w:t>
            </w:r>
          </w:p>
        </w:tc>
        <w:tc>
          <w:tcPr>
            <w:tcW w:w="0" w:type="auto"/>
            <w:hideMark/>
          </w:tcPr>
          <w:p w14:paraId="460615EB" w14:textId="77777777" w:rsidR="00E36735" w:rsidRPr="00087220" w:rsidRDefault="00E36735" w:rsidP="005356D0">
            <w:pPr>
              <w:spacing w:line="360" w:lineRule="auto"/>
              <w:jc w:val="both"/>
              <w:rPr>
                <w:rFonts w:ascii="Arial" w:hAnsi="Arial" w:cs="Arial"/>
                <w:b/>
                <w:bCs/>
                <w:sz w:val="20"/>
                <w:szCs w:val="20"/>
              </w:rPr>
            </w:pPr>
            <w:proofErr w:type="spellStart"/>
            <w:r w:rsidRPr="00087220">
              <w:rPr>
                <w:rFonts w:ascii="Arial" w:hAnsi="Arial" w:cs="Arial"/>
                <w:b/>
                <w:bCs/>
                <w:sz w:val="20"/>
                <w:szCs w:val="20"/>
              </w:rPr>
              <w:t>Polymateria</w:t>
            </w:r>
            <w:proofErr w:type="spellEnd"/>
            <w:r w:rsidRPr="005356D0">
              <w:rPr>
                <w:rFonts w:ascii="Arial" w:hAnsi="Arial" w:cs="Arial"/>
                <w:b/>
                <w:bCs/>
                <w:sz w:val="20"/>
                <w:szCs w:val="20"/>
              </w:rPr>
              <w:t>, as in marketeers' strategy to abide by the external marketing environment</w:t>
            </w:r>
          </w:p>
        </w:tc>
      </w:tr>
      <w:tr w:rsidR="005356D0" w:rsidRPr="005356D0" w14:paraId="75E44FAE" w14:textId="77777777" w:rsidTr="00E36735">
        <w:tc>
          <w:tcPr>
            <w:tcW w:w="0" w:type="auto"/>
            <w:hideMark/>
          </w:tcPr>
          <w:p w14:paraId="3E8713C0"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b/>
                <w:bCs/>
                <w:sz w:val="20"/>
                <w:szCs w:val="20"/>
              </w:rPr>
              <w:t>Differentiation</w:t>
            </w:r>
          </w:p>
        </w:tc>
        <w:tc>
          <w:tcPr>
            <w:tcW w:w="0" w:type="auto"/>
            <w:hideMark/>
          </w:tcPr>
          <w:p w14:paraId="5F0D84CA" w14:textId="77777777" w:rsidR="00E36735" w:rsidRPr="00087220" w:rsidRDefault="00E36735" w:rsidP="005356D0">
            <w:pPr>
              <w:spacing w:line="360" w:lineRule="auto"/>
              <w:jc w:val="both"/>
              <w:rPr>
                <w:rFonts w:ascii="Arial" w:hAnsi="Arial" w:cs="Arial"/>
                <w:sz w:val="20"/>
                <w:szCs w:val="20"/>
              </w:rPr>
            </w:pPr>
            <w:r w:rsidRPr="005356D0">
              <w:rPr>
                <w:rFonts w:ascii="Arial" w:hAnsi="Arial" w:cs="Arial"/>
                <w:sz w:val="20"/>
                <w:szCs w:val="20"/>
              </w:rPr>
              <w:t xml:space="preserve">Marketeers are enabled to use </w:t>
            </w:r>
            <w:r w:rsidRPr="00087220">
              <w:rPr>
                <w:rFonts w:ascii="Arial" w:hAnsi="Arial" w:cs="Arial"/>
                <w:sz w:val="20"/>
                <w:szCs w:val="20"/>
              </w:rPr>
              <w:t>proprietary Kraken tech to deliver dynamic pricing, excellent customer service, and smart-grid integration</w:t>
            </w:r>
          </w:p>
        </w:tc>
        <w:tc>
          <w:tcPr>
            <w:tcW w:w="0" w:type="auto"/>
            <w:hideMark/>
          </w:tcPr>
          <w:p w14:paraId="24AC23A2" w14:textId="77777777" w:rsidR="00E36735" w:rsidRPr="005356D0" w:rsidRDefault="00E36735" w:rsidP="005356D0">
            <w:pPr>
              <w:spacing w:line="360" w:lineRule="auto"/>
              <w:jc w:val="both"/>
              <w:rPr>
                <w:rFonts w:ascii="Arial" w:hAnsi="Arial" w:cs="Arial"/>
                <w:sz w:val="20"/>
                <w:szCs w:val="20"/>
              </w:rPr>
            </w:pPr>
            <w:r w:rsidRPr="00087220">
              <w:rPr>
                <w:rFonts w:ascii="Arial" w:hAnsi="Arial" w:cs="Arial"/>
                <w:sz w:val="20"/>
                <w:szCs w:val="20"/>
              </w:rPr>
              <w:t xml:space="preserve">Offers </w:t>
            </w:r>
            <w:r w:rsidRPr="005356D0">
              <w:rPr>
                <w:rFonts w:ascii="Arial" w:hAnsi="Arial" w:cs="Arial"/>
                <w:sz w:val="20"/>
                <w:szCs w:val="20"/>
              </w:rPr>
              <w:t xml:space="preserve">a </w:t>
            </w:r>
            <w:r w:rsidRPr="00087220">
              <w:rPr>
                <w:rFonts w:ascii="Arial" w:hAnsi="Arial" w:cs="Arial"/>
                <w:sz w:val="20"/>
                <w:szCs w:val="20"/>
              </w:rPr>
              <w:t>unique biotransformation plastic additive</w:t>
            </w:r>
          </w:p>
          <w:p w14:paraId="7ADFC70E"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time-controlled biodegradation, no microplastics, scientifically validated</w:t>
            </w:r>
          </w:p>
        </w:tc>
      </w:tr>
      <w:tr w:rsidR="005356D0" w:rsidRPr="005356D0" w14:paraId="31E30488" w14:textId="77777777" w:rsidTr="00E36735">
        <w:tc>
          <w:tcPr>
            <w:tcW w:w="0" w:type="auto"/>
            <w:hideMark/>
          </w:tcPr>
          <w:p w14:paraId="52D1C01E"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b/>
                <w:bCs/>
                <w:sz w:val="20"/>
                <w:szCs w:val="20"/>
              </w:rPr>
              <w:t>Cost Leadership</w:t>
            </w:r>
          </w:p>
        </w:tc>
        <w:tc>
          <w:tcPr>
            <w:tcW w:w="0" w:type="auto"/>
            <w:hideMark/>
          </w:tcPr>
          <w:p w14:paraId="53C42D1E"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Absorbed £74 million in costs in FY24 to keep tariffs below price cap</w:t>
            </w:r>
            <w:r w:rsidRPr="005356D0">
              <w:rPr>
                <w:rFonts w:ascii="Arial" w:hAnsi="Arial" w:cs="Arial"/>
                <w:sz w:val="20"/>
                <w:szCs w:val="20"/>
              </w:rPr>
              <w:t xml:space="preserve">, which again the marketeers are required to consider </w:t>
            </w:r>
          </w:p>
        </w:tc>
        <w:tc>
          <w:tcPr>
            <w:tcW w:w="0" w:type="auto"/>
            <w:hideMark/>
          </w:tcPr>
          <w:p w14:paraId="2803B928" w14:textId="6E44CE1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Scales via licensing model rather than large capex</w:t>
            </w:r>
            <w:r w:rsidRPr="005356D0">
              <w:rPr>
                <w:rFonts w:ascii="Arial" w:hAnsi="Arial" w:cs="Arial"/>
                <w:sz w:val="20"/>
                <w:szCs w:val="20"/>
              </w:rPr>
              <w:t xml:space="preserve">, </w:t>
            </w:r>
            <w:r w:rsidRPr="00087220">
              <w:rPr>
                <w:rFonts w:ascii="Arial" w:hAnsi="Arial" w:cs="Arial"/>
                <w:sz w:val="20"/>
                <w:szCs w:val="20"/>
              </w:rPr>
              <w:t>cheaper for manufacturers to adopt the additive than build new composting or recycling lines</w:t>
            </w:r>
            <w:r w:rsidRPr="005356D0">
              <w:rPr>
                <w:rFonts w:ascii="Arial" w:hAnsi="Arial" w:cs="Arial"/>
                <w:sz w:val="20"/>
                <w:szCs w:val="20"/>
              </w:rPr>
              <w:t xml:space="preserve"> </w:t>
            </w:r>
            <w:r w:rsidR="00C86D14" w:rsidRPr="00D45A1A">
              <w:rPr>
                <w:rFonts w:ascii="Arial" w:hAnsi="Arial" w:cs="Arial"/>
                <w:sz w:val="20"/>
                <w:szCs w:val="20"/>
              </w:rPr>
              <w:t>tech</w:t>
            </w:r>
            <w:r w:rsidR="00C86D14" w:rsidRPr="005356D0">
              <w:rPr>
                <w:rFonts w:ascii="Arial" w:hAnsi="Arial" w:cs="Arial"/>
                <w:sz w:val="20"/>
                <w:szCs w:val="20"/>
              </w:rPr>
              <w:t xml:space="preserve"> </w:t>
            </w:r>
            <w:proofErr w:type="gramStart"/>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w:t>
            </w:r>
            <w:proofErr w:type="gramStart"/>
            <w:r w:rsidR="00C86D14" w:rsidRPr="005356D0">
              <w:rPr>
                <w:rFonts w:ascii="Arial" w:hAnsi="Arial" w:cs="Arial"/>
                <w:sz w:val="20"/>
                <w:szCs w:val="20"/>
              </w:rPr>
              <w:t>Ltd ,</w:t>
            </w:r>
            <w:proofErr w:type="gramEnd"/>
            <w:r w:rsidR="00C86D14" w:rsidRPr="005356D0">
              <w:rPr>
                <w:rFonts w:ascii="Arial" w:hAnsi="Arial" w:cs="Arial"/>
                <w:sz w:val="20"/>
                <w:szCs w:val="20"/>
              </w:rPr>
              <w:t xml:space="preserve"> 2025) </w:t>
            </w:r>
          </w:p>
        </w:tc>
      </w:tr>
      <w:tr w:rsidR="005356D0" w:rsidRPr="005356D0" w14:paraId="0F16ACE3" w14:textId="77777777" w:rsidTr="00E36735">
        <w:tc>
          <w:tcPr>
            <w:tcW w:w="0" w:type="auto"/>
            <w:hideMark/>
          </w:tcPr>
          <w:p w14:paraId="6D319671"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b/>
                <w:bCs/>
                <w:sz w:val="20"/>
                <w:szCs w:val="20"/>
              </w:rPr>
              <w:t>Focus / Niche Strategy</w:t>
            </w:r>
          </w:p>
        </w:tc>
        <w:tc>
          <w:tcPr>
            <w:tcW w:w="0" w:type="auto"/>
            <w:hideMark/>
          </w:tcPr>
          <w:p w14:paraId="2265605E" w14:textId="77777777" w:rsidR="00E36735" w:rsidRPr="005356D0" w:rsidRDefault="00E36735" w:rsidP="005356D0">
            <w:pPr>
              <w:spacing w:line="360" w:lineRule="auto"/>
              <w:jc w:val="both"/>
              <w:rPr>
                <w:rFonts w:ascii="Arial" w:hAnsi="Arial" w:cs="Arial"/>
                <w:sz w:val="20"/>
                <w:szCs w:val="20"/>
              </w:rPr>
            </w:pPr>
            <w:r w:rsidRPr="00087220">
              <w:rPr>
                <w:rFonts w:ascii="Arial" w:hAnsi="Arial" w:cs="Arial"/>
                <w:sz w:val="20"/>
                <w:szCs w:val="20"/>
              </w:rPr>
              <w:t>Focuses on eco-conscious and digitally savvy consumers</w:t>
            </w:r>
          </w:p>
          <w:p w14:paraId="262EBE9B"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flexibility via smart tariffs and low-carbon installation services.</w:t>
            </w:r>
          </w:p>
        </w:tc>
        <w:tc>
          <w:tcPr>
            <w:tcW w:w="0" w:type="auto"/>
            <w:hideMark/>
          </w:tcPr>
          <w:p w14:paraId="6A530C95"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Targets manufacturers and brands seeking sustainability credentials and regulatory compliance, especially in packaging.</w:t>
            </w:r>
          </w:p>
        </w:tc>
      </w:tr>
    </w:tbl>
    <w:p w14:paraId="641BE826" w14:textId="77777777" w:rsidR="00E36735" w:rsidRPr="005356D0" w:rsidRDefault="00E36735" w:rsidP="005356D0">
      <w:pPr>
        <w:spacing w:line="360" w:lineRule="auto"/>
        <w:jc w:val="both"/>
        <w:rPr>
          <w:rFonts w:ascii="Arial" w:hAnsi="Arial" w:cs="Arial"/>
        </w:rPr>
      </w:pPr>
    </w:p>
    <w:p w14:paraId="11C65AEC" w14:textId="0801B0DB" w:rsidR="00B26487" w:rsidRPr="005356D0" w:rsidRDefault="00B26487" w:rsidP="005356D0">
      <w:pPr>
        <w:pStyle w:val="Heading2"/>
        <w:rPr>
          <w:rFonts w:ascii="Arial" w:hAnsi="Arial" w:cs="Arial"/>
        </w:rPr>
      </w:pPr>
      <w:bookmarkStart w:id="19" w:name="_Toc214471811"/>
      <w:bookmarkEnd w:id="16"/>
      <w:r w:rsidRPr="005356D0">
        <w:rPr>
          <w:rFonts w:ascii="Arial" w:hAnsi="Arial" w:cs="Arial"/>
        </w:rPr>
        <w:t>Support the analysis with industry examples</w:t>
      </w:r>
      <w:bookmarkEnd w:id="19"/>
      <w:r w:rsidR="0071123B">
        <w:rPr>
          <w:rFonts w:ascii="Arial" w:hAnsi="Arial" w:cs="Arial"/>
        </w:rPr>
        <w:t>.</w:t>
      </w:r>
    </w:p>
    <w:p w14:paraId="21983F9F" w14:textId="46C726B5" w:rsidR="003B351E" w:rsidRPr="005356D0" w:rsidRDefault="003B351E" w:rsidP="005356D0">
      <w:pPr>
        <w:spacing w:line="360" w:lineRule="auto"/>
        <w:jc w:val="both"/>
        <w:rPr>
          <w:rFonts w:ascii="Arial" w:hAnsi="Arial" w:cs="Arial"/>
        </w:rPr>
      </w:pPr>
      <w:r w:rsidRPr="005356D0">
        <w:rPr>
          <w:rFonts w:ascii="Arial" w:hAnsi="Arial" w:cs="Arial"/>
        </w:rPr>
        <w:t xml:space="preserve">Therefore, </w:t>
      </w:r>
      <w:r w:rsidR="006F3AE9" w:rsidRPr="005356D0">
        <w:rPr>
          <w:rFonts w:ascii="Arial" w:hAnsi="Arial" w:cs="Arial"/>
        </w:rPr>
        <w:t xml:space="preserve">it needs to be comprehended that marketers here would respond to the usual environment and economic pressures by the process of aligning strategies with the usual shift in </w:t>
      </w:r>
      <w:r w:rsidRPr="005356D0">
        <w:rPr>
          <w:rFonts w:ascii="Arial" w:hAnsi="Arial" w:cs="Arial"/>
        </w:rPr>
        <w:t xml:space="preserve">consumer and their basic regulatory expectations. For </w:t>
      </w:r>
      <w:r w:rsidR="006F3AE9" w:rsidRPr="005356D0">
        <w:rPr>
          <w:rFonts w:ascii="Arial" w:hAnsi="Arial" w:cs="Arial"/>
        </w:rPr>
        <w:t>instance, in the sector, the pioneer considered in the paper, Octopus Energy, adapts pricing and communication during economic volatility by offering smart tariffs and transparent cost messaging, reinforcing trust while promoting low-carbon services</w:t>
      </w:r>
      <w:r w:rsidRPr="005356D0">
        <w:rPr>
          <w:rFonts w:ascii="Arial" w:hAnsi="Arial" w:cs="Arial"/>
        </w:rPr>
        <w:t xml:space="preserve">.  However, contrarily, </w:t>
      </w:r>
      <w:proofErr w:type="spellStart"/>
      <w:r w:rsidRPr="005356D0">
        <w:rPr>
          <w:rFonts w:ascii="Arial" w:hAnsi="Arial" w:cs="Arial"/>
          <w:b/>
          <w:bCs/>
        </w:rPr>
        <w:t>Polymateria</w:t>
      </w:r>
      <w:proofErr w:type="spellEnd"/>
      <w:r w:rsidRPr="005356D0">
        <w:rPr>
          <w:rFonts w:ascii="Arial" w:hAnsi="Arial" w:cs="Arial"/>
        </w:rPr>
        <w:t xml:space="preserve"> contemplates marketing its biotransformation technology to brands facing sustainability legislation, positioning its solution as a compliant, cost-efficient alternative to traditional plastics. </w:t>
      </w:r>
    </w:p>
    <w:p w14:paraId="68CD7600" w14:textId="07EFF3DD" w:rsidR="003B351E" w:rsidRPr="005356D0" w:rsidRDefault="003B351E" w:rsidP="005356D0">
      <w:pPr>
        <w:spacing w:line="360" w:lineRule="auto"/>
        <w:jc w:val="both"/>
        <w:rPr>
          <w:rFonts w:ascii="Arial" w:hAnsi="Arial" w:cs="Arial"/>
        </w:rPr>
      </w:pPr>
      <w:r w:rsidRPr="005356D0">
        <w:rPr>
          <w:rFonts w:ascii="Arial" w:hAnsi="Arial" w:cs="Arial"/>
        </w:rPr>
        <w:t xml:space="preserve">Therefore, both these cases witness that marketers often consider integrating storytelling, sustainability with numerous </w:t>
      </w:r>
      <w:r w:rsidR="006F3AE9" w:rsidRPr="005356D0">
        <w:rPr>
          <w:rFonts w:ascii="Arial" w:hAnsi="Arial" w:cs="Arial"/>
        </w:rPr>
        <w:t xml:space="preserve">evidence-based claims, segment audiences </w:t>
      </w:r>
      <w:r w:rsidR="006F3AE9" w:rsidRPr="005356D0">
        <w:rPr>
          <w:rFonts w:ascii="Arial" w:hAnsi="Arial" w:cs="Arial"/>
        </w:rPr>
        <w:lastRenderedPageBreak/>
        <w:t>by the usual environmental attitudes</w:t>
      </w:r>
      <w:r w:rsidRPr="005356D0">
        <w:rPr>
          <w:rFonts w:ascii="Arial" w:hAnsi="Arial" w:cs="Arial"/>
        </w:rPr>
        <w:t xml:space="preserve">. They may further use </w:t>
      </w:r>
      <w:r w:rsidR="006F3AE9" w:rsidRPr="005356D0">
        <w:rPr>
          <w:rFonts w:ascii="Arial" w:hAnsi="Arial" w:cs="Arial"/>
        </w:rPr>
        <w:t>partnerships</w:t>
      </w:r>
      <w:r w:rsidRPr="005356D0">
        <w:rPr>
          <w:rFonts w:ascii="Arial" w:hAnsi="Arial" w:cs="Arial"/>
        </w:rPr>
        <w:t xml:space="preserve"> to enhance adoption. It assures superior competitiveness, while sufficing the usual demand for credible, value-driven, environmentally responsible products.</w:t>
      </w:r>
    </w:p>
    <w:p w14:paraId="1886CDF4" w14:textId="77777777" w:rsidR="006F3AE9" w:rsidRPr="005356D0" w:rsidRDefault="006F3AE9" w:rsidP="005356D0">
      <w:pPr>
        <w:spacing w:after="160" w:line="360" w:lineRule="auto"/>
        <w:jc w:val="both"/>
        <w:rPr>
          <w:rFonts w:ascii="Arial" w:hAnsi="Arial" w:cs="Arial"/>
        </w:rPr>
      </w:pPr>
      <w:bookmarkStart w:id="20" w:name="_Toc211437176"/>
    </w:p>
    <w:p w14:paraId="4E1D0225" w14:textId="4E4144C4" w:rsidR="00041847" w:rsidRPr="005356D0" w:rsidRDefault="00B26487" w:rsidP="005356D0">
      <w:pPr>
        <w:pStyle w:val="Heading2"/>
        <w:rPr>
          <w:rFonts w:ascii="Arial" w:hAnsi="Arial" w:cs="Arial"/>
        </w:rPr>
      </w:pPr>
      <w:bookmarkStart w:id="21" w:name="_Toc214471812"/>
      <w:r w:rsidRPr="005356D0">
        <w:rPr>
          <w:rFonts w:ascii="Arial" w:hAnsi="Arial" w:cs="Arial"/>
        </w:rPr>
        <w:t>3.3 Follower Organisations’ Strategic Responses</w:t>
      </w:r>
      <w:bookmarkEnd w:id="20"/>
      <w:bookmarkEnd w:id="21"/>
    </w:p>
    <w:p w14:paraId="6D56CDBE" w14:textId="77777777" w:rsidR="00041847" w:rsidRPr="005356D0" w:rsidRDefault="00041847" w:rsidP="005356D0">
      <w:pPr>
        <w:spacing w:line="360" w:lineRule="auto"/>
        <w:jc w:val="both"/>
        <w:rPr>
          <w:rFonts w:ascii="Arial" w:hAnsi="Arial" w:cs="Arial"/>
        </w:rPr>
      </w:pPr>
      <w:r w:rsidRPr="005356D0">
        <w:rPr>
          <w:rFonts w:ascii="Arial" w:hAnsi="Arial" w:cs="Arial"/>
        </w:rPr>
        <w:t xml:space="preserve">Similarly, for the follower organizations, the usual Ansoff Matrix, and Porter’s generic model aid the marketers in creating a suitable marketing plan, which may lead to superior expansion in the UK’s energy sector. </w:t>
      </w:r>
    </w:p>
    <w:p w14:paraId="361FDF45" w14:textId="77777777" w:rsidR="00041847" w:rsidRPr="00A72374" w:rsidRDefault="00041847" w:rsidP="005356D0">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534"/>
        <w:gridCol w:w="4011"/>
        <w:gridCol w:w="3471"/>
      </w:tblGrid>
      <w:tr w:rsidR="00041847" w:rsidRPr="005356D0" w14:paraId="78C7EDD6" w14:textId="77777777" w:rsidTr="009321AB">
        <w:tc>
          <w:tcPr>
            <w:tcW w:w="0" w:type="auto"/>
            <w:hideMark/>
          </w:tcPr>
          <w:p w14:paraId="7FC52D9C"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Ansoff Strategy</w:t>
            </w:r>
          </w:p>
        </w:tc>
        <w:tc>
          <w:tcPr>
            <w:tcW w:w="0" w:type="auto"/>
            <w:hideMark/>
          </w:tcPr>
          <w:p w14:paraId="4A73A7D1"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 xml:space="preserve">RSK Group </w:t>
            </w:r>
            <w:r w:rsidRPr="005356D0">
              <w:rPr>
                <w:rFonts w:ascii="Arial" w:hAnsi="Arial" w:cs="Arial"/>
                <w:sz w:val="20"/>
                <w:szCs w:val="20"/>
              </w:rPr>
              <w:t>which has been stressing on e</w:t>
            </w:r>
            <w:r w:rsidRPr="00A72374">
              <w:rPr>
                <w:rFonts w:ascii="Arial" w:hAnsi="Arial" w:cs="Arial"/>
                <w:sz w:val="20"/>
                <w:szCs w:val="20"/>
              </w:rPr>
              <w:t xml:space="preserve">nvironmental </w:t>
            </w:r>
            <w:r w:rsidRPr="005356D0">
              <w:rPr>
                <w:rFonts w:ascii="Arial" w:hAnsi="Arial" w:cs="Arial"/>
                <w:sz w:val="20"/>
                <w:szCs w:val="20"/>
              </w:rPr>
              <w:t>e</w:t>
            </w:r>
            <w:r w:rsidRPr="00A72374">
              <w:rPr>
                <w:rFonts w:ascii="Arial" w:hAnsi="Arial" w:cs="Arial"/>
                <w:sz w:val="20"/>
                <w:szCs w:val="20"/>
              </w:rPr>
              <w:t>ngineering)</w:t>
            </w:r>
          </w:p>
        </w:tc>
        <w:tc>
          <w:tcPr>
            <w:tcW w:w="0" w:type="auto"/>
            <w:hideMark/>
          </w:tcPr>
          <w:p w14:paraId="51F9D75D"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YAYZY (</w:t>
            </w:r>
            <w:r w:rsidRPr="005356D0">
              <w:rPr>
                <w:rFonts w:ascii="Arial" w:hAnsi="Arial" w:cs="Arial"/>
                <w:sz w:val="20"/>
                <w:szCs w:val="20"/>
              </w:rPr>
              <w:t xml:space="preserve">again, the differentiation here is </w:t>
            </w:r>
            <w:r w:rsidRPr="00A72374">
              <w:rPr>
                <w:rFonts w:ascii="Arial" w:hAnsi="Arial" w:cs="Arial"/>
                <w:sz w:val="20"/>
                <w:szCs w:val="20"/>
              </w:rPr>
              <w:t>Climate-Fintech)</w:t>
            </w:r>
          </w:p>
        </w:tc>
      </w:tr>
      <w:tr w:rsidR="00041847" w:rsidRPr="005356D0" w14:paraId="2A10399A" w14:textId="77777777" w:rsidTr="009321AB">
        <w:tc>
          <w:tcPr>
            <w:tcW w:w="0" w:type="auto"/>
            <w:hideMark/>
          </w:tcPr>
          <w:p w14:paraId="28FC2FE4"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Market Penetration</w:t>
            </w:r>
          </w:p>
        </w:tc>
        <w:tc>
          <w:tcPr>
            <w:tcW w:w="0" w:type="auto"/>
            <w:hideMark/>
          </w:tcPr>
          <w:p w14:paraId="6DC60F1F" w14:textId="2243D3A3"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The strategy should be in tandem of e</w:t>
            </w:r>
            <w:r w:rsidRPr="00A72374">
              <w:rPr>
                <w:rFonts w:ascii="Arial" w:hAnsi="Arial" w:cs="Arial"/>
                <w:sz w:val="20"/>
                <w:szCs w:val="20"/>
              </w:rPr>
              <w:t>xpand</w:t>
            </w:r>
            <w:r w:rsidRPr="005356D0">
              <w:rPr>
                <w:rFonts w:ascii="Arial" w:hAnsi="Arial" w:cs="Arial"/>
                <w:sz w:val="20"/>
                <w:szCs w:val="20"/>
              </w:rPr>
              <w:t>ing</w:t>
            </w:r>
            <w:r w:rsidRPr="00A72374">
              <w:rPr>
                <w:rFonts w:ascii="Arial" w:hAnsi="Arial" w:cs="Arial"/>
                <w:sz w:val="20"/>
                <w:szCs w:val="20"/>
              </w:rPr>
              <w:t xml:space="preserve"> compliance and environmental-impact services as UK firms face stricter sustainability reporting; competes on breadth of services rather than innovation</w:t>
            </w:r>
            <w:r w:rsidRPr="005356D0">
              <w:rPr>
                <w:rFonts w:ascii="Arial" w:hAnsi="Arial" w:cs="Arial"/>
                <w:sz w:val="20"/>
                <w:szCs w:val="20"/>
              </w:rPr>
              <w:t>, and this has been well cited in the company’s website</w:t>
            </w:r>
            <w:r w:rsidR="0071123B">
              <w:rPr>
                <w:rFonts w:ascii="Arial" w:hAnsi="Arial" w:cs="Arial"/>
                <w:sz w:val="20"/>
                <w:szCs w:val="20"/>
              </w:rPr>
              <w:t>,</w:t>
            </w:r>
            <w:r w:rsidR="00C86D14" w:rsidRPr="005356D0">
              <w:rPr>
                <w:rFonts w:ascii="Arial" w:hAnsi="Arial" w:cs="Arial"/>
                <w:sz w:val="20"/>
                <w:szCs w:val="20"/>
              </w:rPr>
              <w:t xml:space="preserve"> </w:t>
            </w:r>
            <w:r w:rsidR="009D7314" w:rsidRPr="005356D0">
              <w:rPr>
                <w:rFonts w:ascii="Arial" w:hAnsi="Arial" w:cs="Arial"/>
                <w:sz w:val="20"/>
                <w:szCs w:val="20"/>
              </w:rPr>
              <w:t xml:space="preserve">RSK Group (2025) </w:t>
            </w:r>
          </w:p>
        </w:tc>
        <w:tc>
          <w:tcPr>
            <w:tcW w:w="0" w:type="auto"/>
            <w:hideMark/>
          </w:tcPr>
          <w:p w14:paraId="623F1B89" w14:textId="5834F931"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Marketeers could consider g</w:t>
            </w:r>
            <w:r w:rsidRPr="00A72374">
              <w:rPr>
                <w:rFonts w:ascii="Arial" w:hAnsi="Arial" w:cs="Arial"/>
                <w:sz w:val="20"/>
                <w:szCs w:val="20"/>
              </w:rPr>
              <w:t>row</w:t>
            </w:r>
            <w:r w:rsidRPr="005356D0">
              <w:rPr>
                <w:rFonts w:ascii="Arial" w:hAnsi="Arial" w:cs="Arial"/>
                <w:sz w:val="20"/>
                <w:szCs w:val="20"/>
              </w:rPr>
              <w:t xml:space="preserve">ing </w:t>
            </w:r>
            <w:proofErr w:type="gramStart"/>
            <w:r w:rsidRPr="005356D0">
              <w:rPr>
                <w:rFonts w:ascii="Arial" w:hAnsi="Arial" w:cs="Arial"/>
                <w:sz w:val="20"/>
                <w:szCs w:val="20"/>
              </w:rPr>
              <w:t xml:space="preserve">the </w:t>
            </w:r>
            <w:r w:rsidRPr="00A72374">
              <w:rPr>
                <w:rFonts w:ascii="Arial" w:hAnsi="Arial" w:cs="Arial"/>
                <w:sz w:val="20"/>
                <w:szCs w:val="20"/>
              </w:rPr>
              <w:t xml:space="preserve"> user</w:t>
            </w:r>
            <w:proofErr w:type="gramEnd"/>
            <w:r w:rsidRPr="00A72374">
              <w:rPr>
                <w:rFonts w:ascii="Arial" w:hAnsi="Arial" w:cs="Arial"/>
                <w:sz w:val="20"/>
                <w:szCs w:val="20"/>
              </w:rPr>
              <w:t xml:space="preserve"> base via integrations with banks and </w:t>
            </w:r>
            <w:proofErr w:type="spellStart"/>
            <w:r w:rsidRPr="00A72374">
              <w:rPr>
                <w:rFonts w:ascii="Arial" w:hAnsi="Arial" w:cs="Arial"/>
                <w:sz w:val="20"/>
                <w:szCs w:val="20"/>
              </w:rPr>
              <w:t>fintechs</w:t>
            </w:r>
            <w:proofErr w:type="spellEnd"/>
            <w:r w:rsidRPr="00A72374">
              <w:rPr>
                <w:rFonts w:ascii="Arial" w:hAnsi="Arial" w:cs="Arial"/>
                <w:sz w:val="20"/>
                <w:szCs w:val="20"/>
              </w:rPr>
              <w:t xml:space="preserve"> to offer carbon-tracking</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w:t>
            </w:r>
            <w:proofErr w:type="gramStart"/>
            <w:r w:rsidR="009D7314" w:rsidRPr="005356D0">
              <w:rPr>
                <w:rFonts w:ascii="Arial" w:hAnsi="Arial" w:cs="Arial"/>
                <w:sz w:val="20"/>
                <w:szCs w:val="20"/>
              </w:rPr>
              <w:t xml:space="preserve">) </w:t>
            </w:r>
            <w:r w:rsidRPr="00A72374">
              <w:rPr>
                <w:rFonts w:ascii="Arial" w:hAnsi="Arial" w:cs="Arial"/>
                <w:sz w:val="20"/>
                <w:szCs w:val="20"/>
              </w:rPr>
              <w:t xml:space="preserve"> as</w:t>
            </w:r>
            <w:proofErr w:type="gramEnd"/>
            <w:r w:rsidRPr="00A72374">
              <w:rPr>
                <w:rFonts w:ascii="Arial" w:hAnsi="Arial" w:cs="Arial"/>
                <w:sz w:val="20"/>
                <w:szCs w:val="20"/>
              </w:rPr>
              <w:t xml:space="preserve"> an add-on, not a standalone product.</w:t>
            </w:r>
          </w:p>
        </w:tc>
      </w:tr>
      <w:tr w:rsidR="00041847" w:rsidRPr="005356D0" w14:paraId="4802E233" w14:textId="77777777" w:rsidTr="009321AB">
        <w:tc>
          <w:tcPr>
            <w:tcW w:w="0" w:type="auto"/>
            <w:hideMark/>
          </w:tcPr>
          <w:p w14:paraId="4B7E92D3"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Product Development</w:t>
            </w:r>
          </w:p>
        </w:tc>
        <w:tc>
          <w:tcPr>
            <w:tcW w:w="0" w:type="auto"/>
            <w:hideMark/>
          </w:tcPr>
          <w:p w14:paraId="51D3863D" w14:textId="77777777" w:rsidR="00041847" w:rsidRPr="005356D0" w:rsidRDefault="00041847" w:rsidP="005356D0">
            <w:pPr>
              <w:spacing w:line="360" w:lineRule="auto"/>
              <w:jc w:val="both"/>
              <w:rPr>
                <w:rFonts w:ascii="Arial" w:hAnsi="Arial" w:cs="Arial"/>
                <w:sz w:val="20"/>
                <w:szCs w:val="20"/>
              </w:rPr>
            </w:pPr>
            <w:r w:rsidRPr="00A72374">
              <w:rPr>
                <w:rFonts w:ascii="Arial" w:hAnsi="Arial" w:cs="Arial"/>
                <w:sz w:val="20"/>
                <w:szCs w:val="20"/>
              </w:rPr>
              <w:t>Adopts proven green technologies</w:t>
            </w:r>
            <w:r w:rsidRPr="005356D0">
              <w:rPr>
                <w:rFonts w:ascii="Arial" w:hAnsi="Arial" w:cs="Arial"/>
                <w:sz w:val="20"/>
                <w:szCs w:val="20"/>
              </w:rPr>
              <w:t>, which has been another advantage of being a follower. For example,</w:t>
            </w:r>
            <w:r w:rsidRPr="00A72374">
              <w:rPr>
                <w:rFonts w:ascii="Arial" w:hAnsi="Arial" w:cs="Arial"/>
                <w:sz w:val="20"/>
                <w:szCs w:val="20"/>
              </w:rPr>
              <w:t xml:space="preserve"> remediation, monitoring tools</w:t>
            </w:r>
            <w:r w:rsidRPr="005356D0">
              <w:rPr>
                <w:rFonts w:ascii="Arial" w:hAnsi="Arial" w:cs="Arial"/>
                <w:sz w:val="20"/>
                <w:szCs w:val="20"/>
              </w:rPr>
              <w:t xml:space="preserve"> are implemented, which have been imitated from the </w:t>
            </w:r>
            <w:r w:rsidRPr="00A72374">
              <w:rPr>
                <w:rFonts w:ascii="Arial" w:hAnsi="Arial" w:cs="Arial"/>
                <w:sz w:val="20"/>
                <w:szCs w:val="20"/>
              </w:rPr>
              <w:t>pioneers</w:t>
            </w:r>
          </w:p>
          <w:p w14:paraId="3AD1A6FB" w14:textId="18438C60"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offers packaged consultancy solution</w:t>
            </w:r>
            <w:r w:rsidRPr="005356D0">
              <w:rPr>
                <w:rFonts w:ascii="Arial" w:hAnsi="Arial" w:cs="Arial"/>
                <w:sz w:val="20"/>
                <w:szCs w:val="20"/>
              </w:rPr>
              <w:t xml:space="preserve">s </w:t>
            </w:r>
            <w:r w:rsidR="009D7314" w:rsidRPr="005356D0">
              <w:rPr>
                <w:rFonts w:ascii="Arial" w:hAnsi="Arial" w:cs="Arial"/>
                <w:sz w:val="20"/>
                <w:szCs w:val="20"/>
              </w:rPr>
              <w:t xml:space="preserve">RSK Group (2025) </w:t>
            </w:r>
          </w:p>
        </w:tc>
        <w:tc>
          <w:tcPr>
            <w:tcW w:w="0" w:type="auto"/>
            <w:hideMark/>
          </w:tcPr>
          <w:p w14:paraId="17FFB657" w14:textId="07B87168"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Add</w:t>
            </w:r>
            <w:r w:rsidRPr="005356D0">
              <w:rPr>
                <w:rFonts w:ascii="Arial" w:hAnsi="Arial" w:cs="Arial"/>
                <w:sz w:val="20"/>
                <w:szCs w:val="20"/>
              </w:rPr>
              <w:t>ing</w:t>
            </w:r>
            <w:r w:rsidRPr="00A72374">
              <w:rPr>
                <w:rFonts w:ascii="Arial" w:hAnsi="Arial" w:cs="Arial"/>
                <w:sz w:val="20"/>
                <w:szCs w:val="20"/>
              </w:rPr>
              <w:t xml:space="preserve"> new carbon-analytics features based on already-validated methodologies, reducing development risk</w:t>
            </w:r>
            <w:r w:rsidRPr="005356D0">
              <w:rPr>
                <w:rFonts w:ascii="Arial" w:hAnsi="Arial" w:cs="Arial"/>
                <w:sz w:val="20"/>
                <w:szCs w:val="20"/>
              </w:rPr>
              <w:t xml:space="preserve"> can help</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r w:rsidR="00041847" w:rsidRPr="005356D0" w14:paraId="6B9E89E5" w14:textId="77777777" w:rsidTr="009321AB">
        <w:tc>
          <w:tcPr>
            <w:tcW w:w="0" w:type="auto"/>
            <w:hideMark/>
          </w:tcPr>
          <w:p w14:paraId="31AC9A04"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Market Development</w:t>
            </w:r>
          </w:p>
        </w:tc>
        <w:tc>
          <w:tcPr>
            <w:tcW w:w="0" w:type="auto"/>
            <w:hideMark/>
          </w:tcPr>
          <w:p w14:paraId="459D5CFA" w14:textId="591F034D"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 xml:space="preserve">Enters new sectors (infrastructure, utilities) needing ESG </w:t>
            </w:r>
            <w:proofErr w:type="gramStart"/>
            <w:r w:rsidRPr="00A72374">
              <w:rPr>
                <w:rFonts w:ascii="Arial" w:hAnsi="Arial" w:cs="Arial"/>
                <w:sz w:val="20"/>
                <w:szCs w:val="20"/>
              </w:rPr>
              <w:t>support</w:t>
            </w:r>
            <w:r w:rsidRPr="005356D0">
              <w:rPr>
                <w:rFonts w:ascii="Arial" w:hAnsi="Arial" w:cs="Arial"/>
                <w:sz w:val="20"/>
                <w:szCs w:val="20"/>
              </w:rPr>
              <w:t xml:space="preserve"> </w:t>
            </w:r>
            <w:r w:rsidR="009D7314" w:rsidRPr="005356D0">
              <w:rPr>
                <w:rFonts w:ascii="Arial" w:hAnsi="Arial" w:cs="Arial"/>
                <w:sz w:val="20"/>
                <w:szCs w:val="20"/>
              </w:rPr>
              <w:t xml:space="preserve"> RSK</w:t>
            </w:r>
            <w:proofErr w:type="gramEnd"/>
            <w:r w:rsidR="009D7314" w:rsidRPr="005356D0">
              <w:rPr>
                <w:rFonts w:ascii="Arial" w:hAnsi="Arial" w:cs="Arial"/>
                <w:sz w:val="20"/>
                <w:szCs w:val="20"/>
              </w:rPr>
              <w:t xml:space="preserve"> Group (2025) </w:t>
            </w:r>
          </w:p>
        </w:tc>
        <w:tc>
          <w:tcPr>
            <w:tcW w:w="0" w:type="auto"/>
            <w:hideMark/>
          </w:tcPr>
          <w:p w14:paraId="4104AE46" w14:textId="66CA4A10"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Partners with corporates needing employee/consumer carbon-tracking tools</w:t>
            </w:r>
            <w:r w:rsidRPr="005356D0">
              <w:rPr>
                <w:rFonts w:ascii="Arial" w:hAnsi="Arial" w:cs="Arial"/>
                <w:sz w:val="20"/>
                <w:szCs w:val="20"/>
              </w:rPr>
              <w:t xml:space="preserve">, again a </w:t>
            </w:r>
            <w:r w:rsidR="0071123B">
              <w:rPr>
                <w:rFonts w:ascii="Arial" w:hAnsi="Arial" w:cs="Arial"/>
                <w:sz w:val="20"/>
                <w:szCs w:val="20"/>
              </w:rPr>
              <w:t>significant</w:t>
            </w:r>
            <w:r w:rsidRPr="005356D0">
              <w:rPr>
                <w:rFonts w:ascii="Arial" w:hAnsi="Arial" w:cs="Arial"/>
                <w:sz w:val="20"/>
                <w:szCs w:val="20"/>
              </w:rPr>
              <w:t xml:space="preserve"> factor that may aid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r w:rsidR="00041847" w:rsidRPr="005356D0" w14:paraId="4EBCF551" w14:textId="77777777" w:rsidTr="009321AB">
        <w:tc>
          <w:tcPr>
            <w:tcW w:w="0" w:type="auto"/>
            <w:hideMark/>
          </w:tcPr>
          <w:p w14:paraId="3C1D078F"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Diversification</w:t>
            </w:r>
          </w:p>
        </w:tc>
        <w:tc>
          <w:tcPr>
            <w:tcW w:w="0" w:type="auto"/>
            <w:hideMark/>
          </w:tcPr>
          <w:p w14:paraId="40B7CC0C" w14:textId="3638C506"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Acquires smaller specialists to broaden environmental service portfolio</w:t>
            </w:r>
            <w:r w:rsidRPr="005356D0">
              <w:rPr>
                <w:rFonts w:ascii="Arial" w:hAnsi="Arial" w:cs="Arial"/>
                <w:sz w:val="20"/>
                <w:szCs w:val="20"/>
              </w:rPr>
              <w:t xml:space="preserve"> </w:t>
            </w:r>
            <w:r w:rsidR="009D7314" w:rsidRPr="005356D0">
              <w:rPr>
                <w:rFonts w:ascii="Arial" w:hAnsi="Arial" w:cs="Arial"/>
                <w:sz w:val="20"/>
                <w:szCs w:val="20"/>
              </w:rPr>
              <w:t xml:space="preserve">RSK Group (2025) </w:t>
            </w:r>
          </w:p>
        </w:tc>
        <w:tc>
          <w:tcPr>
            <w:tcW w:w="0" w:type="auto"/>
            <w:hideMark/>
          </w:tcPr>
          <w:p w14:paraId="661BACB1" w14:textId="4BDFA041"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Moves into B2B sustainability dashboards for SMEs</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bl>
    <w:p w14:paraId="421BF74C" w14:textId="77777777" w:rsidR="00041847" w:rsidRPr="005356D0" w:rsidRDefault="00041847" w:rsidP="005356D0">
      <w:pPr>
        <w:spacing w:line="360" w:lineRule="auto"/>
        <w:jc w:val="both"/>
        <w:rPr>
          <w:rFonts w:ascii="Arial" w:hAnsi="Arial" w:cs="Arial"/>
        </w:rPr>
      </w:pPr>
    </w:p>
    <w:p w14:paraId="4AA8AB09" w14:textId="77777777" w:rsidR="00EE3F33" w:rsidRPr="005356D0" w:rsidRDefault="00EE3F33" w:rsidP="005356D0">
      <w:pPr>
        <w:pStyle w:val="Heading2"/>
        <w:rPr>
          <w:rFonts w:ascii="Arial" w:hAnsi="Arial" w:cs="Arial"/>
        </w:rPr>
      </w:pPr>
    </w:p>
    <w:p w14:paraId="45EAF467" w14:textId="2BE6A730" w:rsidR="00041847" w:rsidRPr="005356D0" w:rsidRDefault="00041847" w:rsidP="005356D0">
      <w:pPr>
        <w:pStyle w:val="Heading2"/>
        <w:rPr>
          <w:rFonts w:ascii="Arial" w:hAnsi="Arial" w:cs="Arial"/>
        </w:rPr>
      </w:pPr>
      <w:bookmarkStart w:id="22" w:name="_Toc214471813"/>
      <w:r w:rsidRPr="005356D0">
        <w:rPr>
          <w:rFonts w:ascii="Arial" w:hAnsi="Arial" w:cs="Arial"/>
        </w:rPr>
        <w:t>Porter’s Generic Strategies: Competitive Positioning of Followers</w:t>
      </w:r>
      <w:bookmarkEnd w:id="22"/>
    </w:p>
    <w:tbl>
      <w:tblPr>
        <w:tblStyle w:val="TableGrid"/>
        <w:tblW w:w="0" w:type="auto"/>
        <w:tblLook w:val="04A0" w:firstRow="1" w:lastRow="0" w:firstColumn="1" w:lastColumn="0" w:noHBand="0" w:noVBand="1"/>
      </w:tblPr>
      <w:tblGrid>
        <w:gridCol w:w="1486"/>
        <w:gridCol w:w="4435"/>
        <w:gridCol w:w="3095"/>
      </w:tblGrid>
      <w:tr w:rsidR="00C86D14" w:rsidRPr="005356D0" w14:paraId="6911FBA8" w14:textId="77777777" w:rsidTr="009321AB">
        <w:tc>
          <w:tcPr>
            <w:tcW w:w="0" w:type="auto"/>
            <w:hideMark/>
          </w:tcPr>
          <w:p w14:paraId="61AEEC6E"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Porter Strategy</w:t>
            </w:r>
          </w:p>
        </w:tc>
        <w:tc>
          <w:tcPr>
            <w:tcW w:w="0" w:type="auto"/>
            <w:hideMark/>
          </w:tcPr>
          <w:p w14:paraId="0EB13013"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RSK Group</w:t>
            </w:r>
          </w:p>
        </w:tc>
        <w:tc>
          <w:tcPr>
            <w:tcW w:w="0" w:type="auto"/>
            <w:hideMark/>
          </w:tcPr>
          <w:p w14:paraId="3E8E02E6"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YAYZY</w:t>
            </w:r>
          </w:p>
        </w:tc>
      </w:tr>
      <w:tr w:rsidR="00C86D14" w:rsidRPr="005356D0" w14:paraId="51D77389" w14:textId="77777777" w:rsidTr="009321AB">
        <w:tc>
          <w:tcPr>
            <w:tcW w:w="0" w:type="auto"/>
            <w:hideMark/>
          </w:tcPr>
          <w:p w14:paraId="71F04E85"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lastRenderedPageBreak/>
              <w:t>Cost Leadership</w:t>
            </w:r>
          </w:p>
        </w:tc>
        <w:tc>
          <w:tcPr>
            <w:tcW w:w="0" w:type="auto"/>
            <w:hideMark/>
          </w:tcPr>
          <w:p w14:paraId="2B013323" w14:textId="0354695F"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It has been identified from its recent operations that it c</w:t>
            </w:r>
            <w:r w:rsidRPr="00A72374">
              <w:rPr>
                <w:rFonts w:ascii="Arial" w:hAnsi="Arial" w:cs="Arial"/>
                <w:sz w:val="20"/>
                <w:szCs w:val="20"/>
              </w:rPr>
              <w:t>ompetes through operational efficiency in consultancy and multi-service bundling to offer lower-cost solutions than specialised pioneer</w:t>
            </w:r>
            <w:r w:rsidR="00C86D14" w:rsidRPr="005356D0">
              <w:rPr>
                <w:rFonts w:ascii="Arial" w:hAnsi="Arial" w:cs="Arial"/>
                <w:sz w:val="20"/>
                <w:szCs w:val="20"/>
              </w:rPr>
              <w:t xml:space="preserve"> </w:t>
            </w:r>
            <w:r w:rsidR="009D7314" w:rsidRPr="005356D0">
              <w:rPr>
                <w:rFonts w:ascii="Arial" w:hAnsi="Arial" w:cs="Arial"/>
                <w:sz w:val="20"/>
                <w:szCs w:val="20"/>
              </w:rPr>
              <w:t xml:space="preserve">RSK Group (2025) </w:t>
            </w:r>
          </w:p>
        </w:tc>
        <w:tc>
          <w:tcPr>
            <w:tcW w:w="0" w:type="auto"/>
            <w:hideMark/>
          </w:tcPr>
          <w:p w14:paraId="68139211" w14:textId="5DE4D859"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It further considers o</w:t>
            </w:r>
            <w:r w:rsidRPr="00A72374">
              <w:rPr>
                <w:rFonts w:ascii="Arial" w:hAnsi="Arial" w:cs="Arial"/>
                <w:sz w:val="20"/>
                <w:szCs w:val="20"/>
              </w:rPr>
              <w:t>ffer</w:t>
            </w:r>
            <w:r w:rsidRPr="005356D0">
              <w:rPr>
                <w:rFonts w:ascii="Arial" w:hAnsi="Arial" w:cs="Arial"/>
                <w:sz w:val="20"/>
                <w:szCs w:val="20"/>
              </w:rPr>
              <w:t>ing</w:t>
            </w:r>
            <w:r w:rsidRPr="00A72374">
              <w:rPr>
                <w:rFonts w:ascii="Arial" w:hAnsi="Arial" w:cs="Arial"/>
                <w:sz w:val="20"/>
                <w:szCs w:val="20"/>
              </w:rPr>
              <w:t xml:space="preserve"> carbon insights at lower cost than enterprise ESG platforms</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r w:rsidR="00C86D14" w:rsidRPr="005356D0" w14:paraId="394FE84F" w14:textId="77777777" w:rsidTr="009321AB">
        <w:tc>
          <w:tcPr>
            <w:tcW w:w="0" w:type="auto"/>
            <w:hideMark/>
          </w:tcPr>
          <w:p w14:paraId="5178350C"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Differentiation</w:t>
            </w:r>
          </w:p>
        </w:tc>
        <w:tc>
          <w:tcPr>
            <w:tcW w:w="0" w:type="auto"/>
            <w:hideMark/>
          </w:tcPr>
          <w:p w14:paraId="0B97E4E1" w14:textId="6041EBDA"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Considers d</w:t>
            </w:r>
            <w:r w:rsidRPr="00A72374">
              <w:rPr>
                <w:rFonts w:ascii="Arial" w:hAnsi="Arial" w:cs="Arial"/>
                <w:sz w:val="20"/>
                <w:szCs w:val="20"/>
              </w:rPr>
              <w:t>ifferentiat</w:t>
            </w:r>
            <w:r w:rsidRPr="005356D0">
              <w:rPr>
                <w:rFonts w:ascii="Arial" w:hAnsi="Arial" w:cs="Arial"/>
                <w:sz w:val="20"/>
                <w:szCs w:val="20"/>
              </w:rPr>
              <w:t>ing</w:t>
            </w:r>
            <w:r w:rsidRPr="00A72374">
              <w:rPr>
                <w:rFonts w:ascii="Arial" w:hAnsi="Arial" w:cs="Arial"/>
                <w:sz w:val="20"/>
                <w:szCs w:val="20"/>
              </w:rPr>
              <w:t xml:space="preserve"> through scale (over 200 companies in its group) and ability to deliver turnkey environmental solutions</w:t>
            </w:r>
            <w:r w:rsidR="009D7314" w:rsidRPr="005356D0">
              <w:rPr>
                <w:rFonts w:ascii="Arial" w:hAnsi="Arial" w:cs="Arial"/>
                <w:sz w:val="20"/>
                <w:szCs w:val="20"/>
              </w:rPr>
              <w:t xml:space="preserve"> RSK Group (2025) </w:t>
            </w:r>
          </w:p>
        </w:tc>
        <w:tc>
          <w:tcPr>
            <w:tcW w:w="0" w:type="auto"/>
            <w:hideMark/>
          </w:tcPr>
          <w:p w14:paraId="5D344535" w14:textId="0B8D977E"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Marketeers could di</w:t>
            </w:r>
            <w:r w:rsidRPr="00A72374">
              <w:rPr>
                <w:rFonts w:ascii="Arial" w:hAnsi="Arial" w:cs="Arial"/>
                <w:sz w:val="20"/>
                <w:szCs w:val="20"/>
              </w:rPr>
              <w:t>fferentiate by simplifying carbon data for consumers and small businesses</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r w:rsidR="00C86D14" w:rsidRPr="005356D0" w14:paraId="137DC771" w14:textId="77777777" w:rsidTr="009321AB">
        <w:tc>
          <w:tcPr>
            <w:tcW w:w="0" w:type="auto"/>
            <w:hideMark/>
          </w:tcPr>
          <w:p w14:paraId="498FE14F"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Focus / Niche</w:t>
            </w:r>
          </w:p>
        </w:tc>
        <w:tc>
          <w:tcPr>
            <w:tcW w:w="0" w:type="auto"/>
            <w:hideMark/>
          </w:tcPr>
          <w:p w14:paraId="2FC37FE6" w14:textId="25FFD2FC"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Considers ta</w:t>
            </w:r>
            <w:r w:rsidRPr="00A72374">
              <w:rPr>
                <w:rFonts w:ascii="Arial" w:hAnsi="Arial" w:cs="Arial"/>
                <w:sz w:val="20"/>
                <w:szCs w:val="20"/>
              </w:rPr>
              <w:t>rget</w:t>
            </w:r>
            <w:r w:rsidRPr="005356D0">
              <w:rPr>
                <w:rFonts w:ascii="Arial" w:hAnsi="Arial" w:cs="Arial"/>
                <w:sz w:val="20"/>
                <w:szCs w:val="20"/>
              </w:rPr>
              <w:t>ing</w:t>
            </w:r>
            <w:r w:rsidRPr="00A72374">
              <w:rPr>
                <w:rFonts w:ascii="Arial" w:hAnsi="Arial" w:cs="Arial"/>
                <w:sz w:val="20"/>
                <w:szCs w:val="20"/>
              </w:rPr>
              <w:t xml:space="preserve"> clients needing compliance rather than deep innovation</w:t>
            </w:r>
            <w:r w:rsidRPr="005356D0">
              <w:rPr>
                <w:rFonts w:ascii="Arial" w:hAnsi="Arial" w:cs="Arial"/>
                <w:sz w:val="20"/>
                <w:szCs w:val="20"/>
              </w:rPr>
              <w:t>, confronting</w:t>
            </w:r>
            <w:r w:rsidRPr="00A72374">
              <w:rPr>
                <w:rFonts w:ascii="Arial" w:hAnsi="Arial" w:cs="Arial"/>
                <w:sz w:val="20"/>
                <w:szCs w:val="20"/>
              </w:rPr>
              <w:t xml:space="preserve"> </w:t>
            </w:r>
            <w:r w:rsidR="0071123B">
              <w:rPr>
                <w:rFonts w:ascii="Arial" w:hAnsi="Arial" w:cs="Arial"/>
                <w:sz w:val="20"/>
                <w:szCs w:val="20"/>
              </w:rPr>
              <w:t xml:space="preserve">the risk of rapid tech change RSK Group, </w:t>
            </w:r>
            <w:r w:rsidR="009D7314" w:rsidRPr="005356D0">
              <w:rPr>
                <w:rFonts w:ascii="Arial" w:hAnsi="Arial" w:cs="Arial"/>
                <w:sz w:val="20"/>
                <w:szCs w:val="20"/>
              </w:rPr>
              <w:t>2025)</w:t>
            </w:r>
            <w:r w:rsidRPr="00A72374">
              <w:rPr>
                <w:rFonts w:ascii="Arial" w:hAnsi="Arial" w:cs="Arial"/>
                <w:sz w:val="20"/>
                <w:szCs w:val="20"/>
              </w:rPr>
              <w:t>.</w:t>
            </w:r>
          </w:p>
        </w:tc>
        <w:tc>
          <w:tcPr>
            <w:tcW w:w="0" w:type="auto"/>
            <w:hideMark/>
          </w:tcPr>
          <w:p w14:paraId="7A0E591E" w14:textId="72725681" w:rsidR="00041847" w:rsidRPr="00A72374" w:rsidRDefault="00041847" w:rsidP="005356D0">
            <w:pPr>
              <w:spacing w:line="360" w:lineRule="auto"/>
              <w:jc w:val="both"/>
              <w:rPr>
                <w:rFonts w:ascii="Arial" w:hAnsi="Arial" w:cs="Arial"/>
                <w:sz w:val="20"/>
                <w:szCs w:val="20"/>
              </w:rPr>
            </w:pPr>
            <w:proofErr w:type="gramStart"/>
            <w:r w:rsidRPr="005356D0">
              <w:rPr>
                <w:rFonts w:ascii="Arial" w:hAnsi="Arial" w:cs="Arial"/>
                <w:sz w:val="20"/>
                <w:szCs w:val="20"/>
              </w:rPr>
              <w:t>The  marketing</w:t>
            </w:r>
            <w:proofErr w:type="gramEnd"/>
            <w:r w:rsidRPr="005356D0">
              <w:rPr>
                <w:rFonts w:ascii="Arial" w:hAnsi="Arial" w:cs="Arial"/>
                <w:sz w:val="20"/>
                <w:szCs w:val="20"/>
              </w:rPr>
              <w:t xml:space="preserve"> management team f</w:t>
            </w:r>
            <w:r w:rsidRPr="00A72374">
              <w:rPr>
                <w:rFonts w:ascii="Arial" w:hAnsi="Arial" w:cs="Arial"/>
                <w:sz w:val="20"/>
                <w:szCs w:val="20"/>
              </w:rPr>
              <w:t>ocuses on niche climate-fintech services for banks and digital-first users</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bl>
    <w:p w14:paraId="5B58F11F" w14:textId="77777777" w:rsidR="00041847" w:rsidRPr="005356D0" w:rsidRDefault="00041847" w:rsidP="005356D0">
      <w:pPr>
        <w:spacing w:line="360" w:lineRule="auto"/>
        <w:jc w:val="both"/>
        <w:rPr>
          <w:rFonts w:ascii="Arial" w:hAnsi="Arial" w:cs="Arial"/>
        </w:rPr>
      </w:pPr>
    </w:p>
    <w:p w14:paraId="7E271F81" w14:textId="77777777" w:rsidR="00041847" w:rsidRPr="005356D0" w:rsidRDefault="00041847" w:rsidP="005356D0">
      <w:pPr>
        <w:spacing w:line="360" w:lineRule="auto"/>
        <w:jc w:val="both"/>
        <w:rPr>
          <w:rFonts w:ascii="Arial" w:hAnsi="Arial" w:cs="Arial"/>
        </w:rPr>
      </w:pPr>
    </w:p>
    <w:p w14:paraId="67A62E9B" w14:textId="77777777" w:rsidR="00041847" w:rsidRPr="005356D0" w:rsidRDefault="00041847" w:rsidP="005356D0">
      <w:pPr>
        <w:spacing w:line="360" w:lineRule="auto"/>
        <w:jc w:val="both"/>
        <w:rPr>
          <w:rFonts w:ascii="Arial" w:hAnsi="Arial" w:cs="Arial"/>
        </w:rPr>
      </w:pPr>
    </w:p>
    <w:p w14:paraId="1815EFCA" w14:textId="1D583958" w:rsidR="00B26487" w:rsidRPr="005356D0" w:rsidRDefault="00B26487" w:rsidP="005356D0">
      <w:pPr>
        <w:pStyle w:val="Heading2"/>
        <w:rPr>
          <w:rFonts w:ascii="Arial" w:hAnsi="Arial" w:cs="Arial"/>
        </w:rPr>
      </w:pPr>
      <w:bookmarkStart w:id="23" w:name="_Toc214471814"/>
      <w:r w:rsidRPr="005356D0">
        <w:rPr>
          <w:rFonts w:ascii="Arial" w:hAnsi="Arial" w:cs="Arial"/>
        </w:rPr>
        <w:t>Support the analysis with industry examples</w:t>
      </w:r>
      <w:bookmarkEnd w:id="23"/>
      <w:r w:rsidR="0071123B">
        <w:rPr>
          <w:rFonts w:ascii="Arial" w:hAnsi="Arial" w:cs="Arial"/>
        </w:rPr>
        <w:t>.</w:t>
      </w:r>
    </w:p>
    <w:p w14:paraId="47F51F32" w14:textId="164EA155" w:rsidR="00041847" w:rsidRPr="005356D0" w:rsidRDefault="00041847" w:rsidP="005356D0">
      <w:pPr>
        <w:spacing w:line="360" w:lineRule="auto"/>
        <w:jc w:val="both"/>
        <w:rPr>
          <w:rFonts w:ascii="Arial" w:hAnsi="Arial" w:cs="Arial"/>
        </w:rPr>
      </w:pPr>
      <w:r w:rsidRPr="005356D0">
        <w:rPr>
          <w:rFonts w:ascii="Arial" w:hAnsi="Arial" w:cs="Arial"/>
        </w:rPr>
        <w:t xml:space="preserve">Therefore, in this sector, marketers of the follower organisation have identified may traverse in the realm of extreme competitiveness by considering to positioning their offering around the market that has already been proven. For instance, RSK Group markets its multi-service environmental solutions to UK firms facing mandatory sustainability disclosures. The company considers stressing its scale (200+ specialist subsidiaries) and ability to deliver compliant, low-risk outcomes. Another example would be the YAYZY markets carbon-tracking tools to banks by stressing low integration costs and clear consumer insights. This enables financial institutions to essentially report carbon data without even considering building an internal system. Hence, it could be </w:t>
      </w:r>
      <w:r w:rsidR="0071123B">
        <w:rPr>
          <w:rFonts w:ascii="Arial" w:hAnsi="Arial" w:cs="Arial"/>
        </w:rPr>
        <w:t>regarded as</w:t>
      </w:r>
      <w:r w:rsidRPr="005356D0">
        <w:rPr>
          <w:rFonts w:ascii="Arial" w:hAnsi="Arial" w:cs="Arial"/>
        </w:rPr>
        <w:t xml:space="preserve"> </w:t>
      </w:r>
      <w:proofErr w:type="spellStart"/>
      <w:r w:rsidRPr="005356D0">
        <w:rPr>
          <w:rFonts w:ascii="Arial" w:hAnsi="Arial" w:cs="Arial"/>
        </w:rPr>
        <w:t>as</w:t>
      </w:r>
      <w:proofErr w:type="spellEnd"/>
      <w:r w:rsidRPr="005356D0">
        <w:rPr>
          <w:rFonts w:ascii="Arial" w:hAnsi="Arial" w:cs="Arial"/>
        </w:rPr>
        <w:t xml:space="preserve"> value-driven, focused on compliance, </w:t>
      </w:r>
      <w:r w:rsidR="0071123B">
        <w:rPr>
          <w:rFonts w:ascii="Arial" w:hAnsi="Arial" w:cs="Arial"/>
        </w:rPr>
        <w:t>allowing the</w:t>
      </w:r>
      <w:r w:rsidRPr="005356D0">
        <w:rPr>
          <w:rFonts w:ascii="Arial" w:hAnsi="Arial" w:cs="Arial"/>
        </w:rPr>
        <w:t xml:space="preserve"> followers to compete despite limited pursuit of innovation, </w:t>
      </w:r>
    </w:p>
    <w:p w14:paraId="7990ED86" w14:textId="77777777" w:rsidR="00041847" w:rsidRPr="005356D0" w:rsidRDefault="00041847" w:rsidP="005356D0">
      <w:pPr>
        <w:spacing w:line="360" w:lineRule="auto"/>
        <w:jc w:val="both"/>
        <w:rPr>
          <w:rFonts w:ascii="Arial" w:hAnsi="Arial" w:cs="Arial"/>
        </w:rPr>
      </w:pPr>
    </w:p>
    <w:p w14:paraId="1C9CE21D" w14:textId="7AD59FAA" w:rsidR="00B26487" w:rsidRPr="005356D0" w:rsidRDefault="00B26487" w:rsidP="005356D0">
      <w:pPr>
        <w:pStyle w:val="Heading1"/>
        <w:rPr>
          <w:rFonts w:ascii="Arial" w:hAnsi="Arial" w:cs="Arial"/>
        </w:rPr>
      </w:pPr>
      <w:bookmarkStart w:id="24" w:name="_Toc214471815"/>
      <w:bookmarkStart w:id="25" w:name="_Toc211437177"/>
      <w:r w:rsidRPr="005356D0">
        <w:rPr>
          <w:rFonts w:ascii="Arial" w:hAnsi="Arial" w:cs="Arial"/>
        </w:rPr>
        <w:t>4. Conclusion</w:t>
      </w:r>
      <w:bookmarkEnd w:id="24"/>
      <w:r w:rsidRPr="005356D0">
        <w:rPr>
          <w:rFonts w:ascii="Arial" w:hAnsi="Arial" w:cs="Arial"/>
        </w:rPr>
        <w:t xml:space="preserve"> </w:t>
      </w:r>
      <w:bookmarkEnd w:id="25"/>
    </w:p>
    <w:p w14:paraId="56923BCC" w14:textId="3F65A332" w:rsidR="0017150B" w:rsidRPr="005356D0" w:rsidRDefault="0017150B" w:rsidP="005356D0">
      <w:pPr>
        <w:spacing w:after="160" w:line="360" w:lineRule="auto"/>
        <w:jc w:val="both"/>
        <w:rPr>
          <w:rFonts w:ascii="Arial" w:hAnsi="Arial" w:cs="Arial"/>
        </w:rPr>
      </w:pPr>
      <w:r w:rsidRPr="005356D0">
        <w:rPr>
          <w:rFonts w:ascii="Arial" w:hAnsi="Arial" w:cs="Arial"/>
        </w:rPr>
        <w:t xml:space="preserve">Hence, the marketeers in both the pioneering and following </w:t>
      </w:r>
      <w:proofErr w:type="spellStart"/>
      <w:r w:rsidRPr="005356D0">
        <w:rPr>
          <w:rFonts w:ascii="Arial" w:hAnsi="Arial" w:cs="Arial"/>
        </w:rPr>
        <w:t>orgainizations</w:t>
      </w:r>
      <w:proofErr w:type="spellEnd"/>
      <w:r w:rsidRPr="005356D0">
        <w:rPr>
          <w:rFonts w:ascii="Arial" w:hAnsi="Arial" w:cs="Arial"/>
        </w:rPr>
        <w:t xml:space="preserve">, must consider strategies that are suited to the macro-marketing environment. An example of such would be that companies pricing their solutions based on the economic factor like purchasing power of the individual or the </w:t>
      </w:r>
      <w:proofErr w:type="gramStart"/>
      <w:r w:rsidRPr="005356D0">
        <w:rPr>
          <w:rFonts w:ascii="Arial" w:hAnsi="Arial" w:cs="Arial"/>
        </w:rPr>
        <w:t>environmental  factor</w:t>
      </w:r>
      <w:proofErr w:type="gramEnd"/>
      <w:r w:rsidRPr="005356D0">
        <w:rPr>
          <w:rFonts w:ascii="Arial" w:hAnsi="Arial" w:cs="Arial"/>
        </w:rPr>
        <w:t xml:space="preserve"> like abiding by the environmental regulations and emission laws. Things </w:t>
      </w:r>
      <w:r w:rsidR="0071123B">
        <w:rPr>
          <w:rFonts w:ascii="Arial" w:hAnsi="Arial" w:cs="Arial"/>
        </w:rPr>
        <w:t xml:space="preserve">are a bit easier for followers, as </w:t>
      </w:r>
      <w:r w:rsidR="0071123B">
        <w:rPr>
          <w:rFonts w:ascii="Arial" w:hAnsi="Arial" w:cs="Arial"/>
        </w:rPr>
        <w:lastRenderedPageBreak/>
        <w:t>they may consider mimicking the pioneers by</w:t>
      </w:r>
      <w:r w:rsidRPr="005356D0">
        <w:rPr>
          <w:rFonts w:ascii="Arial" w:hAnsi="Arial" w:cs="Arial"/>
        </w:rPr>
        <w:t xml:space="preserve"> placing the product based on the problem identified. </w:t>
      </w:r>
    </w:p>
    <w:p w14:paraId="447FF812" w14:textId="77777777" w:rsidR="00FF1AA0" w:rsidRPr="00363875" w:rsidRDefault="00FF1AA0" w:rsidP="005356D0">
      <w:pPr>
        <w:spacing w:line="360" w:lineRule="auto"/>
        <w:jc w:val="both"/>
        <w:rPr>
          <w:rFonts w:ascii="Arial" w:hAnsi="Arial" w:cs="Arial"/>
        </w:rPr>
      </w:pPr>
      <w:r w:rsidRPr="005356D0">
        <w:rPr>
          <w:rFonts w:ascii="Arial" w:hAnsi="Arial" w:cs="Arial"/>
        </w:rPr>
        <w:t xml:space="preserve">It is recommended in this essay that both the </w:t>
      </w:r>
      <w:r w:rsidRPr="00363875">
        <w:rPr>
          <w:rFonts w:ascii="Arial" w:hAnsi="Arial" w:cs="Arial"/>
        </w:rPr>
        <w:t xml:space="preserve">pioneers and </w:t>
      </w:r>
      <w:r w:rsidRPr="005356D0">
        <w:rPr>
          <w:rFonts w:ascii="Arial" w:hAnsi="Arial" w:cs="Arial"/>
        </w:rPr>
        <w:t xml:space="preserve">followers must consider adopting an </w:t>
      </w:r>
      <w:r w:rsidRPr="00363875">
        <w:rPr>
          <w:rFonts w:ascii="Arial" w:hAnsi="Arial" w:cs="Arial"/>
        </w:rPr>
        <w:t>integrated, data-driven, and sustainability-aligned approach</w:t>
      </w:r>
      <w:r w:rsidRPr="005356D0">
        <w:rPr>
          <w:rFonts w:ascii="Arial" w:hAnsi="Arial" w:cs="Arial"/>
        </w:rPr>
        <w:t>. It has already been established that u</w:t>
      </w:r>
      <w:r w:rsidRPr="00363875">
        <w:rPr>
          <w:rFonts w:ascii="Arial" w:hAnsi="Arial" w:cs="Arial"/>
        </w:rPr>
        <w:t xml:space="preserve">sing real-time economic indicators (inflation trends, energy price shifts, consumer confidence) </w:t>
      </w:r>
      <w:r w:rsidRPr="005356D0">
        <w:rPr>
          <w:rFonts w:ascii="Arial" w:hAnsi="Arial" w:cs="Arial"/>
        </w:rPr>
        <w:t xml:space="preserve">enables marketers </w:t>
      </w:r>
      <w:r w:rsidRPr="00363875">
        <w:rPr>
          <w:rFonts w:ascii="Arial" w:hAnsi="Arial" w:cs="Arial"/>
        </w:rPr>
        <w:t>to adjust pricing, value propositions, and communication rapidly, ensuring relevance during economic volatility.</w:t>
      </w:r>
    </w:p>
    <w:p w14:paraId="7C5CA87F" w14:textId="35312C46" w:rsidR="009D7314" w:rsidRPr="005356D0" w:rsidRDefault="00FF1AA0" w:rsidP="005356D0">
      <w:pPr>
        <w:spacing w:line="360" w:lineRule="auto"/>
        <w:jc w:val="both"/>
        <w:rPr>
          <w:rFonts w:ascii="Arial" w:hAnsi="Arial" w:cs="Arial"/>
        </w:rPr>
      </w:pPr>
      <w:r w:rsidRPr="005356D0">
        <w:rPr>
          <w:rFonts w:ascii="Arial" w:hAnsi="Arial" w:cs="Arial"/>
        </w:rPr>
        <w:t>O</w:t>
      </w:r>
      <w:r w:rsidRPr="00363875">
        <w:rPr>
          <w:rFonts w:ascii="Arial" w:hAnsi="Arial" w:cs="Arial"/>
        </w:rPr>
        <w:t xml:space="preserve">rganisations </w:t>
      </w:r>
      <w:r w:rsidRPr="005356D0">
        <w:rPr>
          <w:rFonts w:ascii="Arial" w:hAnsi="Arial" w:cs="Arial"/>
        </w:rPr>
        <w:t>mentioned in this report must consider e</w:t>
      </w:r>
      <w:r w:rsidRPr="00363875">
        <w:rPr>
          <w:rFonts w:ascii="Arial" w:hAnsi="Arial" w:cs="Arial"/>
        </w:rPr>
        <w:t>mbed</w:t>
      </w:r>
      <w:r w:rsidRPr="005356D0">
        <w:rPr>
          <w:rFonts w:ascii="Arial" w:hAnsi="Arial" w:cs="Arial"/>
        </w:rPr>
        <w:t>ding</w:t>
      </w:r>
      <w:r w:rsidRPr="00363875">
        <w:rPr>
          <w:rFonts w:ascii="Arial" w:hAnsi="Arial" w:cs="Arial"/>
        </w:rPr>
        <w:t xml:space="preserve"> </w:t>
      </w:r>
      <w:r w:rsidRPr="00363875">
        <w:rPr>
          <w:rFonts w:ascii="Arial" w:hAnsi="Arial" w:cs="Arial"/>
          <w:b/>
          <w:bCs/>
        </w:rPr>
        <w:t>credible sustainability narratives</w:t>
      </w:r>
      <w:r w:rsidRPr="00363875">
        <w:rPr>
          <w:rFonts w:ascii="Arial" w:hAnsi="Arial" w:cs="Arial"/>
        </w:rPr>
        <w:t xml:space="preserve"> into their brand positioning.</w:t>
      </w:r>
      <w:r w:rsidRPr="005356D0">
        <w:rPr>
          <w:rFonts w:ascii="Arial" w:hAnsi="Arial" w:cs="Arial"/>
        </w:rPr>
        <w:t xml:space="preserve"> F</w:t>
      </w:r>
      <w:r w:rsidRPr="00363875">
        <w:rPr>
          <w:rFonts w:ascii="Arial" w:hAnsi="Arial" w:cs="Arial"/>
        </w:rPr>
        <w:t xml:space="preserve">irms should adopt </w:t>
      </w:r>
      <w:r w:rsidRPr="00363875">
        <w:rPr>
          <w:rFonts w:ascii="Arial" w:hAnsi="Arial" w:cs="Arial"/>
          <w:b/>
          <w:bCs/>
        </w:rPr>
        <w:t>portfolio strategies aligned with Ansoff’s Matri</w:t>
      </w:r>
      <w:r w:rsidRPr="005356D0">
        <w:rPr>
          <w:rFonts w:ascii="Arial" w:hAnsi="Arial" w:cs="Arial"/>
          <w:b/>
          <w:bCs/>
        </w:rPr>
        <w:t xml:space="preserve">x, </w:t>
      </w:r>
      <w:r w:rsidRPr="00363875">
        <w:rPr>
          <w:rFonts w:ascii="Arial" w:hAnsi="Arial" w:cs="Arial"/>
        </w:rPr>
        <w:t>pioneers emphasising product and market development</w:t>
      </w:r>
      <w:r w:rsidRPr="005356D0">
        <w:rPr>
          <w:rFonts w:ascii="Arial" w:hAnsi="Arial" w:cs="Arial"/>
        </w:rPr>
        <w:t xml:space="preserve">. </w:t>
      </w:r>
    </w:p>
    <w:p w14:paraId="3A7C5B83" w14:textId="77777777" w:rsidR="009D7314" w:rsidRPr="005356D0" w:rsidRDefault="009D7314" w:rsidP="005356D0">
      <w:pPr>
        <w:spacing w:after="160" w:line="360" w:lineRule="auto"/>
        <w:rPr>
          <w:rFonts w:ascii="Arial" w:hAnsi="Arial" w:cs="Arial"/>
        </w:rPr>
      </w:pPr>
      <w:r w:rsidRPr="005356D0">
        <w:rPr>
          <w:rFonts w:ascii="Arial" w:hAnsi="Arial" w:cs="Arial"/>
        </w:rPr>
        <w:br w:type="page"/>
      </w:r>
    </w:p>
    <w:p w14:paraId="3184EA76" w14:textId="1518156D" w:rsidR="009D7314" w:rsidRPr="005356D0" w:rsidRDefault="009D7314" w:rsidP="005356D0">
      <w:pPr>
        <w:pStyle w:val="Heading1"/>
        <w:rPr>
          <w:rFonts w:ascii="Arial" w:hAnsi="Arial" w:cs="Arial"/>
        </w:rPr>
      </w:pPr>
      <w:bookmarkStart w:id="26" w:name="_Toc214471816"/>
      <w:r w:rsidRPr="005356D0">
        <w:rPr>
          <w:rFonts w:ascii="Arial" w:hAnsi="Arial" w:cs="Arial"/>
        </w:rPr>
        <w:lastRenderedPageBreak/>
        <w:t>References</w:t>
      </w:r>
      <w:bookmarkEnd w:id="26"/>
    </w:p>
    <w:p w14:paraId="5323817D" w14:textId="77777777" w:rsidR="009D7314" w:rsidRPr="005356D0" w:rsidRDefault="009D7314" w:rsidP="005356D0">
      <w:pPr>
        <w:spacing w:line="360" w:lineRule="auto"/>
        <w:jc w:val="both"/>
        <w:rPr>
          <w:rFonts w:ascii="Arial" w:hAnsi="Arial" w:cs="Arial"/>
        </w:rPr>
      </w:pPr>
    </w:p>
    <w:p w14:paraId="142B8356"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Bertelsmann Stiftung, </w:t>
      </w:r>
      <w:r w:rsidRPr="005356D0">
        <w:rPr>
          <w:rFonts w:ascii="Arial" w:hAnsi="Arial" w:cs="Arial"/>
          <w:b/>
          <w:bCs/>
        </w:rPr>
        <w:t>BTI 2024 Country Report — India</w:t>
      </w:r>
      <w:r w:rsidRPr="005356D0">
        <w:rPr>
          <w:rFonts w:ascii="Arial" w:hAnsi="Arial" w:cs="Arial"/>
        </w:rPr>
        <w:t xml:space="preserve">, Gütersloh: Bertelsmann Stiftung, 2024. </w:t>
      </w:r>
      <w:hyperlink r:id="rId10" w:tgtFrame="_blank" w:history="1">
        <w:r w:rsidRPr="005356D0">
          <w:rPr>
            <w:rStyle w:val="Hyperlink"/>
            <w:rFonts w:ascii="Arial" w:hAnsi="Arial" w:cs="Arial"/>
          </w:rPr>
          <w:t>bti-project.org+1</w:t>
        </w:r>
      </w:hyperlink>
    </w:p>
    <w:p w14:paraId="645A356F"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Brands, F.M.C.G., 2023. Exploring the Influence of Economic Factors on Consumer Decision-Making Regarding International.</w:t>
      </w:r>
    </w:p>
    <w:p w14:paraId="73C0D031"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British Chambers of Commerce (2025) </w:t>
      </w:r>
      <w:r w:rsidRPr="005356D0">
        <w:rPr>
          <w:rFonts w:ascii="Arial" w:hAnsi="Arial" w:cs="Arial"/>
          <w:i/>
          <w:iCs/>
        </w:rPr>
        <w:t>BCC Economic Forecast: Growth Continues to Flatline</w:t>
      </w:r>
      <w:r w:rsidRPr="005356D0">
        <w:rPr>
          <w:rFonts w:ascii="Arial" w:hAnsi="Arial" w:cs="Arial"/>
        </w:rPr>
        <w:t xml:space="preserve">. Available at: </w:t>
      </w:r>
      <w:hyperlink r:id="rId11" w:tgtFrame="_new" w:history="1">
        <w:r w:rsidRPr="005356D0">
          <w:rPr>
            <w:rStyle w:val="Hyperlink"/>
            <w:rFonts w:ascii="Arial" w:hAnsi="Arial" w:cs="Arial"/>
          </w:rPr>
          <w:t>https://www.britishchambers.org.uk/news/2025/09/bcc-economic-forecast-growth-continues-to-flatline/</w:t>
        </w:r>
      </w:hyperlink>
      <w:r w:rsidRPr="005356D0">
        <w:rPr>
          <w:rFonts w:ascii="Arial" w:hAnsi="Arial" w:cs="Arial"/>
        </w:rPr>
        <w:t xml:space="preserve"> (Accessed: 19 November 2025).</w:t>
      </w:r>
    </w:p>
    <w:p w14:paraId="46FFE515"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EY (2025) </w:t>
      </w:r>
      <w:r w:rsidRPr="005356D0">
        <w:rPr>
          <w:rFonts w:ascii="Arial" w:hAnsi="Arial" w:cs="Arial"/>
          <w:i/>
          <w:iCs/>
        </w:rPr>
        <w:t>UK growth forecast upgraded to 1.5% for 2025</w:t>
      </w:r>
      <w:r w:rsidRPr="005356D0">
        <w:rPr>
          <w:rFonts w:ascii="Arial" w:hAnsi="Arial" w:cs="Arial"/>
        </w:rPr>
        <w:t xml:space="preserve">. Available at: </w:t>
      </w:r>
      <w:hyperlink r:id="rId12" w:tgtFrame="_new" w:history="1">
        <w:r w:rsidRPr="005356D0">
          <w:rPr>
            <w:rStyle w:val="Hyperlink"/>
            <w:rFonts w:ascii="Arial" w:hAnsi="Arial" w:cs="Arial"/>
          </w:rPr>
          <w:t>https://www.ey.com/en_uk/newsroom/2025/11/uk-economic-growth-forecast-upgraded-for-2025</w:t>
        </w:r>
      </w:hyperlink>
      <w:r w:rsidRPr="005356D0">
        <w:rPr>
          <w:rFonts w:ascii="Arial" w:hAnsi="Arial" w:cs="Arial"/>
        </w:rPr>
        <w:t xml:space="preserve"> (Accessed: 19 November 2025).</w:t>
      </w:r>
    </w:p>
    <w:p w14:paraId="62042514"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Harvey, F. (2025) ‘UK carbon emissions fell by 4% in 2024, official figures show’, </w:t>
      </w:r>
      <w:r w:rsidRPr="005356D0">
        <w:rPr>
          <w:rFonts w:ascii="Arial" w:hAnsi="Arial" w:cs="Arial"/>
          <w:i/>
          <w:iCs/>
        </w:rPr>
        <w:t>The Guardian</w:t>
      </w:r>
      <w:r w:rsidRPr="005356D0">
        <w:rPr>
          <w:rFonts w:ascii="Arial" w:hAnsi="Arial" w:cs="Arial"/>
        </w:rPr>
        <w:t xml:space="preserve">, 27 March. Available at: </w:t>
      </w:r>
      <w:hyperlink r:id="rId13" w:tgtFrame="_new" w:history="1">
        <w:r w:rsidRPr="005356D0">
          <w:rPr>
            <w:rStyle w:val="Hyperlink"/>
            <w:rFonts w:ascii="Arial" w:hAnsi="Arial" w:cs="Arial"/>
          </w:rPr>
          <w:t>https://www.theguardian.com/environment/2025/mar/27/uk-carbon-emissions-fell-by-4-in-2024-official-figures-show</w:t>
        </w:r>
      </w:hyperlink>
      <w:r w:rsidRPr="005356D0">
        <w:rPr>
          <w:rFonts w:ascii="Arial" w:hAnsi="Arial" w:cs="Arial"/>
        </w:rPr>
        <w:t xml:space="preserve"> (Accessed: 19 November 2025). </w:t>
      </w:r>
    </w:p>
    <w:p w14:paraId="540F50EC"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House of Commons Library (2024) </w:t>
      </w:r>
      <w:r w:rsidRPr="005356D0">
        <w:rPr>
          <w:rFonts w:ascii="Arial" w:hAnsi="Arial" w:cs="Arial"/>
          <w:i/>
          <w:iCs/>
        </w:rPr>
        <w:t>The UK’s changing population</w:t>
      </w:r>
      <w:r w:rsidRPr="005356D0">
        <w:rPr>
          <w:rFonts w:ascii="Arial" w:hAnsi="Arial" w:cs="Arial"/>
        </w:rPr>
        <w:t xml:space="preserve">. Available at: </w:t>
      </w:r>
      <w:hyperlink r:id="rId14" w:tgtFrame="_new" w:history="1">
        <w:r w:rsidRPr="005356D0">
          <w:rPr>
            <w:rStyle w:val="Hyperlink"/>
            <w:rFonts w:ascii="Arial" w:hAnsi="Arial" w:cs="Arial"/>
          </w:rPr>
          <w:t>https://commonslibrary.parliament.uk/the-uks-changing-population/</w:t>
        </w:r>
      </w:hyperlink>
      <w:r w:rsidRPr="005356D0">
        <w:rPr>
          <w:rFonts w:ascii="Arial" w:hAnsi="Arial" w:cs="Arial"/>
        </w:rPr>
        <w:t xml:space="preserve"> (Accessed: 19 November 2025).</w:t>
      </w:r>
    </w:p>
    <w:p w14:paraId="6AA053B6"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Octopus Energy (2025) </w:t>
      </w:r>
      <w:r w:rsidRPr="005356D0">
        <w:rPr>
          <w:rFonts w:ascii="Arial" w:hAnsi="Arial" w:cs="Arial"/>
          <w:i/>
          <w:iCs/>
        </w:rPr>
        <w:t>Save with Octopus</w:t>
      </w:r>
      <w:r w:rsidRPr="005356D0">
        <w:rPr>
          <w:rFonts w:ascii="Arial" w:hAnsi="Arial" w:cs="Arial"/>
        </w:rPr>
        <w:t xml:space="preserve">. Available at: </w:t>
      </w:r>
      <w:hyperlink r:id="rId15" w:tgtFrame="_new" w:history="1">
        <w:r w:rsidRPr="005356D0">
          <w:rPr>
            <w:rStyle w:val="Hyperlink"/>
            <w:rFonts w:ascii="Arial" w:hAnsi="Arial" w:cs="Arial"/>
          </w:rPr>
          <w:t>https://octopus.energy/save-with-octopus</w:t>
        </w:r>
      </w:hyperlink>
      <w:r w:rsidRPr="005356D0">
        <w:rPr>
          <w:rFonts w:ascii="Arial" w:hAnsi="Arial" w:cs="Arial"/>
        </w:rPr>
        <w:t xml:space="preserve"> (Accessed: 19 November 2025).</w:t>
      </w:r>
    </w:p>
    <w:p w14:paraId="23B84F20"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OECD (2015) </w:t>
      </w:r>
      <w:r w:rsidRPr="005356D0">
        <w:rPr>
          <w:rFonts w:ascii="Arial" w:hAnsi="Arial" w:cs="Arial"/>
          <w:i/>
          <w:iCs/>
        </w:rPr>
        <w:t>Institutions of intergovernmental fiscal relations: Challenges and solutions</w:t>
      </w:r>
      <w:r w:rsidRPr="005356D0">
        <w:rPr>
          <w:rFonts w:ascii="Arial" w:hAnsi="Arial" w:cs="Arial"/>
        </w:rPr>
        <w:t xml:space="preserve">. Paris: Organisation for Economic Co-operation and Development. Available at: </w:t>
      </w:r>
      <w:hyperlink r:id="rId16" w:tgtFrame="_new" w:history="1">
        <w:r w:rsidRPr="005356D0">
          <w:rPr>
            <w:rStyle w:val="Hyperlink"/>
            <w:rFonts w:ascii="Arial" w:hAnsi="Arial" w:cs="Arial"/>
          </w:rPr>
          <w:t>https://www.oecd.org/content/dam/oecd/en/publications/reports/2015/11/institutions-of-intergovernmental-fiscal-relations_g1g5e99f/9789264246966-en.pdf</w:t>
        </w:r>
      </w:hyperlink>
      <w:r w:rsidRPr="005356D0">
        <w:rPr>
          <w:rFonts w:ascii="Arial" w:hAnsi="Arial" w:cs="Arial"/>
        </w:rPr>
        <w:t xml:space="preserve"> (Accessed: 19 November 2025).</w:t>
      </w:r>
    </w:p>
    <w:p w14:paraId="70C04894" w14:textId="024B03A1" w:rsidR="009D7314" w:rsidRPr="005356D0" w:rsidRDefault="009D7314" w:rsidP="005356D0">
      <w:pPr>
        <w:pStyle w:val="ListParagraph"/>
        <w:numPr>
          <w:ilvl w:val="0"/>
          <w:numId w:val="10"/>
        </w:numPr>
        <w:spacing w:line="360" w:lineRule="auto"/>
        <w:jc w:val="both"/>
        <w:rPr>
          <w:rFonts w:ascii="Arial" w:hAnsi="Arial" w:cs="Arial"/>
        </w:rPr>
      </w:pPr>
      <w:proofErr w:type="spellStart"/>
      <w:r w:rsidRPr="005356D0">
        <w:rPr>
          <w:rFonts w:ascii="Arial" w:hAnsi="Arial" w:cs="Arial"/>
        </w:rPr>
        <w:t>Polymateria</w:t>
      </w:r>
      <w:proofErr w:type="spellEnd"/>
      <w:r w:rsidRPr="005356D0">
        <w:rPr>
          <w:rFonts w:ascii="Arial" w:hAnsi="Arial" w:cs="Arial"/>
        </w:rPr>
        <w:t xml:space="preserve"> Ltd (2025) </w:t>
      </w:r>
      <w:proofErr w:type="spellStart"/>
      <w:r w:rsidRPr="005356D0">
        <w:rPr>
          <w:rFonts w:ascii="Arial" w:hAnsi="Arial" w:cs="Arial"/>
          <w:i/>
          <w:iCs/>
        </w:rPr>
        <w:t>Polymateria</w:t>
      </w:r>
      <w:proofErr w:type="spellEnd"/>
      <w:r w:rsidRPr="005356D0">
        <w:rPr>
          <w:rFonts w:ascii="Arial" w:hAnsi="Arial" w:cs="Arial"/>
        </w:rPr>
        <w:t xml:space="preserve">. Available at: </w:t>
      </w:r>
      <w:hyperlink r:id="rId17" w:tgtFrame="_new" w:history="1">
        <w:r w:rsidRPr="005356D0">
          <w:rPr>
            <w:rStyle w:val="Hyperlink"/>
            <w:rFonts w:ascii="Arial" w:hAnsi="Arial" w:cs="Arial"/>
          </w:rPr>
          <w:t>https://www.polymateria.com</w:t>
        </w:r>
      </w:hyperlink>
      <w:r w:rsidRPr="005356D0">
        <w:rPr>
          <w:rFonts w:ascii="Arial" w:hAnsi="Arial" w:cs="Arial"/>
        </w:rPr>
        <w:t xml:space="preserve"> (Accessed: 19 November 2025).</w:t>
      </w:r>
    </w:p>
    <w:p w14:paraId="1BAD3A52"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RSK Group (2025) </w:t>
      </w:r>
      <w:r w:rsidRPr="005356D0">
        <w:rPr>
          <w:rFonts w:ascii="Arial" w:hAnsi="Arial" w:cs="Arial"/>
          <w:i/>
          <w:iCs/>
        </w:rPr>
        <w:t>Annual Report</w:t>
      </w:r>
      <w:r w:rsidRPr="005356D0">
        <w:rPr>
          <w:rFonts w:ascii="Arial" w:hAnsi="Arial" w:cs="Arial"/>
        </w:rPr>
        <w:t xml:space="preserve">. Available at: </w:t>
      </w:r>
      <w:hyperlink r:id="rId18" w:tgtFrame="_new" w:history="1">
        <w:r w:rsidRPr="005356D0">
          <w:rPr>
            <w:rStyle w:val="Hyperlink"/>
            <w:rFonts w:ascii="Arial" w:hAnsi="Arial" w:cs="Arial"/>
          </w:rPr>
          <w:t>https://rskgroup.com/annual-report/</w:t>
        </w:r>
      </w:hyperlink>
      <w:r w:rsidRPr="005356D0">
        <w:rPr>
          <w:rFonts w:ascii="Arial" w:hAnsi="Arial" w:cs="Arial"/>
        </w:rPr>
        <w:t xml:space="preserve"> (Accessed: 19 November 2025).</w:t>
      </w:r>
    </w:p>
    <w:p w14:paraId="5FA32CA3" w14:textId="77777777" w:rsidR="009D7314" w:rsidRPr="005356D0" w:rsidRDefault="009D7314" w:rsidP="005356D0">
      <w:pPr>
        <w:pStyle w:val="ListParagraph"/>
        <w:numPr>
          <w:ilvl w:val="0"/>
          <w:numId w:val="10"/>
        </w:numPr>
        <w:spacing w:line="360" w:lineRule="auto"/>
        <w:jc w:val="both"/>
        <w:rPr>
          <w:rFonts w:ascii="Arial" w:hAnsi="Arial" w:cs="Arial"/>
        </w:rPr>
      </w:pPr>
      <w:proofErr w:type="spellStart"/>
      <w:r w:rsidRPr="005356D0">
        <w:rPr>
          <w:rFonts w:ascii="Arial" w:hAnsi="Arial" w:cs="Arial"/>
        </w:rPr>
        <w:t>Silinevicha</w:t>
      </w:r>
      <w:proofErr w:type="spellEnd"/>
      <w:r w:rsidRPr="005356D0">
        <w:rPr>
          <w:rFonts w:ascii="Arial" w:hAnsi="Arial" w:cs="Arial"/>
        </w:rPr>
        <w:t xml:space="preserve">, V. and Kalinina, K., 2017. The Development of the Evaluation System of Factors, influencing on the Organization for the Prevention of Risks </w:t>
      </w:r>
      <w:r w:rsidRPr="005356D0">
        <w:rPr>
          <w:rFonts w:ascii="Arial" w:hAnsi="Arial" w:cs="Arial"/>
        </w:rPr>
        <w:lastRenderedPageBreak/>
        <w:t>of Its Activity in the Market in Any Field of Activity, Using PEST—Analysis. </w:t>
      </w:r>
      <w:r w:rsidRPr="005356D0">
        <w:rPr>
          <w:rFonts w:ascii="Arial" w:hAnsi="Arial" w:cs="Arial"/>
          <w:i/>
          <w:iCs/>
        </w:rPr>
        <w:t>Professional Studies: Theory and Practice</w:t>
      </w:r>
      <w:r w:rsidRPr="005356D0">
        <w:rPr>
          <w:rFonts w:ascii="Arial" w:hAnsi="Arial" w:cs="Arial"/>
        </w:rPr>
        <w:t>, </w:t>
      </w:r>
      <w:r w:rsidRPr="005356D0">
        <w:rPr>
          <w:rFonts w:ascii="Arial" w:hAnsi="Arial" w:cs="Arial"/>
          <w:i/>
          <w:iCs/>
        </w:rPr>
        <w:t>3</w:t>
      </w:r>
      <w:r w:rsidRPr="005356D0">
        <w:rPr>
          <w:rFonts w:ascii="Arial" w:hAnsi="Arial" w:cs="Arial"/>
        </w:rPr>
        <w:t>(18), pp.38-44.</w:t>
      </w:r>
    </w:p>
    <w:p w14:paraId="11F442AF"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Statista (2025) </w:t>
      </w:r>
      <w:r w:rsidRPr="005356D0">
        <w:rPr>
          <w:rFonts w:ascii="Arial" w:hAnsi="Arial" w:cs="Arial"/>
          <w:i/>
          <w:iCs/>
        </w:rPr>
        <w:t>Macroeconomic indicators — India</w:t>
      </w:r>
      <w:r w:rsidRPr="005356D0">
        <w:rPr>
          <w:rFonts w:ascii="Arial" w:hAnsi="Arial" w:cs="Arial"/>
        </w:rPr>
        <w:t xml:space="preserve">. Available at: </w:t>
      </w:r>
      <w:hyperlink r:id="rId19" w:tgtFrame="_new" w:history="1">
        <w:r w:rsidRPr="005356D0">
          <w:rPr>
            <w:rStyle w:val="Hyperlink"/>
            <w:rFonts w:ascii="Arial" w:hAnsi="Arial" w:cs="Arial"/>
          </w:rPr>
          <w:t>https://www.statista.com/outlook/co/macroeconomic-indicators/india</w:t>
        </w:r>
      </w:hyperlink>
      <w:r w:rsidRPr="005356D0">
        <w:rPr>
          <w:rFonts w:ascii="Arial" w:hAnsi="Arial" w:cs="Arial"/>
        </w:rPr>
        <w:t xml:space="preserve"> (Accessed: 19 November 2025).</w:t>
      </w:r>
    </w:p>
    <w:p w14:paraId="62AEE267"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U.S. International Trade Administration (2025) </w:t>
      </w:r>
      <w:r w:rsidRPr="005356D0">
        <w:rPr>
          <w:rFonts w:ascii="Arial" w:hAnsi="Arial" w:cs="Arial"/>
          <w:i/>
          <w:iCs/>
        </w:rPr>
        <w:t>India Digital Economy</w:t>
      </w:r>
      <w:r w:rsidRPr="005356D0">
        <w:rPr>
          <w:rFonts w:ascii="Arial" w:hAnsi="Arial" w:cs="Arial"/>
        </w:rPr>
        <w:t xml:space="preserve">. Available at: </w:t>
      </w:r>
      <w:hyperlink r:id="rId20" w:tgtFrame="_new" w:history="1">
        <w:r w:rsidRPr="005356D0">
          <w:rPr>
            <w:rStyle w:val="Hyperlink"/>
            <w:rFonts w:ascii="Arial" w:hAnsi="Arial" w:cs="Arial"/>
          </w:rPr>
          <w:t>https://www.trade.gov/country-commercial-guides/india-digital-economy</w:t>
        </w:r>
      </w:hyperlink>
      <w:r w:rsidRPr="005356D0">
        <w:rPr>
          <w:rFonts w:ascii="Arial" w:hAnsi="Arial" w:cs="Arial"/>
        </w:rPr>
        <w:t xml:space="preserve"> (Accessed: 19 November 2025).</w:t>
      </w:r>
    </w:p>
    <w:p w14:paraId="6A307769" w14:textId="77777777" w:rsidR="009D7314" w:rsidRPr="005356D0" w:rsidRDefault="009D7314" w:rsidP="005356D0">
      <w:pPr>
        <w:pStyle w:val="ListParagraph"/>
        <w:numPr>
          <w:ilvl w:val="0"/>
          <w:numId w:val="10"/>
        </w:numPr>
        <w:spacing w:line="360" w:lineRule="auto"/>
        <w:jc w:val="both"/>
        <w:rPr>
          <w:rFonts w:ascii="Arial" w:hAnsi="Arial" w:cs="Arial"/>
        </w:rPr>
      </w:pPr>
      <w:proofErr w:type="spellStart"/>
      <w:r w:rsidRPr="005356D0">
        <w:rPr>
          <w:rFonts w:ascii="Arial" w:hAnsi="Arial" w:cs="Arial"/>
        </w:rPr>
        <w:t>Worldometer</w:t>
      </w:r>
      <w:proofErr w:type="spellEnd"/>
      <w:r w:rsidRPr="005356D0">
        <w:rPr>
          <w:rFonts w:ascii="Arial" w:hAnsi="Arial" w:cs="Arial"/>
        </w:rPr>
        <w:t xml:space="preserve"> (2025) </w:t>
      </w:r>
      <w:r w:rsidRPr="005356D0">
        <w:rPr>
          <w:rFonts w:ascii="Arial" w:hAnsi="Arial" w:cs="Arial"/>
          <w:i/>
          <w:iCs/>
        </w:rPr>
        <w:t>India Population</w:t>
      </w:r>
      <w:r w:rsidRPr="005356D0">
        <w:rPr>
          <w:rFonts w:ascii="Arial" w:hAnsi="Arial" w:cs="Arial"/>
        </w:rPr>
        <w:t xml:space="preserve">. Available at: </w:t>
      </w:r>
      <w:hyperlink r:id="rId21" w:tgtFrame="_new" w:history="1">
        <w:r w:rsidRPr="005356D0">
          <w:rPr>
            <w:rStyle w:val="Hyperlink"/>
            <w:rFonts w:ascii="Arial" w:hAnsi="Arial" w:cs="Arial"/>
          </w:rPr>
          <w:t>https://www.worldometers.info/world-population/india-population/</w:t>
        </w:r>
      </w:hyperlink>
      <w:r w:rsidRPr="005356D0">
        <w:rPr>
          <w:rFonts w:ascii="Arial" w:hAnsi="Arial" w:cs="Arial"/>
        </w:rPr>
        <w:t xml:space="preserve"> (Accessed: 19 November 2025).</w:t>
      </w:r>
    </w:p>
    <w:p w14:paraId="6061E9DC" w14:textId="77777777" w:rsidR="009D7314" w:rsidRPr="005356D0" w:rsidRDefault="009D7314" w:rsidP="005356D0">
      <w:pPr>
        <w:pStyle w:val="ListParagraph"/>
        <w:numPr>
          <w:ilvl w:val="0"/>
          <w:numId w:val="10"/>
        </w:numPr>
        <w:spacing w:line="360" w:lineRule="auto"/>
        <w:jc w:val="both"/>
        <w:rPr>
          <w:rFonts w:ascii="Arial" w:hAnsi="Arial" w:cs="Arial"/>
        </w:rPr>
      </w:pPr>
      <w:proofErr w:type="spellStart"/>
      <w:r w:rsidRPr="005356D0">
        <w:rPr>
          <w:rFonts w:ascii="Arial" w:hAnsi="Arial" w:cs="Arial"/>
        </w:rPr>
        <w:t>Yayzy</w:t>
      </w:r>
      <w:proofErr w:type="spellEnd"/>
      <w:r w:rsidRPr="005356D0">
        <w:rPr>
          <w:rFonts w:ascii="Arial" w:hAnsi="Arial" w:cs="Arial"/>
        </w:rPr>
        <w:t xml:space="preserve"> Ltd (2025) </w:t>
      </w:r>
      <w:r w:rsidRPr="005356D0">
        <w:rPr>
          <w:rFonts w:ascii="Arial" w:hAnsi="Arial" w:cs="Arial"/>
          <w:i/>
          <w:iCs/>
        </w:rPr>
        <w:t>Yayzy</w:t>
      </w:r>
      <w:r w:rsidRPr="005356D0">
        <w:rPr>
          <w:rFonts w:ascii="Arial" w:hAnsi="Arial" w:cs="Arial"/>
        </w:rPr>
        <w:t xml:space="preserve">. Available at: </w:t>
      </w:r>
      <w:hyperlink r:id="rId22" w:tgtFrame="_new" w:history="1">
        <w:r w:rsidRPr="005356D0">
          <w:rPr>
            <w:rStyle w:val="Hyperlink"/>
            <w:rFonts w:ascii="Arial" w:hAnsi="Arial" w:cs="Arial"/>
          </w:rPr>
          <w:t>https://www.yayzy.com</w:t>
        </w:r>
      </w:hyperlink>
      <w:r w:rsidRPr="005356D0">
        <w:rPr>
          <w:rFonts w:ascii="Arial" w:hAnsi="Arial" w:cs="Arial"/>
        </w:rPr>
        <w:t xml:space="preserve"> (Accessed: 19 November 2025).</w:t>
      </w:r>
    </w:p>
    <w:p w14:paraId="25D1B1C4" w14:textId="77777777" w:rsidR="009D7314" w:rsidRPr="005356D0" w:rsidRDefault="009D7314" w:rsidP="005356D0">
      <w:pPr>
        <w:spacing w:line="360" w:lineRule="auto"/>
        <w:rPr>
          <w:rFonts w:ascii="Arial" w:hAnsi="Arial" w:cs="Arial"/>
        </w:rPr>
      </w:pPr>
    </w:p>
    <w:p w14:paraId="63E2E2C5" w14:textId="77777777" w:rsidR="009D7314" w:rsidRPr="005356D0" w:rsidRDefault="009D7314" w:rsidP="005356D0">
      <w:pPr>
        <w:spacing w:line="360" w:lineRule="auto"/>
        <w:jc w:val="both"/>
        <w:rPr>
          <w:rFonts w:ascii="Arial" w:hAnsi="Arial" w:cs="Arial"/>
        </w:rPr>
      </w:pPr>
    </w:p>
    <w:p w14:paraId="45FE368F" w14:textId="77777777" w:rsidR="00FF1AA0" w:rsidRPr="005356D0" w:rsidRDefault="00FF1AA0" w:rsidP="005356D0">
      <w:pPr>
        <w:spacing w:after="160" w:line="360" w:lineRule="auto"/>
        <w:jc w:val="both"/>
        <w:rPr>
          <w:rFonts w:ascii="Arial" w:hAnsi="Arial" w:cs="Arial"/>
        </w:rPr>
      </w:pPr>
    </w:p>
    <w:p w14:paraId="0DF09E72" w14:textId="77777777" w:rsidR="00041847" w:rsidRPr="005356D0" w:rsidRDefault="00041847" w:rsidP="005356D0">
      <w:pPr>
        <w:spacing w:line="360" w:lineRule="auto"/>
        <w:jc w:val="both"/>
        <w:rPr>
          <w:rFonts w:ascii="Arial" w:hAnsi="Arial" w:cs="Arial"/>
        </w:rPr>
      </w:pPr>
      <w:bookmarkStart w:id="27" w:name="_Toc211437178"/>
    </w:p>
    <w:p w14:paraId="57E6E226" w14:textId="77777777" w:rsidR="00041847" w:rsidRPr="005356D0" w:rsidRDefault="00041847" w:rsidP="005356D0">
      <w:pPr>
        <w:spacing w:after="160" w:line="360" w:lineRule="auto"/>
        <w:jc w:val="both"/>
        <w:rPr>
          <w:rFonts w:ascii="Arial" w:hAnsi="Arial" w:cs="Arial"/>
        </w:rPr>
      </w:pPr>
      <w:r w:rsidRPr="005356D0">
        <w:rPr>
          <w:rFonts w:ascii="Arial" w:hAnsi="Arial" w:cs="Arial"/>
        </w:rPr>
        <w:br w:type="page"/>
      </w:r>
    </w:p>
    <w:p w14:paraId="0E5E231F" w14:textId="62FB25D2" w:rsidR="00B26487" w:rsidRPr="005356D0" w:rsidRDefault="00B26487" w:rsidP="005356D0">
      <w:pPr>
        <w:spacing w:line="360" w:lineRule="auto"/>
        <w:jc w:val="both"/>
        <w:rPr>
          <w:rFonts w:ascii="Arial" w:hAnsi="Arial" w:cs="Arial"/>
        </w:rPr>
      </w:pPr>
      <w:r w:rsidRPr="005356D0">
        <w:rPr>
          <w:rFonts w:ascii="Arial" w:hAnsi="Arial" w:cs="Arial"/>
        </w:rPr>
        <w:lastRenderedPageBreak/>
        <w:t>5. References (References are NOT included in the word count)</w:t>
      </w:r>
      <w:bookmarkEnd w:id="27"/>
    </w:p>
    <w:p w14:paraId="16B44127" w14:textId="4D3A1029" w:rsidR="006B6675" w:rsidRPr="005356D0" w:rsidRDefault="006B6675" w:rsidP="005356D0">
      <w:pPr>
        <w:spacing w:line="360" w:lineRule="auto"/>
        <w:jc w:val="both"/>
        <w:rPr>
          <w:rFonts w:ascii="Arial" w:hAnsi="Arial" w:cs="Arial"/>
        </w:rPr>
      </w:pPr>
    </w:p>
    <w:sectPr w:rsidR="006B6675" w:rsidRPr="005356D0" w:rsidSect="00EE3F33">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620E1" w14:textId="77777777" w:rsidR="00FD19F0" w:rsidRDefault="00FD19F0" w:rsidP="00CF0BDE">
      <w:r>
        <w:separator/>
      </w:r>
    </w:p>
  </w:endnote>
  <w:endnote w:type="continuationSeparator" w:id="0">
    <w:p w14:paraId="223E8C3D" w14:textId="77777777" w:rsidR="00FD19F0" w:rsidRDefault="00FD19F0" w:rsidP="00CF0B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5681517"/>
      <w:docPartObj>
        <w:docPartGallery w:val="Page Numbers (Bottom of Page)"/>
        <w:docPartUnique/>
      </w:docPartObj>
    </w:sdtPr>
    <w:sdtEndPr>
      <w:rPr>
        <w:noProof/>
      </w:rPr>
    </w:sdtEndPr>
    <w:sdtContent>
      <w:p w14:paraId="4C4EDA9A" w14:textId="1166E909" w:rsidR="00CF0BDE" w:rsidRDefault="00CF0B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4B61EA" w14:textId="77777777" w:rsidR="00CF0BDE" w:rsidRDefault="00CF0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F98A0" w14:textId="77777777" w:rsidR="00FD19F0" w:rsidRDefault="00FD19F0" w:rsidP="00CF0BDE">
      <w:r>
        <w:separator/>
      </w:r>
    </w:p>
  </w:footnote>
  <w:footnote w:type="continuationSeparator" w:id="0">
    <w:p w14:paraId="47851F10" w14:textId="77777777" w:rsidR="00FD19F0" w:rsidRDefault="00FD19F0" w:rsidP="00CF0B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B02A9A"/>
    <w:multiLevelType w:val="hybridMultilevel"/>
    <w:tmpl w:val="3F72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935D80"/>
    <w:multiLevelType w:val="hybridMultilevel"/>
    <w:tmpl w:val="7DCA1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844578">
    <w:abstractNumId w:val="3"/>
  </w:num>
  <w:num w:numId="2" w16cid:durableId="1398867505">
    <w:abstractNumId w:val="8"/>
  </w:num>
  <w:num w:numId="3" w16cid:durableId="780687429">
    <w:abstractNumId w:val="6"/>
  </w:num>
  <w:num w:numId="4" w16cid:durableId="1166899088">
    <w:abstractNumId w:val="5"/>
  </w:num>
  <w:num w:numId="5" w16cid:durableId="603149070">
    <w:abstractNumId w:val="4"/>
  </w:num>
  <w:num w:numId="6" w16cid:durableId="390542811">
    <w:abstractNumId w:val="0"/>
  </w:num>
  <w:num w:numId="7" w16cid:durableId="590622514">
    <w:abstractNumId w:val="1"/>
  </w:num>
  <w:num w:numId="8" w16cid:durableId="413863525">
    <w:abstractNumId w:val="7"/>
  </w:num>
  <w:num w:numId="9" w16cid:durableId="21369073">
    <w:abstractNumId w:val="2"/>
  </w:num>
  <w:num w:numId="10" w16cid:durableId="9687049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675"/>
    <w:rsid w:val="00036EE7"/>
    <w:rsid w:val="00041847"/>
    <w:rsid w:val="0008298D"/>
    <w:rsid w:val="0017150B"/>
    <w:rsid w:val="00227745"/>
    <w:rsid w:val="00265DBE"/>
    <w:rsid w:val="003B351E"/>
    <w:rsid w:val="00463ECD"/>
    <w:rsid w:val="00483D20"/>
    <w:rsid w:val="0050264E"/>
    <w:rsid w:val="00515B5B"/>
    <w:rsid w:val="00520A47"/>
    <w:rsid w:val="005356D0"/>
    <w:rsid w:val="005572BC"/>
    <w:rsid w:val="005D1CF1"/>
    <w:rsid w:val="005E4D7A"/>
    <w:rsid w:val="00613C96"/>
    <w:rsid w:val="006B6675"/>
    <w:rsid w:val="006F3AE9"/>
    <w:rsid w:val="0071123B"/>
    <w:rsid w:val="007515A1"/>
    <w:rsid w:val="00785235"/>
    <w:rsid w:val="007B67B3"/>
    <w:rsid w:val="0085157E"/>
    <w:rsid w:val="008E4A76"/>
    <w:rsid w:val="00960E54"/>
    <w:rsid w:val="009D7314"/>
    <w:rsid w:val="00A02BF5"/>
    <w:rsid w:val="00A117DB"/>
    <w:rsid w:val="00A16246"/>
    <w:rsid w:val="00A906D0"/>
    <w:rsid w:val="00A97F79"/>
    <w:rsid w:val="00B26487"/>
    <w:rsid w:val="00B75316"/>
    <w:rsid w:val="00BE46C6"/>
    <w:rsid w:val="00C42F1D"/>
    <w:rsid w:val="00C86D14"/>
    <w:rsid w:val="00C873C8"/>
    <w:rsid w:val="00CF0BDE"/>
    <w:rsid w:val="00DB76ED"/>
    <w:rsid w:val="00DC252A"/>
    <w:rsid w:val="00DD486F"/>
    <w:rsid w:val="00E36735"/>
    <w:rsid w:val="00E41F73"/>
    <w:rsid w:val="00EE3F33"/>
    <w:rsid w:val="00EF0547"/>
    <w:rsid w:val="00F420CA"/>
    <w:rsid w:val="00F8798F"/>
    <w:rsid w:val="00FD19F0"/>
    <w:rsid w:val="00FF1A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95991A"/>
  <w15:chartTrackingRefBased/>
  <w15:docId w15:val="{FB0A78E9-AEC9-4840-8BF4-787B93A88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BF5"/>
    <w:pPr>
      <w:spacing w:after="0" w:line="240" w:lineRule="auto"/>
    </w:pPr>
    <w:rPr>
      <w:sz w:val="24"/>
      <w:szCs w:val="24"/>
      <w:lang w:val="en-GB"/>
    </w:rPr>
  </w:style>
  <w:style w:type="paragraph" w:styleId="Heading1">
    <w:name w:val="heading 1"/>
    <w:basedOn w:val="Normal"/>
    <w:next w:val="Normal"/>
    <w:link w:val="Heading1Char"/>
    <w:uiPriority w:val="9"/>
    <w:qFormat/>
    <w:rsid w:val="005D1CF1"/>
    <w:pPr>
      <w:spacing w:line="360" w:lineRule="auto"/>
      <w:jc w:val="both"/>
      <w:outlineLvl w:val="0"/>
    </w:pPr>
    <w:rPr>
      <w:b/>
      <w:bCs/>
    </w:rPr>
  </w:style>
  <w:style w:type="paragraph" w:styleId="Heading2">
    <w:name w:val="heading 2"/>
    <w:basedOn w:val="Normal"/>
    <w:next w:val="Normal"/>
    <w:link w:val="Heading2Char"/>
    <w:uiPriority w:val="9"/>
    <w:unhideWhenUsed/>
    <w:qFormat/>
    <w:rsid w:val="005D1CF1"/>
    <w:pPr>
      <w:spacing w:line="360" w:lineRule="auto"/>
      <w:jc w:val="both"/>
      <w:outlineLvl w:val="1"/>
    </w:pPr>
    <w:rPr>
      <w:b/>
      <w:bCs/>
      <w:i/>
      <w:iCs/>
    </w:rPr>
  </w:style>
  <w:style w:type="paragraph" w:styleId="Heading3">
    <w:name w:val="heading 3"/>
    <w:basedOn w:val="Normal"/>
    <w:next w:val="Normal"/>
    <w:link w:val="Heading3Char"/>
    <w:uiPriority w:val="9"/>
    <w:unhideWhenUsed/>
    <w:qFormat/>
    <w:rsid w:val="006B66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B66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B66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B66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6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6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6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CF1"/>
    <w:rPr>
      <w:b/>
      <w:bCs/>
      <w:sz w:val="24"/>
      <w:szCs w:val="24"/>
      <w:lang w:val="en-GB"/>
    </w:rPr>
  </w:style>
  <w:style w:type="character" w:customStyle="1" w:styleId="Heading2Char">
    <w:name w:val="Heading 2 Char"/>
    <w:basedOn w:val="DefaultParagraphFont"/>
    <w:link w:val="Heading2"/>
    <w:uiPriority w:val="9"/>
    <w:rsid w:val="005D1CF1"/>
    <w:rPr>
      <w:b/>
      <w:bCs/>
      <w:i/>
      <w:iCs/>
      <w:sz w:val="24"/>
      <w:szCs w:val="24"/>
      <w:lang w:val="en-GB"/>
    </w:rPr>
  </w:style>
  <w:style w:type="character" w:customStyle="1" w:styleId="Heading3Char">
    <w:name w:val="Heading 3 Char"/>
    <w:basedOn w:val="DefaultParagraphFont"/>
    <w:link w:val="Heading3"/>
    <w:uiPriority w:val="9"/>
    <w:rsid w:val="006B66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B66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B66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B66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6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6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675"/>
    <w:rPr>
      <w:rFonts w:eastAsiaTheme="majorEastAsia" w:cstheme="majorBidi"/>
      <w:color w:val="272727" w:themeColor="text1" w:themeTint="D8"/>
    </w:rPr>
  </w:style>
  <w:style w:type="paragraph" w:styleId="Title">
    <w:name w:val="Title"/>
    <w:basedOn w:val="Normal"/>
    <w:next w:val="Normal"/>
    <w:link w:val="TitleChar"/>
    <w:uiPriority w:val="10"/>
    <w:qFormat/>
    <w:rsid w:val="006B66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6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6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6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675"/>
    <w:pPr>
      <w:spacing w:before="160"/>
      <w:jc w:val="center"/>
    </w:pPr>
    <w:rPr>
      <w:i/>
      <w:iCs/>
      <w:color w:val="404040" w:themeColor="text1" w:themeTint="BF"/>
    </w:rPr>
  </w:style>
  <w:style w:type="character" w:customStyle="1" w:styleId="QuoteChar">
    <w:name w:val="Quote Char"/>
    <w:basedOn w:val="DefaultParagraphFont"/>
    <w:link w:val="Quote"/>
    <w:uiPriority w:val="29"/>
    <w:rsid w:val="006B6675"/>
    <w:rPr>
      <w:i/>
      <w:iCs/>
      <w:color w:val="404040" w:themeColor="text1" w:themeTint="BF"/>
    </w:rPr>
  </w:style>
  <w:style w:type="paragraph" w:styleId="ListParagraph">
    <w:name w:val="List Paragraph"/>
    <w:basedOn w:val="Normal"/>
    <w:uiPriority w:val="34"/>
    <w:qFormat/>
    <w:rsid w:val="006B6675"/>
    <w:pPr>
      <w:ind w:left="720"/>
      <w:contextualSpacing/>
    </w:pPr>
  </w:style>
  <w:style w:type="character" w:styleId="IntenseEmphasis">
    <w:name w:val="Intense Emphasis"/>
    <w:basedOn w:val="DefaultParagraphFont"/>
    <w:uiPriority w:val="21"/>
    <w:qFormat/>
    <w:rsid w:val="006B6675"/>
    <w:rPr>
      <w:i/>
      <w:iCs/>
      <w:color w:val="2F5496" w:themeColor="accent1" w:themeShade="BF"/>
    </w:rPr>
  </w:style>
  <w:style w:type="paragraph" w:styleId="IntenseQuote">
    <w:name w:val="Intense Quote"/>
    <w:basedOn w:val="Normal"/>
    <w:next w:val="Normal"/>
    <w:link w:val="IntenseQuoteChar"/>
    <w:uiPriority w:val="30"/>
    <w:qFormat/>
    <w:rsid w:val="006B66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6675"/>
    <w:rPr>
      <w:i/>
      <w:iCs/>
      <w:color w:val="2F5496" w:themeColor="accent1" w:themeShade="BF"/>
    </w:rPr>
  </w:style>
  <w:style w:type="character" w:styleId="IntenseReference">
    <w:name w:val="Intense Reference"/>
    <w:basedOn w:val="DefaultParagraphFont"/>
    <w:uiPriority w:val="32"/>
    <w:qFormat/>
    <w:rsid w:val="006B6675"/>
    <w:rPr>
      <w:b/>
      <w:bCs/>
      <w:smallCaps/>
      <w:color w:val="2F5496" w:themeColor="accent1" w:themeShade="BF"/>
      <w:spacing w:val="5"/>
    </w:rPr>
  </w:style>
  <w:style w:type="character" w:styleId="Hyperlink">
    <w:name w:val="Hyperlink"/>
    <w:basedOn w:val="DefaultParagraphFont"/>
    <w:uiPriority w:val="99"/>
    <w:unhideWhenUsed/>
    <w:rsid w:val="006B6675"/>
    <w:rPr>
      <w:color w:val="0563C1" w:themeColor="hyperlink"/>
      <w:u w:val="single"/>
    </w:rPr>
  </w:style>
  <w:style w:type="character" w:styleId="UnresolvedMention">
    <w:name w:val="Unresolved Mention"/>
    <w:basedOn w:val="DefaultParagraphFont"/>
    <w:uiPriority w:val="99"/>
    <w:semiHidden/>
    <w:unhideWhenUsed/>
    <w:rsid w:val="006B6675"/>
    <w:rPr>
      <w:color w:val="605E5C"/>
      <w:shd w:val="clear" w:color="auto" w:fill="E1DFDD"/>
    </w:rPr>
  </w:style>
  <w:style w:type="table" w:styleId="TableGrid">
    <w:name w:val="Table Grid"/>
    <w:basedOn w:val="TableNormal"/>
    <w:uiPriority w:val="39"/>
    <w:rsid w:val="00036E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3F33"/>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E3F33"/>
    <w:pPr>
      <w:spacing w:after="100"/>
    </w:pPr>
  </w:style>
  <w:style w:type="paragraph" w:styleId="TOC2">
    <w:name w:val="toc 2"/>
    <w:basedOn w:val="Normal"/>
    <w:next w:val="Normal"/>
    <w:autoRedefine/>
    <w:uiPriority w:val="39"/>
    <w:unhideWhenUsed/>
    <w:rsid w:val="00EE3F33"/>
    <w:pPr>
      <w:spacing w:after="100"/>
      <w:ind w:left="240"/>
    </w:pPr>
  </w:style>
  <w:style w:type="paragraph" w:styleId="Header">
    <w:name w:val="header"/>
    <w:basedOn w:val="Normal"/>
    <w:link w:val="HeaderChar"/>
    <w:uiPriority w:val="99"/>
    <w:unhideWhenUsed/>
    <w:rsid w:val="00CF0BDE"/>
    <w:pPr>
      <w:tabs>
        <w:tab w:val="center" w:pos="4513"/>
        <w:tab w:val="right" w:pos="9026"/>
      </w:tabs>
    </w:pPr>
  </w:style>
  <w:style w:type="character" w:customStyle="1" w:styleId="HeaderChar">
    <w:name w:val="Header Char"/>
    <w:basedOn w:val="DefaultParagraphFont"/>
    <w:link w:val="Header"/>
    <w:uiPriority w:val="99"/>
    <w:rsid w:val="00CF0BDE"/>
    <w:rPr>
      <w:sz w:val="24"/>
      <w:szCs w:val="24"/>
      <w:lang w:val="en-GB"/>
    </w:rPr>
  </w:style>
  <w:style w:type="paragraph" w:styleId="Footer">
    <w:name w:val="footer"/>
    <w:basedOn w:val="Normal"/>
    <w:link w:val="FooterChar"/>
    <w:uiPriority w:val="99"/>
    <w:unhideWhenUsed/>
    <w:rsid w:val="00CF0BDE"/>
    <w:pPr>
      <w:tabs>
        <w:tab w:val="center" w:pos="4513"/>
        <w:tab w:val="right" w:pos="9026"/>
      </w:tabs>
    </w:pPr>
  </w:style>
  <w:style w:type="character" w:customStyle="1" w:styleId="FooterChar">
    <w:name w:val="Footer Char"/>
    <w:basedOn w:val="DefaultParagraphFont"/>
    <w:link w:val="Footer"/>
    <w:uiPriority w:val="99"/>
    <w:rsid w:val="00CF0BDE"/>
    <w:rPr>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environment/2025/mar/27/uk-carbon-emissions-fell-by-4-in-2024-official-figures-show?utm_source=chatgpt.com" TargetMode="External"/><Relationship Id="rId18" Type="http://schemas.openxmlformats.org/officeDocument/2006/relationships/hyperlink" Target="https://rskgroup.com/annual-report/" TargetMode="External"/><Relationship Id="rId3" Type="http://schemas.openxmlformats.org/officeDocument/2006/relationships/styles" Target="styles.xml"/><Relationship Id="rId21" Type="http://schemas.openxmlformats.org/officeDocument/2006/relationships/hyperlink" Target="https://www.worldometers.info/world-population/india-population/" TargetMode="External"/><Relationship Id="rId7" Type="http://schemas.openxmlformats.org/officeDocument/2006/relationships/endnotes" Target="endnotes.xml"/><Relationship Id="rId12" Type="http://schemas.openxmlformats.org/officeDocument/2006/relationships/hyperlink" Target="https://www.ey.com/en_uk/newsroom/2025/11/uk-economic-growth-forecast-upgraded-for-2025?utm_source=chatgpt.com" TargetMode="External"/><Relationship Id="rId17" Type="http://schemas.openxmlformats.org/officeDocument/2006/relationships/hyperlink" Target="https://www.polymateria.com?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ecd.org/content/dam/oecd/en/publications/reports/2015/11/institutions-of-intergovernmental-fiscal-relations_g1g5e99f/9789264246966-en.pdf?utm_source=chatgpt.com" TargetMode="External"/><Relationship Id="rId20" Type="http://schemas.openxmlformats.org/officeDocument/2006/relationships/hyperlink" Target="https://www.trade.gov/country-commercial-guides/india-digital-ec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chambers.org.uk/news/2025/09/bcc-economic-forecast-growth-continues-to-flatline/?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ctopus.energy/save-with-octopus" TargetMode="External"/><Relationship Id="rId23" Type="http://schemas.openxmlformats.org/officeDocument/2006/relationships/footer" Target="footer1.xml"/><Relationship Id="rId10" Type="http://schemas.openxmlformats.org/officeDocument/2006/relationships/hyperlink" Target="https://bti-project.org/fileadmin/api/content/en/downloads/reports/country_report_2024_IND.pdf?utm_source=chatgpt.com" TargetMode="External"/><Relationship Id="rId19" Type="http://schemas.openxmlformats.org/officeDocument/2006/relationships/hyperlink" Target="https://www.statista.com/outlook/co/macroeconomic-indicators/india?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monslibrary.parliament.uk/the-uks-changing-population/?utm_source=chatgpt.com" TargetMode="External"/><Relationship Id="rId22" Type="http://schemas.openxmlformats.org/officeDocument/2006/relationships/hyperlink" Target="https://www.yayz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9B3C9-A901-4B2B-B426-471371556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3704</Words>
  <Characters>21116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saptarshi pal</dc:creator>
  <cp:keywords/>
  <dc:description/>
  <cp:lastModifiedBy>vijay k</cp:lastModifiedBy>
  <cp:revision>2</cp:revision>
  <dcterms:created xsi:type="dcterms:W3CDTF">2025-11-20T20:36:00Z</dcterms:created>
  <dcterms:modified xsi:type="dcterms:W3CDTF">2025-11-20T20:36:00Z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ab0acad2-e7d4-47d3-9750-a4cb352ff118</vt:lpwstr>
  </property>
</Properties>
</file>