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1F2E71" w14:textId="77777777" w:rsidR="00744A69" w:rsidRDefault="00000000">
      <w:pPr>
        <w:suppressAutoHyphens w:val="0"/>
      </w:pPr>
      <w:r>
        <w:rPr>
          <w:noProof/>
          <w:color w:val="000000"/>
        </w:rPr>
        <mc:AlternateContent>
          <mc:Choice Requires="wps">
            <w:drawing>
              <wp:anchor distT="0" distB="0" distL="114300" distR="114300" simplePos="0" relativeHeight="251659264" behindDoc="0" locked="0" layoutInCell="1" allowOverlap="1" wp14:anchorId="46BA980D" wp14:editId="7F67FC2B">
                <wp:simplePos x="0" y="0"/>
                <wp:positionH relativeFrom="margin">
                  <wp:align>left</wp:align>
                </wp:positionH>
                <wp:positionV relativeFrom="page">
                  <wp:posOffset>3189765</wp:posOffset>
                </wp:positionV>
                <wp:extent cx="6080129" cy="5230496"/>
                <wp:effectExtent l="0" t="0" r="0" b="8254"/>
                <wp:wrapNone/>
                <wp:docPr id="711042042" name="Text Box 40"/>
                <wp:cNvGraphicFramePr/>
                <a:graphic xmlns:a="http://schemas.openxmlformats.org/drawingml/2006/main">
                  <a:graphicData uri="http://schemas.microsoft.com/office/word/2010/wordprocessingShape">
                    <wps:wsp>
                      <wps:cNvSpPr txBox="1"/>
                      <wps:spPr>
                        <a:xfrm>
                          <a:off x="0" y="0"/>
                          <a:ext cx="6080129" cy="5230496"/>
                        </a:xfrm>
                        <a:prstGeom prst="rect">
                          <a:avLst/>
                        </a:prstGeom>
                        <a:solidFill>
                          <a:srgbClr val="FFFFFF"/>
                        </a:solidFill>
                        <a:ln>
                          <a:noFill/>
                          <a:prstDash/>
                        </a:ln>
                      </wps:spPr>
                      <wps:txbx>
                        <w:txbxContent>
                          <w:tbl>
                            <w:tblPr>
                              <w:tblW w:w="4992" w:type="pct"/>
                              <w:jc w:val="center"/>
                              <w:tblCellMar>
                                <w:left w:w="10" w:type="dxa"/>
                                <w:right w:w="10" w:type="dxa"/>
                              </w:tblCellMar>
                              <w:tblLook w:val="0000" w:firstRow="0" w:lastRow="0" w:firstColumn="0" w:lastColumn="0" w:noHBand="0" w:noVBand="0"/>
                            </w:tblPr>
                            <w:tblGrid>
                              <w:gridCol w:w="5387"/>
                              <w:gridCol w:w="4188"/>
                            </w:tblGrid>
                            <w:tr w:rsidR="00744A69" w14:paraId="7390DEA1" w14:textId="77777777">
                              <w:trPr>
                                <w:jc w:val="center"/>
                              </w:trPr>
                              <w:tc>
                                <w:tcPr>
                                  <w:tcW w:w="5387" w:type="dxa"/>
                                  <w:tcBorders>
                                    <w:right w:val="single" w:sz="12" w:space="0" w:color="ED7D31"/>
                                  </w:tcBorders>
                                  <w:shd w:val="clear" w:color="auto" w:fill="auto"/>
                                  <w:tcMar>
                                    <w:top w:w="1296" w:type="dxa"/>
                                    <w:left w:w="360" w:type="dxa"/>
                                    <w:bottom w:w="1296" w:type="dxa"/>
                                    <w:right w:w="360" w:type="dxa"/>
                                  </w:tcMar>
                                  <w:vAlign w:val="center"/>
                                </w:tcPr>
                                <w:p w14:paraId="49583BE0" w14:textId="77777777" w:rsidR="00744A69" w:rsidRDefault="00000000">
                                  <w:pPr>
                                    <w:jc w:val="right"/>
                                  </w:pPr>
                                  <w:r>
                                    <w:rPr>
                                      <w:noProof/>
                                    </w:rPr>
                                    <w:drawing>
                                      <wp:inline distT="0" distB="0" distL="0" distR="0" wp14:anchorId="73B53833" wp14:editId="0A39E6C8">
                                        <wp:extent cx="2624702" cy="2624702"/>
                                        <wp:effectExtent l="0" t="0" r="4198" b="4198"/>
                                        <wp:docPr id="2128880259" name="Picture 1" descr="A logo for a hote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624702" cy="2624702"/>
                                                </a:xfrm>
                                                <a:prstGeom prst="rect">
                                                  <a:avLst/>
                                                </a:prstGeom>
                                                <a:noFill/>
                                                <a:ln>
                                                  <a:noFill/>
                                                  <a:prstDash/>
                                                </a:ln>
                                              </pic:spPr>
                                            </pic:pic>
                                          </a:graphicData>
                                        </a:graphic>
                                      </wp:inline>
                                    </w:drawing>
                                  </w:r>
                                </w:p>
                                <w:p w14:paraId="58FDE561" w14:textId="77777777" w:rsidR="00744A69" w:rsidRDefault="00000000">
                                  <w:pPr>
                                    <w:pStyle w:val="NoSpacing"/>
                                    <w:spacing w:line="312" w:lineRule="auto"/>
                                    <w:jc w:val="right"/>
                                  </w:pPr>
                                  <w:r>
                                    <w:rPr>
                                      <w:rFonts w:ascii="Arial" w:hAnsi="Arial" w:cs="Arial"/>
                                      <w:caps/>
                                      <w:color w:val="191919"/>
                                      <w:sz w:val="28"/>
                                      <w:szCs w:val="28"/>
                                    </w:rPr>
                                    <w:t>BMIH6002</w:t>
                                  </w:r>
                                </w:p>
                                <w:p w14:paraId="1F558E63" w14:textId="77777777" w:rsidR="00744A69" w:rsidRDefault="00000000">
                                  <w:pPr>
                                    <w:jc w:val="right"/>
                                  </w:pPr>
                                  <w:r>
                                    <w:rPr>
                                      <w:rFonts w:ascii="Arial" w:hAnsi="Arial" w:cs="Arial"/>
                                      <w:color w:val="000000"/>
                                      <w:sz w:val="24"/>
                                      <w:szCs w:val="24"/>
                                    </w:rPr>
                                    <w:t>Managing Food and Beverage Operations</w:t>
                                  </w:r>
                                </w:p>
                              </w:tc>
                              <w:tc>
                                <w:tcPr>
                                  <w:tcW w:w="4188" w:type="dxa"/>
                                  <w:tcBorders>
                                    <w:left w:val="single" w:sz="12" w:space="0" w:color="ED7D31"/>
                                  </w:tcBorders>
                                  <w:shd w:val="clear" w:color="auto" w:fill="auto"/>
                                  <w:tcMar>
                                    <w:top w:w="1296" w:type="dxa"/>
                                    <w:left w:w="360" w:type="dxa"/>
                                    <w:bottom w:w="1296" w:type="dxa"/>
                                    <w:right w:w="360" w:type="dxa"/>
                                  </w:tcMar>
                                  <w:vAlign w:val="center"/>
                                </w:tcPr>
                                <w:p w14:paraId="30441EC4" w14:textId="77777777" w:rsidR="00744A69" w:rsidRDefault="00000000">
                                  <w:pPr>
                                    <w:pStyle w:val="NoSpacing"/>
                                  </w:pPr>
                                  <w:r>
                                    <w:rPr>
                                      <w:rFonts w:ascii="Arial" w:hAnsi="Arial" w:cs="Arial"/>
                                      <w:color w:val="000000"/>
                                      <w:sz w:val="24"/>
                                      <w:szCs w:val="24"/>
                                    </w:rPr>
                                    <w:t xml:space="preserve">     </w:t>
                                  </w:r>
                                </w:p>
                                <w:p w14:paraId="405D24E3" w14:textId="77777777" w:rsidR="00744A69" w:rsidRDefault="00000000">
                                  <w:pPr>
                                    <w:rPr>
                                      <w:rFonts w:ascii="Arial" w:hAnsi="Arial" w:cs="Arial"/>
                                      <w:color w:val="000000"/>
                                      <w:sz w:val="24"/>
                                      <w:szCs w:val="24"/>
                                    </w:rPr>
                                  </w:pPr>
                                  <w:r>
                                    <w:rPr>
                                      <w:rFonts w:ascii="Arial" w:hAnsi="Arial" w:cs="Arial"/>
                                      <w:color w:val="000000"/>
                                      <w:sz w:val="24"/>
                                      <w:szCs w:val="24"/>
                                    </w:rPr>
                                    <w:t>Student name : Maria Francesca Scurtu</w:t>
                                  </w:r>
                                </w:p>
                                <w:p w14:paraId="505CF094" w14:textId="77777777" w:rsidR="00744A69" w:rsidRDefault="00000000">
                                  <w:r>
                                    <w:rPr>
                                      <w:rFonts w:ascii="Arial" w:hAnsi="Arial" w:cs="Arial"/>
                                      <w:color w:val="000000"/>
                                      <w:sz w:val="24"/>
                                      <w:szCs w:val="24"/>
                                    </w:rPr>
                                    <w:t>Student number: 2117746</w:t>
                                  </w:r>
                                </w:p>
                                <w:p w14:paraId="18864EFC" w14:textId="77777777" w:rsidR="00744A69" w:rsidRDefault="00000000">
                                  <w:pPr>
                                    <w:pStyle w:val="NoSpacing"/>
                                  </w:pPr>
                                  <w:r>
                                    <w:rPr>
                                      <w:rFonts w:ascii="Arial" w:hAnsi="Arial" w:cs="Arial"/>
                                      <w:color w:val="000000"/>
                                      <w:sz w:val="24"/>
                                      <w:szCs w:val="24"/>
                                    </w:rPr>
                                    <w:t>Lecturer: Daniel Payne</w:t>
                                  </w:r>
                                </w:p>
                              </w:tc>
                            </w:tr>
                          </w:tbl>
                          <w:p w14:paraId="17B9B276" w14:textId="77777777" w:rsidR="00744A69" w:rsidRDefault="00744A69"/>
                        </w:txbxContent>
                      </wps:txbx>
                      <wps:bodyPr vert="horz" wrap="square" lIns="0" tIns="0" rIns="0" bIns="0" anchor="ctr" anchorCtr="0" compatLnSpc="1">
                        <a:noAutofit/>
                      </wps:bodyPr>
                    </wps:wsp>
                  </a:graphicData>
                </a:graphic>
              </wp:anchor>
            </w:drawing>
          </mc:Choice>
          <mc:Fallback>
            <w:pict>
              <v:shapetype w14:anchorId="46BA980D" id="_x0000_t202" coordsize="21600,21600" o:spt="202" path="m,l,21600r21600,l21600,xe">
                <v:stroke joinstyle="miter"/>
                <v:path gradientshapeok="t" o:connecttype="rect"/>
              </v:shapetype>
              <v:shape id="Text Box 40" o:spid="_x0000_s1026" type="#_x0000_t202" style="position:absolute;margin-left:0;margin-top:251.15pt;width:478.75pt;height:411.85pt;z-index:251659264;visibility:visible;mso-wrap-style:square;mso-wrap-distance-left:9pt;mso-wrap-distance-top:0;mso-wrap-distance-right:9pt;mso-wrap-distance-bottom:0;mso-position-horizontal:left;mso-position-horizontal-relative:margin;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" stroked="f">
                <v:textbox inset="0,0,0,0">
                  <w:txbxContent>
                    <w:tbl>
                      <w:tblPr>
                        <w:tblW w:w="4992" w:type="pct"/>
                        <w:jc w:val="center"/>
                        <w:tblCellMar>
                          <w:left w:w="10" w:type="dxa"/>
                          <w:right w:w="10" w:type="dxa"/>
                        </w:tblCellMar>
                        <w:tblLook w:val="0000" w:firstRow="0" w:lastRow="0" w:firstColumn="0" w:lastColumn="0" w:noHBand="0" w:noVBand="0"/>
                      </w:tblPr>
                      <w:tblGrid>
                        <w:gridCol w:w="5387"/>
                        <w:gridCol w:w="4188"/>
                      </w:tblGrid>
                      <w:tr w:rsidR="00744A69" w14:paraId="7390DEA1" w14:textId="77777777">
                        <w:trPr>
                          <w:jc w:val="center"/>
                        </w:trPr>
                        <w:tc>
                          <w:tcPr>
                            <w:tcW w:w="5387" w:type="dxa"/>
                            <w:tcBorders>
                              <w:right w:val="single" w:sz="12" w:space="0" w:color="ED7D31"/>
                            </w:tcBorders>
                            <w:shd w:val="clear" w:color="auto" w:fill="auto"/>
                            <w:tcMar>
                              <w:top w:w="1296" w:type="dxa"/>
                              <w:left w:w="360" w:type="dxa"/>
                              <w:bottom w:w="1296" w:type="dxa"/>
                              <w:right w:w="360" w:type="dxa"/>
                            </w:tcMar>
                            <w:vAlign w:val="center"/>
                          </w:tcPr>
                          <w:p w14:paraId="49583BE0" w14:textId="77777777" w:rsidR="00744A69" w:rsidRDefault="00000000">
                            <w:pPr>
                              <w:jc w:val="right"/>
                            </w:pPr>
                            <w:r>
                              <w:rPr>
                                <w:noProof/>
                              </w:rPr>
                              <w:drawing>
                                <wp:inline distT="0" distB="0" distL="0" distR="0" wp14:anchorId="73B53833" wp14:editId="0A39E6C8">
                                  <wp:extent cx="2624702" cy="2624702"/>
                                  <wp:effectExtent l="0" t="0" r="4198" b="4198"/>
                                  <wp:docPr id="2128880259" name="Picture 1" descr="A logo for a hotel&#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624702" cy="2624702"/>
                                          </a:xfrm>
                                          <a:prstGeom prst="rect">
                                            <a:avLst/>
                                          </a:prstGeom>
                                          <a:noFill/>
                                          <a:ln>
                                            <a:noFill/>
                                            <a:prstDash/>
                                          </a:ln>
                                        </pic:spPr>
                                      </pic:pic>
                                    </a:graphicData>
                                  </a:graphic>
                                </wp:inline>
                              </w:drawing>
                            </w:r>
                          </w:p>
                          <w:p w14:paraId="58FDE561" w14:textId="77777777" w:rsidR="00744A69" w:rsidRDefault="00000000">
                            <w:pPr>
                              <w:pStyle w:val="NoSpacing"/>
                              <w:spacing w:line="312" w:lineRule="auto"/>
                              <w:jc w:val="right"/>
                            </w:pPr>
                            <w:r>
                              <w:rPr>
                                <w:rFonts w:ascii="Arial" w:hAnsi="Arial" w:cs="Arial"/>
                                <w:caps/>
                                <w:color w:val="191919"/>
                                <w:sz w:val="28"/>
                                <w:szCs w:val="28"/>
                              </w:rPr>
                              <w:t>BMIH6002</w:t>
                            </w:r>
                          </w:p>
                          <w:p w14:paraId="1F558E63" w14:textId="77777777" w:rsidR="00744A69" w:rsidRDefault="00000000">
                            <w:pPr>
                              <w:jc w:val="right"/>
                            </w:pPr>
                            <w:r>
                              <w:rPr>
                                <w:rFonts w:ascii="Arial" w:hAnsi="Arial" w:cs="Arial"/>
                                <w:color w:val="000000"/>
                                <w:sz w:val="24"/>
                                <w:szCs w:val="24"/>
                              </w:rPr>
                              <w:t>Managing Food and Beverage Operations</w:t>
                            </w:r>
                          </w:p>
                        </w:tc>
                        <w:tc>
                          <w:tcPr>
                            <w:tcW w:w="4188" w:type="dxa"/>
                            <w:tcBorders>
                              <w:left w:val="single" w:sz="12" w:space="0" w:color="ED7D31"/>
                            </w:tcBorders>
                            <w:shd w:val="clear" w:color="auto" w:fill="auto"/>
                            <w:tcMar>
                              <w:top w:w="1296" w:type="dxa"/>
                              <w:left w:w="360" w:type="dxa"/>
                              <w:bottom w:w="1296" w:type="dxa"/>
                              <w:right w:w="360" w:type="dxa"/>
                            </w:tcMar>
                            <w:vAlign w:val="center"/>
                          </w:tcPr>
                          <w:p w14:paraId="30441EC4" w14:textId="77777777" w:rsidR="00744A69" w:rsidRDefault="00000000">
                            <w:pPr>
                              <w:pStyle w:val="NoSpacing"/>
                            </w:pPr>
                            <w:r>
                              <w:rPr>
                                <w:rFonts w:ascii="Arial" w:hAnsi="Arial" w:cs="Arial"/>
                                <w:color w:val="000000"/>
                                <w:sz w:val="24"/>
                                <w:szCs w:val="24"/>
                              </w:rPr>
                              <w:t xml:space="preserve">     </w:t>
                            </w:r>
                          </w:p>
                          <w:p w14:paraId="405D24E3" w14:textId="77777777" w:rsidR="00744A69" w:rsidRDefault="00000000">
                            <w:pPr>
                              <w:rPr>
                                <w:rFonts w:ascii="Arial" w:hAnsi="Arial" w:cs="Arial"/>
                                <w:color w:val="000000"/>
                                <w:sz w:val="24"/>
                                <w:szCs w:val="24"/>
                              </w:rPr>
                            </w:pPr>
                            <w:r>
                              <w:rPr>
                                <w:rFonts w:ascii="Arial" w:hAnsi="Arial" w:cs="Arial"/>
                                <w:color w:val="000000"/>
                                <w:sz w:val="24"/>
                                <w:szCs w:val="24"/>
                              </w:rPr>
                              <w:t>Student name : Maria Francesca Scurtu</w:t>
                            </w:r>
                          </w:p>
                          <w:p w14:paraId="505CF094" w14:textId="77777777" w:rsidR="00744A69" w:rsidRDefault="00000000">
                            <w:r>
                              <w:rPr>
                                <w:rFonts w:ascii="Arial" w:hAnsi="Arial" w:cs="Arial"/>
                                <w:color w:val="000000"/>
                                <w:sz w:val="24"/>
                                <w:szCs w:val="24"/>
                              </w:rPr>
                              <w:t>Student number: 2117746</w:t>
                            </w:r>
                          </w:p>
                          <w:p w14:paraId="18864EFC" w14:textId="77777777" w:rsidR="00744A69" w:rsidRDefault="00000000">
                            <w:pPr>
                              <w:pStyle w:val="NoSpacing"/>
                            </w:pPr>
                            <w:r>
                              <w:rPr>
                                <w:rFonts w:ascii="Arial" w:hAnsi="Arial" w:cs="Arial"/>
                                <w:color w:val="000000"/>
                                <w:sz w:val="24"/>
                                <w:szCs w:val="24"/>
                              </w:rPr>
                              <w:t>Lecturer: Daniel Payne</w:t>
                            </w:r>
                          </w:p>
                        </w:tc>
                      </w:tr>
                    </w:tbl>
                    <w:p w14:paraId="17B9B276" w14:textId="77777777" w:rsidR="00744A69" w:rsidRDefault="00744A69"/>
                  </w:txbxContent>
                </v:textbox>
                <w10:wrap anchorx="margin" anchory="page"/>
              </v:shape>
            </w:pict>
          </mc:Fallback>
        </mc:AlternateContent>
      </w:r>
    </w:p>
    <w:p w14:paraId="07457035" w14:textId="77777777" w:rsidR="00744A69" w:rsidRDefault="00744A69">
      <w:pPr>
        <w:pageBreakBefore/>
        <w:suppressAutoHyphens w:val="0"/>
        <w:rPr>
          <w:color w:val="000000"/>
        </w:rPr>
      </w:pPr>
    </w:p>
    <w:p w14:paraId="0DEE5BDA" w14:textId="77777777" w:rsidR="00744A69" w:rsidRDefault="00000000">
      <w:pPr>
        <w:rPr>
          <w:rFonts w:ascii="Arial" w:hAnsi="Arial" w:cs="Arial"/>
          <w:sz w:val="24"/>
          <w:szCs w:val="24"/>
        </w:rPr>
      </w:pPr>
      <w:bookmarkStart w:id="0" w:name="_Toc166495289"/>
      <w:r>
        <w:rPr>
          <w:rFonts w:ascii="Arial" w:hAnsi="Arial" w:cs="Arial"/>
          <w:sz w:val="24"/>
          <w:szCs w:val="24"/>
        </w:rPr>
        <w:t>Brief overview of Food and Beverage</w:t>
      </w:r>
      <w:bookmarkEnd w:id="0"/>
    </w:p>
    <w:p w14:paraId="0C466F53" w14:textId="77777777" w:rsidR="00744A69" w:rsidRDefault="00744A69">
      <w:pPr>
        <w:spacing w:after="0" w:line="360" w:lineRule="auto"/>
        <w:jc w:val="both"/>
        <w:rPr>
          <w:rFonts w:ascii="Arial" w:hAnsi="Arial" w:cs="Arial"/>
          <w:color w:val="000000"/>
          <w:sz w:val="24"/>
          <w:szCs w:val="24"/>
        </w:rPr>
      </w:pPr>
    </w:p>
    <w:p w14:paraId="05296E51" w14:textId="1EB7DB93"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Delta Hotels by Marriott Bexleyheath offers a delightful dining experience with various food and beverage options to cater to guests and locals alike. Cast Iron Grill is the hotel’s signature restaurant, which </w:t>
      </w:r>
      <w:r w:rsidR="008D3C50">
        <w:rPr>
          <w:rFonts w:ascii="Arial" w:hAnsi="Arial" w:cs="Arial"/>
          <w:color w:val="000000"/>
          <w:sz w:val="24"/>
          <w:szCs w:val="24"/>
          <w:shd w:val="clear" w:color="auto" w:fill="FFFFFF"/>
        </w:rPr>
        <w:t>combines</w:t>
      </w:r>
      <w:r>
        <w:rPr>
          <w:rFonts w:ascii="Arial" w:hAnsi="Arial" w:cs="Arial"/>
          <w:color w:val="000000"/>
          <w:sz w:val="24"/>
          <w:szCs w:val="24"/>
          <w:shd w:val="clear" w:color="auto" w:fill="FFFFFF"/>
        </w:rPr>
        <w:t xml:space="preserve"> traditional British dishes and new culinary creations. The </w:t>
      </w:r>
      <w:r w:rsidRPr="00620B06">
        <w:rPr>
          <w:rFonts w:ascii="Arial" w:hAnsi="Arial" w:cs="Arial"/>
          <w:sz w:val="24"/>
          <w:szCs w:val="24"/>
          <w:shd w:val="clear" w:color="auto" w:fill="FFFFFF"/>
        </w:rPr>
        <w:t xml:space="preserve">relaxed atmosphere makes it a popular choice for both hotel guests and Bexley locals. Private dining options are also available. </w:t>
      </w:r>
      <w:r w:rsidR="00620B06" w:rsidRPr="00620B06">
        <w:rPr>
          <w:rFonts w:ascii="Arial" w:hAnsi="Arial" w:cs="Arial"/>
          <w:sz w:val="24"/>
          <w:szCs w:val="24"/>
          <w:shd w:val="clear" w:color="auto" w:fill="FFFFFF"/>
        </w:rPr>
        <w:t>The Brew Bar Lounge is available for both lunch and dinner, providing a variety of small snacks as well as an extensive selection of craft beers and cocktails</w:t>
      </w:r>
      <w:r w:rsidRPr="00620B06">
        <w:rPr>
          <w:rFonts w:ascii="Arial" w:hAnsi="Arial" w:cs="Arial"/>
          <w:sz w:val="24"/>
          <w:szCs w:val="24"/>
          <w:shd w:val="clear" w:color="auto" w:fill="FFFFFF"/>
        </w:rPr>
        <w:t xml:space="preserve">. It is </w:t>
      </w:r>
      <w:r>
        <w:rPr>
          <w:rFonts w:ascii="Arial" w:hAnsi="Arial" w:cs="Arial"/>
          <w:color w:val="000000"/>
          <w:sz w:val="24"/>
          <w:szCs w:val="24"/>
          <w:shd w:val="clear" w:color="auto" w:fill="FFFFFF"/>
        </w:rPr>
        <w:t xml:space="preserve">an ideal spot to unwind. Additionally, they serve a delicious Afternoon Tea, available seven days a week (Tripadvisor, 2024). The hotel </w:t>
      </w:r>
      <w:r w:rsidR="008D3C50">
        <w:rPr>
          <w:rFonts w:ascii="Arial" w:hAnsi="Arial" w:cs="Arial"/>
          <w:color w:val="000000"/>
          <w:sz w:val="24"/>
          <w:szCs w:val="24"/>
          <w:shd w:val="clear" w:color="auto" w:fill="FFFFFF"/>
        </w:rPr>
        <w:t>emphasises</w:t>
      </w:r>
      <w:r>
        <w:rPr>
          <w:rFonts w:ascii="Arial" w:hAnsi="Arial" w:cs="Arial"/>
          <w:color w:val="000000"/>
          <w:sz w:val="24"/>
          <w:szCs w:val="24"/>
          <w:shd w:val="clear" w:color="auto" w:fill="FFFFFF"/>
        </w:rPr>
        <w:t xml:space="preserve"> simple, proper, and tasty food done right, ensuring a pleasant dining experience for all its patrons. </w:t>
      </w:r>
    </w:p>
    <w:p w14:paraId="2179BE84" w14:textId="77777777" w:rsidR="00744A69" w:rsidRDefault="00744A69">
      <w:pPr>
        <w:spacing w:after="0" w:line="360" w:lineRule="auto"/>
        <w:jc w:val="both"/>
        <w:rPr>
          <w:rFonts w:ascii="Arial" w:hAnsi="Arial" w:cs="Arial"/>
          <w:color w:val="000000"/>
          <w:sz w:val="24"/>
          <w:szCs w:val="24"/>
          <w:shd w:val="clear" w:color="auto" w:fill="FFFFFF"/>
        </w:rPr>
      </w:pPr>
    </w:p>
    <w:p w14:paraId="568EA46B" w14:textId="77777777" w:rsidR="00744A69" w:rsidRDefault="00744A69">
      <w:pPr>
        <w:suppressAutoHyphens w:val="0"/>
        <w:rPr>
          <w:color w:val="000000"/>
        </w:rPr>
      </w:pPr>
    </w:p>
    <w:p w14:paraId="39468E3D" w14:textId="77777777" w:rsidR="00744A69" w:rsidRDefault="00744A69">
      <w:pPr>
        <w:pageBreakBefore/>
        <w:suppressAutoHyphens w:val="0"/>
        <w:rPr>
          <w:color w:val="000000"/>
        </w:rPr>
      </w:pPr>
    </w:p>
    <w:p w14:paraId="62CB8D2E" w14:textId="77777777" w:rsidR="00744A69" w:rsidRDefault="00744A69">
      <w:pPr>
        <w:pStyle w:val="Heading1"/>
      </w:pPr>
    </w:p>
    <w:p w14:paraId="35F40171" w14:textId="77777777" w:rsidR="00744A69" w:rsidRDefault="00744A69">
      <w:pPr>
        <w:suppressAutoHyphens w:val="0"/>
        <w:rPr>
          <w:rFonts w:ascii="Calibri Light" w:eastAsia="Times New Roman" w:hAnsi="Calibri Light"/>
          <w:color w:val="2F5496"/>
          <w:sz w:val="32"/>
          <w:szCs w:val="32"/>
        </w:rPr>
      </w:pPr>
    </w:p>
    <w:p w14:paraId="6CE81CD2" w14:textId="77777777" w:rsidR="00744A69" w:rsidRDefault="00000000">
      <w:pPr>
        <w:rPr>
          <w:rFonts w:ascii="Arial" w:hAnsi="Arial" w:cs="Arial"/>
          <w:b/>
          <w:bCs/>
          <w:sz w:val="24"/>
          <w:szCs w:val="24"/>
        </w:rPr>
      </w:pPr>
      <w:r>
        <w:rPr>
          <w:rFonts w:ascii="Arial" w:hAnsi="Arial" w:cs="Arial"/>
          <w:b/>
          <w:bCs/>
          <w:sz w:val="24"/>
          <w:szCs w:val="24"/>
        </w:rPr>
        <w:t>Contents</w:t>
      </w:r>
    </w:p>
    <w:p w14:paraId="1FA69D27" w14:textId="77777777" w:rsidR="00744A69" w:rsidRDefault="00000000">
      <w:pPr>
        <w:pStyle w:val="TOC1"/>
        <w:tabs>
          <w:tab w:val="right" w:leader="dot" w:pos="9016"/>
        </w:tabs>
      </w:pPr>
      <w:r>
        <w:fldChar w:fldCharType="begin"/>
      </w:r>
      <w:r>
        <w:instrText xml:space="preserve"> TOC \o "1-3" \u \h </w:instrText>
      </w:r>
      <w:r>
        <w:fldChar w:fldCharType="separate"/>
      </w:r>
      <w:hyperlink w:anchor="_Toc166580695" w:history="1">
        <w:r>
          <w:rPr>
            <w:rStyle w:val="Hyperlink"/>
            <w:rFonts w:ascii="Arial" w:hAnsi="Arial" w:cs="Arial"/>
            <w:sz w:val="24"/>
            <w:szCs w:val="24"/>
            <w:lang w:eastAsia="en-GB"/>
          </w:rPr>
          <w:t>Consideration of Experience and Individual Growth: Kolb's Learning Cycle 1984</w:t>
        </w:r>
        <w:r>
          <w:rPr>
            <w:rFonts w:ascii="Arial" w:hAnsi="Arial" w:cs="Arial"/>
            <w:sz w:val="24"/>
            <w:szCs w:val="24"/>
          </w:rPr>
          <w:tab/>
          <w:t>3</w:t>
        </w:r>
      </w:hyperlink>
    </w:p>
    <w:p w14:paraId="55E79431" w14:textId="77777777" w:rsidR="00744A69" w:rsidRDefault="00000000">
      <w:pPr>
        <w:pStyle w:val="TOC1"/>
        <w:tabs>
          <w:tab w:val="right" w:leader="dot" w:pos="9016"/>
        </w:tabs>
      </w:pPr>
      <w:hyperlink w:anchor="_Toc166580696" w:history="1">
        <w:r>
          <w:rPr>
            <w:rStyle w:val="Hyperlink"/>
            <w:rFonts w:ascii="Arial" w:hAnsi="Arial" w:cs="Arial"/>
            <w:sz w:val="24"/>
            <w:szCs w:val="24"/>
            <w:shd w:val="clear" w:color="auto" w:fill="FFFFFF"/>
          </w:rPr>
          <w:t>Critical evaluation of work- base skills and technical knowledge</w:t>
        </w:r>
        <w:r>
          <w:rPr>
            <w:rFonts w:ascii="Arial" w:hAnsi="Arial" w:cs="Arial"/>
            <w:sz w:val="24"/>
            <w:szCs w:val="24"/>
          </w:rPr>
          <w:tab/>
          <w:t>4</w:t>
        </w:r>
      </w:hyperlink>
    </w:p>
    <w:p w14:paraId="302D1064" w14:textId="77777777" w:rsidR="00744A69" w:rsidRDefault="00000000">
      <w:pPr>
        <w:pStyle w:val="TOC1"/>
        <w:tabs>
          <w:tab w:val="right" w:leader="dot" w:pos="9016"/>
        </w:tabs>
      </w:pPr>
      <w:hyperlink w:anchor="_Toc166580697" w:history="1">
        <w:r>
          <w:rPr>
            <w:rStyle w:val="Hyperlink"/>
            <w:rFonts w:ascii="Arial" w:hAnsi="Arial" w:cs="Arial"/>
            <w:sz w:val="24"/>
            <w:szCs w:val="24"/>
            <w:shd w:val="clear" w:color="auto" w:fill="FFFFFF"/>
          </w:rPr>
          <w:t>The current organisational issues</w:t>
        </w:r>
        <w:r>
          <w:rPr>
            <w:rFonts w:ascii="Arial" w:hAnsi="Arial" w:cs="Arial"/>
            <w:sz w:val="24"/>
            <w:szCs w:val="24"/>
          </w:rPr>
          <w:tab/>
          <w:t>5</w:t>
        </w:r>
      </w:hyperlink>
    </w:p>
    <w:p w14:paraId="4BDA9815" w14:textId="446E9AA3" w:rsidR="00744A69" w:rsidRDefault="00000000">
      <w:pPr>
        <w:pStyle w:val="TOC1"/>
        <w:tabs>
          <w:tab w:val="right" w:leader="dot" w:pos="9016"/>
        </w:tabs>
      </w:pPr>
      <w:hyperlink w:anchor="_Toc166580698" w:history="1">
        <w:r>
          <w:rPr>
            <w:rStyle w:val="Hyperlink"/>
            <w:rFonts w:ascii="Arial" w:hAnsi="Arial" w:cs="Arial"/>
            <w:sz w:val="24"/>
            <w:szCs w:val="24"/>
          </w:rPr>
          <w:t xml:space="preserve">The </w:t>
        </w:r>
        <w:r w:rsidR="00463C0A">
          <w:rPr>
            <w:rStyle w:val="Hyperlink"/>
            <w:rFonts w:ascii="Arial" w:hAnsi="Arial" w:cs="Arial"/>
            <w:sz w:val="24"/>
            <w:szCs w:val="24"/>
          </w:rPr>
          <w:t>Department</w:t>
        </w:r>
        <w:r>
          <w:rPr>
            <w:rStyle w:val="Hyperlink"/>
            <w:rFonts w:ascii="Arial" w:hAnsi="Arial" w:cs="Arial"/>
            <w:sz w:val="24"/>
            <w:szCs w:val="24"/>
          </w:rPr>
          <w:t xml:space="preserve"> </w:t>
        </w:r>
        <w:r w:rsidR="008D3C50">
          <w:rPr>
            <w:rStyle w:val="Hyperlink"/>
            <w:rFonts w:ascii="Arial" w:hAnsi="Arial" w:cs="Arial"/>
            <w:sz w:val="24"/>
            <w:szCs w:val="24"/>
          </w:rPr>
          <w:t xml:space="preserve">of </w:t>
        </w:r>
        <w:r>
          <w:rPr>
            <w:rStyle w:val="Hyperlink"/>
            <w:rFonts w:ascii="Arial" w:hAnsi="Arial" w:cs="Arial"/>
            <w:sz w:val="24"/>
            <w:szCs w:val="24"/>
          </w:rPr>
          <w:t xml:space="preserve">Food and Beverage – </w:t>
        </w:r>
        <w:r w:rsidR="00463C0A">
          <w:rPr>
            <w:rStyle w:val="Hyperlink"/>
            <w:rFonts w:ascii="Arial" w:hAnsi="Arial" w:cs="Arial"/>
            <w:sz w:val="24"/>
            <w:szCs w:val="24"/>
          </w:rPr>
          <w:t>Future Action Plan</w:t>
        </w:r>
        <w:r>
          <w:rPr>
            <w:rFonts w:ascii="Arial" w:hAnsi="Arial" w:cs="Arial"/>
            <w:sz w:val="24"/>
            <w:szCs w:val="24"/>
          </w:rPr>
          <w:tab/>
          <w:t>6</w:t>
        </w:r>
      </w:hyperlink>
    </w:p>
    <w:p w14:paraId="1C09299C" w14:textId="77777777" w:rsidR="00744A69" w:rsidRDefault="00000000">
      <w:pPr>
        <w:pStyle w:val="TOC1"/>
        <w:tabs>
          <w:tab w:val="right" w:leader="dot" w:pos="9016"/>
        </w:tabs>
      </w:pPr>
      <w:hyperlink w:anchor="_Toc166580699" w:history="1">
        <w:r>
          <w:rPr>
            <w:rStyle w:val="Hyperlink"/>
            <w:rFonts w:ascii="Arial" w:hAnsi="Arial" w:cs="Arial"/>
            <w:sz w:val="24"/>
            <w:szCs w:val="24"/>
            <w:shd w:val="clear" w:color="auto" w:fill="FFFFFF"/>
          </w:rPr>
          <w:t>Conclusions</w:t>
        </w:r>
        <w:r>
          <w:rPr>
            <w:rFonts w:ascii="Arial" w:hAnsi="Arial" w:cs="Arial"/>
            <w:sz w:val="24"/>
            <w:szCs w:val="24"/>
          </w:rPr>
          <w:tab/>
          <w:t>7</w:t>
        </w:r>
      </w:hyperlink>
    </w:p>
    <w:p w14:paraId="268E0031" w14:textId="77777777" w:rsidR="00744A69" w:rsidRDefault="00000000">
      <w:pPr>
        <w:pStyle w:val="TOC1"/>
        <w:tabs>
          <w:tab w:val="right" w:leader="dot" w:pos="9016"/>
        </w:tabs>
      </w:pPr>
      <w:hyperlink w:anchor="_Toc166580700" w:history="1">
        <w:r>
          <w:rPr>
            <w:rStyle w:val="Hyperlink"/>
            <w:rFonts w:ascii="Arial" w:hAnsi="Arial" w:cs="Arial"/>
            <w:sz w:val="24"/>
            <w:szCs w:val="24"/>
          </w:rPr>
          <w:t>References</w:t>
        </w:r>
        <w:r>
          <w:rPr>
            <w:rFonts w:ascii="Arial" w:hAnsi="Arial" w:cs="Arial"/>
            <w:sz w:val="24"/>
            <w:szCs w:val="24"/>
          </w:rPr>
          <w:tab/>
          <w:t>8</w:t>
        </w:r>
      </w:hyperlink>
    </w:p>
    <w:p w14:paraId="30AA2C52" w14:textId="77777777" w:rsidR="00744A69" w:rsidRDefault="00000000">
      <w:r>
        <w:fldChar w:fldCharType="end"/>
      </w:r>
    </w:p>
    <w:p w14:paraId="0B731B70" w14:textId="77777777" w:rsidR="00744A69" w:rsidRDefault="00744A69">
      <w:pPr>
        <w:suppressAutoHyphens w:val="0"/>
        <w:rPr>
          <w:rFonts w:ascii="Calibri Light" w:eastAsia="Times New Roman" w:hAnsi="Calibri Light"/>
          <w:color w:val="2F5496"/>
          <w:sz w:val="32"/>
          <w:szCs w:val="32"/>
        </w:rPr>
      </w:pPr>
    </w:p>
    <w:p w14:paraId="59F03C67" w14:textId="77777777" w:rsidR="00744A69" w:rsidRDefault="00744A69">
      <w:pPr>
        <w:suppressAutoHyphens w:val="0"/>
        <w:rPr>
          <w:rFonts w:ascii="Calibri Light" w:eastAsia="Times New Roman" w:hAnsi="Calibri Light"/>
          <w:color w:val="2F5496"/>
          <w:sz w:val="32"/>
          <w:szCs w:val="32"/>
        </w:rPr>
      </w:pPr>
    </w:p>
    <w:p w14:paraId="704A1567" w14:textId="77777777" w:rsidR="00744A69" w:rsidRDefault="00744A69">
      <w:pPr>
        <w:suppressAutoHyphens w:val="0"/>
        <w:rPr>
          <w:rFonts w:ascii="Calibri Light" w:eastAsia="Times New Roman" w:hAnsi="Calibri Light"/>
          <w:color w:val="2F5496"/>
          <w:sz w:val="32"/>
          <w:szCs w:val="32"/>
        </w:rPr>
      </w:pPr>
    </w:p>
    <w:p w14:paraId="65241663" w14:textId="77777777" w:rsidR="00744A69" w:rsidRDefault="00744A69">
      <w:pPr>
        <w:suppressAutoHyphens w:val="0"/>
        <w:rPr>
          <w:rFonts w:ascii="Calibri Light" w:eastAsia="Times New Roman" w:hAnsi="Calibri Light"/>
          <w:color w:val="2F5496"/>
          <w:sz w:val="32"/>
          <w:szCs w:val="32"/>
        </w:rPr>
      </w:pPr>
    </w:p>
    <w:p w14:paraId="347BCB7A" w14:textId="77777777" w:rsidR="00744A69" w:rsidRDefault="00744A69">
      <w:pPr>
        <w:suppressAutoHyphens w:val="0"/>
        <w:rPr>
          <w:rFonts w:ascii="Calibri Light" w:eastAsia="Times New Roman" w:hAnsi="Calibri Light"/>
          <w:color w:val="2F5496"/>
          <w:sz w:val="32"/>
          <w:szCs w:val="32"/>
        </w:rPr>
      </w:pPr>
    </w:p>
    <w:p w14:paraId="0C39D64C" w14:textId="77777777" w:rsidR="00744A69" w:rsidRDefault="00744A69">
      <w:pPr>
        <w:suppressAutoHyphens w:val="0"/>
        <w:rPr>
          <w:rFonts w:ascii="Calibri Light" w:eastAsia="Times New Roman" w:hAnsi="Calibri Light"/>
          <w:color w:val="2F5496"/>
          <w:sz w:val="32"/>
          <w:szCs w:val="32"/>
        </w:rPr>
      </w:pPr>
    </w:p>
    <w:p w14:paraId="21DEE652" w14:textId="77777777" w:rsidR="00744A69" w:rsidRDefault="00744A69">
      <w:pPr>
        <w:suppressAutoHyphens w:val="0"/>
        <w:rPr>
          <w:rFonts w:ascii="Calibri Light" w:eastAsia="Times New Roman" w:hAnsi="Calibri Light"/>
          <w:color w:val="2F5496"/>
          <w:sz w:val="32"/>
          <w:szCs w:val="32"/>
        </w:rPr>
      </w:pPr>
    </w:p>
    <w:p w14:paraId="7F36A0EA" w14:textId="77777777" w:rsidR="00744A69" w:rsidRDefault="00744A69">
      <w:pPr>
        <w:suppressAutoHyphens w:val="0"/>
        <w:rPr>
          <w:rFonts w:ascii="Calibri Light" w:eastAsia="Times New Roman" w:hAnsi="Calibri Light"/>
          <w:color w:val="2F5496"/>
          <w:sz w:val="32"/>
          <w:szCs w:val="32"/>
        </w:rPr>
      </w:pPr>
    </w:p>
    <w:p w14:paraId="6DC83BFF" w14:textId="77777777" w:rsidR="00744A69" w:rsidRDefault="00744A69">
      <w:pPr>
        <w:suppressAutoHyphens w:val="0"/>
        <w:rPr>
          <w:rFonts w:ascii="Calibri Light" w:eastAsia="Times New Roman" w:hAnsi="Calibri Light"/>
          <w:color w:val="2F5496"/>
          <w:sz w:val="32"/>
          <w:szCs w:val="32"/>
        </w:rPr>
      </w:pPr>
    </w:p>
    <w:p w14:paraId="35B2A3BE" w14:textId="77777777" w:rsidR="00744A69" w:rsidRDefault="00744A69">
      <w:pPr>
        <w:suppressAutoHyphens w:val="0"/>
        <w:rPr>
          <w:rFonts w:ascii="Calibri Light" w:eastAsia="Times New Roman" w:hAnsi="Calibri Light"/>
          <w:color w:val="2F5496"/>
          <w:sz w:val="32"/>
          <w:szCs w:val="32"/>
        </w:rPr>
      </w:pPr>
    </w:p>
    <w:p w14:paraId="21407E7A" w14:textId="77777777" w:rsidR="00744A69" w:rsidRDefault="00744A69">
      <w:pPr>
        <w:suppressAutoHyphens w:val="0"/>
        <w:rPr>
          <w:rFonts w:ascii="Calibri Light" w:eastAsia="Times New Roman" w:hAnsi="Calibri Light"/>
          <w:color w:val="2F5496"/>
          <w:sz w:val="32"/>
          <w:szCs w:val="32"/>
        </w:rPr>
      </w:pPr>
    </w:p>
    <w:p w14:paraId="4240C89D" w14:textId="77777777" w:rsidR="00744A69" w:rsidRDefault="00744A69">
      <w:pPr>
        <w:suppressAutoHyphens w:val="0"/>
        <w:rPr>
          <w:rFonts w:ascii="Calibri Light" w:eastAsia="Times New Roman" w:hAnsi="Calibri Light"/>
          <w:color w:val="2F5496"/>
          <w:sz w:val="32"/>
          <w:szCs w:val="32"/>
        </w:rPr>
      </w:pPr>
    </w:p>
    <w:p w14:paraId="4A5D1503" w14:textId="77777777" w:rsidR="00744A69" w:rsidRDefault="00744A69">
      <w:pPr>
        <w:suppressAutoHyphens w:val="0"/>
        <w:rPr>
          <w:rFonts w:ascii="Calibri Light" w:eastAsia="Times New Roman" w:hAnsi="Calibri Light"/>
          <w:color w:val="2F5496"/>
          <w:sz w:val="32"/>
          <w:szCs w:val="32"/>
        </w:rPr>
      </w:pPr>
    </w:p>
    <w:p w14:paraId="6FFBF618" w14:textId="77777777" w:rsidR="00744A69" w:rsidRDefault="00744A69">
      <w:pPr>
        <w:spacing w:after="0" w:line="360" w:lineRule="auto"/>
        <w:jc w:val="both"/>
        <w:rPr>
          <w:rFonts w:ascii="Arial" w:hAnsi="Arial" w:cs="Arial"/>
          <w:color w:val="000000"/>
          <w:sz w:val="24"/>
          <w:szCs w:val="24"/>
          <w:shd w:val="clear" w:color="auto" w:fill="FFFFFF"/>
        </w:rPr>
      </w:pPr>
    </w:p>
    <w:p w14:paraId="301CE70A" w14:textId="77777777" w:rsidR="00744A69" w:rsidRDefault="00744A69">
      <w:pPr>
        <w:spacing w:after="0" w:line="360" w:lineRule="auto"/>
        <w:jc w:val="both"/>
        <w:rPr>
          <w:rFonts w:ascii="Arial" w:hAnsi="Arial" w:cs="Arial"/>
          <w:color w:val="000000"/>
          <w:sz w:val="24"/>
          <w:szCs w:val="24"/>
          <w:shd w:val="clear" w:color="auto" w:fill="FFFFFF"/>
        </w:rPr>
      </w:pPr>
    </w:p>
    <w:p w14:paraId="5FD828E6" w14:textId="77777777" w:rsidR="00744A69" w:rsidRDefault="00744A69">
      <w:pPr>
        <w:suppressAutoHyphens w:val="0"/>
        <w:rPr>
          <w:shd w:val="clear" w:color="auto" w:fill="FFFFFF"/>
        </w:rPr>
      </w:pPr>
    </w:p>
    <w:p w14:paraId="02A5D73A" w14:textId="77777777" w:rsidR="00744A69" w:rsidRDefault="00744A69">
      <w:pPr>
        <w:suppressAutoHyphens w:val="0"/>
        <w:rPr>
          <w:shd w:val="clear" w:color="auto" w:fill="FFFFFF"/>
        </w:rPr>
      </w:pPr>
    </w:p>
    <w:p w14:paraId="2F3E6D1D" w14:textId="77777777" w:rsidR="00744A69" w:rsidRDefault="00000000">
      <w:pPr>
        <w:pStyle w:val="Heading1"/>
        <w:rPr>
          <w:lang w:eastAsia="en-GB"/>
        </w:rPr>
      </w:pPr>
      <w:bookmarkStart w:id="1" w:name="_Toc166580695"/>
      <w:r>
        <w:rPr>
          <w:lang w:eastAsia="en-GB"/>
        </w:rPr>
        <w:lastRenderedPageBreak/>
        <w:t>Consideration of Experience and Individual Growth: Kolb's Learning Cycle 1984</w:t>
      </w:r>
      <w:bookmarkEnd w:id="1"/>
    </w:p>
    <w:p w14:paraId="08ECCF5A" w14:textId="77777777" w:rsidR="00744A69" w:rsidRDefault="00744A69">
      <w:pPr>
        <w:spacing w:after="0" w:line="360" w:lineRule="auto"/>
        <w:jc w:val="both"/>
        <w:rPr>
          <w:rFonts w:ascii="Arial" w:hAnsi="Arial" w:cs="Arial"/>
          <w:color w:val="000000"/>
          <w:sz w:val="24"/>
          <w:szCs w:val="24"/>
          <w:shd w:val="clear" w:color="auto" w:fill="FFFFFF"/>
        </w:rPr>
      </w:pPr>
    </w:p>
    <w:p w14:paraId="7FDB63B1" w14:textId="748425CF" w:rsidR="00744A69" w:rsidRDefault="00000000">
      <w:pPr>
        <w:spacing w:after="0" w:line="360" w:lineRule="auto"/>
        <w:jc w:val="both"/>
      </w:pPr>
      <w:r>
        <w:rPr>
          <w:rFonts w:ascii="Arial" w:hAnsi="Arial" w:cs="Arial"/>
          <w:color w:val="000000"/>
          <w:sz w:val="24"/>
          <w:szCs w:val="24"/>
          <w:shd w:val="clear" w:color="auto" w:fill="FFFFFF"/>
        </w:rPr>
        <w:t xml:space="preserve">Reflecting on the role of a Food and Beverage </w:t>
      </w:r>
      <w:r w:rsidR="00463C0A">
        <w:rPr>
          <w:rFonts w:ascii="Arial" w:hAnsi="Arial" w:cs="Arial"/>
          <w:color w:val="000000"/>
          <w:sz w:val="24"/>
          <w:szCs w:val="24"/>
          <w:shd w:val="clear" w:color="auto" w:fill="FFFFFF"/>
        </w:rPr>
        <w:t xml:space="preserve">shadowing </w:t>
      </w:r>
      <w:r w:rsidR="00E127A5">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upervisor ( Anna J.)  at Delta Hotels by Marriott Bexleyheath through Kolb’s Learning Cycle I can provide a structured understanding of the importance of guest service standards: </w:t>
      </w:r>
      <w:r>
        <w:rPr>
          <w:rFonts w:ascii="Arial" w:hAnsi="Arial" w:cs="Arial"/>
          <w:b/>
          <w:bCs/>
          <w:color w:val="000000"/>
          <w:sz w:val="24"/>
          <w:szCs w:val="24"/>
          <w:shd w:val="clear" w:color="auto" w:fill="FFFFFF"/>
        </w:rPr>
        <w:t>Concrete Experience</w:t>
      </w:r>
      <w:r>
        <w:rPr>
          <w:rFonts w:ascii="Arial" w:hAnsi="Arial" w:cs="Arial"/>
          <w:color w:val="000000"/>
          <w:sz w:val="24"/>
          <w:szCs w:val="24"/>
          <w:shd w:val="clear" w:color="auto" w:fill="FFFFFF"/>
        </w:rPr>
        <w:t xml:space="preserve">: Shadowing Anna I experienced the daily operations of food and beverage services, interacting with guests and observing their reactions to the service provided. </w:t>
      </w:r>
      <w:r>
        <w:rPr>
          <w:rFonts w:ascii="Arial" w:hAnsi="Arial" w:cs="Arial"/>
          <w:b/>
          <w:bCs/>
          <w:color w:val="000000"/>
          <w:sz w:val="24"/>
          <w:szCs w:val="24"/>
          <w:shd w:val="clear" w:color="auto" w:fill="FFFFFF"/>
        </w:rPr>
        <w:t>Reflective Observation</w:t>
      </w:r>
      <w:r>
        <w:rPr>
          <w:rFonts w:ascii="Arial" w:hAnsi="Arial" w:cs="Arial"/>
          <w:color w:val="000000"/>
          <w:sz w:val="24"/>
          <w:szCs w:val="24"/>
          <w:shd w:val="clear" w:color="auto" w:fill="FFFFFF"/>
        </w:rPr>
        <w:t xml:space="preserve">: Reflecting on these experiences, I </w:t>
      </w:r>
      <w:r w:rsidR="008D3C50">
        <w:rPr>
          <w:rFonts w:ascii="Arial" w:hAnsi="Arial" w:cs="Arial"/>
          <w:color w:val="000000"/>
          <w:sz w:val="24"/>
          <w:szCs w:val="24"/>
          <w:shd w:val="clear" w:color="auto" w:fill="FFFFFF"/>
        </w:rPr>
        <w:t>consider</w:t>
      </w:r>
      <w:r>
        <w:rPr>
          <w:rFonts w:ascii="Arial" w:hAnsi="Arial" w:cs="Arial"/>
          <w:color w:val="000000"/>
          <w:sz w:val="24"/>
          <w:szCs w:val="24"/>
          <w:shd w:val="clear" w:color="auto" w:fill="FFFFFF"/>
        </w:rPr>
        <w:t xml:space="preserve"> positive feedback and areas of complaint, to gauge the effectiveness of current service standards. </w:t>
      </w:r>
      <w:r>
        <w:rPr>
          <w:rFonts w:ascii="Arial" w:hAnsi="Arial" w:cs="Arial"/>
          <w:b/>
          <w:bCs/>
          <w:color w:val="000000"/>
          <w:sz w:val="24"/>
          <w:szCs w:val="24"/>
          <w:shd w:val="clear" w:color="auto" w:fill="FFFFFF"/>
        </w:rPr>
        <w:t>Abstract Conceptualisation</w:t>
      </w:r>
      <w:r>
        <w:rPr>
          <w:rFonts w:ascii="Arial" w:hAnsi="Arial" w:cs="Arial"/>
          <w:color w:val="000000"/>
          <w:sz w:val="24"/>
          <w:szCs w:val="24"/>
          <w:shd w:val="clear" w:color="auto" w:fill="FFFFFF"/>
        </w:rPr>
        <w:t>: From these reflections, the supervisor abstracts key principles about the importance of maintaining high service standards, such as the direct correlation between guest satisfaction and repeat business (</w:t>
      </w:r>
      <w:proofErr w:type="spellStart"/>
      <w:r>
        <w:rPr>
          <w:rFonts w:ascii="Arial" w:hAnsi="Arial" w:cs="Arial"/>
          <w:color w:val="000000"/>
          <w:sz w:val="24"/>
          <w:szCs w:val="24"/>
        </w:rPr>
        <w:t>Ligt</w:t>
      </w:r>
      <w:proofErr w:type="spellEnd"/>
      <w:r>
        <w:rPr>
          <w:rFonts w:ascii="Arial" w:hAnsi="Arial" w:cs="Arial"/>
          <w:color w:val="000000"/>
          <w:sz w:val="24"/>
          <w:szCs w:val="24"/>
        </w:rPr>
        <w:t>, 2019)</w:t>
      </w:r>
      <w:r>
        <w:rPr>
          <w:rFonts w:ascii="Arial" w:hAnsi="Arial" w:cs="Arial"/>
          <w:color w:val="000000"/>
          <w:sz w:val="24"/>
          <w:szCs w:val="24"/>
          <w:shd w:val="clear" w:color="auto" w:fill="FFFFFF"/>
        </w:rPr>
        <w:t xml:space="preserve">. </w:t>
      </w:r>
      <w:r>
        <w:rPr>
          <w:rFonts w:ascii="Arial" w:hAnsi="Arial" w:cs="Arial"/>
          <w:b/>
          <w:bCs/>
          <w:color w:val="000000"/>
          <w:sz w:val="24"/>
          <w:szCs w:val="24"/>
          <w:shd w:val="clear" w:color="auto" w:fill="FFFFFF"/>
        </w:rPr>
        <w:t>Active Experimentation</w:t>
      </w:r>
      <w:r>
        <w:rPr>
          <w:rFonts w:ascii="Arial" w:hAnsi="Arial" w:cs="Arial"/>
          <w:color w:val="000000"/>
          <w:sz w:val="24"/>
          <w:szCs w:val="24"/>
          <w:shd w:val="clear" w:color="auto" w:fill="FFFFFF"/>
        </w:rPr>
        <w:t xml:space="preserve">: Finally, I realise that the supervisor applies these principles by experimenting with new service protocols or training methods to enhance </w:t>
      </w:r>
      <w:r w:rsidR="008D3C50">
        <w:rPr>
          <w:rFonts w:ascii="Arial" w:hAnsi="Arial" w:cs="Arial"/>
          <w:color w:val="000000"/>
          <w:sz w:val="24"/>
          <w:szCs w:val="24"/>
          <w:shd w:val="clear" w:color="auto" w:fill="FFFFFF"/>
        </w:rPr>
        <w:t xml:space="preserve">the </w:t>
      </w:r>
      <w:r>
        <w:rPr>
          <w:rFonts w:ascii="Arial" w:hAnsi="Arial" w:cs="Arial"/>
          <w:color w:val="000000"/>
          <w:sz w:val="24"/>
          <w:szCs w:val="24"/>
          <w:shd w:val="clear" w:color="auto" w:fill="FFFFFF"/>
        </w:rPr>
        <w:t>guest experience, thus reinforcing the significance of guest service standards. Through this cycle, the supervisor not only understands but also actively contributes to the upholding and improvement of service standards, ensuring that guest experiences are consistently exceptional (</w:t>
      </w:r>
      <w:proofErr w:type="spellStart"/>
      <w:r>
        <w:rPr>
          <w:rFonts w:ascii="Arial" w:hAnsi="Arial" w:cs="Arial"/>
          <w:color w:val="000000"/>
          <w:sz w:val="24"/>
          <w:szCs w:val="24"/>
          <w:shd w:val="clear" w:color="auto" w:fill="FFFFFF"/>
        </w:rPr>
        <w:t>SkillsHub</w:t>
      </w:r>
      <w:proofErr w:type="spellEnd"/>
      <w:r>
        <w:rPr>
          <w:rFonts w:ascii="Arial" w:hAnsi="Arial" w:cs="Arial"/>
          <w:color w:val="000000"/>
          <w:sz w:val="24"/>
          <w:szCs w:val="24"/>
          <w:shd w:val="clear" w:color="auto" w:fill="FFFFFF"/>
        </w:rPr>
        <w:t>, 2023).</w:t>
      </w:r>
    </w:p>
    <w:p w14:paraId="1E8C7FC1" w14:textId="77777777" w:rsidR="00744A69" w:rsidRDefault="00744A69">
      <w:pPr>
        <w:spacing w:after="0" w:line="360" w:lineRule="auto"/>
        <w:jc w:val="both"/>
        <w:rPr>
          <w:rFonts w:ascii="Arial" w:hAnsi="Arial" w:cs="Arial"/>
          <w:color w:val="000000"/>
          <w:sz w:val="24"/>
          <w:szCs w:val="24"/>
          <w:shd w:val="clear" w:color="auto" w:fill="FFFFFF"/>
        </w:rPr>
      </w:pPr>
    </w:p>
    <w:p w14:paraId="0F0DCBBC" w14:textId="77777777" w:rsidR="00744A69" w:rsidRDefault="00744A69">
      <w:pPr>
        <w:spacing w:after="0" w:line="360" w:lineRule="auto"/>
        <w:jc w:val="both"/>
        <w:rPr>
          <w:rFonts w:ascii="Arial" w:hAnsi="Arial" w:cs="Arial"/>
          <w:color w:val="000000"/>
          <w:sz w:val="24"/>
          <w:szCs w:val="24"/>
          <w:shd w:val="clear" w:color="auto" w:fill="FFFFFF"/>
        </w:rPr>
      </w:pPr>
    </w:p>
    <w:p w14:paraId="1F4D9CC0" w14:textId="77777777" w:rsidR="00744A69" w:rsidRDefault="00744A69">
      <w:pPr>
        <w:spacing w:after="0" w:line="360" w:lineRule="auto"/>
        <w:jc w:val="both"/>
        <w:rPr>
          <w:rFonts w:ascii="Arial" w:hAnsi="Arial" w:cs="Arial"/>
          <w:color w:val="000000"/>
          <w:sz w:val="24"/>
          <w:szCs w:val="24"/>
          <w:shd w:val="clear" w:color="auto" w:fill="FFFFFF"/>
        </w:rPr>
      </w:pPr>
    </w:p>
    <w:p w14:paraId="7F834717" w14:textId="77777777" w:rsidR="00744A69" w:rsidRDefault="00744A69">
      <w:pPr>
        <w:spacing w:after="0" w:line="360" w:lineRule="auto"/>
        <w:jc w:val="both"/>
        <w:rPr>
          <w:rFonts w:ascii="Arial" w:hAnsi="Arial" w:cs="Arial"/>
          <w:color w:val="000000"/>
          <w:sz w:val="24"/>
          <w:szCs w:val="24"/>
          <w:shd w:val="clear" w:color="auto" w:fill="FFFFFF"/>
        </w:rPr>
      </w:pPr>
    </w:p>
    <w:p w14:paraId="6A4B3949" w14:textId="77777777" w:rsidR="00744A69" w:rsidRDefault="00744A69">
      <w:pPr>
        <w:spacing w:after="0" w:line="360" w:lineRule="auto"/>
        <w:jc w:val="both"/>
        <w:rPr>
          <w:rFonts w:ascii="Arial" w:hAnsi="Arial" w:cs="Arial"/>
          <w:color w:val="000000"/>
          <w:sz w:val="24"/>
          <w:szCs w:val="24"/>
          <w:shd w:val="clear" w:color="auto" w:fill="FFFFFF"/>
        </w:rPr>
      </w:pPr>
    </w:p>
    <w:p w14:paraId="62E19024" w14:textId="77777777" w:rsidR="00744A69" w:rsidRDefault="00744A69">
      <w:pPr>
        <w:spacing w:after="0" w:line="360" w:lineRule="auto"/>
        <w:jc w:val="both"/>
        <w:rPr>
          <w:rFonts w:ascii="Arial" w:hAnsi="Arial" w:cs="Arial"/>
          <w:color w:val="000000"/>
          <w:sz w:val="24"/>
          <w:szCs w:val="24"/>
          <w:shd w:val="clear" w:color="auto" w:fill="FFFFFF"/>
        </w:rPr>
      </w:pPr>
    </w:p>
    <w:p w14:paraId="0263A121" w14:textId="77777777" w:rsidR="00744A69" w:rsidRDefault="00744A69">
      <w:pPr>
        <w:spacing w:after="0" w:line="360" w:lineRule="auto"/>
        <w:jc w:val="both"/>
        <w:rPr>
          <w:rFonts w:ascii="Arial" w:hAnsi="Arial" w:cs="Arial"/>
          <w:color w:val="000000"/>
          <w:sz w:val="24"/>
          <w:szCs w:val="24"/>
          <w:shd w:val="clear" w:color="auto" w:fill="FFFFFF"/>
        </w:rPr>
      </w:pPr>
    </w:p>
    <w:p w14:paraId="43291F9E" w14:textId="77777777" w:rsidR="00744A69" w:rsidRDefault="00744A69">
      <w:pPr>
        <w:spacing w:after="0" w:line="360" w:lineRule="auto"/>
        <w:jc w:val="both"/>
        <w:rPr>
          <w:rFonts w:ascii="Arial" w:hAnsi="Arial" w:cs="Arial"/>
          <w:color w:val="000000"/>
          <w:sz w:val="24"/>
          <w:szCs w:val="24"/>
          <w:shd w:val="clear" w:color="auto" w:fill="FFFFFF"/>
        </w:rPr>
      </w:pPr>
    </w:p>
    <w:p w14:paraId="1BAEC5D2" w14:textId="77777777" w:rsidR="00744A69" w:rsidRDefault="00744A69">
      <w:pPr>
        <w:spacing w:after="0" w:line="360" w:lineRule="auto"/>
        <w:jc w:val="both"/>
        <w:rPr>
          <w:rFonts w:ascii="Arial" w:hAnsi="Arial" w:cs="Arial"/>
          <w:color w:val="000000"/>
          <w:sz w:val="24"/>
          <w:szCs w:val="24"/>
          <w:shd w:val="clear" w:color="auto" w:fill="FFFFFF"/>
        </w:rPr>
      </w:pPr>
    </w:p>
    <w:p w14:paraId="1AE7D678" w14:textId="77777777" w:rsidR="00744A69" w:rsidRDefault="00744A69">
      <w:pPr>
        <w:spacing w:after="0" w:line="360" w:lineRule="auto"/>
        <w:jc w:val="both"/>
        <w:rPr>
          <w:rFonts w:ascii="Arial" w:hAnsi="Arial" w:cs="Arial"/>
          <w:color w:val="000000"/>
          <w:sz w:val="24"/>
          <w:szCs w:val="24"/>
          <w:shd w:val="clear" w:color="auto" w:fill="FFFFFF"/>
        </w:rPr>
      </w:pPr>
    </w:p>
    <w:p w14:paraId="4B1B7084" w14:textId="77777777" w:rsidR="00744A69" w:rsidRDefault="00744A69">
      <w:pPr>
        <w:spacing w:after="0" w:line="360" w:lineRule="auto"/>
        <w:jc w:val="both"/>
        <w:rPr>
          <w:rFonts w:ascii="Arial" w:hAnsi="Arial" w:cs="Arial"/>
          <w:color w:val="000000"/>
          <w:sz w:val="24"/>
          <w:szCs w:val="24"/>
          <w:shd w:val="clear" w:color="auto" w:fill="FFFFFF"/>
        </w:rPr>
      </w:pPr>
    </w:p>
    <w:p w14:paraId="76B85742" w14:textId="77777777" w:rsidR="00744A69" w:rsidRDefault="00744A69">
      <w:pPr>
        <w:spacing w:after="0" w:line="360" w:lineRule="auto"/>
        <w:jc w:val="both"/>
        <w:rPr>
          <w:rFonts w:ascii="Arial" w:hAnsi="Arial" w:cs="Arial"/>
          <w:color w:val="000000"/>
          <w:sz w:val="24"/>
          <w:szCs w:val="24"/>
          <w:shd w:val="clear" w:color="auto" w:fill="FFFFFF"/>
        </w:rPr>
      </w:pPr>
    </w:p>
    <w:p w14:paraId="18F880FB" w14:textId="77777777" w:rsidR="00744A69" w:rsidRDefault="00744A69">
      <w:pPr>
        <w:spacing w:after="0" w:line="360" w:lineRule="auto"/>
        <w:jc w:val="both"/>
        <w:rPr>
          <w:rFonts w:ascii="Arial" w:hAnsi="Arial" w:cs="Arial"/>
          <w:color w:val="000000"/>
          <w:sz w:val="24"/>
          <w:szCs w:val="24"/>
          <w:shd w:val="clear" w:color="auto" w:fill="FFFFFF"/>
        </w:rPr>
      </w:pPr>
    </w:p>
    <w:p w14:paraId="1078D65B" w14:textId="77777777" w:rsidR="00744A69" w:rsidRDefault="00744A69">
      <w:pPr>
        <w:spacing w:after="0" w:line="360" w:lineRule="auto"/>
        <w:jc w:val="both"/>
        <w:rPr>
          <w:rFonts w:ascii="Arial" w:hAnsi="Arial" w:cs="Arial"/>
          <w:color w:val="000000"/>
          <w:sz w:val="24"/>
          <w:szCs w:val="24"/>
          <w:shd w:val="clear" w:color="auto" w:fill="FFFFFF"/>
        </w:rPr>
      </w:pPr>
    </w:p>
    <w:p w14:paraId="06C42B3E" w14:textId="77777777" w:rsidR="00744A69" w:rsidRDefault="00744A69">
      <w:pPr>
        <w:spacing w:after="0" w:line="360" w:lineRule="auto"/>
        <w:jc w:val="both"/>
        <w:rPr>
          <w:rFonts w:ascii="Arial" w:hAnsi="Arial" w:cs="Arial"/>
          <w:color w:val="000000"/>
          <w:sz w:val="24"/>
          <w:szCs w:val="24"/>
          <w:shd w:val="clear" w:color="auto" w:fill="FFFFFF"/>
        </w:rPr>
      </w:pPr>
    </w:p>
    <w:p w14:paraId="2EBB9642" w14:textId="77777777" w:rsidR="00744A69" w:rsidRDefault="00000000">
      <w:pPr>
        <w:pStyle w:val="Heading1"/>
        <w:rPr>
          <w:shd w:val="clear" w:color="auto" w:fill="FFFFFF"/>
        </w:rPr>
      </w:pPr>
      <w:bookmarkStart w:id="2" w:name="_Toc166495291"/>
      <w:bookmarkStart w:id="3" w:name="_Toc166496610"/>
      <w:bookmarkStart w:id="4" w:name="_Toc166580696"/>
      <w:r>
        <w:rPr>
          <w:shd w:val="clear" w:color="auto" w:fill="FFFFFF"/>
        </w:rPr>
        <w:lastRenderedPageBreak/>
        <w:t>Critical evaluation of work- base skills and technical knowledge</w:t>
      </w:r>
      <w:bookmarkEnd w:id="2"/>
      <w:bookmarkEnd w:id="3"/>
      <w:bookmarkEnd w:id="4"/>
      <w:r>
        <w:rPr>
          <w:shd w:val="clear" w:color="auto" w:fill="FFFFFF"/>
        </w:rPr>
        <w:t xml:space="preserve"> </w:t>
      </w:r>
    </w:p>
    <w:p w14:paraId="6D80264F" w14:textId="77777777" w:rsidR="00744A69" w:rsidRPr="0085365C" w:rsidRDefault="00744A69" w:rsidP="0085365C">
      <w:pPr>
        <w:spacing w:after="0" w:line="360" w:lineRule="auto"/>
        <w:jc w:val="both"/>
        <w:rPr>
          <w:rFonts w:asciiTheme="minorBidi" w:hAnsiTheme="minorBidi" w:cstheme="minorBidi"/>
          <w:sz w:val="24"/>
          <w:szCs w:val="24"/>
          <w:shd w:val="clear" w:color="auto" w:fill="FFFFFF"/>
        </w:rPr>
      </w:pPr>
    </w:p>
    <w:p w14:paraId="597EF83B" w14:textId="31A0578F" w:rsidR="0085365C" w:rsidRPr="0085365C" w:rsidRDefault="0085365C" w:rsidP="0085365C">
      <w:pPr>
        <w:shd w:val="clear" w:color="auto" w:fill="FFFFFF"/>
        <w:suppressAutoHyphens w:val="0"/>
        <w:autoSpaceDN/>
        <w:spacing w:after="0" w:line="360" w:lineRule="auto"/>
        <w:jc w:val="both"/>
        <w:rPr>
          <w:rFonts w:asciiTheme="minorBidi" w:eastAsia="Times New Roman" w:hAnsiTheme="minorBidi" w:cstheme="minorBidi"/>
          <w:kern w:val="0"/>
          <w:sz w:val="24"/>
          <w:szCs w:val="24"/>
          <w:lang w:eastAsia="en-GB"/>
        </w:rPr>
      </w:pPr>
      <w:r w:rsidRPr="0085365C">
        <w:rPr>
          <w:rFonts w:asciiTheme="minorBidi" w:eastAsia="Times New Roman" w:hAnsiTheme="minorBidi" w:cstheme="minorBidi"/>
          <w:kern w:val="0"/>
          <w:sz w:val="24"/>
          <w:szCs w:val="24"/>
          <w:lang w:eastAsia="en-GB"/>
        </w:rPr>
        <w:t xml:space="preserve">The </w:t>
      </w:r>
      <w:r>
        <w:rPr>
          <w:rFonts w:asciiTheme="minorBidi" w:eastAsia="Times New Roman" w:hAnsiTheme="minorBidi" w:cstheme="minorBidi"/>
          <w:kern w:val="0"/>
          <w:sz w:val="24"/>
          <w:szCs w:val="24"/>
          <w:lang w:eastAsia="en-GB"/>
        </w:rPr>
        <w:t>F</w:t>
      </w:r>
      <w:r w:rsidRPr="0085365C">
        <w:rPr>
          <w:rFonts w:asciiTheme="minorBidi" w:eastAsia="Times New Roman" w:hAnsiTheme="minorBidi" w:cstheme="minorBidi"/>
          <w:kern w:val="0"/>
          <w:sz w:val="24"/>
          <w:szCs w:val="24"/>
          <w:lang w:eastAsia="en-GB"/>
        </w:rPr>
        <w:t xml:space="preserve">ood and </w:t>
      </w:r>
      <w:r>
        <w:rPr>
          <w:rFonts w:asciiTheme="minorBidi" w:eastAsia="Times New Roman" w:hAnsiTheme="minorBidi" w:cstheme="minorBidi"/>
          <w:kern w:val="0"/>
          <w:sz w:val="24"/>
          <w:szCs w:val="24"/>
          <w:lang w:eastAsia="en-GB"/>
        </w:rPr>
        <w:t>B</w:t>
      </w:r>
      <w:r w:rsidRPr="0085365C">
        <w:rPr>
          <w:rFonts w:asciiTheme="minorBidi" w:eastAsia="Times New Roman" w:hAnsiTheme="minorBidi" w:cstheme="minorBidi"/>
          <w:kern w:val="0"/>
          <w:sz w:val="24"/>
          <w:szCs w:val="24"/>
          <w:lang w:eastAsia="en-GB"/>
        </w:rPr>
        <w:t>everage sector at Delta Hotels by Marriott Bexleyheath emphasi</w:t>
      </w:r>
      <w:r>
        <w:rPr>
          <w:rFonts w:asciiTheme="minorBidi" w:eastAsia="Times New Roman" w:hAnsiTheme="minorBidi" w:cstheme="minorBidi"/>
          <w:kern w:val="0"/>
          <w:sz w:val="24"/>
          <w:szCs w:val="24"/>
          <w:lang w:eastAsia="en-GB"/>
        </w:rPr>
        <w:t>s</w:t>
      </w:r>
      <w:r w:rsidRPr="0085365C">
        <w:rPr>
          <w:rFonts w:asciiTheme="minorBidi" w:eastAsia="Times New Roman" w:hAnsiTheme="minorBidi" w:cstheme="minorBidi"/>
          <w:kern w:val="0"/>
          <w:sz w:val="24"/>
          <w:szCs w:val="24"/>
          <w:lang w:eastAsia="en-GB"/>
        </w:rPr>
        <w:t xml:space="preserve">es the importance of work-based skills and technical knowledge </w:t>
      </w:r>
      <w:r>
        <w:rPr>
          <w:rFonts w:asciiTheme="minorBidi" w:eastAsia="Times New Roman" w:hAnsiTheme="minorBidi" w:cstheme="minorBidi"/>
          <w:kern w:val="0"/>
          <w:sz w:val="24"/>
          <w:szCs w:val="24"/>
          <w:lang w:eastAsia="en-GB"/>
        </w:rPr>
        <w:t>to</w:t>
      </w:r>
      <w:r w:rsidRPr="0085365C">
        <w:rPr>
          <w:rFonts w:asciiTheme="minorBidi" w:eastAsia="Times New Roman" w:hAnsiTheme="minorBidi" w:cstheme="minorBidi"/>
          <w:kern w:val="0"/>
          <w:sz w:val="24"/>
          <w:szCs w:val="24"/>
          <w:lang w:eastAsia="en-GB"/>
        </w:rPr>
        <w:t xml:space="preserve"> meet guest service standards.</w:t>
      </w:r>
    </w:p>
    <w:p w14:paraId="684A97B6" w14:textId="4C28BDFD" w:rsidR="00744A69" w:rsidRDefault="00000000" w:rsidP="0085365C">
      <w:pPr>
        <w:spacing w:after="0" w:line="360" w:lineRule="auto"/>
        <w:jc w:val="both"/>
        <w:rPr>
          <w:rFonts w:ascii="Arial" w:hAnsi="Arial" w:cs="Arial"/>
          <w:color w:val="000000"/>
          <w:sz w:val="24"/>
          <w:szCs w:val="24"/>
          <w:shd w:val="clear" w:color="auto" w:fill="FFFFFF"/>
        </w:rPr>
      </w:pPr>
      <w:r w:rsidRPr="0085365C">
        <w:rPr>
          <w:rFonts w:asciiTheme="minorBidi" w:hAnsiTheme="minorBidi" w:cstheme="minorBidi"/>
          <w:sz w:val="24"/>
          <w:szCs w:val="24"/>
          <w:shd w:val="clear" w:color="auto" w:fill="FFFFFF"/>
        </w:rPr>
        <w:t>Work-Based Skills: Attention to Detail: Ensuring every aspect of the guest’s dining experience is considered, from the ambiance to the presentation of food. Communication: Clear and professional interaction with guests to understand their</w:t>
      </w:r>
      <w:r w:rsidRPr="0085365C">
        <w:rPr>
          <w:rFonts w:ascii="Arial" w:hAnsi="Arial" w:cs="Arial"/>
          <w:sz w:val="24"/>
          <w:szCs w:val="24"/>
          <w:shd w:val="clear" w:color="auto" w:fill="FFFFFF"/>
        </w:rPr>
        <w:t xml:space="preserve"> </w:t>
      </w:r>
      <w:r>
        <w:rPr>
          <w:rFonts w:ascii="Arial" w:hAnsi="Arial" w:cs="Arial"/>
          <w:color w:val="000000"/>
          <w:sz w:val="24"/>
          <w:szCs w:val="24"/>
          <w:shd w:val="clear" w:color="auto" w:fill="FFFFFF"/>
        </w:rPr>
        <w:t>needs and preferences. Patience: Handling guest requests and issues calmly and efficiently. Beverage Service: Knowledge of various beverages, including the preparation of alcoholic and non-alcoholic drinks. Health and Safety: Adherence to health and safety regulations to ensure a safe dining environment. Customer Care: Techniques to enhance guest satisfaction and handle service recovery. Combining these work-based skills with technical knowledge enables staff to provide a seamless and high-quality guest experience that meets the high standards expected at Delta Hotels by Marriott Bexleyheath (Marriott Bonvoy, 2024).</w:t>
      </w:r>
    </w:p>
    <w:p w14:paraId="10AB1A6E" w14:textId="77777777"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Guest service standards in the Food and Beverage department at Delta Hotels by Marriott Bexleyheath are designed to ensure an exceptional dining experience for guests. I have experienced some examples and insights as personalised service: The staff members are known to go out of their way to cater to guests’ needs, ensuring a tailored dining experience.</w:t>
      </w:r>
    </w:p>
    <w:p w14:paraId="0F21A45D" w14:textId="415BAA91" w:rsidR="00744A69" w:rsidRDefault="00000000">
      <w:pPr>
        <w:spacing w:after="0" w:line="360" w:lineRule="auto"/>
        <w:jc w:val="both"/>
      </w:pPr>
      <w:r>
        <w:rPr>
          <w:rFonts w:ascii="Arial" w:hAnsi="Arial" w:cs="Arial"/>
          <w:color w:val="000000"/>
          <w:sz w:val="24"/>
          <w:szCs w:val="24"/>
          <w:shd w:val="clear" w:color="auto" w:fill="FFFFFF"/>
        </w:rPr>
        <w:t>The hotel offers a variety of dining options, including the Cast Iron Grill, which serves high-quality British dishes, the emphasis is on fresh, well-prepared meals that satisfy diverse tastes. The operations are streamlined to provide prompt and efficient service, whether it is a quick snack or a leisurely meal. This includes room service and dining in the hotel’s restaurants (</w:t>
      </w:r>
      <w:r>
        <w:rPr>
          <w:rFonts w:ascii="Arial" w:hAnsi="Arial" w:cs="Arial"/>
          <w:color w:val="000000"/>
          <w:sz w:val="24"/>
          <w:szCs w:val="24"/>
        </w:rPr>
        <w:t>Lillicrap</w:t>
      </w:r>
      <w:r>
        <w:rPr>
          <w:rFonts w:ascii="Segoe UI Historic" w:hAnsi="Segoe UI Historic" w:cs="Segoe UI Historic"/>
          <w:color w:val="000000"/>
          <w:sz w:val="23"/>
          <w:szCs w:val="23"/>
          <w:shd w:val="clear" w:color="auto" w:fill="FFFFFF"/>
        </w:rPr>
        <w:t>&amp;</w:t>
      </w:r>
      <w:r>
        <w:rPr>
          <w:rFonts w:ascii="Arial" w:hAnsi="Arial" w:cs="Arial"/>
          <w:color w:val="000000"/>
          <w:sz w:val="24"/>
          <w:szCs w:val="24"/>
        </w:rPr>
        <w:t>Cousins,2014)</w:t>
      </w:r>
      <w:r>
        <w:rPr>
          <w:rFonts w:ascii="Arial" w:hAnsi="Arial" w:cs="Arial"/>
          <w:color w:val="000000"/>
          <w:sz w:val="24"/>
          <w:szCs w:val="24"/>
          <w:shd w:val="clear" w:color="auto" w:fill="FFFFFF"/>
        </w:rPr>
        <w:t xml:space="preserve">. From the ambiance to the presentation of the food, every detail is carefully considered to enhance the overall dining experience. Staff are well-trained and knowledgeable, which is evident in their ability to offer recommendations and handle special requests (Tripadvisor, 2024). </w:t>
      </w:r>
    </w:p>
    <w:p w14:paraId="18AB3251" w14:textId="77777777"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These standards reflect the hotel’s commitment to providing a memorable and enjoyable dining experience for every guest.</w:t>
      </w:r>
    </w:p>
    <w:p w14:paraId="7AB61F8B" w14:textId="77777777" w:rsidR="00744A69" w:rsidRDefault="00744A69">
      <w:pPr>
        <w:spacing w:after="0" w:line="360" w:lineRule="auto"/>
        <w:jc w:val="both"/>
        <w:rPr>
          <w:rFonts w:ascii="Arial" w:hAnsi="Arial" w:cs="Arial"/>
          <w:color w:val="000000"/>
          <w:sz w:val="24"/>
          <w:szCs w:val="24"/>
          <w:shd w:val="clear" w:color="auto" w:fill="FFFFFF"/>
        </w:rPr>
      </w:pPr>
    </w:p>
    <w:p w14:paraId="37E51AB2" w14:textId="77777777" w:rsidR="00744A69" w:rsidRDefault="00744A69">
      <w:pPr>
        <w:spacing w:after="0" w:line="360" w:lineRule="auto"/>
        <w:jc w:val="both"/>
        <w:rPr>
          <w:color w:val="000000"/>
        </w:rPr>
      </w:pPr>
    </w:p>
    <w:p w14:paraId="6B3DFA99" w14:textId="77777777" w:rsidR="00744A69" w:rsidRDefault="00744A69">
      <w:pPr>
        <w:spacing w:after="0" w:line="360" w:lineRule="auto"/>
        <w:jc w:val="both"/>
        <w:rPr>
          <w:rFonts w:ascii="Arial" w:hAnsi="Arial" w:cs="Arial"/>
          <w:color w:val="000000"/>
          <w:sz w:val="24"/>
          <w:szCs w:val="24"/>
          <w:shd w:val="clear" w:color="auto" w:fill="FFFFFF"/>
        </w:rPr>
      </w:pPr>
    </w:p>
    <w:p w14:paraId="43C3BAEA" w14:textId="77777777" w:rsidR="00744A69" w:rsidRDefault="00000000">
      <w:pPr>
        <w:pStyle w:val="Heading1"/>
        <w:rPr>
          <w:shd w:val="clear" w:color="auto" w:fill="FFFFFF"/>
        </w:rPr>
      </w:pPr>
      <w:bookmarkStart w:id="5" w:name="_Toc166495292"/>
      <w:bookmarkStart w:id="6" w:name="_Toc166496611"/>
      <w:bookmarkStart w:id="7" w:name="_Toc166580697"/>
      <w:r>
        <w:rPr>
          <w:shd w:val="clear" w:color="auto" w:fill="FFFFFF"/>
        </w:rPr>
        <w:lastRenderedPageBreak/>
        <w:t>The current organisational issues</w:t>
      </w:r>
      <w:bookmarkEnd w:id="5"/>
      <w:bookmarkEnd w:id="6"/>
      <w:bookmarkEnd w:id="7"/>
      <w:r>
        <w:rPr>
          <w:shd w:val="clear" w:color="auto" w:fill="FFFFFF"/>
        </w:rPr>
        <w:t xml:space="preserve"> </w:t>
      </w:r>
    </w:p>
    <w:p w14:paraId="46E67C3F" w14:textId="77777777" w:rsidR="00744A69" w:rsidRDefault="00744A69">
      <w:pPr>
        <w:spacing w:after="0" w:line="360" w:lineRule="auto"/>
        <w:jc w:val="both"/>
        <w:rPr>
          <w:rFonts w:ascii="Arial" w:hAnsi="Arial" w:cs="Arial"/>
          <w:color w:val="000000"/>
          <w:sz w:val="24"/>
          <w:szCs w:val="24"/>
          <w:shd w:val="clear" w:color="auto" w:fill="FFFFFF"/>
        </w:rPr>
      </w:pPr>
    </w:p>
    <w:p w14:paraId="1339638B" w14:textId="77777777"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One organisational issue that can be encountered within the Food and Beverage department is supply chain management. This encompasses the procurement of quality ingredients, timely delivery, and the management of inventory levels. </w:t>
      </w:r>
    </w:p>
    <w:p w14:paraId="1BAC7921" w14:textId="43CE2C9E"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At Delta Hotels by Marriott Bexleyheath</w:t>
      </w:r>
      <w:r w:rsidR="00463C0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the following can impact the department’s performance, guest service, and overall operations :</w:t>
      </w:r>
    </w:p>
    <w:p w14:paraId="42AFB237" w14:textId="42BE94E1" w:rsidR="00744A69" w:rsidRDefault="00000000">
      <w:pPr>
        <w:spacing w:after="0" w:line="360" w:lineRule="auto"/>
        <w:jc w:val="both"/>
      </w:pPr>
      <w:r>
        <w:rPr>
          <w:rFonts w:ascii="Arial" w:hAnsi="Arial" w:cs="Arial"/>
          <w:i/>
          <w:iCs/>
          <w:color w:val="000000"/>
          <w:sz w:val="24"/>
          <w:szCs w:val="24"/>
          <w:shd w:val="clear" w:color="auto" w:fill="FFFFFF"/>
        </w:rPr>
        <w:t>Department’s Performance</w:t>
      </w:r>
      <w:r w:rsidRPr="0005128F">
        <w:rPr>
          <w:rFonts w:ascii="Arial" w:hAnsi="Arial" w:cs="Arial"/>
          <w:color w:val="000000"/>
          <w:sz w:val="24"/>
          <w:szCs w:val="24"/>
          <w:shd w:val="clear" w:color="auto" w:fill="FFFFFF"/>
        </w:rPr>
        <w:t xml:space="preserve">: </w:t>
      </w:r>
      <w:r w:rsidR="0005128F" w:rsidRPr="0005128F">
        <w:rPr>
          <w:rFonts w:ascii="Arial" w:hAnsi="Arial" w:cs="Arial"/>
          <w:color w:val="333333"/>
          <w:sz w:val="24"/>
          <w:szCs w:val="24"/>
          <w:shd w:val="clear" w:color="auto" w:fill="FFFFFF"/>
        </w:rPr>
        <w:t>When there are disruptions in the supply chain, it can result in a lack of important ingredients. This lack, in turn, limits the department's capacity to provide certain items on the menu</w:t>
      </w:r>
      <w:r w:rsidRPr="0005128F">
        <w:rPr>
          <w:rFonts w:ascii="Arial" w:hAnsi="Arial" w:cs="Arial"/>
          <w:color w:val="000000"/>
          <w:sz w:val="24"/>
          <w:szCs w:val="24"/>
          <w:shd w:val="clear" w:color="auto" w:fill="FFFFFF"/>
        </w:rPr>
        <w:t>. This can result in reduced sales and a tarnished reputation if guests cannot order their preferred dishes (</w:t>
      </w:r>
      <w:r w:rsidRPr="0005128F">
        <w:rPr>
          <w:rFonts w:ascii="Arial" w:hAnsi="Arial" w:cs="Arial"/>
          <w:color w:val="000000"/>
          <w:sz w:val="24"/>
          <w:szCs w:val="24"/>
        </w:rPr>
        <w:t>Gilbank, 2023).</w:t>
      </w:r>
    </w:p>
    <w:p w14:paraId="6954CFE7" w14:textId="74AB4594" w:rsidR="00744A69" w:rsidRDefault="00000000">
      <w:pPr>
        <w:spacing w:after="0" w:line="360" w:lineRule="auto"/>
        <w:jc w:val="both"/>
      </w:pPr>
      <w:r>
        <w:rPr>
          <w:rFonts w:ascii="Arial" w:hAnsi="Arial" w:cs="Arial"/>
          <w:i/>
          <w:iCs/>
          <w:color w:val="000000"/>
          <w:sz w:val="24"/>
          <w:szCs w:val="24"/>
          <w:shd w:val="clear" w:color="auto" w:fill="FFFFFF"/>
        </w:rPr>
        <w:t>Guest Service</w:t>
      </w:r>
      <w:r>
        <w:rPr>
          <w:rFonts w:ascii="Arial" w:hAnsi="Arial" w:cs="Arial"/>
          <w:color w:val="000000"/>
          <w:sz w:val="24"/>
          <w:szCs w:val="24"/>
          <w:shd w:val="clear" w:color="auto" w:fill="FFFFFF"/>
        </w:rPr>
        <w:t xml:space="preserve">: The quality of ingredients directly affects the taste and presentation of dishes. Supply chain issues might force the department to use substitute ingredients, potentially compromising the dining experience. This can lead to guest dissatisfaction and negative reviews, which are detrimental to the hotel’s image. </w:t>
      </w:r>
    </w:p>
    <w:p w14:paraId="75B8CEA5" w14:textId="251EA07E" w:rsidR="00744A69" w:rsidRDefault="00000000">
      <w:pPr>
        <w:spacing w:after="0" w:line="360" w:lineRule="auto"/>
        <w:jc w:val="both"/>
      </w:pPr>
      <w:r>
        <w:rPr>
          <w:rFonts w:ascii="Arial" w:hAnsi="Arial" w:cs="Arial"/>
          <w:i/>
          <w:iCs/>
          <w:color w:val="000000"/>
          <w:sz w:val="24"/>
          <w:szCs w:val="24"/>
          <w:shd w:val="clear" w:color="auto" w:fill="FFFFFF"/>
        </w:rPr>
        <w:t>Overall Operations</w:t>
      </w:r>
      <w:r>
        <w:rPr>
          <w:rFonts w:ascii="Arial" w:hAnsi="Arial" w:cs="Arial"/>
          <w:color w:val="000000"/>
          <w:sz w:val="24"/>
          <w:szCs w:val="24"/>
          <w:shd w:val="clear" w:color="auto" w:fill="FFFFFF"/>
        </w:rPr>
        <w:t>: Effective supply chain management is crucial for maintaining cost efficiency. Issues in the supply chain can lead to increased expenses due to rush orders or the purchase of more expensive alternatives. This can strain the hotel’s budget and affect its profitability (</w:t>
      </w:r>
      <w:r w:rsidR="008D3C50">
        <w:rPr>
          <w:rFonts w:ascii="Arial" w:hAnsi="Arial" w:cs="Arial"/>
          <w:color w:val="000000"/>
          <w:sz w:val="24"/>
          <w:szCs w:val="24"/>
        </w:rPr>
        <w:t>Compliance</w:t>
      </w:r>
      <w:r>
        <w:rPr>
          <w:rFonts w:ascii="Arial" w:hAnsi="Arial" w:cs="Arial"/>
          <w:color w:val="000000"/>
          <w:sz w:val="24"/>
          <w:szCs w:val="24"/>
        </w:rPr>
        <w:t>,2017)</w:t>
      </w:r>
      <w:r>
        <w:rPr>
          <w:rFonts w:ascii="Arial" w:hAnsi="Arial" w:cs="Arial"/>
          <w:color w:val="000000"/>
          <w:sz w:val="24"/>
          <w:szCs w:val="24"/>
          <w:shd w:val="clear" w:color="auto" w:fill="FFFFFF"/>
        </w:rPr>
        <w:t>. Addressing supply chain challenges is essential for ensuring that the food and beverage department operates smoothly, maintains high guest service standards, and contributes positively to the hotel’s overall operations.</w:t>
      </w:r>
      <w:r>
        <w:rPr>
          <w:rFonts w:ascii="Segoe UI Historic" w:hAnsi="Segoe UI Historic" w:cs="Segoe UI Historic"/>
          <w:color w:val="000000"/>
          <w:sz w:val="23"/>
          <w:szCs w:val="23"/>
          <w:shd w:val="clear" w:color="auto" w:fill="FFFFFF"/>
        </w:rPr>
        <w:t xml:space="preserve"> </w:t>
      </w:r>
    </w:p>
    <w:p w14:paraId="4DDC8833"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2061FAE6"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69E31262"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474528B8"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433802FF"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56D7B68B"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2C82DE65"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339A91BF"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4BD62A0C"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7217EA25"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1A7E7AD7" w14:textId="77777777" w:rsidR="00744A69" w:rsidRDefault="00744A69">
      <w:pPr>
        <w:spacing w:after="0" w:line="360" w:lineRule="auto"/>
        <w:jc w:val="both"/>
        <w:rPr>
          <w:rFonts w:ascii="Segoe UI Historic" w:hAnsi="Segoe UI Historic" w:cs="Segoe UI Historic"/>
          <w:color w:val="000000"/>
          <w:sz w:val="23"/>
          <w:szCs w:val="23"/>
          <w:shd w:val="clear" w:color="auto" w:fill="FFFFFF"/>
        </w:rPr>
      </w:pPr>
    </w:p>
    <w:p w14:paraId="013B4514" w14:textId="4681D8B8" w:rsidR="00744A69" w:rsidRDefault="00000000">
      <w:pPr>
        <w:pStyle w:val="Heading1"/>
      </w:pPr>
      <w:bookmarkStart w:id="8" w:name="_Toc166495293"/>
      <w:bookmarkStart w:id="9" w:name="_Toc166496612"/>
      <w:bookmarkStart w:id="10" w:name="_Toc166580698"/>
      <w:r>
        <w:t xml:space="preserve">The </w:t>
      </w:r>
      <w:r w:rsidR="00463C0A">
        <w:t>Department</w:t>
      </w:r>
      <w:r>
        <w:t xml:space="preserve"> </w:t>
      </w:r>
      <w:r w:rsidR="00463C0A">
        <w:t xml:space="preserve">of </w:t>
      </w:r>
      <w:r>
        <w:t xml:space="preserve">Food and Beverage </w:t>
      </w:r>
      <w:bookmarkEnd w:id="8"/>
      <w:bookmarkEnd w:id="9"/>
      <w:r>
        <w:t>– future action plan</w:t>
      </w:r>
      <w:bookmarkEnd w:id="10"/>
      <w:r>
        <w:t xml:space="preserve"> </w:t>
      </w:r>
    </w:p>
    <w:p w14:paraId="59D5C1DE" w14:textId="77777777" w:rsidR="00744A69" w:rsidRDefault="00744A69">
      <w:pPr>
        <w:spacing w:after="0" w:line="360" w:lineRule="auto"/>
        <w:jc w:val="both"/>
        <w:rPr>
          <w:rFonts w:ascii="Arial" w:hAnsi="Arial" w:cs="Arial"/>
          <w:color w:val="000000"/>
          <w:sz w:val="24"/>
          <w:szCs w:val="24"/>
        </w:rPr>
      </w:pPr>
    </w:p>
    <w:p w14:paraId="787B44ED" w14:textId="2787459E"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Creating a future action plan for the Food and Beverage department at Delta Hotels by Marriott Bexleyheath involves analysing current practices, customer feedback, and staff performance. During my placement</w:t>
      </w:r>
      <w:r w:rsidR="00463C0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I have analysed a structured approach to developing this plan: </w:t>
      </w:r>
    </w:p>
    <w:p w14:paraId="2C103741" w14:textId="7E63D9F7"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Customer Feedback Review</w:t>
      </w:r>
      <w:r>
        <w:rPr>
          <w:rFonts w:ascii="Arial" w:hAnsi="Arial" w:cs="Arial"/>
          <w:color w:val="000000"/>
          <w:sz w:val="24"/>
          <w:szCs w:val="24"/>
          <w:shd w:val="clear" w:color="auto" w:fill="FFFFFF"/>
        </w:rPr>
        <w:t xml:space="preserve">: Gather and Analyse Customer Reviews: to look for common themes in customer feedback. For instance, if reviews mention excellent service but average food quality, focus on culinary improvements. </w:t>
      </w:r>
    </w:p>
    <w:p w14:paraId="05247589" w14:textId="1AF4EC5B"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Implement Changes</w:t>
      </w:r>
      <w:r>
        <w:rPr>
          <w:rFonts w:ascii="Arial" w:hAnsi="Arial" w:cs="Arial"/>
          <w:color w:val="000000"/>
          <w:sz w:val="24"/>
          <w:szCs w:val="24"/>
          <w:shd w:val="clear" w:color="auto" w:fill="FFFFFF"/>
        </w:rPr>
        <w:t>: Based on feedback, is good to introduce new menu items or training programs to enhance service quality (</w:t>
      </w:r>
      <w:r>
        <w:rPr>
          <w:rFonts w:ascii="Arial" w:hAnsi="Arial" w:cs="Arial"/>
          <w:color w:val="000000"/>
          <w:sz w:val="24"/>
          <w:szCs w:val="24"/>
        </w:rPr>
        <w:t>Qualee,2023).</w:t>
      </w:r>
      <w:r>
        <w:rPr>
          <w:rFonts w:ascii="Arial" w:hAnsi="Arial" w:cs="Arial"/>
          <w:color w:val="000000"/>
          <w:sz w:val="24"/>
          <w:szCs w:val="24"/>
          <w:shd w:val="clear" w:color="auto" w:fill="FFFFFF"/>
        </w:rPr>
        <w:t xml:space="preserve"> </w:t>
      </w:r>
    </w:p>
    <w:p w14:paraId="62BDAFBB" w14:textId="57ADD1BD"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Staff Performance and Training</w:t>
      </w:r>
      <w:r>
        <w:rPr>
          <w:rFonts w:ascii="Arial" w:hAnsi="Arial" w:cs="Arial"/>
          <w:color w:val="000000"/>
          <w:sz w:val="24"/>
          <w:szCs w:val="24"/>
          <w:shd w:val="clear" w:color="auto" w:fill="FFFFFF"/>
        </w:rPr>
        <w:t xml:space="preserve">: Evaluate Staff Skills: to assess the technical skills and knowledge of the staff, identify gaps in service, such as slow service times or incorrect order processing, </w:t>
      </w:r>
      <w:r w:rsidR="008D3C50">
        <w:rPr>
          <w:rFonts w:ascii="Arial" w:hAnsi="Arial" w:cs="Arial"/>
          <w:color w:val="000000"/>
          <w:sz w:val="24"/>
          <w:szCs w:val="24"/>
          <w:shd w:val="clear" w:color="auto" w:fill="FFFFFF"/>
        </w:rPr>
        <w:t>tailor</w:t>
      </w:r>
      <w:r>
        <w:rPr>
          <w:rFonts w:ascii="Arial" w:hAnsi="Arial" w:cs="Arial"/>
          <w:color w:val="000000"/>
          <w:sz w:val="24"/>
          <w:szCs w:val="24"/>
          <w:shd w:val="clear" w:color="auto" w:fill="FFFFFF"/>
        </w:rPr>
        <w:t xml:space="preserve"> training programs to develop training sessions focused on identified weaknesses, such as customer service training or a refresher course on the point-of-sale system (</w:t>
      </w:r>
      <w:r>
        <w:rPr>
          <w:rFonts w:ascii="Arial" w:hAnsi="Arial" w:cs="Arial"/>
          <w:color w:val="000000"/>
          <w:sz w:val="24"/>
          <w:szCs w:val="24"/>
        </w:rPr>
        <w:t>HR Cloud, 2023)</w:t>
      </w:r>
      <w:r>
        <w:rPr>
          <w:rFonts w:ascii="Arial" w:hAnsi="Arial" w:cs="Arial"/>
          <w:color w:val="000000"/>
          <w:sz w:val="24"/>
          <w:szCs w:val="24"/>
          <w:shd w:val="clear" w:color="auto" w:fill="FFFFFF"/>
        </w:rPr>
        <w:t xml:space="preserve">. </w:t>
      </w:r>
    </w:p>
    <w:p w14:paraId="220B8428" w14:textId="4F67D960"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 xml:space="preserve"> Operational Efficiency</w:t>
      </w:r>
      <w:r>
        <w:rPr>
          <w:rFonts w:ascii="Arial" w:hAnsi="Arial" w:cs="Arial"/>
          <w:color w:val="000000"/>
          <w:sz w:val="24"/>
          <w:szCs w:val="24"/>
          <w:shd w:val="clear" w:color="auto" w:fill="FFFFFF"/>
        </w:rPr>
        <w:t>: Analyse the efficiency of current operational procedures, by paying attention</w:t>
      </w:r>
      <w:r w:rsidR="008D3C50">
        <w:rPr>
          <w:rFonts w:ascii="Arial" w:hAnsi="Arial" w:cs="Arial"/>
          <w:color w:val="000000"/>
          <w:sz w:val="24"/>
          <w:szCs w:val="24"/>
          <w:shd w:val="clear" w:color="auto" w:fill="FFFFFF"/>
        </w:rPr>
        <w:t xml:space="preserve"> to</w:t>
      </w:r>
      <w:r>
        <w:rPr>
          <w:rFonts w:ascii="Arial" w:hAnsi="Arial" w:cs="Arial"/>
          <w:color w:val="000000"/>
          <w:sz w:val="24"/>
          <w:szCs w:val="24"/>
          <w:shd w:val="clear" w:color="auto" w:fill="FFFFFF"/>
        </w:rPr>
        <w:t xml:space="preserve"> bottlenecks in order processing or inventory management. Process optimisation by </w:t>
      </w:r>
      <w:r w:rsidR="008D3C50">
        <w:rPr>
          <w:rFonts w:ascii="Arial" w:hAnsi="Arial" w:cs="Arial"/>
          <w:color w:val="000000"/>
          <w:sz w:val="24"/>
          <w:szCs w:val="24"/>
          <w:shd w:val="clear" w:color="auto" w:fill="FFFFFF"/>
        </w:rPr>
        <w:t>streamlining</w:t>
      </w:r>
      <w:r>
        <w:rPr>
          <w:rFonts w:ascii="Arial" w:hAnsi="Arial" w:cs="Arial"/>
          <w:color w:val="000000"/>
          <w:sz w:val="24"/>
          <w:szCs w:val="24"/>
          <w:shd w:val="clear" w:color="auto" w:fill="FFFFFF"/>
        </w:rPr>
        <w:t xml:space="preserve"> operations in implementing new software or revising protocols to reduce wait times and improve customer experience. </w:t>
      </w:r>
    </w:p>
    <w:p w14:paraId="2ED9C999" w14:textId="1F88ED75"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 xml:space="preserve"> Menu and Offering Enhancements</w:t>
      </w:r>
      <w:r>
        <w:rPr>
          <w:rFonts w:ascii="Arial" w:hAnsi="Arial" w:cs="Arial"/>
          <w:color w:val="000000"/>
          <w:sz w:val="24"/>
          <w:szCs w:val="24"/>
          <w:shd w:val="clear" w:color="auto" w:fill="FFFFFF"/>
        </w:rPr>
        <w:t>: Menu Analysis: to evaluate the popularity and profitability of menu items. Consider seasonal trends and dietary preferences and menu revamp to introduce new dishes that align with customer preferences and remove underperforming items to maintain a dynamic and profitable menu. ( Tripadvisor,2024)</w:t>
      </w:r>
    </w:p>
    <w:p w14:paraId="7417CEF7" w14:textId="630A775F" w:rsidR="00744A69" w:rsidRDefault="00000000">
      <w:pPr>
        <w:pStyle w:val="ListParagraph"/>
        <w:numPr>
          <w:ilvl w:val="0"/>
          <w:numId w:val="1"/>
        </w:numPr>
        <w:spacing w:after="0" w:line="360" w:lineRule="auto"/>
        <w:jc w:val="both"/>
      </w:pPr>
      <w:r>
        <w:rPr>
          <w:rFonts w:ascii="Arial" w:hAnsi="Arial" w:cs="Arial"/>
          <w:color w:val="000000"/>
          <w:sz w:val="24"/>
          <w:szCs w:val="24"/>
          <w:shd w:val="clear" w:color="auto" w:fill="FFFFFF"/>
        </w:rPr>
        <w:t xml:space="preserve"> </w:t>
      </w:r>
      <w:r>
        <w:rPr>
          <w:rFonts w:ascii="Arial" w:hAnsi="Arial" w:cs="Arial"/>
          <w:i/>
          <w:iCs/>
          <w:color w:val="000000"/>
          <w:sz w:val="24"/>
          <w:szCs w:val="24"/>
          <w:shd w:val="clear" w:color="auto" w:fill="FFFFFF"/>
        </w:rPr>
        <w:t>Marketing and Promotion</w:t>
      </w:r>
      <w:r>
        <w:rPr>
          <w:rFonts w:ascii="Arial" w:hAnsi="Arial" w:cs="Arial"/>
          <w:color w:val="000000"/>
          <w:sz w:val="24"/>
          <w:szCs w:val="24"/>
          <w:shd w:val="clear" w:color="auto" w:fill="FFFFFF"/>
        </w:rPr>
        <w:t>: marketing campaigns to attract new customers and retain existing ones, loyalty programs to be considered</w:t>
      </w:r>
      <w:r w:rsidR="008D3C5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or special event promotions. The online presence will enhance the hotel through social media engagement and updated online menus. </w:t>
      </w:r>
    </w:p>
    <w:p w14:paraId="506BD882" w14:textId="31687DE5"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Sustainability Practices</w:t>
      </w:r>
      <w:r>
        <w:rPr>
          <w:rFonts w:ascii="Arial" w:hAnsi="Arial" w:cs="Arial"/>
          <w:color w:val="000000"/>
          <w:sz w:val="24"/>
          <w:szCs w:val="24"/>
          <w:shd w:val="clear" w:color="auto" w:fill="FFFFFF"/>
        </w:rPr>
        <w:t xml:space="preserve">: Eco-friendly Initiatives: To </w:t>
      </w:r>
      <w:r w:rsidR="008D3C50">
        <w:rPr>
          <w:rFonts w:ascii="Arial" w:hAnsi="Arial" w:cs="Arial"/>
          <w:color w:val="000000"/>
          <w:sz w:val="24"/>
          <w:szCs w:val="24"/>
          <w:shd w:val="clear" w:color="auto" w:fill="FFFFFF"/>
        </w:rPr>
        <w:t>implement</w:t>
      </w:r>
      <w:r>
        <w:rPr>
          <w:rFonts w:ascii="Arial" w:hAnsi="Arial" w:cs="Arial"/>
          <w:color w:val="000000"/>
          <w:sz w:val="24"/>
          <w:szCs w:val="24"/>
          <w:shd w:val="clear" w:color="auto" w:fill="FFFFFF"/>
        </w:rPr>
        <w:t xml:space="preserve"> sustainable practices, such as reducing food waste or sourcing local ingredients. Staff </w:t>
      </w:r>
      <w:r>
        <w:rPr>
          <w:rFonts w:ascii="Arial" w:hAnsi="Arial" w:cs="Arial"/>
          <w:color w:val="000000"/>
          <w:sz w:val="24"/>
          <w:szCs w:val="24"/>
          <w:shd w:val="clear" w:color="auto" w:fill="FFFFFF"/>
        </w:rPr>
        <w:lastRenderedPageBreak/>
        <w:t>Involvement: encourage staff to participate in sustainability efforts and provide training on eco-friendly practices (</w:t>
      </w:r>
      <w:r>
        <w:rPr>
          <w:rFonts w:ascii="Arial" w:hAnsi="Arial" w:cs="Arial"/>
          <w:color w:val="000000"/>
          <w:sz w:val="24"/>
          <w:szCs w:val="24"/>
        </w:rPr>
        <w:t>HR Cloud, 2023).</w:t>
      </w:r>
    </w:p>
    <w:p w14:paraId="545DD9F4" w14:textId="157CCBA8" w:rsidR="00744A69" w:rsidRDefault="00000000">
      <w:pPr>
        <w:pStyle w:val="ListParagraph"/>
        <w:numPr>
          <w:ilvl w:val="0"/>
          <w:numId w:val="1"/>
        </w:numPr>
        <w:spacing w:after="0" w:line="360" w:lineRule="auto"/>
        <w:jc w:val="both"/>
      </w:pPr>
      <w:r>
        <w:rPr>
          <w:rFonts w:ascii="Arial" w:hAnsi="Arial" w:cs="Arial"/>
          <w:i/>
          <w:iCs/>
          <w:color w:val="000000"/>
          <w:sz w:val="24"/>
          <w:szCs w:val="24"/>
          <w:shd w:val="clear" w:color="auto" w:fill="FFFFFF"/>
        </w:rPr>
        <w:t xml:space="preserve"> Regular Assessmen</w:t>
      </w:r>
      <w:r>
        <w:rPr>
          <w:rFonts w:ascii="Arial" w:hAnsi="Arial" w:cs="Arial"/>
          <w:color w:val="000000"/>
          <w:sz w:val="24"/>
          <w:szCs w:val="24"/>
          <w:shd w:val="clear" w:color="auto" w:fill="FFFFFF"/>
        </w:rPr>
        <w:t xml:space="preserve">t: Set Benchmarks: To establish clear performance metrics to measure the success of implemented changes. Continuous improvement such as regularly </w:t>
      </w:r>
      <w:r w:rsidR="008D3C50">
        <w:rPr>
          <w:rFonts w:ascii="Arial" w:hAnsi="Arial" w:cs="Arial"/>
          <w:color w:val="000000"/>
          <w:sz w:val="24"/>
          <w:szCs w:val="24"/>
          <w:shd w:val="clear" w:color="auto" w:fill="FFFFFF"/>
        </w:rPr>
        <w:t>reviewing</w:t>
      </w:r>
      <w:r>
        <w:rPr>
          <w:rFonts w:ascii="Arial" w:hAnsi="Arial" w:cs="Arial"/>
          <w:color w:val="000000"/>
          <w:sz w:val="24"/>
          <w:szCs w:val="24"/>
          <w:shd w:val="clear" w:color="auto" w:fill="FFFFFF"/>
        </w:rPr>
        <w:t xml:space="preserve"> these metrics and </w:t>
      </w:r>
      <w:r w:rsidR="008D3C50">
        <w:rPr>
          <w:rFonts w:ascii="Arial" w:hAnsi="Arial" w:cs="Arial"/>
          <w:color w:val="000000"/>
          <w:sz w:val="24"/>
          <w:szCs w:val="24"/>
          <w:shd w:val="clear" w:color="auto" w:fill="FFFFFF"/>
        </w:rPr>
        <w:t>adjusting</w:t>
      </w:r>
      <w:r>
        <w:rPr>
          <w:rFonts w:ascii="Arial" w:hAnsi="Arial" w:cs="Arial"/>
          <w:color w:val="000000"/>
          <w:sz w:val="24"/>
          <w:szCs w:val="24"/>
          <w:shd w:val="clear" w:color="auto" w:fill="FFFFFF"/>
        </w:rPr>
        <w:t xml:space="preserve"> the action plan as necessary to ensure ongoing improvement.</w:t>
      </w:r>
    </w:p>
    <w:p w14:paraId="2F7F409B" w14:textId="6F9DA6B3" w:rsidR="00744A69" w:rsidRDefault="00000000">
      <w:pPr>
        <w:spacing w:after="0" w:line="360" w:lineRule="auto"/>
        <w:jc w:val="both"/>
      </w:pPr>
      <w:r>
        <w:rPr>
          <w:rFonts w:ascii="Arial" w:hAnsi="Arial" w:cs="Arial"/>
          <w:color w:val="000000"/>
          <w:sz w:val="24"/>
          <w:szCs w:val="24"/>
          <w:shd w:val="clear" w:color="auto" w:fill="FFFFFF"/>
        </w:rPr>
        <w:t>By focusing on these areas, Delta Hotels by Marriott Bexleyheath can enhance its Food and Beverage department’s work-based skills and technical knowledge, leading to improved customer satisfaction and business performance. It is good to remember that the key to a successful action plan is flexibility and responsiveness to both customer needs and industry trends (</w:t>
      </w:r>
      <w:r>
        <w:rPr>
          <w:rFonts w:ascii="Arial" w:hAnsi="Arial" w:cs="Arial"/>
          <w:color w:val="000000"/>
          <w:spacing w:val="-8"/>
          <w:sz w:val="24"/>
          <w:szCs w:val="24"/>
        </w:rPr>
        <w:t>The Economist Daily, 2019).</w:t>
      </w:r>
    </w:p>
    <w:p w14:paraId="3FDE416A" w14:textId="77777777" w:rsidR="00744A69" w:rsidRDefault="00744A69">
      <w:pPr>
        <w:spacing w:after="0" w:line="360" w:lineRule="auto"/>
        <w:jc w:val="both"/>
        <w:rPr>
          <w:rFonts w:ascii="Arial" w:hAnsi="Arial" w:cs="Arial"/>
          <w:color w:val="000000"/>
          <w:sz w:val="24"/>
          <w:szCs w:val="24"/>
          <w:shd w:val="clear" w:color="auto" w:fill="FFFFFF"/>
        </w:rPr>
      </w:pPr>
    </w:p>
    <w:p w14:paraId="4C8067CF" w14:textId="77777777" w:rsidR="00744A69" w:rsidRDefault="00744A69">
      <w:pPr>
        <w:spacing w:after="0" w:line="360" w:lineRule="auto"/>
        <w:jc w:val="both"/>
        <w:rPr>
          <w:rFonts w:ascii="Arial" w:hAnsi="Arial" w:cs="Arial"/>
          <w:color w:val="000000"/>
          <w:sz w:val="24"/>
          <w:szCs w:val="24"/>
          <w:shd w:val="clear" w:color="auto" w:fill="FFFFFF"/>
        </w:rPr>
      </w:pPr>
    </w:p>
    <w:p w14:paraId="751B440B" w14:textId="77777777" w:rsidR="00744A69" w:rsidRDefault="00744A69">
      <w:pPr>
        <w:spacing w:after="0" w:line="360" w:lineRule="auto"/>
        <w:jc w:val="both"/>
        <w:rPr>
          <w:rFonts w:ascii="Arial" w:hAnsi="Arial" w:cs="Arial"/>
          <w:color w:val="000000"/>
          <w:sz w:val="24"/>
          <w:szCs w:val="24"/>
          <w:shd w:val="clear" w:color="auto" w:fill="FFFFFF"/>
        </w:rPr>
      </w:pPr>
    </w:p>
    <w:p w14:paraId="320E3DA7" w14:textId="77777777" w:rsidR="00744A69" w:rsidRDefault="00000000">
      <w:pPr>
        <w:pStyle w:val="Heading1"/>
        <w:rPr>
          <w:shd w:val="clear" w:color="auto" w:fill="FFFFFF"/>
        </w:rPr>
      </w:pPr>
      <w:bookmarkStart w:id="11" w:name="_Toc166495294"/>
      <w:bookmarkStart w:id="12" w:name="_Toc166496613"/>
      <w:bookmarkStart w:id="13" w:name="_Toc166580699"/>
      <w:r>
        <w:rPr>
          <w:shd w:val="clear" w:color="auto" w:fill="FFFFFF"/>
        </w:rPr>
        <w:t>Conclusion</w:t>
      </w:r>
      <w:bookmarkEnd w:id="11"/>
      <w:r>
        <w:rPr>
          <w:shd w:val="clear" w:color="auto" w:fill="FFFFFF"/>
        </w:rPr>
        <w:t>s</w:t>
      </w:r>
      <w:bookmarkEnd w:id="12"/>
      <w:bookmarkEnd w:id="13"/>
    </w:p>
    <w:p w14:paraId="675FF99F" w14:textId="77777777" w:rsidR="00744A69" w:rsidRDefault="00744A69">
      <w:pPr>
        <w:spacing w:after="0" w:line="360" w:lineRule="auto"/>
        <w:jc w:val="both"/>
        <w:rPr>
          <w:rFonts w:ascii="Arial" w:hAnsi="Arial" w:cs="Arial"/>
          <w:color w:val="000000"/>
          <w:sz w:val="24"/>
          <w:szCs w:val="24"/>
          <w:shd w:val="clear" w:color="auto" w:fill="FFFFFF"/>
        </w:rPr>
      </w:pPr>
    </w:p>
    <w:p w14:paraId="67F82D50" w14:textId="10B286B2" w:rsidR="00744A69" w:rsidRDefault="00000000">
      <w:pPr>
        <w:spacing w:after="0"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Shadowing experiences are invaluable in the hospitality industry, particularly in the Food and Beverage department of establishments </w:t>
      </w:r>
      <w:r w:rsidR="00463C0A">
        <w:rPr>
          <w:rFonts w:ascii="Arial" w:hAnsi="Arial" w:cs="Arial"/>
          <w:color w:val="000000"/>
          <w:sz w:val="24"/>
          <w:szCs w:val="24"/>
          <w:shd w:val="clear" w:color="auto" w:fill="FFFFFF"/>
        </w:rPr>
        <w:t xml:space="preserve">such </w:t>
      </w:r>
      <w:r>
        <w:rPr>
          <w:rFonts w:ascii="Arial" w:hAnsi="Arial" w:cs="Arial"/>
          <w:color w:val="000000"/>
          <w:sz w:val="24"/>
          <w:szCs w:val="24"/>
          <w:shd w:val="clear" w:color="auto" w:fill="FFFFFF"/>
        </w:rPr>
        <w:t xml:space="preserve">as Delta Hotels by Marriott Bexleyheath. This allowed me to learn from experienced colleagues in </w:t>
      </w:r>
      <w:r w:rsidR="008D3C50">
        <w:rPr>
          <w:rFonts w:ascii="Arial" w:hAnsi="Arial" w:cs="Arial"/>
          <w:color w:val="000000"/>
          <w:sz w:val="24"/>
          <w:szCs w:val="24"/>
          <w:shd w:val="clear" w:color="auto" w:fill="FFFFFF"/>
        </w:rPr>
        <w:t>real time</w:t>
      </w:r>
      <w:r>
        <w:rPr>
          <w:rFonts w:ascii="Arial" w:hAnsi="Arial" w:cs="Arial"/>
          <w:color w:val="000000"/>
          <w:sz w:val="24"/>
          <w:szCs w:val="24"/>
          <w:shd w:val="clear" w:color="auto" w:fill="FFFFFF"/>
        </w:rPr>
        <w:t xml:space="preserve">. </w:t>
      </w:r>
    </w:p>
    <w:p w14:paraId="36EF4D20" w14:textId="36570E9E" w:rsidR="00744A69" w:rsidRDefault="00000000">
      <w:pPr>
        <w:spacing w:after="0" w:line="360" w:lineRule="auto"/>
        <w:jc w:val="both"/>
      </w:pPr>
      <w:r>
        <w:rPr>
          <w:rFonts w:ascii="Arial" w:hAnsi="Arial" w:cs="Arial"/>
          <w:color w:val="000000"/>
          <w:sz w:val="24"/>
          <w:szCs w:val="24"/>
          <w:shd w:val="clear" w:color="auto" w:fill="FFFFFF"/>
        </w:rPr>
        <w:t>Building relationships during shadowing can open doors to future opportunities. In summary, shadowing is a cornerstone of professional development in the Food and Beverage industry. It not only equips employees with the necessary skills and knowledge but also fosters personal growth and clarity in career direction (</w:t>
      </w:r>
      <w:r>
        <w:rPr>
          <w:rFonts w:ascii="Arial" w:hAnsi="Arial" w:cs="Arial"/>
          <w:color w:val="000000"/>
          <w:sz w:val="24"/>
          <w:szCs w:val="24"/>
        </w:rPr>
        <w:t>Hughes,2018).</w:t>
      </w:r>
      <w:r>
        <w:rPr>
          <w:rFonts w:ascii="Arial" w:hAnsi="Arial" w:cs="Arial"/>
          <w:color w:val="000000"/>
          <w:sz w:val="24"/>
          <w:szCs w:val="24"/>
          <w:shd w:val="clear" w:color="auto" w:fill="FFFFFF"/>
        </w:rPr>
        <w:t xml:space="preserve"> For Delta Hotels by Marriott Bexleyheath, investing in placements programs can lead to a more competent and motivated workforce, ultimately elevating the guest experience and the establishment’s reputation.</w:t>
      </w:r>
    </w:p>
    <w:p w14:paraId="156E9028" w14:textId="77777777" w:rsidR="00744A69" w:rsidRDefault="00744A69">
      <w:pPr>
        <w:spacing w:after="0" w:line="360" w:lineRule="auto"/>
        <w:jc w:val="both"/>
        <w:rPr>
          <w:rFonts w:ascii="Arial" w:hAnsi="Arial" w:cs="Arial"/>
          <w:color w:val="000000"/>
          <w:sz w:val="24"/>
          <w:szCs w:val="24"/>
          <w:shd w:val="clear" w:color="auto" w:fill="FFFFFF"/>
        </w:rPr>
      </w:pPr>
    </w:p>
    <w:p w14:paraId="4D9D059A" w14:textId="77777777" w:rsidR="00744A69" w:rsidRDefault="00744A69">
      <w:pPr>
        <w:spacing w:after="0" w:line="360" w:lineRule="auto"/>
        <w:jc w:val="both"/>
        <w:rPr>
          <w:rFonts w:ascii="Arial" w:hAnsi="Arial" w:cs="Arial"/>
          <w:color w:val="000000"/>
          <w:sz w:val="24"/>
          <w:szCs w:val="24"/>
        </w:rPr>
      </w:pPr>
    </w:p>
    <w:p w14:paraId="1BECD231" w14:textId="77777777" w:rsidR="00744A69" w:rsidRDefault="00744A69">
      <w:pPr>
        <w:spacing w:after="0" w:line="360" w:lineRule="auto"/>
        <w:jc w:val="both"/>
        <w:rPr>
          <w:rFonts w:ascii="Arial" w:hAnsi="Arial" w:cs="Arial"/>
          <w:color w:val="000000"/>
          <w:sz w:val="24"/>
          <w:szCs w:val="24"/>
        </w:rPr>
      </w:pPr>
    </w:p>
    <w:p w14:paraId="67487532" w14:textId="77777777" w:rsidR="00744A69" w:rsidRDefault="00744A69">
      <w:pPr>
        <w:spacing w:after="0" w:line="360" w:lineRule="auto"/>
        <w:jc w:val="both"/>
        <w:rPr>
          <w:rFonts w:ascii="Arial" w:hAnsi="Arial" w:cs="Arial"/>
          <w:color w:val="000000"/>
          <w:sz w:val="24"/>
          <w:szCs w:val="24"/>
        </w:rPr>
      </w:pPr>
    </w:p>
    <w:p w14:paraId="61C4DF5F" w14:textId="77777777" w:rsidR="00744A69" w:rsidRDefault="00744A69">
      <w:pPr>
        <w:spacing w:after="0" w:line="360" w:lineRule="auto"/>
        <w:jc w:val="both"/>
        <w:rPr>
          <w:rFonts w:ascii="Arial" w:hAnsi="Arial" w:cs="Arial"/>
          <w:color w:val="000000"/>
          <w:sz w:val="24"/>
          <w:szCs w:val="24"/>
        </w:rPr>
      </w:pPr>
    </w:p>
    <w:p w14:paraId="58BA220B" w14:textId="77777777" w:rsidR="00744A69" w:rsidRDefault="00744A69">
      <w:pPr>
        <w:spacing w:after="0" w:line="360" w:lineRule="auto"/>
        <w:jc w:val="both"/>
        <w:rPr>
          <w:rFonts w:ascii="Arial" w:hAnsi="Arial" w:cs="Arial"/>
          <w:color w:val="000000"/>
          <w:sz w:val="24"/>
          <w:szCs w:val="24"/>
        </w:rPr>
      </w:pPr>
    </w:p>
    <w:p w14:paraId="77B8D45D" w14:textId="77777777" w:rsidR="00744A69" w:rsidRDefault="00744A69">
      <w:pPr>
        <w:spacing w:after="0" w:line="360" w:lineRule="auto"/>
        <w:jc w:val="both"/>
        <w:rPr>
          <w:rFonts w:ascii="Arial" w:hAnsi="Arial" w:cs="Arial"/>
          <w:color w:val="000000"/>
          <w:sz w:val="24"/>
          <w:szCs w:val="24"/>
        </w:rPr>
      </w:pPr>
    </w:p>
    <w:p w14:paraId="08B7E1DC" w14:textId="77777777" w:rsidR="00744A69" w:rsidRDefault="00744A69">
      <w:pPr>
        <w:spacing w:after="0" w:line="360" w:lineRule="auto"/>
        <w:jc w:val="both"/>
        <w:rPr>
          <w:rFonts w:ascii="Arial" w:hAnsi="Arial" w:cs="Arial"/>
          <w:color w:val="000000"/>
          <w:sz w:val="24"/>
          <w:szCs w:val="24"/>
        </w:rPr>
      </w:pPr>
    </w:p>
    <w:p w14:paraId="116061F5" w14:textId="77777777" w:rsidR="00744A69" w:rsidRDefault="00000000">
      <w:pPr>
        <w:pStyle w:val="Heading1"/>
      </w:pPr>
      <w:bookmarkStart w:id="14" w:name="_Toc166495295"/>
      <w:bookmarkStart w:id="15" w:name="_Toc166496614"/>
      <w:bookmarkStart w:id="16" w:name="_Toc166580700"/>
      <w:r>
        <w:t>References</w:t>
      </w:r>
      <w:bookmarkEnd w:id="14"/>
      <w:bookmarkEnd w:id="15"/>
      <w:bookmarkEnd w:id="16"/>
      <w:r>
        <w:t xml:space="preserve"> </w:t>
      </w:r>
    </w:p>
    <w:p w14:paraId="399AADD9" w14:textId="77777777" w:rsidR="00744A69" w:rsidRDefault="00744A69"/>
    <w:p w14:paraId="7E0C405C" w14:textId="44D8A18C" w:rsidR="00744A69" w:rsidRDefault="00463C0A">
      <w:pPr>
        <w:pStyle w:val="ListParagraph"/>
        <w:numPr>
          <w:ilvl w:val="0"/>
          <w:numId w:val="2"/>
        </w:numPr>
        <w:spacing w:after="0" w:line="360" w:lineRule="auto"/>
        <w:jc w:val="both"/>
      </w:pPr>
      <w:r>
        <w:rPr>
          <w:rFonts w:ascii="Arial" w:hAnsi="Arial" w:cs="Arial"/>
          <w:color w:val="000000"/>
          <w:sz w:val="24"/>
          <w:szCs w:val="24"/>
        </w:rPr>
        <w:t xml:space="preserve">Compliance, E., (2017), </w:t>
      </w:r>
      <w:r>
        <w:rPr>
          <w:rFonts w:ascii="Arial" w:hAnsi="Arial" w:cs="Arial"/>
          <w:i/>
          <w:iCs/>
          <w:color w:val="000000"/>
          <w:sz w:val="24"/>
          <w:szCs w:val="24"/>
        </w:rPr>
        <w:t>6 top-of-mind challenges for the food &amp; beverage industry</w:t>
      </w:r>
      <w:r>
        <w:rPr>
          <w:rFonts w:ascii="Arial" w:hAnsi="Arial" w:cs="Arial"/>
          <w:color w:val="000000"/>
          <w:sz w:val="24"/>
          <w:szCs w:val="24"/>
        </w:rPr>
        <w:t>, available at https://www.wolterskluwer.com/en/expert-insights/6-topofmind-challenges-for-the-food-beverage-industry?fbclid=IwZXh0bgNhZW0CMTAAAR0R4Drq18DEksU6DWoDavZLGqBslpB-nYI9Zp4Dnfpnty8RH4wFgLKeTd8_aem_AWDdp1me6fS5DUjhaNKhGcoej4lAHiF2wePjnUW8VZ7xfGgaeUOt8ko6CscPradNVvTT6sfoMqRIDTvFRliW1udU, accessed on 6 May 2024.</w:t>
      </w:r>
    </w:p>
    <w:p w14:paraId="370E0428" w14:textId="6F5E8DBF" w:rsidR="00744A69" w:rsidRDefault="00000000">
      <w:pPr>
        <w:pStyle w:val="ListParagraph"/>
        <w:numPr>
          <w:ilvl w:val="0"/>
          <w:numId w:val="2"/>
        </w:numPr>
        <w:spacing w:after="0" w:line="360" w:lineRule="auto"/>
        <w:jc w:val="both"/>
      </w:pPr>
      <w:r>
        <w:rPr>
          <w:rFonts w:ascii="Arial" w:hAnsi="Arial" w:cs="Arial"/>
          <w:color w:val="000000"/>
          <w:sz w:val="24"/>
          <w:szCs w:val="24"/>
        </w:rPr>
        <w:t>Gilbank, L., (2023)</w:t>
      </w:r>
      <w:r>
        <w:rPr>
          <w:rFonts w:ascii="Arial" w:hAnsi="Arial" w:cs="Arial"/>
          <w:i/>
          <w:iCs/>
          <w:color w:val="000000"/>
          <w:sz w:val="24"/>
          <w:szCs w:val="24"/>
        </w:rPr>
        <w:t xml:space="preserve">, </w:t>
      </w:r>
      <w:r>
        <w:rPr>
          <w:rFonts w:ascii="Arial" w:hAnsi="Arial" w:cs="Arial"/>
          <w:i/>
          <w:iCs/>
          <w:color w:val="000000"/>
          <w:spacing w:val="-8"/>
          <w:sz w:val="24"/>
          <w:szCs w:val="24"/>
        </w:rPr>
        <w:t xml:space="preserve">The biggest issues facing the food and beverage industry and how to tackle them. , </w:t>
      </w:r>
      <w:r>
        <w:rPr>
          <w:rFonts w:ascii="Arial" w:hAnsi="Arial" w:cs="Arial"/>
          <w:color w:val="000000"/>
          <w:spacing w:val="-8"/>
          <w:sz w:val="24"/>
          <w:szCs w:val="24"/>
        </w:rPr>
        <w:t>available at https://www.columbusglobal.com/en-gb/the-biggest-issues-facing-the-food-and-beverage-industry-and-how-to-tackle-them?fbclid=IwZXh0bgNhZW0CMTAAAR2kzsAVUv-9SmZ-SoYkrr2CnGiMY5b7ZI2gqdzbOYTDRL5qT9qK9YJgCvY_aem_AWDgtkapZRp1wbpwP8ZbnKonxHfVlVRAHQuw-V0gvLTVrGa6dRD0Jzdkvqtepg2IVplHNnCQUg_7m3YR4dYjFI4Z, accessed on 6 May 2024.</w:t>
      </w:r>
    </w:p>
    <w:p w14:paraId="2FC23A64" w14:textId="358CC96B" w:rsidR="00744A69" w:rsidRDefault="00000000">
      <w:pPr>
        <w:pStyle w:val="ListParagraph"/>
        <w:numPr>
          <w:ilvl w:val="0"/>
          <w:numId w:val="2"/>
        </w:numPr>
        <w:spacing w:after="0" w:line="360" w:lineRule="auto"/>
        <w:jc w:val="both"/>
        <w:rPr>
          <w:rFonts w:ascii="Arial" w:hAnsi="Arial" w:cs="Arial"/>
          <w:color w:val="000000"/>
          <w:sz w:val="24"/>
          <w:szCs w:val="24"/>
        </w:rPr>
      </w:pPr>
      <w:r>
        <w:rPr>
          <w:rFonts w:ascii="Arial" w:hAnsi="Arial" w:cs="Arial"/>
          <w:color w:val="000000"/>
          <w:sz w:val="24"/>
          <w:szCs w:val="24"/>
        </w:rPr>
        <w:t>HR Cloud, (2023), The 8 major challenges in HR for the Food and Beverage Industry, available at https://www.hrcloud.com/blog/the-8-major-challenges-for-hr-in-the-food-and-beverage-industry?fbclid=IwZXh0bgNhZW0CMTAAAR1z1x1uWNCLu_Z6j0DgwVlHHcVXJb_Ff2iI-v1bd3ndAKhUQdiKmksF-oE_aem_AWAJu3DCfKDbUmJzJ5X-SOshH-3cGLXRnaxLpKdlc_g61pd1wgY358jipAtMNtKsfnq1OvhPTjvFnVnyMIoCV2YF, accessed on 6 May 2024.</w:t>
      </w:r>
    </w:p>
    <w:p w14:paraId="4946C939" w14:textId="1970D572" w:rsidR="00744A69" w:rsidRDefault="00000000">
      <w:pPr>
        <w:pStyle w:val="ListParagraph"/>
        <w:numPr>
          <w:ilvl w:val="0"/>
          <w:numId w:val="2"/>
        </w:numPr>
        <w:spacing w:after="0" w:line="360" w:lineRule="auto"/>
        <w:jc w:val="both"/>
      </w:pPr>
      <w:r>
        <w:rPr>
          <w:rFonts w:ascii="Arial" w:hAnsi="Arial" w:cs="Arial"/>
          <w:color w:val="000000"/>
          <w:sz w:val="24"/>
          <w:szCs w:val="24"/>
        </w:rPr>
        <w:t xml:space="preserve">Hughes, L., (2018), </w:t>
      </w:r>
      <w:r>
        <w:rPr>
          <w:rFonts w:ascii="Arial" w:hAnsi="Arial" w:cs="Arial"/>
          <w:i/>
          <w:iCs/>
          <w:color w:val="000000"/>
          <w:sz w:val="24"/>
          <w:szCs w:val="24"/>
        </w:rPr>
        <w:t>Top 8 Skills for a Successful Career in Hospitality</w:t>
      </w:r>
      <w:r>
        <w:rPr>
          <w:rFonts w:ascii="Arial" w:hAnsi="Arial" w:cs="Arial"/>
          <w:color w:val="000000"/>
          <w:sz w:val="24"/>
          <w:szCs w:val="24"/>
        </w:rPr>
        <w:t>, available at https://www.highspeedtraining.co.uk/hub/top-hospitality-skills/?fbclid=IwZXh0bgNhZW0CMTAAAR3P2rr8TMjs5S31kK1U9Z96CHvYmw3OtVUfMGoY9GOj6P-hnsQYOsZDa5Y_aem_AWD7u8h23XtrvClHauEOTkCsaC3i-</w:t>
      </w:r>
      <w:r>
        <w:rPr>
          <w:rFonts w:ascii="Arial" w:hAnsi="Arial" w:cs="Arial"/>
          <w:color w:val="000000"/>
          <w:sz w:val="24"/>
          <w:szCs w:val="24"/>
        </w:rPr>
        <w:lastRenderedPageBreak/>
        <w:t xml:space="preserve">vt0kVPpHvpOpL5P-1QgG-7KxoJnDQxcsbaFbywETYd_28BzCU5fXsnwvxNk, accessed on 6 May 2024. </w:t>
      </w:r>
    </w:p>
    <w:p w14:paraId="3BA260B5" w14:textId="5D9D6CF4" w:rsidR="00744A69" w:rsidRDefault="00000000">
      <w:pPr>
        <w:pStyle w:val="ListParagraph"/>
        <w:numPr>
          <w:ilvl w:val="0"/>
          <w:numId w:val="2"/>
        </w:numPr>
        <w:spacing w:after="0" w:line="360" w:lineRule="auto"/>
        <w:jc w:val="both"/>
      </w:pPr>
      <w:proofErr w:type="spellStart"/>
      <w:r>
        <w:rPr>
          <w:rFonts w:ascii="Arial" w:hAnsi="Arial" w:cs="Arial"/>
          <w:color w:val="000000"/>
          <w:sz w:val="24"/>
          <w:szCs w:val="24"/>
        </w:rPr>
        <w:t>Ligt</w:t>
      </w:r>
      <w:proofErr w:type="spellEnd"/>
      <w:r>
        <w:rPr>
          <w:rFonts w:ascii="Arial" w:hAnsi="Arial" w:cs="Arial"/>
          <w:color w:val="000000"/>
          <w:sz w:val="24"/>
          <w:szCs w:val="24"/>
        </w:rPr>
        <w:t xml:space="preserve">, J., (2019), </w:t>
      </w:r>
      <w:r>
        <w:rPr>
          <w:rFonts w:ascii="Arial" w:hAnsi="Arial" w:cs="Arial"/>
          <w:i/>
          <w:iCs/>
          <w:color w:val="000000"/>
          <w:sz w:val="24"/>
          <w:szCs w:val="24"/>
        </w:rPr>
        <w:t>The Changing Face of Leadership in the Food and Beverage Industry</w:t>
      </w:r>
      <w:r>
        <w:rPr>
          <w:rFonts w:ascii="Arial" w:hAnsi="Arial" w:cs="Arial"/>
          <w:color w:val="000000"/>
          <w:sz w:val="24"/>
          <w:szCs w:val="24"/>
        </w:rPr>
        <w:t xml:space="preserve">, available at https://foodsafetytech.com/column/the-changing-face-of-leadership-in-the-food-and-beverage-industry/?fbclid=IwZXh0bgNhZW0CMTAAAR1FwdiTQKWUrbvpOTfd_OYrsfMiIaL-eicHUBtUIT1KzaIrvFkdQvRSKwU_aem_AWBUwYF3l0vMEflJZeW6Wt45uo5w-fB0MNfockFATRoVwo77m0frlWJ03fFPcDgExoYE23d2X8F7gHINz3cRO4Jm, accessed on 12 May 2024. </w:t>
      </w:r>
    </w:p>
    <w:p w14:paraId="5F64C0CA" w14:textId="18B93009" w:rsidR="00744A69" w:rsidRDefault="00000000">
      <w:pPr>
        <w:pStyle w:val="ListParagraph"/>
        <w:numPr>
          <w:ilvl w:val="0"/>
          <w:numId w:val="2"/>
        </w:numPr>
        <w:spacing w:after="0" w:line="360" w:lineRule="auto"/>
        <w:ind w:left="714" w:hanging="357"/>
        <w:jc w:val="both"/>
      </w:pPr>
      <w:r>
        <w:rPr>
          <w:rFonts w:ascii="Arial" w:hAnsi="Arial" w:cs="Arial"/>
          <w:color w:val="000000"/>
          <w:sz w:val="24"/>
          <w:szCs w:val="24"/>
        </w:rPr>
        <w:t xml:space="preserve">Lillicrap, D., </w:t>
      </w:r>
      <w:r>
        <w:rPr>
          <w:rFonts w:ascii="Segoe UI Historic" w:hAnsi="Segoe UI Historic" w:cs="Segoe UI Historic"/>
          <w:color w:val="000000"/>
          <w:sz w:val="23"/>
          <w:szCs w:val="23"/>
          <w:shd w:val="clear" w:color="auto" w:fill="FFFFFF"/>
        </w:rPr>
        <w:t>&amp;</w:t>
      </w:r>
      <w:r>
        <w:rPr>
          <w:rFonts w:ascii="Arial" w:hAnsi="Arial" w:cs="Arial"/>
          <w:color w:val="000000"/>
          <w:sz w:val="24"/>
          <w:szCs w:val="24"/>
        </w:rPr>
        <w:t xml:space="preserve"> Cousins, J., (2014), </w:t>
      </w:r>
      <w:r>
        <w:rPr>
          <w:rFonts w:ascii="Arial" w:hAnsi="Arial" w:cs="Arial"/>
          <w:i/>
          <w:iCs/>
          <w:color w:val="000000"/>
          <w:sz w:val="24"/>
          <w:szCs w:val="24"/>
        </w:rPr>
        <w:t>Food and Beverage Service</w:t>
      </w:r>
      <w:r>
        <w:rPr>
          <w:rFonts w:ascii="Arial" w:hAnsi="Arial" w:cs="Arial"/>
          <w:color w:val="000000"/>
          <w:sz w:val="24"/>
          <w:szCs w:val="24"/>
        </w:rPr>
        <w:t xml:space="preserve">, </w:t>
      </w:r>
      <w:r w:rsidR="008D3C50">
        <w:rPr>
          <w:rFonts w:ascii="Arial" w:hAnsi="Arial" w:cs="Arial"/>
          <w:color w:val="000000"/>
          <w:sz w:val="24"/>
          <w:szCs w:val="24"/>
        </w:rPr>
        <w:t>eighth</w:t>
      </w:r>
      <w:r>
        <w:rPr>
          <w:rFonts w:ascii="Arial" w:hAnsi="Arial" w:cs="Arial"/>
          <w:color w:val="000000"/>
          <w:sz w:val="24"/>
          <w:szCs w:val="24"/>
        </w:rPr>
        <w:t xml:space="preserve"> edition Ed. Dynamic Learning, pp. 47-57, available at https://1library.net/article/basic-technical-skills-food-beverage-service.yd5dp3jq?fbclid=IwZXh0bgNhZW0CMTAAAR2rBcp_Tme5Wr5ZYm_CEO_RBkoncrOfJi1jd3WLBB9XqBK9p_AHOW2bjG8_aem_AWCf_d4fs0HmGG21V9BrY-DvVDj7p9RHHKiKkjMGu13vtgAHRIaD7ZS6wnqWi9LzW03sDegc5BR-g8563tE4lf1Z, accessed on 7 May 2024.</w:t>
      </w:r>
    </w:p>
    <w:p w14:paraId="3744F8B3" w14:textId="137496E6" w:rsidR="00744A69" w:rsidRDefault="00000000">
      <w:pPr>
        <w:pStyle w:val="ListParagraph"/>
        <w:numPr>
          <w:ilvl w:val="0"/>
          <w:numId w:val="2"/>
        </w:numPr>
        <w:spacing w:after="0" w:line="360" w:lineRule="auto"/>
        <w:jc w:val="both"/>
      </w:pPr>
      <w:r>
        <w:rPr>
          <w:rFonts w:ascii="Arial" w:hAnsi="Arial" w:cs="Arial"/>
          <w:color w:val="000000"/>
          <w:sz w:val="24"/>
          <w:szCs w:val="24"/>
        </w:rPr>
        <w:t xml:space="preserve">Marriott Bonvoy, (2024), </w:t>
      </w:r>
      <w:r>
        <w:rPr>
          <w:rFonts w:ascii="Arial" w:hAnsi="Arial" w:cs="Arial"/>
          <w:i/>
          <w:iCs/>
          <w:color w:val="000000"/>
          <w:sz w:val="24"/>
          <w:szCs w:val="24"/>
        </w:rPr>
        <w:t>Enjoy Food and Drinks Offered at Delta Hotels Bexleyheath</w:t>
      </w:r>
      <w:r>
        <w:rPr>
          <w:rFonts w:ascii="Arial" w:hAnsi="Arial" w:cs="Arial"/>
          <w:color w:val="000000"/>
          <w:sz w:val="24"/>
          <w:szCs w:val="24"/>
        </w:rPr>
        <w:t xml:space="preserve">, available at https://www.marriott.com/en-gb/hotels/londb-delta-hotels-bexleyheath/dining/?fbclid=IwZXh0bgNhZW0CMTAAAR1z1x1uWNCLu_Z6j0DgwVlHHcVXJb_Ff2iI-v1bd3ndAKhUQdiKmksF-oE_aem_AWAJu3DCfKDbUmJzJ5X-SOshH-3cGLXRnaxLpKdlc_g61pd1wgY358jipAtMNtKsfnq1OvhPTjvFnVnyMIoCV2YF, accessed on 5 May 2024. </w:t>
      </w:r>
    </w:p>
    <w:p w14:paraId="6C05B368" w14:textId="7ACDAFEC" w:rsidR="00744A69" w:rsidRDefault="00000000">
      <w:pPr>
        <w:pStyle w:val="ListParagraph"/>
        <w:numPr>
          <w:ilvl w:val="0"/>
          <w:numId w:val="2"/>
        </w:numPr>
        <w:spacing w:after="0" w:line="360" w:lineRule="auto"/>
        <w:jc w:val="both"/>
      </w:pPr>
      <w:r>
        <w:rPr>
          <w:rFonts w:ascii="Arial" w:hAnsi="Arial" w:cs="Arial"/>
          <w:color w:val="000000"/>
          <w:sz w:val="24"/>
          <w:szCs w:val="24"/>
        </w:rPr>
        <w:t xml:space="preserve">Qualee, (2023), </w:t>
      </w:r>
      <w:r>
        <w:rPr>
          <w:rFonts w:ascii="Arial" w:hAnsi="Arial" w:cs="Arial"/>
          <w:i/>
          <w:iCs/>
          <w:color w:val="000000"/>
          <w:sz w:val="24"/>
          <w:szCs w:val="24"/>
        </w:rPr>
        <w:t>10 Biggest HR Challenges in The Food and Beverage Industry and How to Address Them</w:t>
      </w:r>
      <w:r>
        <w:rPr>
          <w:rFonts w:ascii="Arial" w:hAnsi="Arial" w:cs="Arial"/>
          <w:color w:val="000000"/>
          <w:sz w:val="24"/>
          <w:szCs w:val="24"/>
        </w:rPr>
        <w:t>, available at https://www.qualee.com/blog/biggest-hr-challenges-in-the-food-and-beverage-industry-and-how-to-address-them?fbclid=IwZXh0bgNhZW0CMTAAAR14J3pjqmjXCSGYXp04pPbdl1HO04041sQCkvfDTTfGbSEIY8ejUWSMwjk_aem_AWAP5lwu46G0Hlnn5RvdSm6Lj</w:t>
      </w:r>
      <w:r>
        <w:rPr>
          <w:rFonts w:ascii="Arial" w:hAnsi="Arial" w:cs="Arial"/>
          <w:color w:val="000000"/>
          <w:sz w:val="24"/>
          <w:szCs w:val="24"/>
        </w:rPr>
        <w:lastRenderedPageBreak/>
        <w:t>uQHFBBbMS_viR1zY1K1HB6E1It7WbcGw4Er0aAo9CNiv3PWnDOfEYzdypA-699Y, accessed on 6 May 2024.</w:t>
      </w:r>
    </w:p>
    <w:p w14:paraId="31C08874" w14:textId="494A5B27" w:rsidR="00744A69" w:rsidRDefault="00000000">
      <w:pPr>
        <w:pStyle w:val="ListParagraph"/>
        <w:numPr>
          <w:ilvl w:val="0"/>
          <w:numId w:val="2"/>
        </w:numPr>
        <w:spacing w:after="0" w:line="360" w:lineRule="auto"/>
        <w:ind w:left="714" w:hanging="357"/>
        <w:jc w:val="both"/>
      </w:pPr>
      <w:proofErr w:type="spellStart"/>
      <w:r>
        <w:rPr>
          <w:rFonts w:ascii="Arial" w:hAnsi="Arial" w:cs="Arial"/>
          <w:color w:val="000000"/>
          <w:sz w:val="24"/>
          <w:szCs w:val="24"/>
        </w:rPr>
        <w:t>SkillsHub</w:t>
      </w:r>
      <w:proofErr w:type="spellEnd"/>
      <w:r>
        <w:rPr>
          <w:rFonts w:ascii="Arial" w:hAnsi="Arial" w:cs="Arial"/>
          <w:color w:val="000000"/>
          <w:sz w:val="24"/>
          <w:szCs w:val="24"/>
        </w:rPr>
        <w:t xml:space="preserve">, (2023), </w:t>
      </w:r>
      <w:r>
        <w:rPr>
          <w:rStyle w:val="Strong"/>
          <w:rFonts w:ascii="Arial" w:hAnsi="Arial" w:cs="Arial"/>
          <w:b w:val="0"/>
          <w:bCs w:val="0"/>
          <w:i/>
          <w:iCs/>
          <w:color w:val="000000"/>
          <w:sz w:val="24"/>
          <w:szCs w:val="24"/>
        </w:rPr>
        <w:t xml:space="preserve">What are KOLB’s Learning Styles? </w:t>
      </w:r>
      <w:r>
        <w:rPr>
          <w:rStyle w:val="Strong"/>
          <w:rFonts w:ascii="Arial" w:hAnsi="Arial" w:cs="Arial"/>
          <w:b w:val="0"/>
          <w:bCs w:val="0"/>
          <w:color w:val="000000"/>
          <w:sz w:val="24"/>
          <w:szCs w:val="24"/>
        </w:rPr>
        <w:t xml:space="preserve">The 1984 Model Explained and Applied, available at </w:t>
      </w:r>
      <w:hyperlink r:id="rId8" w:history="1">
        <w:r>
          <w:rPr>
            <w:rStyle w:val="Hyperlink"/>
            <w:rFonts w:ascii="Arial" w:hAnsi="Arial" w:cs="Arial"/>
            <w:color w:val="000000"/>
            <w:sz w:val="24"/>
            <w:szCs w:val="24"/>
            <w:u w:val="none"/>
          </w:rPr>
          <w:t>https://www.skillshub.com/what-are-kolbs-learning-styles/?fbclid=IwZXh0bgNhZW0CMTAAAR3N39t47DbUT30yq3nyvGaTw6rHv6OW0iKI-wBqpSMIuNaa6Hoti6G714s_aem_AWAVLC2Dv2UQd-JFWXw7DnaHfA5g2jOPV-agO-a25Ae210w1UM0Qxt-uWoAiWNOjBqXYSGOQim6XAR0eAgskD6KZ</w:t>
        </w:r>
      </w:hyperlink>
      <w:r>
        <w:rPr>
          <w:rStyle w:val="Strong"/>
          <w:rFonts w:ascii="Arial" w:hAnsi="Arial" w:cs="Arial"/>
          <w:b w:val="0"/>
          <w:bCs w:val="0"/>
          <w:color w:val="000000"/>
          <w:sz w:val="24"/>
          <w:szCs w:val="24"/>
        </w:rPr>
        <w:t xml:space="preserve">, accessed on 5 May 2024. </w:t>
      </w:r>
    </w:p>
    <w:p w14:paraId="423FA4BB" w14:textId="3BDE2E95" w:rsidR="00744A69" w:rsidRDefault="00000000">
      <w:pPr>
        <w:pStyle w:val="ListParagraph"/>
        <w:numPr>
          <w:ilvl w:val="0"/>
          <w:numId w:val="2"/>
        </w:numPr>
        <w:spacing w:after="0" w:line="360" w:lineRule="auto"/>
        <w:jc w:val="both"/>
      </w:pPr>
      <w:r>
        <w:rPr>
          <w:rFonts w:ascii="Arial" w:hAnsi="Arial" w:cs="Arial"/>
          <w:color w:val="000000"/>
          <w:spacing w:val="-8"/>
          <w:sz w:val="24"/>
          <w:szCs w:val="24"/>
        </w:rPr>
        <w:t xml:space="preserve">TED. The Economist Daily, (2019), </w:t>
      </w:r>
      <w:r>
        <w:rPr>
          <w:rFonts w:ascii="Arial" w:hAnsi="Arial" w:cs="Arial"/>
          <w:color w:val="000000"/>
          <w:sz w:val="24"/>
          <w:szCs w:val="24"/>
        </w:rPr>
        <w:t xml:space="preserve">Injury and illness </w:t>
      </w:r>
      <w:r w:rsidR="00463C0A">
        <w:rPr>
          <w:rFonts w:ascii="Arial" w:hAnsi="Arial" w:cs="Arial"/>
          <w:color w:val="000000"/>
          <w:sz w:val="24"/>
          <w:szCs w:val="24"/>
        </w:rPr>
        <w:t>rate</w:t>
      </w:r>
      <w:r>
        <w:rPr>
          <w:rFonts w:ascii="Arial" w:hAnsi="Arial" w:cs="Arial"/>
          <w:color w:val="000000"/>
          <w:sz w:val="24"/>
          <w:szCs w:val="24"/>
        </w:rPr>
        <w:t xml:space="preserve"> higher in special food services than in broader food services industry, available at </w:t>
      </w:r>
      <w:hyperlink r:id="rId9" w:history="1">
        <w:r>
          <w:rPr>
            <w:rStyle w:val="Hyperlink"/>
            <w:rFonts w:ascii="Arial" w:hAnsi="Arial" w:cs="Arial"/>
            <w:color w:val="000000"/>
            <w:sz w:val="24"/>
            <w:szCs w:val="24"/>
            <w:u w:val="none"/>
          </w:rPr>
          <w:t>https://www.bls.gov/opub/ted/2019/injury-and-illness-rates-higher-in-special-food-services-than-in-broader-food-services-industry.htm</w:t>
        </w:r>
      </w:hyperlink>
      <w:r>
        <w:rPr>
          <w:rFonts w:ascii="Arial" w:hAnsi="Arial" w:cs="Arial"/>
          <w:color w:val="000000"/>
          <w:sz w:val="24"/>
          <w:szCs w:val="24"/>
        </w:rPr>
        <w:t>, accessed on 2 May 2024.</w:t>
      </w:r>
    </w:p>
    <w:p w14:paraId="1E9F6491" w14:textId="4FAC111C" w:rsidR="00744A69" w:rsidRDefault="00000000">
      <w:pPr>
        <w:pStyle w:val="ListParagraph"/>
        <w:numPr>
          <w:ilvl w:val="0"/>
          <w:numId w:val="2"/>
        </w:numPr>
        <w:spacing w:after="0" w:line="360" w:lineRule="auto"/>
        <w:jc w:val="both"/>
      </w:pPr>
      <w:r>
        <w:rPr>
          <w:rFonts w:ascii="Arial" w:hAnsi="Arial" w:cs="Arial"/>
          <w:color w:val="000000"/>
          <w:sz w:val="24"/>
          <w:szCs w:val="24"/>
        </w:rPr>
        <w:t xml:space="preserve">Tripadvisor, (2024), Cast Iron Grill – </w:t>
      </w:r>
      <w:r>
        <w:rPr>
          <w:rFonts w:ascii="Arial" w:hAnsi="Arial" w:cs="Arial"/>
          <w:i/>
          <w:iCs/>
          <w:color w:val="000000"/>
          <w:sz w:val="24"/>
          <w:szCs w:val="24"/>
        </w:rPr>
        <w:t>Restaurant Reviews</w:t>
      </w:r>
      <w:r>
        <w:rPr>
          <w:rFonts w:ascii="Arial" w:hAnsi="Arial" w:cs="Arial"/>
          <w:color w:val="000000"/>
          <w:sz w:val="24"/>
          <w:szCs w:val="24"/>
        </w:rPr>
        <w:t xml:space="preserve">, available at https://www.tripadvisor.co.uk/Restaurant_Review-g1439404-d14201923-Reviews-Cast_Iron_Grill-Bexleyheath_Greater_London_England.html, accessed on 10 May 2024. </w:t>
      </w:r>
    </w:p>
    <w:p w14:paraId="63E1BEDA" w14:textId="77777777" w:rsidR="00744A69" w:rsidRDefault="00744A69">
      <w:pPr>
        <w:pStyle w:val="ListParagraph"/>
        <w:spacing w:after="0" w:line="360" w:lineRule="auto"/>
        <w:jc w:val="both"/>
        <w:rPr>
          <w:rFonts w:ascii="Arial" w:hAnsi="Arial" w:cs="Arial"/>
          <w:color w:val="000000"/>
          <w:sz w:val="24"/>
          <w:szCs w:val="24"/>
        </w:rPr>
      </w:pPr>
    </w:p>
    <w:p w14:paraId="6663A987" w14:textId="77777777" w:rsidR="00744A69" w:rsidRDefault="00744A69">
      <w:pPr>
        <w:rPr>
          <w:color w:val="000000"/>
        </w:rPr>
      </w:pPr>
    </w:p>
    <w:p w14:paraId="186B954F" w14:textId="77777777" w:rsidR="00744A69" w:rsidRDefault="00744A69">
      <w:pPr>
        <w:rPr>
          <w:color w:val="000000"/>
        </w:rPr>
      </w:pPr>
    </w:p>
    <w:p w14:paraId="724BB570" w14:textId="77777777" w:rsidR="00744A69" w:rsidRDefault="00744A69">
      <w:pPr>
        <w:rPr>
          <w:color w:val="000000"/>
        </w:rPr>
      </w:pPr>
    </w:p>
    <w:p w14:paraId="5D7C7D4D" w14:textId="77777777" w:rsidR="00744A69" w:rsidRDefault="00744A69">
      <w:pPr>
        <w:rPr>
          <w:sz w:val="33"/>
          <w:szCs w:val="33"/>
        </w:rPr>
      </w:pPr>
    </w:p>
    <w:p w14:paraId="0BDFD74E" w14:textId="77777777" w:rsidR="00744A69" w:rsidRDefault="00744A69">
      <w:pPr>
        <w:rPr>
          <w:b/>
          <w:bCs/>
          <w:color w:val="000000"/>
          <w:sz w:val="24"/>
          <w:szCs w:val="24"/>
        </w:rPr>
      </w:pPr>
    </w:p>
    <w:p w14:paraId="25538721" w14:textId="77777777" w:rsidR="00744A69" w:rsidRDefault="00744A69"/>
    <w:p w14:paraId="1073D4E2" w14:textId="77777777" w:rsidR="00744A69" w:rsidRDefault="00744A69"/>
    <w:sectPr w:rsidR="00744A69">
      <w:pgSz w:w="11906" w:h="16838"/>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E9E1C0" w14:textId="77777777" w:rsidR="00B63DCC" w:rsidRDefault="00B63DCC">
      <w:pPr>
        <w:spacing w:after="0"/>
      </w:pPr>
      <w:r>
        <w:separator/>
      </w:r>
    </w:p>
  </w:endnote>
  <w:endnote w:type="continuationSeparator" w:id="0">
    <w:p w14:paraId="1B39A575" w14:textId="77777777" w:rsidR="00B63DCC" w:rsidRDefault="00B63DC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EA9128" w14:textId="77777777" w:rsidR="00B63DCC" w:rsidRDefault="00B63DCC">
      <w:pPr>
        <w:spacing w:after="0"/>
      </w:pPr>
      <w:r>
        <w:rPr>
          <w:color w:val="000000"/>
        </w:rPr>
        <w:separator/>
      </w:r>
    </w:p>
  </w:footnote>
  <w:footnote w:type="continuationSeparator" w:id="0">
    <w:p w14:paraId="334CF072" w14:textId="77777777" w:rsidR="00B63DCC" w:rsidRDefault="00B63DC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325107"/>
    <w:multiLevelType w:val="multilevel"/>
    <w:tmpl w:val="5CBC0FB6"/>
    <w:lvl w:ilvl="0">
      <w:start w:val="1"/>
      <w:numFmt w:val="decimal"/>
      <w:lvlText w:val="%1."/>
      <w:lvlJc w:val="left"/>
      <w:pPr>
        <w:ind w:left="720" w:hanging="360"/>
      </w:pPr>
      <w:rPr>
        <w:i/>
      </w:r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 w15:restartNumberingAfterBreak="0">
    <w:nsid w:val="63EC191B"/>
    <w:multiLevelType w:val="multilevel"/>
    <w:tmpl w:val="CACED05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num w:numId="1" w16cid:durableId="278494165">
    <w:abstractNumId w:val="0"/>
  </w:num>
  <w:num w:numId="2" w16cid:durableId="1592083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A69"/>
    <w:rsid w:val="0005128F"/>
    <w:rsid w:val="00180210"/>
    <w:rsid w:val="00463C0A"/>
    <w:rsid w:val="00620B06"/>
    <w:rsid w:val="00744A69"/>
    <w:rsid w:val="008131D2"/>
    <w:rsid w:val="0085365C"/>
    <w:rsid w:val="008D3C50"/>
    <w:rsid w:val="00961088"/>
    <w:rsid w:val="00972E12"/>
    <w:rsid w:val="00B63DCC"/>
    <w:rsid w:val="00C2027B"/>
    <w:rsid w:val="00D14850"/>
    <w:rsid w:val="00E127A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5530E7"/>
  <w15:docId w15:val="{491CAA26-832B-44FD-BA12-E4976A82C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kern w:val="3"/>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spacing w:before="40" w:after="0"/>
      <w:outlineLvl w:val="2"/>
    </w:pPr>
    <w:rPr>
      <w:rFonts w:ascii="Calibri Light" w:eastAsia="Times New Roman" w:hAnsi="Calibri Light"/>
      <w:color w:val="1F3763"/>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pPr>
    <w:rPr>
      <w:rFonts w:eastAsia="Times New Roman"/>
      <w:kern w:val="0"/>
      <w:lang w:val="en-US"/>
    </w:rPr>
  </w:style>
  <w:style w:type="character" w:customStyle="1" w:styleId="NoSpacingChar">
    <w:name w:val="No Spacing Char"/>
    <w:basedOn w:val="DefaultParagraphFont"/>
    <w:rPr>
      <w:rFonts w:ascii="Calibri" w:eastAsia="Times New Roman" w:hAnsi="Calibri" w:cs="Times New Roman"/>
      <w:kern w:val="0"/>
      <w:lang w:val="en-US"/>
    </w:rPr>
  </w:style>
  <w:style w:type="paragraph" w:styleId="ListParagraph">
    <w:name w:val="List Paragraph"/>
    <w:basedOn w:val="Normal"/>
    <w:pPr>
      <w:ind w:left="720"/>
      <w:contextualSpacing/>
    </w:p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47" w:lineRule="auto"/>
    </w:pPr>
    <w:rPr>
      <w:kern w:val="0"/>
      <w:lang w:val="en-US"/>
    </w:rPr>
  </w:style>
  <w:style w:type="paragraph" w:styleId="TOC1">
    <w:name w:val="toc 1"/>
    <w:basedOn w:val="Normal"/>
    <w:next w:val="Normal"/>
    <w:autoRedefine/>
    <w:pPr>
      <w:spacing w:after="100"/>
    </w:pPr>
  </w:style>
  <w:style w:type="character" w:styleId="Hyperlink">
    <w:name w:val="Hyperlink"/>
    <w:basedOn w:val="DefaultParagraphFont"/>
    <w:rPr>
      <w:color w:val="0563C1"/>
      <w:u w:val="single"/>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interest-area">
    <w:name w:val="interest-area"/>
    <w:basedOn w:val="DefaultParagraphFont"/>
  </w:style>
  <w:style w:type="character" w:customStyle="1" w:styleId="Date1">
    <w:name w:val="Date1"/>
    <w:basedOn w:val="DefaultParagraphFont"/>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UnresolvedMention">
    <w:name w:val="Unresolved Mention"/>
    <w:basedOn w:val="DefaultParagraphFont"/>
    <w:rPr>
      <w:color w:val="605E5C"/>
      <w:shd w:val="clear" w:color="auto" w:fill="E1DFDD"/>
    </w:rPr>
  </w:style>
  <w:style w:type="character" w:styleId="Strong">
    <w:name w:val="Strong"/>
    <w:basedOn w:val="DefaultParagraphFon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4866714">
      <w:bodyDiv w:val="1"/>
      <w:marLeft w:val="0"/>
      <w:marRight w:val="0"/>
      <w:marTop w:val="0"/>
      <w:marBottom w:val="0"/>
      <w:divBdr>
        <w:top w:val="none" w:sz="0" w:space="0" w:color="auto"/>
        <w:left w:val="none" w:sz="0" w:space="0" w:color="auto"/>
        <w:bottom w:val="none" w:sz="0" w:space="0" w:color="auto"/>
        <w:right w:val="none" w:sz="0" w:space="0" w:color="auto"/>
      </w:divBdr>
      <w:divsChild>
        <w:div w:id="1148858946">
          <w:marLeft w:val="0"/>
          <w:marRight w:val="0"/>
          <w:marTop w:val="0"/>
          <w:marBottom w:val="0"/>
          <w:divBdr>
            <w:top w:val="single" w:sz="6" w:space="2" w:color="CCCCCC"/>
            <w:left w:val="single" w:sz="6" w:space="2" w:color="CCCCCC"/>
            <w:bottom w:val="single" w:sz="6" w:space="2" w:color="CCCCCC"/>
            <w:right w:val="single" w:sz="6" w:space="2" w:color="CCCCCC"/>
          </w:divBdr>
          <w:divsChild>
            <w:div w:id="2120834416">
              <w:marLeft w:val="0"/>
              <w:marRight w:val="0"/>
              <w:marTop w:val="0"/>
              <w:marBottom w:val="0"/>
              <w:divBdr>
                <w:top w:val="single" w:sz="6" w:space="0" w:color="B2B2B2"/>
                <w:left w:val="single" w:sz="6" w:space="0" w:color="B2B2B2"/>
                <w:bottom w:val="single" w:sz="6" w:space="0" w:color="B2B2B2"/>
                <w:right w:val="single" w:sz="6" w:space="0" w:color="B2B2B2"/>
              </w:divBdr>
              <w:divsChild>
                <w:div w:id="1878735896">
                  <w:marLeft w:val="0"/>
                  <w:marRight w:val="0"/>
                  <w:marTop w:val="0"/>
                  <w:marBottom w:val="0"/>
                  <w:divBdr>
                    <w:top w:val="single" w:sz="6" w:space="0" w:color="CCCCCC"/>
                    <w:left w:val="single" w:sz="6" w:space="0" w:color="CCCCCC"/>
                    <w:bottom w:val="single" w:sz="6" w:space="0" w:color="CCCCCC"/>
                    <w:right w:val="single" w:sz="6" w:space="0" w:color="CCCCCC"/>
                  </w:divBdr>
                  <w:divsChild>
                    <w:div w:id="445655576">
                      <w:marLeft w:val="0"/>
                      <w:marRight w:val="0"/>
                      <w:marTop w:val="0"/>
                      <w:marBottom w:val="0"/>
                      <w:divBdr>
                        <w:top w:val="none" w:sz="0" w:space="0" w:color="auto"/>
                        <w:left w:val="none" w:sz="0" w:space="0" w:color="auto"/>
                        <w:bottom w:val="none" w:sz="0" w:space="0" w:color="auto"/>
                        <w:right w:val="none" w:sz="0" w:space="0" w:color="auto"/>
                      </w:divBdr>
                      <w:divsChild>
                        <w:div w:id="1082945494">
                          <w:marLeft w:val="0"/>
                          <w:marRight w:val="0"/>
                          <w:marTop w:val="0"/>
                          <w:marBottom w:val="0"/>
                          <w:divBdr>
                            <w:top w:val="none" w:sz="0" w:space="0" w:color="auto"/>
                            <w:left w:val="none" w:sz="0" w:space="0" w:color="auto"/>
                            <w:bottom w:val="none" w:sz="0" w:space="0" w:color="auto"/>
                            <w:right w:val="none" w:sz="0" w:space="0" w:color="auto"/>
                          </w:divBdr>
                          <w:divsChild>
                            <w:div w:id="1439369432">
                              <w:marLeft w:val="0"/>
                              <w:marRight w:val="0"/>
                              <w:marTop w:val="0"/>
                              <w:marBottom w:val="0"/>
                              <w:divBdr>
                                <w:top w:val="none" w:sz="0" w:space="0" w:color="auto"/>
                                <w:left w:val="none" w:sz="0" w:space="0" w:color="auto"/>
                                <w:bottom w:val="none" w:sz="0" w:space="0" w:color="auto"/>
                                <w:right w:val="none" w:sz="0" w:space="0" w:color="auto"/>
                              </w:divBdr>
                              <w:divsChild>
                                <w:div w:id="181911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killshub.com/what-are-kolbs-learning-styles/?fbclid=IwZXh0bgNhZW0CMTAAAR3N39t47DbUT30yq3nyvGaTw6rHv6OW0iKI-wBqpSMIuNaa6Hoti6G714s_aem_AWAVLC2Dv2UQd-JFWXw7DnaHfA5g2jOPV-agO-a25Ae210w1UM0Qxt-uWoAiWNOjBqXYSGOQim6XAR0eAgskD6KZ"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ls.gov/opub/ted/2019/injury-and-illness-rates-higher-in-special-food-services-than-in-broader-food-services-industry.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1697</Words>
  <Characters>12547</Characters>
  <Application>Microsoft Office Word</Application>
  <DocSecurity>0</DocSecurity>
  <Lines>299</Lines>
  <Paragraphs>49</Paragraphs>
  <ScaleCrop>false</ScaleCrop>
  <HeadingPairs>
    <vt:vector size="2" baseType="variant">
      <vt:variant>
        <vt:lpstr>Title</vt:lpstr>
      </vt:variant>
      <vt:variant>
        <vt:i4>1</vt:i4>
      </vt:variant>
    </vt:vector>
  </HeadingPairs>
  <TitlesOfParts>
    <vt:vector size="1" baseType="lpstr">
      <vt:lpstr>BMIH6002</vt:lpstr>
    </vt:vector>
  </TitlesOfParts>
  <Company/>
  <LinksUpToDate>false</LinksUpToDate>
  <CharactersWithSpaces>14224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BMIH6002</dc:title>
  <dc:subject>Managing Food and Beverage Operations</dc:subject>
  <dc:creator>Student name: Maria Francesca Scurtu</dc:creator>
  <dc:description/>
  <cp:lastModifiedBy>Maria-Francesca Scurtu (2117746)</cp:lastModifiedBy>
  <cp:revision>7</cp:revision>
  <dcterms:created xsi:type="dcterms:W3CDTF">2024-05-22T20:12:00Z</dcterms:created>
  <dcterms:modified xsi:type="dcterms:W3CDTF">2024-05-22T20:31:00Z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f0d34270514f3cd5b696a4e7f917f318ed497286d54cfd83c6fc19b816552090</vt:lpwstr>
  </property>
</Properties>
</file>