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Override PartName="/word/header.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xmlns:wp14="http://schemas.microsoft.com/office/word/2010/wordml" w14:paraId="32DFA9BB" wp14:textId="77777777">
      <w:pPr>
        <w:spacing w:after="240" w:line="288" w:lineRule="auto"/>
        <w:jc w:val="center"/>
      </w:pPr>
      <w:r w:rsidRPr="052BEB40" w:rsidR="052BEB40">
        <w:rPr>
          <w:rFonts w:ascii="Arial" w:hAnsi="Arial" w:eastAsia="Arial"/>
          <w:b w:val="1"/>
          <w:bCs w:val="1"/>
          <w:i w:val="0"/>
          <w:iCs w:val="0"/>
          <w:sz w:val="30"/>
          <w:szCs w:val="30"/>
        </w:rPr>
        <w:t>University of Wales Trinity Saint David</w:t>
      </w:r>
    </w:p>
    <w:p xmlns:wp14="http://schemas.microsoft.com/office/word/2010/wordml" w14:paraId="69C4E325" wp14:textId="77777777">
      <w:pPr>
        <w:spacing w:after="200" w:line="288" w:lineRule="auto"/>
        <w:jc w:val="center"/>
      </w:pPr>
      <w:r>
        <w:rPr>
          <w:rFonts w:ascii="Arial" w:hAnsi="Arial" w:eastAsia="Arial"/>
          <w:b/>
          <w:i w:val="0"/>
          <w:sz w:val="24"/>
        </w:rPr>
        <w:t>Managing Business (LCLM5004)</w:t>
      </w:r>
    </w:p>
    <w:p xmlns:wp14="http://schemas.microsoft.com/office/word/2010/wordml" w14:paraId="099F534B" wp14:textId="77777777">
      <w:pPr>
        <w:spacing w:after="320" w:line="288" w:lineRule="auto"/>
        <w:jc w:val="center"/>
      </w:pPr>
      <w:r>
        <w:rPr>
          <w:rFonts w:ascii="Arial" w:hAnsi="Arial" w:eastAsia="Arial"/>
          <w:b/>
          <w:i w:val="0"/>
          <w:sz w:val="24"/>
        </w:rPr>
        <w:t>Individual Report</w:t>
      </w:r>
    </w:p>
    <w:p xmlns:wp14="http://schemas.microsoft.com/office/word/2010/wordml" w14:paraId="676C689F" wp14:textId="77777777">
      <w:pPr>
        <w:spacing w:after="480" w:line="312" w:lineRule="auto"/>
        <w:jc w:val="center"/>
      </w:pPr>
      <w:r>
        <w:rPr>
          <w:rFonts w:ascii="Arial" w:hAnsi="Arial" w:eastAsia="Arial"/>
          <w:b/>
          <w:i w:val="0"/>
          <w:sz w:val="28"/>
        </w:rPr>
        <w:t>Proposal Recommending Appropriate Information Systems to Improve Business Performance at Maldiva Ltd.</w:t>
      </w:r>
    </w:p>
    <w:tbl>
      <w:tblPr>
        <w:tblW w:w="0" w:type="auto"/>
        <w:tblLayout w:type="autofit"/>
        <w:tblLook w:val="04A0" w:firstRow="1" w:lastRow="0" w:firstColumn="1" w:lastColumn="0" w:noHBand="0" w:noVBand="1"/>
      </w:tblPr>
      <w:tblGrid>
        <w:gridCol w:w="4680"/>
        <w:gridCol w:w="4680"/>
      </w:tblGrid>
      <w:tr xmlns:wp14="http://schemas.microsoft.com/office/word/2010/wordml" w:rsidTr="052BEB40" w14:paraId="497E5D8C" wp14:textId="77777777">
        <w:tc>
          <w:tcPr>
            <w:tcW w:w="4680" w:type="dxa"/>
            <w:tcBorders>
              <w:left w:val="single" w:color="D9D9D9" w:themeColor="background1" w:themeShade="D9" w:sz="4"/>
              <w:top w:val="single" w:color="D9D9D9" w:sz="4"/>
              <w:right w:val="single" w:color="D9D9D9" w:themeColor="background1" w:themeShade="D9" w:sz="4"/>
              <w:bottom w:val="single" w:color="D9D9D9" w:sz="4"/>
            </w:tcBorders>
            <w:tcMar/>
          </w:tcPr>
          <w:p w14:paraId="3D0973B8" wp14:textId="77777777">
            <w:pPr>
              <w:spacing w:after="40"/>
            </w:pPr>
            <w:r/>
            <w:r>
              <w:rPr>
                <w:rFonts w:ascii="Arial" w:hAnsi="Arial" w:eastAsia="Arial"/>
                <w:b/>
                <w:i w:val="0"/>
                <w:sz w:val="22"/>
              </w:rPr>
              <w:t>Student Name</w:t>
            </w:r>
          </w:p>
        </w:tc>
        <w:tc>
          <w:tcPr>
            <w:tcW w:w="4680" w:type="dxa"/>
            <w:tcBorders>
              <w:left w:val="single" w:color="D9D9D9" w:themeColor="background1" w:themeShade="D9" w:sz="4"/>
              <w:top w:val="single" w:color="D9D9D9" w:sz="4"/>
              <w:right w:val="single" w:color="D9D9D9" w:themeColor="background1" w:themeShade="D9" w:sz="4"/>
              <w:bottom w:val="single" w:color="D9D9D9" w:sz="4"/>
            </w:tcBorders>
            <w:tcMar/>
          </w:tcPr>
          <w:p w14:paraId="7F0A3617" wp14:textId="77777777">
            <w:pPr>
              <w:spacing w:after="40"/>
            </w:pPr>
            <w:r/>
            <w:r>
              <w:rPr>
                <w:rFonts w:ascii="Arial" w:hAnsi="Arial" w:eastAsia="Arial"/>
                <w:b w:val="0"/>
                <w:i w:val="0"/>
                <w:sz w:val="22"/>
              </w:rPr>
              <w:t>Plamena Petrova</w:t>
            </w:r>
          </w:p>
        </w:tc>
      </w:tr>
      <w:tr xmlns:wp14="http://schemas.microsoft.com/office/word/2010/wordml" w:rsidTr="052BEB40" w14:paraId="4495C9F1" wp14:textId="77777777">
        <w:tc>
          <w:tcPr>
            <w:tcW w:w="4680" w:type="dxa"/>
            <w:tcBorders>
              <w:left w:val="single" w:color="D9D9D9" w:themeColor="background1" w:themeShade="D9" w:sz="4"/>
              <w:top w:val="single" w:color="D9D9D9" w:sz="4"/>
              <w:right w:val="single" w:color="D9D9D9" w:themeColor="background1" w:themeShade="D9" w:sz="4"/>
              <w:bottom w:val="single" w:color="D9D9D9" w:sz="4"/>
            </w:tcBorders>
            <w:tcMar/>
          </w:tcPr>
          <w:p w14:paraId="70E6B497" wp14:textId="77777777">
            <w:pPr>
              <w:spacing w:after="40"/>
            </w:pPr>
            <w:r/>
            <w:r>
              <w:rPr>
                <w:rFonts w:ascii="Arial" w:hAnsi="Arial" w:eastAsia="Arial"/>
                <w:b/>
                <w:i w:val="0"/>
                <w:sz w:val="22"/>
              </w:rPr>
              <w:t>Student Number</w:t>
            </w:r>
          </w:p>
        </w:tc>
        <w:tc>
          <w:tcPr>
            <w:tcW w:w="4680" w:type="dxa"/>
            <w:tcBorders>
              <w:left w:val="single" w:color="D9D9D9" w:themeColor="background1" w:themeShade="D9" w:sz="4"/>
              <w:top w:val="single" w:color="D9D9D9" w:sz="4"/>
              <w:right w:val="single" w:color="D9D9D9" w:themeColor="background1" w:themeShade="D9" w:sz="4"/>
              <w:bottom w:val="single" w:color="D9D9D9" w:sz="4"/>
            </w:tcBorders>
            <w:tcMar/>
          </w:tcPr>
          <w:p w14:paraId="7A8E8BCD" wp14:textId="77777777">
            <w:pPr>
              <w:spacing w:after="40"/>
            </w:pPr>
            <w:r/>
            <w:r>
              <w:rPr>
                <w:rFonts w:ascii="Arial" w:hAnsi="Arial" w:eastAsia="Arial"/>
                <w:b w:val="0"/>
                <w:i w:val="0"/>
                <w:sz w:val="22"/>
              </w:rPr>
              <w:t>2419095</w:t>
            </w:r>
          </w:p>
        </w:tc>
      </w:tr>
      <w:tr xmlns:wp14="http://schemas.microsoft.com/office/word/2010/wordml" w:rsidTr="052BEB40" w14:paraId="14FF3D72" wp14:textId="77777777">
        <w:tc>
          <w:tcPr>
            <w:tcW w:w="4680" w:type="dxa"/>
            <w:tcBorders>
              <w:left w:val="single" w:color="D9D9D9" w:themeColor="background1" w:themeShade="D9" w:sz="4"/>
              <w:top w:val="single" w:color="D9D9D9" w:sz="4"/>
              <w:right w:val="single" w:color="D9D9D9" w:themeColor="background1" w:themeShade="D9" w:sz="4"/>
              <w:bottom w:val="single" w:color="D9D9D9" w:sz="4"/>
            </w:tcBorders>
            <w:tcMar/>
          </w:tcPr>
          <w:p w14:paraId="52FBC274" wp14:textId="77777777">
            <w:pPr>
              <w:spacing w:after="40"/>
            </w:pPr>
            <w:r/>
            <w:r>
              <w:rPr>
                <w:rFonts w:ascii="Arial" w:hAnsi="Arial" w:eastAsia="Arial"/>
                <w:b/>
                <w:i w:val="0"/>
                <w:sz w:val="22"/>
              </w:rPr>
              <w:t>Module Title</w:t>
            </w:r>
          </w:p>
        </w:tc>
        <w:tc>
          <w:tcPr>
            <w:tcW w:w="4680" w:type="dxa"/>
            <w:tcBorders>
              <w:left w:val="single" w:color="D9D9D9" w:themeColor="background1" w:themeShade="D9" w:sz="4"/>
              <w:top w:val="single" w:color="D9D9D9" w:sz="4"/>
              <w:right w:val="single" w:color="D9D9D9" w:themeColor="background1" w:themeShade="D9" w:sz="4"/>
              <w:bottom w:val="single" w:color="D9D9D9" w:sz="4"/>
            </w:tcBorders>
            <w:tcMar/>
          </w:tcPr>
          <w:p w14:paraId="43B00AB3" wp14:textId="77777777">
            <w:pPr>
              <w:spacing w:after="40"/>
            </w:pPr>
            <w:r/>
            <w:r>
              <w:rPr>
                <w:rFonts w:ascii="Arial" w:hAnsi="Arial" w:eastAsia="Arial"/>
                <w:b w:val="0"/>
                <w:i w:val="0"/>
                <w:sz w:val="22"/>
              </w:rPr>
              <w:t>Managing Business</w:t>
            </w:r>
          </w:p>
        </w:tc>
      </w:tr>
      <w:tr xmlns:wp14="http://schemas.microsoft.com/office/word/2010/wordml" w:rsidTr="052BEB40" w14:paraId="7159583B" wp14:textId="77777777">
        <w:tc>
          <w:tcPr>
            <w:tcW w:w="4680" w:type="dxa"/>
            <w:tcBorders>
              <w:left w:val="single" w:color="D9D9D9" w:themeColor="background1" w:themeShade="D9" w:sz="4"/>
              <w:top w:val="single" w:color="D9D9D9" w:sz="4"/>
              <w:right w:val="single" w:color="D9D9D9" w:themeColor="background1" w:themeShade="D9" w:sz="4"/>
              <w:bottom w:val="single" w:color="D9D9D9" w:sz="4"/>
            </w:tcBorders>
            <w:tcMar/>
          </w:tcPr>
          <w:p w14:paraId="2A49128C" wp14:textId="77777777">
            <w:pPr>
              <w:spacing w:after="40"/>
            </w:pPr>
            <w:r/>
            <w:r>
              <w:rPr>
                <w:rFonts w:ascii="Arial" w:hAnsi="Arial" w:eastAsia="Arial"/>
                <w:b/>
                <w:i w:val="0"/>
                <w:sz w:val="22"/>
              </w:rPr>
              <w:t>Module Code</w:t>
            </w:r>
          </w:p>
        </w:tc>
        <w:tc>
          <w:tcPr>
            <w:tcW w:w="4680" w:type="dxa"/>
            <w:tcBorders>
              <w:left w:val="single" w:color="D9D9D9" w:themeColor="background1" w:themeShade="D9" w:sz="4"/>
              <w:top w:val="single" w:color="D9D9D9" w:sz="4"/>
              <w:right w:val="single" w:color="D9D9D9" w:themeColor="background1" w:themeShade="D9" w:sz="4"/>
              <w:bottom w:val="single" w:color="D9D9D9" w:sz="4"/>
            </w:tcBorders>
            <w:tcMar/>
          </w:tcPr>
          <w:p w14:paraId="4776DE78" wp14:textId="77777777">
            <w:pPr>
              <w:spacing w:after="40"/>
            </w:pPr>
            <w:r/>
            <w:r>
              <w:rPr>
                <w:rFonts w:ascii="Arial" w:hAnsi="Arial" w:eastAsia="Arial"/>
                <w:b w:val="0"/>
                <w:i w:val="0"/>
                <w:sz w:val="22"/>
              </w:rPr>
              <w:t>LCLM5004</w:t>
            </w:r>
          </w:p>
        </w:tc>
      </w:tr>
      <w:tr xmlns:wp14="http://schemas.microsoft.com/office/word/2010/wordml" w:rsidTr="052BEB40" w14:paraId="44894F77" wp14:textId="77777777">
        <w:tc>
          <w:tcPr>
            <w:tcW w:w="4680" w:type="dxa"/>
            <w:tcBorders>
              <w:left w:val="single" w:color="D9D9D9" w:themeColor="background1" w:themeShade="D9" w:sz="4"/>
              <w:top w:val="single" w:color="D9D9D9" w:sz="4"/>
              <w:right w:val="single" w:color="D9D9D9" w:themeColor="background1" w:themeShade="D9" w:sz="4"/>
              <w:bottom w:val="single" w:color="D9D9D9" w:sz="4"/>
            </w:tcBorders>
            <w:tcMar/>
          </w:tcPr>
          <w:p w14:paraId="01D0A0BA" wp14:textId="77777777">
            <w:pPr>
              <w:spacing w:after="40"/>
            </w:pPr>
            <w:r/>
            <w:r>
              <w:rPr>
                <w:rFonts w:ascii="Arial" w:hAnsi="Arial" w:eastAsia="Arial"/>
                <w:b/>
                <w:i w:val="0"/>
                <w:sz w:val="22"/>
              </w:rPr>
              <w:t>Lecturer</w:t>
            </w:r>
          </w:p>
        </w:tc>
        <w:tc>
          <w:tcPr>
            <w:tcW w:w="4680" w:type="dxa"/>
            <w:tcBorders>
              <w:left w:val="single" w:color="D9D9D9" w:themeColor="background1" w:themeShade="D9" w:sz="4"/>
              <w:top w:val="single" w:color="D9D9D9" w:sz="4"/>
              <w:right w:val="single" w:color="D9D9D9" w:themeColor="background1" w:themeShade="D9" w:sz="4"/>
              <w:bottom w:val="single" w:color="D9D9D9" w:sz="4"/>
            </w:tcBorders>
            <w:tcMar/>
          </w:tcPr>
          <w:p w14:paraId="08A8F0C9" wp14:textId="77777777">
            <w:pPr>
              <w:spacing w:after="40"/>
            </w:pPr>
            <w:r/>
            <w:r>
              <w:rPr>
                <w:rFonts w:ascii="Arial" w:hAnsi="Arial" w:eastAsia="Arial"/>
                <w:b w:val="0"/>
                <w:i w:val="0"/>
                <w:sz w:val="22"/>
              </w:rPr>
              <w:t>Chinomso Nwagboso</w:t>
            </w:r>
          </w:p>
        </w:tc>
      </w:tr>
    </w:tbl>
    <w:p xmlns:wp14="http://schemas.microsoft.com/office/word/2010/wordml" w14:paraId="672A6659" wp14:textId="77777777">
      <w:r>
        <w:br w:type="page"/>
      </w:r>
    </w:p>
    <w:p xmlns:wp14="http://schemas.microsoft.com/office/word/2010/wordml" w14:paraId="2664F4B3" wp14:textId="77777777">
      <w:pPr>
        <w:pStyle w:val="Heading1"/>
        <w:spacing w:before="160" w:after="120" w:line="276" w:lineRule="auto"/>
        <w:jc w:val="left"/>
      </w:pPr>
      <w:r>
        <w:rPr>
          <w:rFonts w:ascii="Arial" w:hAnsi="Arial" w:eastAsia="Arial"/>
          <w:b/>
          <w:i w:val="0"/>
          <w:sz w:val="28"/>
        </w:rPr>
        <w:t>Executive Summary</w:t>
      </w:r>
    </w:p>
    <w:p xmlns:wp14="http://schemas.microsoft.com/office/word/2010/wordml" w14:paraId="3D68B94B" wp14:textId="77777777">
      <w:pPr>
        <w:spacing w:after="120" w:line="360" w:lineRule="auto"/>
        <w:ind w:firstLine="432"/>
        <w:jc w:val="both"/>
      </w:pPr>
      <w:r>
        <w:rPr>
          <w:rFonts w:ascii="Arial" w:hAnsi="Arial" w:eastAsia="Arial"/>
          <w:b w:val="0"/>
          <w:i w:val="0"/>
          <w:sz w:val="22"/>
        </w:rPr>
        <w:t>Maldiva Ltd. is a growing consumer electronics retailer that operates through physical stores and an e-commerce platform. Although sales have increased, the company is facing operational difficulties because its information systems are outdated, fragmented and inefficient. The case highlights recurring stock discrepancies, disconnected customer information, slow spreadsheet-based reporting, weak interdepartmental coordination and increasing exposure to data protection risk. These weaknesses reduce efficiency, create avoidable costs, damage customer satisfaction and make further business expansion more difficult.</w:t>
      </w:r>
    </w:p>
    <w:p xmlns:wp14="http://schemas.microsoft.com/office/word/2010/wordml" w14:paraId="2E57DF67" wp14:textId="77777777">
      <w:pPr>
        <w:spacing w:after="120" w:line="360" w:lineRule="auto"/>
        <w:ind w:firstLine="432"/>
        <w:jc w:val="both"/>
      </w:pPr>
      <w:r>
        <w:rPr>
          <w:rFonts w:ascii="Arial" w:hAnsi="Arial" w:eastAsia="Arial"/>
        </w:rPr>
        <w:t>This report evaluates the company’s current systems and recommends the adoption of a cloud-based integrated solution combining enterprise resource planning (ERP), customer relationship management (CRM) and business intelligence (BI). Evidence indicates that integrated ERP and CRM environments reduce data silos, improve information quality and streamline manual work across departments (IBM, 2025). ERP-based inventory systems improve stock visibility, automate replenishment and strengthen order accuracy, which is particularly important in an omnichannel retail setting (NetSuite, 2020; Menon, 2024). Research also suggests that SMEs gain operational and competitive benefits when they use ERP features strategically, especially inventory, customer and financial functions (Jacobs and Kabaso, 2025).</w:t>
      </w:r>
    </w:p>
    <w:p xmlns:wp14="http://schemas.microsoft.com/office/word/2010/wordml" w14:paraId="24CF9DDA" wp14:textId="77777777">
      <w:pPr>
        <w:spacing w:after="120" w:line="360" w:lineRule="auto"/>
        <w:ind w:firstLine="432"/>
        <w:jc w:val="both"/>
      </w:pPr>
      <w:r>
        <w:rPr>
          <w:rFonts w:ascii="Arial" w:hAnsi="Arial" w:eastAsia="Arial"/>
        </w:rPr>
        <w:t>The report further argues that CRM and BI capabilities are essential to improving customer service and managerial decision-making. CRM systems help organisations create a unified customer view and improve business performance when aligned with processes and people (Wynn et al., 2016; Martinho, Farinha and Ribeiro, 2025). BI systems enhance strategic decision quality through stronger data management, data quality and visualisation (Abu-AlSondos, 2023). The report also explains how the proposed system can improve GDPR compliance through stronger access controls, clearer governance and better protection of personal data (European Union, 2026; European Data Protection Board (EDPB), 2026). A phased implementation plan is recommended to reduce implementation risk and support successful adoption.</w:t>
      </w:r>
    </w:p>
    <w:p xmlns:wp14="http://schemas.microsoft.com/office/word/2010/wordml" w14:paraId="0A37501D" wp14:textId="77777777">
      <w:r>
        <w:br w:type="page"/>
      </w:r>
    </w:p>
    <w:p xmlns:wp14="http://schemas.microsoft.com/office/word/2010/wordml" w14:paraId="22E0FC93" wp14:textId="77777777">
      <w:pPr>
        <w:pStyle w:val="Heading1"/>
        <w:spacing w:before="160" w:after="120" w:line="276" w:lineRule="auto"/>
        <w:jc w:val="left"/>
      </w:pPr>
      <w:r>
        <w:rPr>
          <w:rFonts w:ascii="Arial" w:hAnsi="Arial" w:eastAsia="Arial"/>
          <w:b/>
          <w:i w:val="0"/>
          <w:sz w:val="28"/>
        </w:rPr>
        <w:t>Table of Contents</w:t>
      </w:r>
    </w:p>
    <w:p xmlns:wp14="http://schemas.microsoft.com/office/word/2010/wordml" w14:paraId="67C1CDAB" wp14:textId="77777777">
      <w:pPr>
        <w:tabs>
          <w:tab w:val="right" w:leader="dot" w:pos="9072"/>
        </w:tabs>
        <w:spacing w:after="40" w:line="276" w:lineRule="auto"/>
        <w:jc w:val="left"/>
      </w:pPr>
      <w:r>
        <w:rPr>
          <w:rFonts w:ascii="Arial" w:hAnsi="Arial" w:eastAsia="Arial"/>
          <w:b w:val="0"/>
          <w:i w:val="0"/>
          <w:sz w:val="22"/>
        </w:rPr>
        <w:t>Executive Summary</w:t>
      </w:r>
      <w:r>
        <w:rPr>
          <w:rFonts w:ascii="Arial" w:hAnsi="Arial" w:eastAsia="Arial"/>
          <w:b w:val="0"/>
          <w:i w:val="0"/>
          <w:sz w:val="22"/>
        </w:rPr>
        <w:tab/>
      </w:r>
      <w:r>
        <w:rPr>
          <w:rFonts w:ascii="Arial" w:hAnsi="Arial" w:eastAsia="Arial"/>
          <w:b w:val="0"/>
          <w:i w:val="0"/>
          <w:sz w:val="22"/>
        </w:rPr>
        <w:t>2</w:t>
      </w:r>
    </w:p>
    <w:p xmlns:wp14="http://schemas.microsoft.com/office/word/2010/wordml" w14:paraId="58E40444" wp14:textId="77777777">
      <w:pPr>
        <w:tabs>
          <w:tab w:val="right" w:leader="dot" w:pos="9072"/>
        </w:tabs>
        <w:spacing w:after="40" w:line="276" w:lineRule="auto"/>
        <w:jc w:val="left"/>
      </w:pPr>
      <w:r>
        <w:rPr>
          <w:rFonts w:ascii="Arial" w:hAnsi="Arial" w:eastAsia="Arial"/>
          <w:b w:val="0"/>
          <w:i w:val="0"/>
          <w:sz w:val="22"/>
        </w:rPr>
        <w:t>1. Introduction</w:t>
      </w:r>
      <w:r>
        <w:rPr>
          <w:rFonts w:ascii="Arial" w:hAnsi="Arial" w:eastAsia="Arial"/>
          <w:b w:val="0"/>
          <w:i w:val="0"/>
          <w:sz w:val="22"/>
        </w:rPr>
        <w:tab/>
      </w:r>
      <w:r>
        <w:rPr>
          <w:rFonts w:ascii="Arial" w:hAnsi="Arial" w:eastAsia="Arial"/>
          <w:b w:val="0"/>
          <w:i w:val="0"/>
          <w:sz w:val="22"/>
        </w:rPr>
        <w:t>4</w:t>
      </w:r>
    </w:p>
    <w:p xmlns:wp14="http://schemas.microsoft.com/office/word/2010/wordml" w14:paraId="59456821" wp14:textId="77777777">
      <w:pPr>
        <w:tabs>
          <w:tab w:val="right" w:leader="dot" w:pos="9072"/>
        </w:tabs>
        <w:spacing w:after="40" w:line="276" w:lineRule="auto"/>
        <w:jc w:val="left"/>
      </w:pPr>
      <w:r>
        <w:rPr>
          <w:rFonts w:ascii="Arial" w:hAnsi="Arial" w:eastAsia="Arial"/>
          <w:b w:val="0"/>
          <w:i w:val="0"/>
          <w:sz w:val="22"/>
        </w:rPr>
        <w:t>2. Evaluation of Existing Systems</w:t>
      </w:r>
      <w:r>
        <w:rPr>
          <w:rFonts w:ascii="Arial" w:hAnsi="Arial" w:eastAsia="Arial"/>
          <w:b w:val="0"/>
          <w:i w:val="0"/>
          <w:sz w:val="22"/>
        </w:rPr>
        <w:tab/>
      </w:r>
      <w:r>
        <w:rPr>
          <w:rFonts w:ascii="Arial" w:hAnsi="Arial" w:eastAsia="Arial"/>
          <w:b w:val="0"/>
          <w:i w:val="0"/>
          <w:sz w:val="22"/>
        </w:rPr>
        <w:t>4</w:t>
      </w:r>
    </w:p>
    <w:p xmlns:wp14="http://schemas.microsoft.com/office/word/2010/wordml" w14:paraId="4224BCBB" wp14:textId="77777777">
      <w:pPr>
        <w:tabs>
          <w:tab w:val="right" w:leader="dot" w:pos="9072"/>
        </w:tabs>
        <w:spacing w:after="40" w:line="276" w:lineRule="auto"/>
        <w:jc w:val="left"/>
      </w:pPr>
      <w:r>
        <w:rPr>
          <w:rFonts w:ascii="Arial" w:hAnsi="Arial" w:eastAsia="Arial"/>
          <w:b w:val="0"/>
          <w:i w:val="0"/>
          <w:sz w:val="22"/>
        </w:rPr>
        <w:t>3. Recommended Solution</w:t>
      </w:r>
      <w:r>
        <w:rPr>
          <w:rFonts w:ascii="Arial" w:hAnsi="Arial" w:eastAsia="Arial"/>
          <w:b w:val="0"/>
          <w:i w:val="0"/>
          <w:sz w:val="22"/>
        </w:rPr>
        <w:tab/>
      </w:r>
      <w:r>
        <w:rPr>
          <w:rFonts w:ascii="Arial" w:hAnsi="Arial" w:eastAsia="Arial"/>
          <w:b w:val="0"/>
          <w:i w:val="0"/>
          <w:sz w:val="22"/>
        </w:rPr>
        <w:t>6</w:t>
      </w:r>
    </w:p>
    <w:p xmlns:wp14="http://schemas.microsoft.com/office/word/2010/wordml" w14:paraId="5C83F2F1" wp14:textId="77777777">
      <w:pPr>
        <w:tabs>
          <w:tab w:val="right" w:leader="dot" w:pos="9072"/>
        </w:tabs>
        <w:spacing w:after="40" w:line="276" w:lineRule="auto"/>
        <w:jc w:val="left"/>
      </w:pPr>
      <w:r>
        <w:rPr>
          <w:rFonts w:ascii="Arial" w:hAnsi="Arial" w:eastAsia="Arial"/>
          <w:b w:val="0"/>
          <w:i w:val="0"/>
          <w:sz w:val="22"/>
        </w:rPr>
        <w:t>4. Implementation Plan</w:t>
      </w:r>
      <w:r>
        <w:rPr>
          <w:rFonts w:ascii="Arial" w:hAnsi="Arial" w:eastAsia="Arial"/>
          <w:b w:val="0"/>
          <w:i w:val="0"/>
          <w:sz w:val="22"/>
        </w:rPr>
        <w:tab/>
      </w:r>
      <w:r>
        <w:rPr>
          <w:rFonts w:ascii="Arial" w:hAnsi="Arial" w:eastAsia="Arial"/>
          <w:b w:val="0"/>
          <w:i w:val="0"/>
          <w:sz w:val="22"/>
        </w:rPr>
        <w:t>7</w:t>
      </w:r>
    </w:p>
    <w:p xmlns:wp14="http://schemas.microsoft.com/office/word/2010/wordml" w14:paraId="6661A1F3" wp14:textId="77777777">
      <w:pPr>
        <w:tabs>
          <w:tab w:val="right" w:leader="dot" w:pos="9072"/>
        </w:tabs>
        <w:spacing w:after="40" w:line="276" w:lineRule="auto"/>
        <w:jc w:val="left"/>
      </w:pPr>
      <w:r>
        <w:rPr>
          <w:rFonts w:ascii="Arial" w:hAnsi="Arial" w:eastAsia="Arial"/>
          <w:b w:val="0"/>
          <w:i w:val="0"/>
          <w:sz w:val="22"/>
        </w:rPr>
        <w:t>5. Conclusion</w:t>
      </w:r>
      <w:r>
        <w:rPr>
          <w:rFonts w:ascii="Arial" w:hAnsi="Arial" w:eastAsia="Arial"/>
          <w:b w:val="0"/>
          <w:i w:val="0"/>
          <w:sz w:val="22"/>
        </w:rPr>
        <w:tab/>
      </w:r>
      <w:r>
        <w:rPr>
          <w:rFonts w:ascii="Arial" w:hAnsi="Arial" w:eastAsia="Arial"/>
          <w:b w:val="0"/>
          <w:i w:val="0"/>
          <w:sz w:val="22"/>
        </w:rPr>
        <w:t>8</w:t>
      </w:r>
    </w:p>
    <w:p xmlns:wp14="http://schemas.microsoft.com/office/word/2010/wordml" w14:paraId="479E71A1" wp14:textId="77777777">
      <w:pPr>
        <w:tabs>
          <w:tab w:val="right" w:leader="dot" w:pos="9072"/>
        </w:tabs>
        <w:spacing w:after="40" w:line="276" w:lineRule="auto"/>
        <w:jc w:val="left"/>
      </w:pPr>
      <w:r>
        <w:rPr>
          <w:rFonts w:ascii="Arial" w:hAnsi="Arial" w:eastAsia="Arial"/>
          <w:b w:val="0"/>
          <w:i w:val="0"/>
          <w:sz w:val="22"/>
        </w:rPr>
        <w:t>Reference List</w:t>
      </w:r>
      <w:r>
        <w:rPr>
          <w:rFonts w:ascii="Arial" w:hAnsi="Arial" w:eastAsia="Arial"/>
          <w:b w:val="0"/>
          <w:i w:val="0"/>
          <w:sz w:val="22"/>
        </w:rPr>
        <w:tab/>
      </w:r>
      <w:r>
        <w:rPr>
          <w:rFonts w:ascii="Arial" w:hAnsi="Arial" w:eastAsia="Arial"/>
          <w:b w:val="0"/>
          <w:i w:val="0"/>
          <w:sz w:val="22"/>
        </w:rPr>
        <w:t>9</w:t>
      </w:r>
    </w:p>
    <w:p xmlns:wp14="http://schemas.microsoft.com/office/word/2010/wordml" w14:paraId="5DAB6C7B" wp14:textId="77777777">
      <w:r>
        <w:br w:type="page"/>
      </w:r>
    </w:p>
    <w:p xmlns:wp14="http://schemas.microsoft.com/office/word/2010/wordml" w14:paraId="32A36C38" wp14:textId="77777777">
      <w:pPr>
        <w:pStyle w:val="Heading1"/>
        <w:spacing w:before="160" w:after="120" w:line="276" w:lineRule="auto"/>
        <w:jc w:val="left"/>
      </w:pPr>
      <w:r>
        <w:rPr>
          <w:rFonts w:ascii="Arial" w:hAnsi="Arial" w:eastAsia="Arial"/>
          <w:b/>
          <w:i w:val="0"/>
          <w:sz w:val="28"/>
        </w:rPr>
        <w:t>1. Introduction</w:t>
      </w:r>
    </w:p>
    <w:p xmlns:wp14="http://schemas.microsoft.com/office/word/2010/wordml" w14:paraId="285720F7" wp14:textId="77777777">
      <w:pPr>
        <w:spacing w:after="120" w:line="360" w:lineRule="auto"/>
        <w:ind w:firstLine="432"/>
        <w:jc w:val="both"/>
      </w:pPr>
      <w:r>
        <w:rPr>
          <w:rFonts w:ascii="Arial" w:hAnsi="Arial" w:eastAsia="Arial"/>
        </w:rPr>
        <w:t>Information systems are fundamental to business performance because they support coordination, control, communication and decision-making across the organisation. Bourgeois (2014) describes information systems as the backbone of the organisation because they combine people, processes, data, software and hardware to transform raw data into useful knowledge. This view is highly relevant to Maldiva Ltd., whose main difficulties arise not from lack of demand, but from the weakness of its internal information infrastructure. The company has grown as a consumer electronics retailer across stores and online channels, yet its internal systems remain manual, disconnected and slow. As a result, it is experiencing stock inaccuracies, poor customer information management, delayed reporting and inefficient coordination between departments.</w:t>
      </w:r>
    </w:p>
    <w:p xmlns:wp14="http://schemas.microsoft.com/office/word/2010/wordml" w14:paraId="7DF96127" wp14:textId="77777777">
      <w:pPr>
        <w:spacing w:after="120" w:line="360" w:lineRule="auto"/>
        <w:ind w:firstLine="432"/>
        <w:jc w:val="both"/>
      </w:pPr>
      <w:r>
        <w:rPr>
          <w:rFonts w:ascii="Arial" w:hAnsi="Arial" w:eastAsia="Arial"/>
        </w:rPr>
        <w:t>The purpose of this report is to evaluate the weaknesses in the existing systems and recommend an appropriate information system solution that can improve business performance. Based on the scenario, the central argument is that Maldiva Ltd. should replace fragmented processes with a cloud-based integrated solution built around ERP, CRM and BI functionality. This recommendation is justified because the problems identified in the case are interconnected. Inventory errors affect customer orders, fragmented customer data weakens marketing and service quality, spreadsheet reporting slows decision-making and a lack of integration causes duplication and inconsistency. Integrated information systems are therefore needed not only to improve efficiency, but also to support growth, control and competitiveness (AL-Hashem and Al-ma’aitah, 2019; IBM, 2025).</w:t>
      </w:r>
    </w:p>
    <w:p xmlns:wp14="http://schemas.microsoft.com/office/word/2010/wordml" w14:paraId="2A40C976" wp14:textId="77777777">
      <w:pPr>
        <w:pStyle w:val="Heading1"/>
        <w:spacing w:before="160" w:after="120" w:line="276" w:lineRule="auto"/>
        <w:jc w:val="left"/>
      </w:pPr>
      <w:r>
        <w:rPr>
          <w:rFonts w:ascii="Arial" w:hAnsi="Arial" w:eastAsia="Arial"/>
          <w:b/>
          <w:i w:val="0"/>
          <w:sz w:val="28"/>
        </w:rPr>
        <w:t>2. Evaluation of Existing Systems</w:t>
      </w:r>
    </w:p>
    <w:p xmlns:wp14="http://schemas.microsoft.com/office/word/2010/wordml" w14:paraId="5DBCE679" wp14:textId="77777777">
      <w:pPr>
        <w:spacing w:after="120" w:line="360" w:lineRule="auto"/>
        <w:ind w:firstLine="432"/>
        <w:jc w:val="both"/>
      </w:pPr>
      <w:r>
        <w:rPr>
          <w:rFonts w:ascii="Arial" w:hAnsi="Arial" w:eastAsia="Arial"/>
        </w:rPr>
        <w:t>The first major weakness in Maldiva Ltd.’s current system is its manual inventory tracking process. The case shows that stock discrepancies are common, meaning items may appear available when they are actually out of stock. This leads to delayed fulfilment, complaints, refunds and reputational damage. Manual control is especially unsuitable in an omnichannel retail environment where stock changes quickly across physical and digital sales channels. NetSuite (2020) explains that ERP-based inventory management improves real-time stock visibility, automates reordering and supports more accurate order fulfilment. Menon (2024) likewise shows that ERP systems help retailers optimise order management and inventory control by integrating sales, inventory and supply chain data in one platform. Maldiva Ltd.’s existing approach does not provide these capabilities, so stock management remains error-prone and inefficient.</w:t>
      </w:r>
    </w:p>
    <w:p xmlns:wp14="http://schemas.microsoft.com/office/word/2010/wordml" w14:paraId="2451322F" wp14:textId="77777777">
      <w:pPr>
        <w:spacing w:after="120" w:line="360" w:lineRule="auto"/>
        <w:ind w:firstLine="432"/>
        <w:jc w:val="both"/>
      </w:pPr>
      <w:r>
        <w:rPr>
          <w:rFonts w:ascii="Arial" w:hAnsi="Arial" w:eastAsia="Arial"/>
          <w:b w:val="0"/>
          <w:i w:val="0"/>
          <w:sz w:val="22"/>
        </w:rPr>
        <w:t>The second weakness concerns customer relationship management. Customer data is stored across multiple disconnected systems, making it difficult for employees to access a complete purchase history or respond consistently to customer queries. This limits the company’s ability to personalise promotions, resolve complaints quickly and identify customer trends. Wynn et al. (2016) found that CRM systems can improve small business performance when implementation is aligned with business strategy, process improvement and employee capability. More recent evidence from Martinho, Farinha and Ribeiro (2025) also shows that CRM organisation, customer service quality, operational CRM and customer-centric management have significant positive effects on SME business performance. In Maldiva Ltd., the lack of a unified customer view means the organisation is underusing a valuable resource that could support both customer satisfaction and sales growth.</w:t>
      </w:r>
    </w:p>
    <w:p xmlns:wp14="http://schemas.microsoft.com/office/word/2010/wordml" w14:paraId="18AD1201" wp14:textId="77777777">
      <w:pPr>
        <w:spacing w:after="120" w:line="360" w:lineRule="auto"/>
        <w:ind w:firstLine="432"/>
        <w:jc w:val="both"/>
      </w:pPr>
      <w:r>
        <w:rPr>
          <w:rFonts w:ascii="Arial" w:hAnsi="Arial" w:eastAsia="Arial"/>
        </w:rPr>
        <w:t>A third weakness is the company’s reporting and decision-making process. The case states that managers rely on spreadsheets compiled manually from outdated data. This slows the reporting cycle and reduces the quality of decisions because management cannot respond quickly to sales trends, fulfilment issues or customer behaviour. Abu-AlSondos (2023) demonstrates that BI systems improve the quality of strategic decision-making through stronger BI management, higher data quality and better data visualisation. Microsoft (2026b) similarly notes that BI platforms enable organisations to connect, analyse and visualise data so teams can understand performance and take action faster. Maldiva Ltd.’s current arrangement lacks these capabilities, meaning managers are forced to make decisions using delayed and potentially inaccurate information.</w:t>
      </w:r>
    </w:p>
    <w:p xmlns:wp14="http://schemas.microsoft.com/office/word/2010/wordml" w14:paraId="02D6C502" wp14:textId="77777777">
      <w:pPr>
        <w:spacing w:after="120" w:line="360" w:lineRule="auto"/>
        <w:ind w:firstLine="432"/>
        <w:jc w:val="both"/>
      </w:pPr>
      <w:r>
        <w:rPr>
          <w:rFonts w:ascii="Arial" w:hAnsi="Arial" w:eastAsia="Arial"/>
        </w:rPr>
        <w:t>A fourth weakness is the lack of integration across departments. Sales, finance and inventory teams appear to use separate systems that do not communicate effectively, forcing employees to transfer or reconcile information manually. IBM (2025) explains that ERP and CRM integration eliminates data silos, reduces duplicate work and creates a single source of truth across the organisation. AL-Hashem and Al-ma’aitah (2019) similarly found that internal and external systems integration significantly improves service quality. In Maldiva Ltd., the absence of integration wastes time, increases the risk of error and weakens the consistency of operational and customer information.</w:t>
      </w:r>
    </w:p>
    <w:p xmlns:wp14="http://schemas.microsoft.com/office/word/2010/wordml" w14:paraId="08D8C755" wp14:textId="77777777">
      <w:pPr>
        <w:spacing w:after="120" w:line="360" w:lineRule="auto"/>
        <w:ind w:firstLine="432"/>
        <w:jc w:val="both"/>
      </w:pPr>
      <w:r>
        <w:rPr>
          <w:rFonts w:ascii="Arial" w:hAnsi="Arial" w:eastAsia="Arial"/>
        </w:rPr>
        <w:t>The final weakness relates to governance and compliance. The scenario indicates that Maldiva Ltd. is not fully compliant with GDPR and uses weak access controls to protect customer data. This is a serious issue because the retailer processes personal information such as names, contact details and purchasing histories. The GDPR framework requires lawful processing, support for individuals’ rights, breach awareness and privacy by design (European Union, 2026). The European Commission (2026) and the EDPB (2026) also provide practical SME guidance on secure handling of personal data and breach management. Maldiva Ltd.’s fragmented and weakly controlled environment therefore exposes the company to both legal risk and loss of customer trust.</w:t>
      </w:r>
    </w:p>
    <w:p xmlns:wp14="http://schemas.microsoft.com/office/word/2010/wordml" w14:paraId="7CCF0754" wp14:textId="77777777">
      <w:pPr>
        <w:pStyle w:val="Heading1"/>
        <w:spacing w:before="160" w:after="120" w:line="276" w:lineRule="auto"/>
        <w:jc w:val="left"/>
      </w:pPr>
      <w:r>
        <w:rPr>
          <w:rFonts w:ascii="Arial" w:hAnsi="Arial" w:eastAsia="Arial"/>
          <w:b/>
          <w:i w:val="0"/>
          <w:sz w:val="28"/>
        </w:rPr>
        <w:t>3. Recommended Solution</w:t>
      </w:r>
    </w:p>
    <w:p xmlns:wp14="http://schemas.microsoft.com/office/word/2010/wordml" w14:paraId="5AD70DA7" wp14:textId="77777777">
      <w:pPr>
        <w:spacing w:after="120" w:line="360" w:lineRule="auto"/>
        <w:ind w:firstLine="432"/>
        <w:jc w:val="both"/>
      </w:pPr>
      <w:r>
        <w:rPr>
          <w:rFonts w:ascii="Arial" w:hAnsi="Arial" w:eastAsia="Arial"/>
          <w:b w:val="0"/>
          <w:i w:val="0"/>
          <w:sz w:val="22"/>
        </w:rPr>
        <w:t>The most appropriate solution for Maldiva Ltd. is the adoption of a cloud-based integrated information system combining ERP, CRM and BI. This recommendation directly addresses the company’s key weaknesses because it would connect inventory, finance, customer information and reporting into one coordinated environment. Khalid (2024) argues that cloud technologies improve enterprise data management by enabling scalable storage, real-time access and stronger integration between intelligent business applications such as ERP and CRM. For a growing SME, a cloud model is attractive because it supports expansion, reduces infrastructure burden and makes continuous updates easier to manage.</w:t>
      </w:r>
    </w:p>
    <w:p xmlns:wp14="http://schemas.microsoft.com/office/word/2010/wordml" w14:paraId="35799B27" wp14:textId="77777777">
      <w:pPr>
        <w:spacing w:after="120" w:line="360" w:lineRule="auto"/>
        <w:ind w:firstLine="432"/>
        <w:jc w:val="both"/>
      </w:pPr>
      <w:r>
        <w:rPr>
          <w:rFonts w:ascii="Arial" w:hAnsi="Arial" w:eastAsia="Arial"/>
        </w:rPr>
        <w:t>The ERP component would address the company’s stock control and operational inefficiencies. Jacobs and Kabaso (2025) found that SMEs improve efficiency and competitiveness when they strategically use ERP features such as inventory management, CRM and financial management. Menon (2024) also found that ERP systems enhance order fulfilment accuracy, inventory turnover and demand forecasting in retail contexts by integrating operational data in real time. For Maldiva Ltd., ERP would replace manual stock tracking with real-time visibility, automated replenishment and better coordination between physical stores and e-commerce channels. Microsoft (2026a) presents Dynamics 365 Business Central as an example of an SME-focused cloud platform with integrated finance, inventory and operational tools, although Maldiva Ltd. should evaluate several options before selecting a vendor.</w:t>
      </w:r>
    </w:p>
    <w:p xmlns:wp14="http://schemas.microsoft.com/office/word/2010/wordml" w14:paraId="7184D371" wp14:textId="77777777">
      <w:pPr>
        <w:spacing w:after="120" w:line="360" w:lineRule="auto"/>
        <w:ind w:firstLine="432"/>
        <w:jc w:val="both"/>
      </w:pPr>
      <w:r>
        <w:rPr>
          <w:rFonts w:ascii="Arial" w:hAnsi="Arial" w:eastAsia="Arial"/>
          <w:b w:val="0"/>
          <w:i w:val="0"/>
          <w:sz w:val="22"/>
        </w:rPr>
        <w:t>The CRM component would centralise customer information and improve service quality. Instead of keeping customer data in multiple places, Maldiva Ltd. would have one shared database accessible to sales, marketing and customer support teams. This would support faster resolution of complaints, better segmentation of customers and more targeted promotions. Wynn et al. (2016) highlight that CRM systems are most effective when embedded within broader organisational improvements, while Martinho, Farinha and Ribeiro (2025) provide empirical evidence that CRM organisation and service quality positively influence SME performance. In Maldiva Ltd.’s case, CRM should therefore be understood as a strategic capability for customer retention and not only as a record-keeping tool.</w:t>
      </w:r>
    </w:p>
    <w:p xmlns:wp14="http://schemas.microsoft.com/office/word/2010/wordml" w14:paraId="68053A58" wp14:textId="77777777">
      <w:pPr>
        <w:spacing w:after="120" w:line="360" w:lineRule="auto"/>
        <w:ind w:firstLine="432"/>
        <w:jc w:val="both"/>
      </w:pPr>
      <w:r>
        <w:rPr>
          <w:rFonts w:ascii="Arial" w:hAnsi="Arial" w:eastAsia="Arial"/>
        </w:rPr>
        <w:t>The BI component would strengthen managerial decision-making. Microsoft (2026b) explains that BI turns organisational data into interactive dashboards and analytical insight, while Abu-AlSondos (2023) shows that good data visualisation and data quality improve strategic decision-making quality. In practical terms, BI would allow Maldiva Ltd. to monitor sales trends, stock movements, fulfilment delays, return rates and customer patterns in near real time. This would replace slow spreadsheet reporting and support faster, evidence-based management decisions. Because the company wants to expand, reliable managerial insight is essential to prevent growth from increasing operational disorder.</w:t>
      </w:r>
    </w:p>
    <w:p xmlns:wp14="http://schemas.microsoft.com/office/word/2010/wordml" w14:paraId="1A7118CF" wp14:textId="77777777">
      <w:pPr>
        <w:spacing w:after="120" w:line="360" w:lineRule="auto"/>
        <w:ind w:firstLine="432"/>
        <w:jc w:val="both"/>
      </w:pPr>
      <w:r>
        <w:rPr>
          <w:rFonts w:ascii="Arial" w:hAnsi="Arial" w:eastAsia="Arial"/>
        </w:rPr>
        <w:t>The proposed solution would also improve governance. Integrated systems can support role-based permissions, audit trails, clearer accountability and stronger control over personal data. GDPR encourages privacy by design, while the EDPB (2026) provides direct guidance to SMEs on securing personal data and handling breaches. By moving to a better governed and more integrated environment, Maldiva Ltd. would reduce compliance exposure and improve the trustworthiness of its customer-facing operations.</w:t>
      </w:r>
    </w:p>
    <w:p xmlns:wp14="http://schemas.microsoft.com/office/word/2010/wordml" w14:paraId="76144A99" wp14:textId="77777777">
      <w:pPr>
        <w:pStyle w:val="Heading1"/>
        <w:spacing w:before="160" w:after="120" w:line="276" w:lineRule="auto"/>
        <w:jc w:val="left"/>
      </w:pPr>
      <w:r>
        <w:rPr>
          <w:rFonts w:ascii="Arial" w:hAnsi="Arial" w:eastAsia="Arial"/>
          <w:b/>
          <w:i w:val="0"/>
          <w:sz w:val="28"/>
        </w:rPr>
        <w:t>4. Implementation Plan</w:t>
      </w:r>
    </w:p>
    <w:p xmlns:wp14="http://schemas.microsoft.com/office/word/2010/wordml" w14:paraId="7C904637" wp14:textId="77777777">
      <w:pPr>
        <w:spacing w:after="120" w:line="360" w:lineRule="auto"/>
        <w:ind w:firstLine="432"/>
        <w:jc w:val="both"/>
      </w:pPr>
      <w:r>
        <w:rPr>
          <w:rFonts w:ascii="Arial" w:hAnsi="Arial" w:eastAsia="Arial"/>
          <w:b w:val="0"/>
          <w:i w:val="0"/>
          <w:sz w:val="22"/>
        </w:rPr>
        <w:t>Implementation should take place in phases to reduce disruption and increase the likelihood of success. The first phase should be a detailed requirements analysis covering inventory management, customer service, finance, reporting and GDPR needs. Once business requirements are clearly defined, Maldiva Ltd. should evaluate vendors according to cost, scalability, ease of use, integration, support and security. Because the organisation is still growing, it should prioritise a flexible SME-oriented solution rather than an overly complex enterprise platform.</w:t>
      </w:r>
    </w:p>
    <w:p xmlns:wp14="http://schemas.microsoft.com/office/word/2010/wordml" w14:paraId="6D4397F7" wp14:textId="77777777">
      <w:pPr>
        <w:spacing w:after="120" w:line="360" w:lineRule="auto"/>
        <w:ind w:firstLine="432"/>
        <w:jc w:val="both"/>
      </w:pPr>
      <w:r>
        <w:rPr>
          <w:rFonts w:ascii="Arial" w:hAnsi="Arial" w:eastAsia="Arial"/>
        </w:rPr>
        <w:t>The second phase should focus on data cleansing and migration. Because the business currently uses disconnected systems, customer and product records are likely to contain duplication, inconsistency or missing information. Before migration, data should be standardised and validated so the new system starts from a reliable foundation. This is also necessary from a compliance perspective because inaccurate or excessive customer records increase GDPR risk (European Commission, 2026; EDPB, 2026).</w:t>
      </w:r>
    </w:p>
    <w:p xmlns:wp14="http://schemas.microsoft.com/office/word/2010/wordml" w14:paraId="45F20443" wp14:textId="77777777">
      <w:pPr>
        <w:spacing w:after="120" w:line="360" w:lineRule="auto"/>
        <w:ind w:firstLine="432"/>
        <w:jc w:val="both"/>
      </w:pPr>
      <w:r>
        <w:rPr>
          <w:rFonts w:ascii="Arial" w:hAnsi="Arial" w:eastAsia="Arial"/>
          <w:b w:val="0"/>
          <w:i w:val="0"/>
          <w:sz w:val="22"/>
        </w:rPr>
        <w:t>The third phase should involve pilot testing, staff training and change management. Kirana and Reddy (2019) identify top management support, effective communication, appropriate package selection, training and change management as critical success factors for ERP implementation in SMEs. Maldiva Ltd. should therefore treat implementation as an organisational change project rather than a purely technical task. A pilot rollout in one store or one function would allow the company to test workflows and reporting before full deployment. Training should be tailored to different user groups so that employees understand how the system improves their work and reduces error.</w:t>
      </w:r>
    </w:p>
    <w:p xmlns:wp14="http://schemas.microsoft.com/office/word/2010/wordml" w14:paraId="158B9422" wp14:textId="77777777">
      <w:pPr>
        <w:spacing w:after="120" w:line="360" w:lineRule="auto"/>
        <w:ind w:firstLine="432"/>
        <w:jc w:val="both"/>
      </w:pPr>
      <w:r>
        <w:rPr>
          <w:rFonts w:ascii="Arial" w:hAnsi="Arial" w:eastAsia="Arial"/>
        </w:rPr>
        <w:t>The final phase should involve full rollout and post-implementation monitoring. Management should track indicators such as stock accuracy, order fulfilment speed, complaint resolution time, reporting cycle time and customer retention. Bourgeois (2014) emphasises that information systems support ongoing coordination and organisational learning, which means evaluation should continue after deployment. Continuous review will help Maldiva Ltd. refine processes, identify further training needs and ensure that the system continues to support business growth effectively.</w:t>
      </w:r>
    </w:p>
    <w:p xmlns:wp14="http://schemas.microsoft.com/office/word/2010/wordml" w14:paraId="4EC5A799" wp14:textId="77777777">
      <w:pPr>
        <w:pStyle w:val="Heading1"/>
        <w:spacing w:before="160" w:after="120" w:line="276" w:lineRule="auto"/>
        <w:jc w:val="left"/>
      </w:pPr>
      <w:r>
        <w:rPr>
          <w:rFonts w:ascii="Arial" w:hAnsi="Arial" w:eastAsia="Arial"/>
          <w:b/>
          <w:i w:val="0"/>
          <w:sz w:val="28"/>
        </w:rPr>
        <w:t>5. Conclusion</w:t>
      </w:r>
    </w:p>
    <w:p xmlns:wp14="http://schemas.microsoft.com/office/word/2010/wordml" w14:paraId="2A37FA99" wp14:textId="77777777">
      <w:pPr>
        <w:spacing w:after="120" w:line="360" w:lineRule="auto"/>
        <w:ind w:firstLine="432"/>
        <w:jc w:val="both"/>
      </w:pPr>
      <w:r>
        <w:rPr>
          <w:rFonts w:ascii="Arial" w:hAnsi="Arial" w:eastAsia="Arial"/>
          <w:b w:val="0"/>
          <w:i w:val="0"/>
          <w:sz w:val="22"/>
        </w:rPr>
        <w:t>Maldiva Ltd. is experiencing a series of connected business problems caused by outdated and fragmented information systems. Manual inventory tracking, disconnected customer data, spreadsheet-based reporting, poor departmental integration and weak data governance are reducing efficiency, slowing decision-making and damaging customer experience. These issues are especially serious because the company is trying to grow across multiple channels and therefore requires stronger operational control.</w:t>
      </w:r>
    </w:p>
    <w:p xmlns:wp14="http://schemas.microsoft.com/office/word/2010/wordml" w14:paraId="5A6B7B77" wp14:textId="77777777">
      <w:pPr>
        <w:spacing w:after="120" w:line="360" w:lineRule="auto"/>
        <w:ind w:firstLine="432"/>
        <w:jc w:val="both"/>
      </w:pPr>
      <w:r>
        <w:rPr>
          <w:rFonts w:ascii="Arial" w:hAnsi="Arial" w:eastAsia="Arial"/>
        </w:rPr>
        <w:t>This report has argued that the most appropriate response is the adoption of a cloud-based integrated information system combining ERP, CRM and BI. Such a system would improve stock visibility, support customer management, strengthen managerial decision-making and improve GDPR compliance. Evidence from academic and professional sources suggests that integrated systems help SMEs improve efficiency, competitiveness and service quality when implementation is aligned with business needs and supported by strong management and training (Jacobs and Kabaso, 2025; IBM, 2025; Kirana and Reddy, 2019). If Maldiva Ltd. implements the recommended solution effectively, it will be better positioned to improve performance and support sustainable future growth.</w:t>
      </w:r>
    </w:p>
    <w:p xmlns:wp14="http://schemas.microsoft.com/office/word/2010/wordml" w14:paraId="3D94284D" wp14:textId="77777777">
      <w:pPr>
        <w:pStyle w:val="Heading1"/>
        <w:spacing w:before="160" w:after="120" w:line="276" w:lineRule="auto"/>
        <w:jc w:val="left"/>
      </w:pPr>
      <w:r>
        <w:rPr>
          <w:rFonts w:ascii="Arial" w:hAnsi="Arial" w:eastAsia="Arial"/>
          <w:b/>
          <w:i w:val="0"/>
          <w:sz w:val="28"/>
        </w:rPr>
        <w:t>Reference List</w:t>
      </w:r>
    </w:p>
    <w:p xmlns:wp14="http://schemas.microsoft.com/office/word/2010/wordml" w14:paraId="188D3EEB" wp14:textId="77777777">
      <w:pPr>
        <w:spacing w:after="80" w:line="360" w:lineRule="auto"/>
        <w:ind w:left="432" w:hanging="432"/>
        <w:jc w:val="left"/>
      </w:pPr>
      <w:r>
        <w:rPr>
          <w:rFonts w:ascii="Arial" w:hAnsi="Arial" w:eastAsia="Arial"/>
          <w:b w:val="0"/>
          <w:i w:val="0"/>
          <w:sz w:val="22"/>
        </w:rPr>
        <w:t xml:space="preserve">Abu-AlSondos, I.A. (2023) ‘The impact of business intelligence system (BIS) on quality of strategic decision-making’, </w:t>
      </w:r>
      <w:r>
        <w:rPr>
          <w:rFonts w:ascii="Arial" w:hAnsi="Arial" w:eastAsia="Arial"/>
          <w:b w:val="0"/>
          <w:i/>
          <w:sz w:val="22"/>
        </w:rPr>
        <w:t>International Journal of Data and Network Science</w:t>
      </w:r>
      <w:r>
        <w:rPr>
          <w:rFonts w:ascii="Arial" w:hAnsi="Arial" w:eastAsia="Arial"/>
          <w:b w:val="0"/>
          <w:i w:val="0"/>
          <w:sz w:val="22"/>
        </w:rPr>
        <w:t xml:space="preserve">, </w:t>
      </w:r>
      <w:r>
        <w:rPr>
          <w:rFonts w:ascii="Arial" w:hAnsi="Arial" w:eastAsia="Arial"/>
          <w:b w:val="0"/>
          <w:i/>
          <w:sz w:val="22"/>
        </w:rPr>
        <w:t>7(4)</w:t>
      </w:r>
      <w:r>
        <w:rPr>
          <w:rFonts w:ascii="Arial" w:hAnsi="Arial" w:eastAsia="Arial"/>
          <w:b w:val="0"/>
          <w:i w:val="0"/>
          <w:sz w:val="22"/>
        </w:rPr>
        <w:t>, pp. 1901–1912. Available at: https://www.growingscience.com/ijds/Vol7/ijdns_2023_100.pdf (Accessed: 30 June 2026).</w:t>
      </w:r>
    </w:p>
    <w:p xmlns:wp14="http://schemas.microsoft.com/office/word/2010/wordml" w14:paraId="609E3A33" wp14:textId="77777777">
      <w:pPr>
        <w:spacing w:after="80" w:line="360" w:lineRule="auto"/>
        <w:ind w:left="432" w:hanging="432"/>
        <w:jc w:val="left"/>
      </w:pPr>
      <w:r>
        <w:rPr>
          <w:rFonts w:ascii="Arial" w:hAnsi="Arial" w:eastAsia="Arial"/>
          <w:b w:val="0"/>
          <w:i w:val="0"/>
          <w:sz w:val="22"/>
        </w:rPr>
        <w:t xml:space="preserve">AL-Hashem, A.O. and Al-ma’aitah, M.A. (2019) ‘Integrated Information Systems from Internal and External Integration Perspectives as a Prerequisite for Electronic Service Quality’, </w:t>
      </w:r>
      <w:r>
        <w:rPr>
          <w:rFonts w:ascii="Arial" w:hAnsi="Arial" w:eastAsia="Arial"/>
          <w:b w:val="0"/>
          <w:i/>
          <w:sz w:val="22"/>
        </w:rPr>
        <w:t>TEM Journal</w:t>
      </w:r>
      <w:r>
        <w:rPr>
          <w:rFonts w:ascii="Arial" w:hAnsi="Arial" w:eastAsia="Arial"/>
          <w:b w:val="0"/>
          <w:i w:val="0"/>
          <w:sz w:val="22"/>
        </w:rPr>
        <w:t xml:space="preserve">, </w:t>
      </w:r>
      <w:r>
        <w:rPr>
          <w:rFonts w:ascii="Arial" w:hAnsi="Arial" w:eastAsia="Arial"/>
          <w:b w:val="0"/>
          <w:i/>
          <w:sz w:val="22"/>
        </w:rPr>
        <w:t>8(2)</w:t>
      </w:r>
      <w:r>
        <w:rPr>
          <w:rFonts w:ascii="Arial" w:hAnsi="Arial" w:eastAsia="Arial"/>
          <w:b w:val="0"/>
          <w:i w:val="0"/>
          <w:sz w:val="22"/>
        </w:rPr>
        <w:t>, pp. 462–470. Available at: https://www.temjournal.com/content/82/TEMJournalMay2019_462_470.pdf (Accessed: 30 June 2026).</w:t>
      </w:r>
    </w:p>
    <w:p xmlns:wp14="http://schemas.microsoft.com/office/word/2010/wordml" w14:paraId="099E7B2E" wp14:textId="77777777">
      <w:pPr>
        <w:spacing w:after="80" w:line="360" w:lineRule="auto"/>
        <w:ind w:left="432" w:hanging="432"/>
        <w:jc w:val="left"/>
      </w:pPr>
      <w:r>
        <w:rPr>
          <w:rFonts w:ascii="Arial" w:hAnsi="Arial" w:eastAsia="Arial"/>
          <w:b w:val="0"/>
          <w:i w:val="0"/>
          <w:sz w:val="22"/>
        </w:rPr>
        <w:t xml:space="preserve">Bourgeois, D.T. (2014) </w:t>
      </w:r>
      <w:r>
        <w:rPr>
          <w:rFonts w:ascii="Arial" w:hAnsi="Arial" w:eastAsia="Arial"/>
          <w:b w:val="0"/>
          <w:i/>
          <w:sz w:val="22"/>
        </w:rPr>
        <w:t>Information Systems for Business and Beyond</w:t>
      </w:r>
      <w:r>
        <w:rPr>
          <w:rFonts w:ascii="Arial" w:hAnsi="Arial" w:eastAsia="Arial"/>
          <w:b w:val="0"/>
          <w:i w:val="0"/>
          <w:sz w:val="22"/>
        </w:rPr>
        <w:t>. Available at: https://resources.saylor.org/wwwresources/archived/site/textbooks/Information%20Systems%20for%20Business%20and%20Beyond.pdf (Accessed: 30 June 2026).</w:t>
      </w:r>
    </w:p>
    <w:p xmlns:wp14="http://schemas.microsoft.com/office/word/2010/wordml" w14:paraId="18855739" wp14:textId="77777777">
      <w:pPr>
        <w:spacing w:after="80" w:line="360" w:lineRule="auto"/>
        <w:ind w:left="432" w:hanging="432"/>
        <w:jc w:val="left"/>
      </w:pPr>
      <w:r>
        <w:rPr>
          <w:rFonts w:ascii="Arial" w:hAnsi="Arial" w:eastAsia="Arial"/>
          <w:b w:val="0"/>
          <w:i w:val="0"/>
          <w:sz w:val="22"/>
        </w:rPr>
        <w:t xml:space="preserve">European Commission (2026) </w:t>
      </w:r>
      <w:r>
        <w:rPr>
          <w:rFonts w:ascii="Arial" w:hAnsi="Arial" w:eastAsia="Arial"/>
          <w:b w:val="0"/>
          <w:i/>
          <w:sz w:val="22"/>
        </w:rPr>
        <w:t>Data protection</w:t>
      </w:r>
      <w:r>
        <w:rPr>
          <w:rFonts w:ascii="Arial" w:hAnsi="Arial" w:eastAsia="Arial"/>
          <w:b w:val="0"/>
          <w:i w:val="0"/>
          <w:sz w:val="22"/>
        </w:rPr>
        <w:t>. Available at: https://commission.europa.eu/law/law-topic/data-protection_en (Accessed: 30 June 2026).</w:t>
      </w:r>
    </w:p>
    <w:p xmlns:wp14="http://schemas.microsoft.com/office/word/2010/wordml" w14:paraId="603363E9" wp14:textId="77777777">
      <w:pPr>
        <w:spacing w:after="80" w:line="360" w:lineRule="auto"/>
        <w:ind w:left="432" w:hanging="432"/>
        <w:jc w:val="left"/>
      </w:pPr>
      <w:r>
        <w:rPr>
          <w:rFonts w:ascii="Arial" w:hAnsi="Arial" w:eastAsia="Arial"/>
          <w:b w:val="0"/>
          <w:i w:val="0"/>
          <w:sz w:val="22"/>
        </w:rPr>
        <w:t xml:space="preserve">European Data Protection Board (EDPB) (2026) </w:t>
      </w:r>
      <w:r>
        <w:rPr>
          <w:rFonts w:ascii="Arial" w:hAnsi="Arial" w:eastAsia="Arial"/>
          <w:b w:val="0"/>
          <w:i/>
          <w:sz w:val="22"/>
        </w:rPr>
        <w:t>SME home: Data protection guide for small business</w:t>
      </w:r>
      <w:r>
        <w:rPr>
          <w:rFonts w:ascii="Arial" w:hAnsi="Arial" w:eastAsia="Arial"/>
          <w:b w:val="0"/>
          <w:i w:val="0"/>
          <w:sz w:val="22"/>
        </w:rPr>
        <w:t>. Available at: https://www.edpb.europa.eu/sme_en (Accessed: 30 June 2026).</w:t>
      </w:r>
    </w:p>
    <w:p xmlns:wp14="http://schemas.microsoft.com/office/word/2010/wordml" w14:paraId="347DE1C2" wp14:textId="77777777">
      <w:pPr>
        <w:spacing w:after="80" w:line="360" w:lineRule="auto"/>
        <w:ind w:left="432" w:hanging="432"/>
        <w:jc w:val="left"/>
      </w:pPr>
      <w:r>
        <w:rPr>
          <w:rFonts w:ascii="Arial" w:hAnsi="Arial" w:eastAsia="Arial"/>
          <w:b w:val="0"/>
          <w:i w:val="0"/>
          <w:sz w:val="22"/>
        </w:rPr>
        <w:t xml:space="preserve">European Union (2026) </w:t>
      </w:r>
      <w:r>
        <w:rPr>
          <w:rFonts w:ascii="Arial" w:hAnsi="Arial" w:eastAsia="Arial"/>
          <w:b w:val="0"/>
          <w:i/>
          <w:sz w:val="22"/>
        </w:rPr>
        <w:t>Regulation (EU) 2016/679 on the protection of natural persons with regard to the processing of personal data and on the free movement of such data (General Data Protection Regulation): summary</w:t>
      </w:r>
      <w:r>
        <w:rPr>
          <w:rFonts w:ascii="Arial" w:hAnsi="Arial" w:eastAsia="Arial"/>
          <w:b w:val="0"/>
          <w:i w:val="0"/>
          <w:sz w:val="22"/>
        </w:rPr>
        <w:t>. Available at: https://eur-lex.europa.eu/EN/legal-content/summary/general-data-protection-regulation-gdpr.html (Accessed: 30 June 2026).</w:t>
      </w:r>
    </w:p>
    <w:p xmlns:wp14="http://schemas.microsoft.com/office/word/2010/wordml" w14:paraId="45E7687C" wp14:textId="77777777">
      <w:pPr>
        <w:spacing w:after="80" w:line="360" w:lineRule="auto"/>
        <w:ind w:left="432" w:hanging="432"/>
        <w:jc w:val="left"/>
      </w:pPr>
      <w:r>
        <w:rPr>
          <w:rFonts w:ascii="Arial" w:hAnsi="Arial" w:eastAsia="Arial"/>
          <w:b w:val="0"/>
          <w:i w:val="0"/>
          <w:sz w:val="22"/>
        </w:rPr>
        <w:t xml:space="preserve">IBM (2025) </w:t>
      </w:r>
      <w:r>
        <w:rPr>
          <w:rFonts w:ascii="Arial" w:hAnsi="Arial" w:eastAsia="Arial"/>
          <w:b w:val="0"/>
          <w:i/>
          <w:sz w:val="22"/>
        </w:rPr>
        <w:t>CRM - ERP integration: Accelerate with AI</w:t>
      </w:r>
      <w:r>
        <w:rPr>
          <w:rFonts w:ascii="Arial" w:hAnsi="Arial" w:eastAsia="Arial"/>
          <w:b w:val="0"/>
          <w:i w:val="0"/>
          <w:sz w:val="22"/>
        </w:rPr>
        <w:t>. Available at: https://www.ibm.com/think/topics/crm-erp-integration (Accessed: 30 June 2026).</w:t>
      </w:r>
    </w:p>
    <w:p xmlns:wp14="http://schemas.microsoft.com/office/word/2010/wordml" w14:paraId="07AC8E68" wp14:textId="77777777">
      <w:pPr>
        <w:spacing w:after="80" w:line="360" w:lineRule="auto"/>
        <w:ind w:left="432" w:hanging="432"/>
        <w:jc w:val="left"/>
      </w:pPr>
      <w:r>
        <w:rPr>
          <w:rFonts w:ascii="Arial" w:hAnsi="Arial" w:eastAsia="Arial"/>
          <w:b w:val="0"/>
          <w:i w:val="0"/>
          <w:sz w:val="22"/>
        </w:rPr>
        <w:t xml:space="preserve">Jacobs, D.M. and Kabaso, B. (2025) ‘Enhancing enterprise resource planning: An empirical analysis of feature utilisation and competitive advantage in small- and medium-sized enterprises’, </w:t>
      </w:r>
      <w:r>
        <w:rPr>
          <w:rFonts w:ascii="Arial" w:hAnsi="Arial" w:eastAsia="Arial"/>
          <w:b w:val="0"/>
          <w:i/>
          <w:sz w:val="22"/>
        </w:rPr>
        <w:t>Southern African Journal of Entrepreneurship and Small Business Management</w:t>
      </w:r>
      <w:r>
        <w:rPr>
          <w:rFonts w:ascii="Arial" w:hAnsi="Arial" w:eastAsia="Arial"/>
          <w:b w:val="0"/>
          <w:i w:val="0"/>
          <w:sz w:val="22"/>
        </w:rPr>
        <w:t xml:space="preserve">, </w:t>
      </w:r>
      <w:r>
        <w:rPr>
          <w:rFonts w:ascii="Arial" w:hAnsi="Arial" w:eastAsia="Arial"/>
          <w:b w:val="0"/>
          <w:i/>
          <w:sz w:val="22"/>
        </w:rPr>
        <w:t>17(1)</w:t>
      </w:r>
      <w:r>
        <w:rPr>
          <w:rFonts w:ascii="Arial" w:hAnsi="Arial" w:eastAsia="Arial"/>
          <w:b w:val="0"/>
          <w:i w:val="0"/>
          <w:sz w:val="22"/>
        </w:rPr>
        <w:t>, a956. Available at: https://www.scielo.org.za/pdf/sajesbm/v17n1/05.pdf (Accessed: 30 June 2026).</w:t>
      </w:r>
    </w:p>
    <w:p xmlns:wp14="http://schemas.microsoft.com/office/word/2010/wordml" w14:paraId="5210321D" wp14:textId="77777777">
      <w:pPr>
        <w:spacing w:after="80" w:line="360" w:lineRule="auto"/>
        <w:ind w:left="432" w:hanging="432"/>
        <w:jc w:val="left"/>
      </w:pPr>
      <w:r>
        <w:rPr>
          <w:rFonts w:ascii="Arial" w:hAnsi="Arial" w:eastAsia="Arial"/>
          <w:b w:val="0"/>
          <w:i w:val="0"/>
          <w:sz w:val="22"/>
        </w:rPr>
        <w:t xml:space="preserve">Khalid, H. (2024) ‘The Role of Cloud Technologies in Improving Enterprise Data Management: A Case Study of Intelligent Business Applications’, </w:t>
      </w:r>
      <w:r>
        <w:rPr>
          <w:rFonts w:ascii="Arial" w:hAnsi="Arial" w:eastAsia="Arial"/>
          <w:b w:val="0"/>
          <w:i/>
          <w:sz w:val="22"/>
        </w:rPr>
        <w:t>Dijlah Journal of Engineering Sciences</w:t>
      </w:r>
      <w:r>
        <w:rPr>
          <w:rFonts w:ascii="Arial" w:hAnsi="Arial" w:eastAsia="Arial"/>
          <w:b w:val="0"/>
          <w:i w:val="0"/>
          <w:sz w:val="22"/>
        </w:rPr>
        <w:t xml:space="preserve">, </w:t>
      </w:r>
      <w:r>
        <w:rPr>
          <w:rFonts w:ascii="Arial" w:hAnsi="Arial" w:eastAsia="Arial"/>
          <w:b w:val="0"/>
          <w:i/>
          <w:sz w:val="22"/>
        </w:rPr>
        <w:t>1(3)</w:t>
      </w:r>
      <w:r>
        <w:rPr>
          <w:rFonts w:ascii="Arial" w:hAnsi="Arial" w:eastAsia="Arial"/>
          <w:b w:val="0"/>
          <w:i w:val="0"/>
          <w:sz w:val="22"/>
        </w:rPr>
        <w:t>, pp. 59–71. Available at: https://journal.duc.edu.iq/index.php/djst/article/download/43/49 (Accessed: 30 June 2026).</w:t>
      </w:r>
    </w:p>
    <w:p xmlns:wp14="http://schemas.microsoft.com/office/word/2010/wordml" w14:paraId="4F04F24B" wp14:textId="77777777">
      <w:pPr>
        <w:spacing w:after="80" w:line="360" w:lineRule="auto"/>
        <w:ind w:left="432" w:hanging="432"/>
        <w:jc w:val="left"/>
      </w:pPr>
      <w:r>
        <w:rPr>
          <w:rFonts w:ascii="Arial" w:hAnsi="Arial" w:eastAsia="Arial"/>
          <w:b w:val="0"/>
          <w:i w:val="0"/>
          <w:sz w:val="22"/>
        </w:rPr>
        <w:t xml:space="preserve">Kirana, T.S. and Reddy, A.V. (2019) ‘Critical success factors of ERP implementation in SMEs’, </w:t>
      </w:r>
      <w:r>
        <w:rPr>
          <w:rFonts w:ascii="Arial" w:hAnsi="Arial" w:eastAsia="Arial"/>
          <w:b w:val="0"/>
          <w:i/>
          <w:sz w:val="22"/>
        </w:rPr>
        <w:t>Journal of Project Management</w:t>
      </w:r>
      <w:r>
        <w:rPr>
          <w:rFonts w:ascii="Arial" w:hAnsi="Arial" w:eastAsia="Arial"/>
          <w:b w:val="0"/>
          <w:i w:val="0"/>
          <w:sz w:val="22"/>
        </w:rPr>
        <w:t xml:space="preserve">, </w:t>
      </w:r>
      <w:r>
        <w:rPr>
          <w:rFonts w:ascii="Arial" w:hAnsi="Arial" w:eastAsia="Arial"/>
          <w:b w:val="0"/>
          <w:i/>
          <w:sz w:val="22"/>
        </w:rPr>
        <w:t>4(4)</w:t>
      </w:r>
      <w:r>
        <w:rPr>
          <w:rFonts w:ascii="Arial" w:hAnsi="Arial" w:eastAsia="Arial"/>
          <w:b w:val="0"/>
          <w:i w:val="0"/>
          <w:sz w:val="22"/>
        </w:rPr>
        <w:t>, pp. 267–280. Available at: https://www.growingscience.com/jpm/Vol4/jpm_2019_17.pdf (Accessed: 30 June 2026).</w:t>
      </w:r>
    </w:p>
    <w:p xmlns:wp14="http://schemas.microsoft.com/office/word/2010/wordml" w14:paraId="651B5637" wp14:textId="77777777">
      <w:pPr>
        <w:spacing w:after="80" w:line="360" w:lineRule="auto"/>
        <w:ind w:left="432" w:hanging="432"/>
        <w:jc w:val="left"/>
      </w:pPr>
      <w:r>
        <w:rPr>
          <w:rFonts w:ascii="Arial" w:hAnsi="Arial" w:eastAsia="Arial"/>
          <w:b w:val="0"/>
          <w:i w:val="0"/>
          <w:sz w:val="22"/>
        </w:rPr>
        <w:t xml:space="preserve">Martinho, D., Farinha, J. and Ribeiro, V. (2025) ‘The Impact of Customer Relationship Management Systems on Business Performance of Portuguese SMEs’, </w:t>
      </w:r>
      <w:r>
        <w:rPr>
          <w:rFonts w:ascii="Arial" w:hAnsi="Arial" w:eastAsia="Arial"/>
          <w:b w:val="0"/>
          <w:i/>
          <w:sz w:val="22"/>
        </w:rPr>
        <w:t>Sustainability</w:t>
      </w:r>
      <w:r>
        <w:rPr>
          <w:rFonts w:ascii="Arial" w:hAnsi="Arial" w:eastAsia="Arial"/>
          <w:b w:val="0"/>
          <w:i w:val="0"/>
          <w:sz w:val="22"/>
        </w:rPr>
        <w:t xml:space="preserve">, </w:t>
      </w:r>
      <w:r>
        <w:rPr>
          <w:rFonts w:ascii="Arial" w:hAnsi="Arial" w:eastAsia="Arial"/>
          <w:b w:val="0"/>
          <w:i/>
          <w:sz w:val="22"/>
        </w:rPr>
        <w:t>17(12)</w:t>
      </w:r>
      <w:r>
        <w:rPr>
          <w:rFonts w:ascii="Arial" w:hAnsi="Arial" w:eastAsia="Arial"/>
          <w:b w:val="0"/>
          <w:i w:val="0"/>
          <w:sz w:val="22"/>
        </w:rPr>
        <w:t>, pp. 1–19. Available at: https://www.mdpi.com/2071-1050/17/12/5647 (Accessed: 30 June 2026).</w:t>
      </w:r>
    </w:p>
    <w:p xmlns:wp14="http://schemas.microsoft.com/office/word/2010/wordml" w14:paraId="110C5948" wp14:textId="77777777">
      <w:pPr>
        <w:spacing w:after="80" w:line="360" w:lineRule="auto"/>
        <w:ind w:left="432" w:hanging="432"/>
        <w:jc w:val="left"/>
      </w:pPr>
      <w:r>
        <w:rPr>
          <w:rFonts w:ascii="Arial" w:hAnsi="Arial" w:eastAsia="Arial"/>
          <w:b w:val="0"/>
          <w:i w:val="0"/>
          <w:sz w:val="22"/>
        </w:rPr>
        <w:t xml:space="preserve">Menon, A.K. (2024) ‘Evaluating the role of ERP systems in streamlining order management and inventory optimization for U.S. retailers’, </w:t>
      </w:r>
      <w:r>
        <w:rPr>
          <w:rFonts w:ascii="Arial" w:hAnsi="Arial" w:eastAsia="Arial"/>
          <w:b w:val="0"/>
          <w:i/>
          <w:sz w:val="22"/>
        </w:rPr>
        <w:t>World Journal of Advanced Research and Reviews</w:t>
      </w:r>
      <w:r>
        <w:rPr>
          <w:rFonts w:ascii="Arial" w:hAnsi="Arial" w:eastAsia="Arial"/>
          <w:b w:val="0"/>
          <w:i w:val="0"/>
          <w:sz w:val="22"/>
        </w:rPr>
        <w:t xml:space="preserve">, </w:t>
      </w:r>
      <w:r>
        <w:rPr>
          <w:rFonts w:ascii="Arial" w:hAnsi="Arial" w:eastAsia="Arial"/>
          <w:b w:val="0"/>
          <w:i/>
          <w:sz w:val="22"/>
        </w:rPr>
        <w:t>22(3)</w:t>
      </w:r>
      <w:r>
        <w:rPr>
          <w:rFonts w:ascii="Arial" w:hAnsi="Arial" w:eastAsia="Arial"/>
          <w:b w:val="0"/>
          <w:i w:val="0"/>
          <w:sz w:val="22"/>
        </w:rPr>
        <w:t>, pp. 2286–2294. Available at: https://wjarr.com/sites/default/files/fulltext_pdf/WJARR-2024-1776.pdf (Accessed: 30 June 2026).</w:t>
      </w:r>
    </w:p>
    <w:p xmlns:wp14="http://schemas.microsoft.com/office/word/2010/wordml" w14:paraId="6C425696" wp14:textId="77777777">
      <w:pPr>
        <w:spacing w:after="80" w:line="360" w:lineRule="auto"/>
        <w:ind w:left="432" w:hanging="432"/>
        <w:jc w:val="left"/>
      </w:pPr>
      <w:r>
        <w:rPr>
          <w:rFonts w:ascii="Arial" w:hAnsi="Arial" w:eastAsia="Arial"/>
          <w:b w:val="0"/>
          <w:i w:val="0"/>
          <w:sz w:val="22"/>
        </w:rPr>
        <w:t xml:space="preserve">Microsoft (2026a) </w:t>
      </w:r>
      <w:r>
        <w:rPr>
          <w:rFonts w:ascii="Arial" w:hAnsi="Arial" w:eastAsia="Arial"/>
          <w:b w:val="0"/>
          <w:i/>
          <w:sz w:val="22"/>
        </w:rPr>
        <w:t>Dynamics 365 Business Central</w:t>
      </w:r>
      <w:r>
        <w:rPr>
          <w:rFonts w:ascii="Arial" w:hAnsi="Arial" w:eastAsia="Arial"/>
          <w:b w:val="0"/>
          <w:i w:val="0"/>
          <w:sz w:val="22"/>
        </w:rPr>
        <w:t>. Available at: https://www.microsoft.com/en-us/dynamics-365/products/business-central (Accessed: 30 June 2026).</w:t>
      </w:r>
    </w:p>
    <w:p xmlns:wp14="http://schemas.microsoft.com/office/word/2010/wordml" w14:paraId="5E173652" wp14:textId="77777777">
      <w:pPr>
        <w:spacing w:after="80" w:line="360" w:lineRule="auto"/>
        <w:ind w:left="432" w:hanging="432"/>
        <w:jc w:val="left"/>
      </w:pPr>
      <w:r>
        <w:rPr>
          <w:rFonts w:ascii="Arial" w:hAnsi="Arial" w:eastAsia="Arial"/>
          <w:b w:val="0"/>
          <w:i w:val="0"/>
          <w:sz w:val="22"/>
        </w:rPr>
        <w:t xml:space="preserve">Microsoft (2026b) </w:t>
      </w:r>
      <w:r>
        <w:rPr>
          <w:rFonts w:ascii="Arial" w:hAnsi="Arial" w:eastAsia="Arial"/>
          <w:b w:val="0"/>
          <w:i/>
          <w:sz w:val="22"/>
        </w:rPr>
        <w:t>Power BI - Data Visualization</w:t>
      </w:r>
      <w:r>
        <w:rPr>
          <w:rFonts w:ascii="Arial" w:hAnsi="Arial" w:eastAsia="Arial"/>
          <w:b w:val="0"/>
          <w:i w:val="0"/>
          <w:sz w:val="22"/>
        </w:rPr>
        <w:t>. Available at: https://www.microsoft.com/en-us/power-platform/products/power-bi (Accessed: 30 June 2026).</w:t>
      </w:r>
    </w:p>
    <w:p xmlns:wp14="http://schemas.microsoft.com/office/word/2010/wordml" w14:paraId="77FE8129" wp14:textId="77777777">
      <w:pPr>
        <w:spacing w:after="80" w:line="360" w:lineRule="auto"/>
        <w:ind w:left="432" w:hanging="432"/>
        <w:jc w:val="left"/>
      </w:pPr>
      <w:r>
        <w:rPr>
          <w:rFonts w:ascii="Arial" w:hAnsi="Arial" w:eastAsia="Arial"/>
          <w:b w:val="0"/>
          <w:i w:val="0"/>
          <w:sz w:val="22"/>
        </w:rPr>
        <w:t xml:space="preserve">NetSuite (2020) </w:t>
      </w:r>
      <w:r>
        <w:rPr>
          <w:rFonts w:ascii="Arial" w:hAnsi="Arial" w:eastAsia="Arial"/>
          <w:b w:val="0"/>
          <w:i/>
          <w:sz w:val="22"/>
        </w:rPr>
        <w:t>Essential guide to ERP inventory management</w:t>
      </w:r>
      <w:r>
        <w:rPr>
          <w:rFonts w:ascii="Arial" w:hAnsi="Arial" w:eastAsia="Arial"/>
          <w:b w:val="0"/>
          <w:i w:val="0"/>
          <w:sz w:val="22"/>
        </w:rPr>
        <w:t>. Available at: https://www.netsuite.com/portal/resource/articles/erp/erp-inventory.shtml (Accessed: 30 June 2026).</w:t>
      </w:r>
    </w:p>
    <w:p xmlns:wp14="http://schemas.microsoft.com/office/word/2010/wordml" w14:paraId="656D10AD" wp14:textId="77777777">
      <w:pPr>
        <w:spacing w:after="80" w:line="360" w:lineRule="auto"/>
        <w:ind w:left="432" w:hanging="432"/>
        <w:jc w:val="left"/>
      </w:pPr>
      <w:r>
        <w:rPr>
          <w:rFonts w:ascii="Arial" w:hAnsi="Arial" w:eastAsia="Arial"/>
          <w:b w:val="0"/>
          <w:i w:val="0"/>
          <w:sz w:val="22"/>
        </w:rPr>
        <w:t xml:space="preserve">Wynn, M.G., Turner, P., Banik, A. and Duckworth, G. (2016) ‘The impact of customer relationship management systems in small business enterprises’, </w:t>
      </w:r>
      <w:r>
        <w:rPr>
          <w:rFonts w:ascii="Arial" w:hAnsi="Arial" w:eastAsia="Arial"/>
          <w:b w:val="0"/>
          <w:i/>
          <w:sz w:val="22"/>
        </w:rPr>
        <w:t>Strategic Change: Briefings in Entrepreneurial Finance</w:t>
      </w:r>
      <w:r>
        <w:rPr>
          <w:rFonts w:ascii="Arial" w:hAnsi="Arial" w:eastAsia="Arial"/>
          <w:b w:val="0"/>
          <w:i w:val="0"/>
          <w:sz w:val="22"/>
        </w:rPr>
        <w:t xml:space="preserve">, </w:t>
      </w:r>
      <w:r>
        <w:rPr>
          <w:rFonts w:ascii="Arial" w:hAnsi="Arial" w:eastAsia="Arial"/>
          <w:b w:val="0"/>
          <w:i/>
          <w:sz w:val="22"/>
        </w:rPr>
        <w:t>25(6)</w:t>
      </w:r>
      <w:r>
        <w:rPr>
          <w:rFonts w:ascii="Arial" w:hAnsi="Arial" w:eastAsia="Arial"/>
          <w:b w:val="0"/>
          <w:i w:val="0"/>
          <w:sz w:val="22"/>
        </w:rPr>
        <w:t>, pp. 659–674. Available at: https://eprints.glos.ac.uk/4133/ (Accessed: 30 June 2026).</w:t>
      </w:r>
    </w:p>
    <w:sectPr w:rsidRPr="0006063C" w:rsidR="00FC693F" w:rsidSect="00034616">
      <w:footerReference w:type="default" r:id="rId9"/>
      <w:pgSz w:w="12240" w:h="15840" w:orient="portrait"/>
      <w:pgMar w:top="1440" w:right="1440" w:bottom="1440" w:left="1440" w:header="720" w:footer="720" w:gutter="0"/>
      <w:cols w:space="720"/>
      <w:titlePg/>
      <w:docGrid w:linePitch="360"/>
      <w:headerReference w:type="default" r:id="R539ad112753c4b76"/>
      <w:headerReference w:type="first" r:id="Ref4e1f80468f41cd"/>
      <w:footerReference w:type="first" r:id="R47330fa2378e46e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xmlns:wp14="http://schemas.microsoft.com/office/word/2010/wordml" w14:paraId="133EDD17" wp14:textId="77777777">
    <w:pPr>
      <w:pStyle w:val="Footer"/>
      <w:jc w:val="center"/>
    </w:pPr>
    <w:r>
      <w:rPr>
        <w:rFonts w:ascii="Arial" w:hAnsi="Arial" w:eastAsia="Arial"/>
        <w:b w:val="0"/>
        <w:i w:val="0"/>
        <w:sz w:val="20"/>
      </w:rPr>
      <w:fldChar w:fldCharType="begin"/>
    </w:r>
    <w:r>
      <w:rPr>
        <w:rFonts w:ascii="Arial" w:hAnsi="Arial" w:eastAsia="Arial"/>
        <w:b w:val="0"/>
        <w:i w:val="0"/>
        <w:sz w:val="20"/>
      </w:rPr>
      <w:instrText xml:space="preserve">PAGE</w:instrText>
    </w:r>
    <w:r>
      <w:rPr>
        <w:rFonts w:ascii="Arial" w:hAnsi="Arial" w:eastAsia="Arial"/>
        <w:b w:val="0"/>
        <w:i w:val="0"/>
        <w:sz w:val="20"/>
      </w:rPr>
      <w:fldChar w:fldCharType="end"/>
    </w: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052BEB40" w:rsidTr="052BEB40" w14:paraId="78EBC9C2">
      <w:trPr>
        <w:trHeight w:val="300"/>
      </w:trPr>
      <w:tc>
        <w:tcPr>
          <w:tcW w:w="3120" w:type="dxa"/>
          <w:tcMar/>
        </w:tcPr>
        <w:p w:rsidR="052BEB40" w:rsidP="052BEB40" w:rsidRDefault="052BEB40" w14:paraId="459C9BF8" w14:textId="12E6324E">
          <w:pPr>
            <w:pStyle w:val="Header"/>
            <w:bidi w:val="0"/>
            <w:ind w:left="-115"/>
            <w:jc w:val="left"/>
          </w:pPr>
        </w:p>
      </w:tc>
      <w:tc>
        <w:tcPr>
          <w:tcW w:w="3120" w:type="dxa"/>
          <w:tcMar/>
        </w:tcPr>
        <w:p w:rsidR="052BEB40" w:rsidP="052BEB40" w:rsidRDefault="052BEB40" w14:paraId="32CD9F13" w14:textId="1B31522F">
          <w:pPr>
            <w:pStyle w:val="Header"/>
            <w:bidi w:val="0"/>
            <w:jc w:val="center"/>
          </w:pPr>
        </w:p>
      </w:tc>
      <w:tc>
        <w:tcPr>
          <w:tcW w:w="3120" w:type="dxa"/>
          <w:tcMar/>
        </w:tcPr>
        <w:p w:rsidR="052BEB40" w:rsidP="052BEB40" w:rsidRDefault="052BEB40" w14:paraId="2B5873B7" w14:textId="3BABF123">
          <w:pPr>
            <w:pStyle w:val="Header"/>
            <w:bidi w:val="0"/>
            <w:ind w:right="-115"/>
            <w:jc w:val="right"/>
          </w:pPr>
        </w:p>
      </w:tc>
    </w:tr>
  </w:tbl>
  <w:p w:rsidR="052BEB40" w:rsidP="052BEB40" w:rsidRDefault="052BEB40" w14:paraId="47465F68" w14:textId="359A697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052BEB40" w:rsidTr="052BEB40" w14:paraId="5CFEAF06">
      <w:trPr>
        <w:trHeight w:val="300"/>
      </w:trPr>
      <w:tc>
        <w:tcPr>
          <w:tcW w:w="3120" w:type="dxa"/>
          <w:tcMar/>
        </w:tcPr>
        <w:p w:rsidR="052BEB40" w:rsidP="052BEB40" w:rsidRDefault="052BEB40" w14:paraId="5312DAF3" w14:textId="7EC9071A">
          <w:pPr>
            <w:pStyle w:val="Header"/>
            <w:bidi w:val="0"/>
            <w:ind w:left="-115"/>
            <w:jc w:val="left"/>
          </w:pPr>
        </w:p>
      </w:tc>
      <w:tc>
        <w:tcPr>
          <w:tcW w:w="3120" w:type="dxa"/>
          <w:tcMar/>
        </w:tcPr>
        <w:p w:rsidR="052BEB40" w:rsidP="052BEB40" w:rsidRDefault="052BEB40" w14:paraId="3E8A54B8" w14:textId="2D688F62">
          <w:pPr>
            <w:pStyle w:val="Header"/>
            <w:bidi w:val="0"/>
            <w:jc w:val="center"/>
          </w:pPr>
        </w:p>
      </w:tc>
      <w:tc>
        <w:tcPr>
          <w:tcW w:w="3120" w:type="dxa"/>
          <w:tcMar/>
        </w:tcPr>
        <w:p w:rsidR="052BEB40" w:rsidP="052BEB40" w:rsidRDefault="052BEB40" w14:paraId="0FF2912C" w14:textId="35B6E847">
          <w:pPr>
            <w:pStyle w:val="Header"/>
            <w:bidi w:val="0"/>
            <w:ind w:right="-115"/>
            <w:jc w:val="right"/>
          </w:pPr>
        </w:p>
      </w:tc>
    </w:tr>
  </w:tbl>
  <w:p w:rsidR="052BEB40" w:rsidP="052BEB40" w:rsidRDefault="052BEB40" w14:paraId="7EABEECD" w14:textId="276847EC">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052BEB40" w:rsidTr="052BEB40" w14:paraId="752633A8">
      <w:trPr>
        <w:trHeight w:val="300"/>
      </w:trPr>
      <w:tc>
        <w:tcPr>
          <w:tcW w:w="3120" w:type="dxa"/>
          <w:tcMar/>
        </w:tcPr>
        <w:p w:rsidR="052BEB40" w:rsidP="052BEB40" w:rsidRDefault="052BEB40" w14:paraId="4C16796E" w14:textId="01C73BCB">
          <w:pPr>
            <w:pStyle w:val="Header"/>
            <w:bidi w:val="0"/>
            <w:ind w:left="-115"/>
            <w:jc w:val="left"/>
          </w:pPr>
        </w:p>
      </w:tc>
      <w:tc>
        <w:tcPr>
          <w:tcW w:w="3120" w:type="dxa"/>
          <w:tcMar/>
        </w:tcPr>
        <w:p w:rsidR="052BEB40" w:rsidP="052BEB40" w:rsidRDefault="052BEB40" w14:paraId="6DBCEF7A" w14:textId="445C5FE7">
          <w:pPr>
            <w:pStyle w:val="Header"/>
            <w:bidi w:val="0"/>
            <w:jc w:val="center"/>
          </w:pPr>
        </w:p>
      </w:tc>
      <w:tc>
        <w:tcPr>
          <w:tcW w:w="3120" w:type="dxa"/>
          <w:tcMar/>
        </w:tcPr>
        <w:p w:rsidR="052BEB40" w:rsidP="052BEB40" w:rsidRDefault="052BEB40" w14:paraId="12545426" w14:textId="41DA1722">
          <w:pPr>
            <w:pStyle w:val="Header"/>
            <w:bidi w:val="0"/>
            <w:ind w:right="-115"/>
            <w:jc w:val="right"/>
          </w:pPr>
        </w:p>
      </w:tc>
    </w:tr>
  </w:tbl>
  <w:p w:rsidR="052BEB40" w:rsidP="052BEB40" w:rsidRDefault="052BEB40" w14:paraId="49EC7AC0" w14:textId="63C49C8C">
    <w:pPr>
      <w:pStyle w:val="Header"/>
      <w:bidi w:val="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val="bestFit"/>
  <w:proofState w:spelling="clean" w:grammar="dirty"/>
  <w:trackRevisions w:val="false"/>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052BEB40"/>
    <w:rsid w:val="39047FA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15:docId w15:val="{6A9A047F-D59D-4CC6-B3A6-4FE0CFD16FE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C693F"/>
    <w:rPr>
      <w:rFonts w:ascii="Arial" w:hAnsi="Arial" w:eastAsia="Arial"/>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Arial" w:hAnsi="Arial" w:eastAsia="Arial"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Arial" w:hAnsi="Arial" w:eastAsia="Arial" w:asciiTheme="majorHAnsi" w:hAnsiTheme="majorHAnsi" w:eastAsiaTheme="majorEastAsia" w:cstheme="majorBidi"/>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Arial" w:hAnsi="Arial" w:eastAsia="Arial" w:asciiTheme="majorHAnsi" w:hAnsiTheme="majorHAnsi" w:eastAsiaTheme="majorEastAsia" w:cstheme="majorBidi"/>
      <w:b/>
      <w:bCs/>
      <w:color w:val="4F81BD" w:themeColor="accent1"/>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microsoft.com/office/2007/relationships/stylesWithEffects" Target="stylesWithEffects.xml" Id="rId4" /><Relationship Type="http://schemas.openxmlformats.org/officeDocument/2006/relationships/settings" Target="settings.xml" Id="rId5" /><Relationship Type="http://schemas.openxmlformats.org/officeDocument/2006/relationships/webSettings" Target="webSettings.xml" Id="rId6" /><Relationship Type="http://schemas.openxmlformats.org/officeDocument/2006/relationships/fontTable" Target="fontTable.xml" Id="rId7" /><Relationship Type="http://schemas.openxmlformats.org/officeDocument/2006/relationships/theme" Target="theme/theme1.xml" Id="rId8" /><Relationship Type="http://schemas.openxmlformats.org/officeDocument/2006/relationships/customXml" Target="../customXml/item1.xml" Id="rId1" /><Relationship Type="http://schemas.openxmlformats.org/officeDocument/2006/relationships/numbering" Target="numbering.xml" Id="rId2" /><Relationship Type="http://schemas.openxmlformats.org/officeDocument/2006/relationships/footer" Target="footer1.xml" Id="rId9" /><Relationship Type="http://schemas.openxmlformats.org/officeDocument/2006/relationships/header" Target="header.xml" Id="R539ad112753c4b76" /><Relationship Type="http://schemas.openxmlformats.org/officeDocument/2006/relationships/header" Target="header2.xml" Id="Ref4e1f80468f41cd" /><Relationship Type="http://schemas.openxmlformats.org/officeDocument/2006/relationships/footer" Target="footer2.xml" Id="R47330fa2378e46e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Plamena Plamenova Petrova (2419095)</lastModifiedBy>
  <revision>2</revision>
  <dcterms:created xsi:type="dcterms:W3CDTF">2013-12-23T23:15:00.0000000Z</dcterms:created>
  <dcterms:modified xsi:type="dcterms:W3CDTF">2026-07-06T18:41:57.8644460Z</dcterms:modified>
  <category/>
</coreProperties>
</file>