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F97A6" w14:textId="63D5D589" w:rsidR="00F663B7" w:rsidRPr="00F663B7" w:rsidRDefault="00F663B7" w:rsidP="00F663B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sidRPr="00F663B7">
        <w:rPr>
          <w:rFonts w:ascii="Times New Roman" w:eastAsia="Times New Roman" w:hAnsi="Times New Roman" w:cs="Times New Roman"/>
          <w:b/>
          <w:bCs/>
          <w:kern w:val="36"/>
          <w:sz w:val="48"/>
          <w:szCs w:val="48"/>
          <w:lang w:eastAsia="en-GB"/>
          <w14:ligatures w14:val="none"/>
        </w:rPr>
        <w:t xml:space="preserve">Lenuta Raducanu </w:t>
      </w:r>
    </w:p>
    <w:p w14:paraId="1ACEFE4E" w14:textId="3415FC3D" w:rsidR="00F663B7" w:rsidRPr="00F663B7" w:rsidRDefault="00F663B7" w:rsidP="00F663B7">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sidRPr="00F663B7">
        <w:rPr>
          <w:rFonts w:ascii="Times New Roman" w:eastAsia="Times New Roman" w:hAnsi="Times New Roman" w:cs="Times New Roman"/>
          <w:b/>
          <w:bCs/>
          <w:kern w:val="36"/>
          <w:sz w:val="48"/>
          <w:szCs w:val="48"/>
          <w:lang w:eastAsia="en-GB"/>
          <w14:ligatures w14:val="none"/>
        </w:rPr>
        <w:t xml:space="preserve">Assignment 1 </w:t>
      </w:r>
    </w:p>
    <w:p w14:paraId="784A3AA2" w14:textId="77777777" w:rsidR="00F663B7" w:rsidRPr="00F663B7" w:rsidRDefault="00F663B7" w:rsidP="00F663B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3628893" w14:textId="50697214" w:rsidR="00F663B7" w:rsidRPr="004B1104" w:rsidRDefault="00F663B7" w:rsidP="00F663B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4B1104">
        <w:rPr>
          <w:rFonts w:ascii="Times New Roman" w:eastAsia="Times New Roman" w:hAnsi="Times New Roman" w:cs="Times New Roman"/>
          <w:b/>
          <w:bCs/>
          <w:kern w:val="36"/>
          <w:sz w:val="48"/>
          <w:szCs w:val="48"/>
          <w:lang w:eastAsia="en-GB"/>
          <w14:ligatures w14:val="none"/>
        </w:rPr>
        <w:t>Poster Report on Adam and Eve in Genesis</w:t>
      </w:r>
    </w:p>
    <w:p w14:paraId="3939DFE9" w14:textId="77777777" w:rsidR="00F663B7" w:rsidRDefault="00F663B7" w:rsidP="00F663B7">
      <w:pPr>
        <w:pStyle w:val="NormalWeb"/>
        <w:jc w:val="center"/>
      </w:pPr>
    </w:p>
    <w:p w14:paraId="1C094D32" w14:textId="77777777" w:rsidR="00F663B7" w:rsidRDefault="00F663B7" w:rsidP="00B310F5">
      <w:pPr>
        <w:pStyle w:val="NormalWeb"/>
      </w:pPr>
    </w:p>
    <w:p w14:paraId="463AD7FD" w14:textId="77777777" w:rsidR="00F663B7" w:rsidRDefault="00F663B7" w:rsidP="00B310F5">
      <w:pPr>
        <w:pStyle w:val="NormalWeb"/>
      </w:pPr>
    </w:p>
    <w:p w14:paraId="054628BC" w14:textId="77777777" w:rsidR="00F663B7" w:rsidRDefault="00F663B7" w:rsidP="00B310F5">
      <w:pPr>
        <w:pStyle w:val="NormalWeb"/>
      </w:pPr>
    </w:p>
    <w:p w14:paraId="5095B5CB" w14:textId="77777777" w:rsidR="00F663B7" w:rsidRDefault="00F663B7" w:rsidP="00B310F5">
      <w:pPr>
        <w:pStyle w:val="NormalWeb"/>
      </w:pPr>
    </w:p>
    <w:p w14:paraId="3CF4FDC9" w14:textId="77777777" w:rsidR="00F663B7" w:rsidRDefault="00F663B7" w:rsidP="00B310F5">
      <w:pPr>
        <w:pStyle w:val="NormalWeb"/>
      </w:pPr>
    </w:p>
    <w:p w14:paraId="11FF376D" w14:textId="1A6C047D" w:rsidR="00B310F5" w:rsidRPr="00F663B7" w:rsidRDefault="00B310F5" w:rsidP="00B310F5">
      <w:pPr>
        <w:pStyle w:val="NormalWeb"/>
        <w:rPr>
          <w:b/>
          <w:bCs/>
          <w:sz w:val="28"/>
          <w:szCs w:val="28"/>
        </w:rPr>
      </w:pPr>
      <w:r w:rsidRPr="00F663B7">
        <w:rPr>
          <w:b/>
          <w:bCs/>
          <w:sz w:val="28"/>
          <w:szCs w:val="28"/>
        </w:rPr>
        <w:t>Introduction</w:t>
      </w:r>
    </w:p>
    <w:p w14:paraId="06FE099F" w14:textId="69B0C969" w:rsidR="00B310F5" w:rsidRPr="00F663B7" w:rsidRDefault="00B310F5" w:rsidP="00B310F5">
      <w:pPr>
        <w:pStyle w:val="NormalWeb"/>
        <w:rPr>
          <w:sz w:val="28"/>
          <w:szCs w:val="28"/>
        </w:rPr>
      </w:pPr>
      <w:r w:rsidRPr="00F663B7">
        <w:rPr>
          <w:sz w:val="28"/>
          <w:szCs w:val="28"/>
        </w:rPr>
        <w:t xml:space="preserve">     Genesis 1–3, the story</w:t>
      </w:r>
      <w:r w:rsidRPr="00F663B7">
        <w:rPr>
          <w:sz w:val="28"/>
          <w:szCs w:val="28"/>
        </w:rPr>
        <w:t> </w:t>
      </w:r>
      <w:r w:rsidRPr="00F663B7">
        <w:rPr>
          <w:sz w:val="28"/>
          <w:szCs w:val="28"/>
        </w:rPr>
        <w:t>of Adam and Eve, is a foundational text in the Judeo-Christian belief, describing what makes humans unique and their undoing in the Garden of Eden. This paper reviews the following statement: “The account of</w:t>
      </w:r>
      <w:r w:rsidRPr="00F663B7">
        <w:rPr>
          <w:sz w:val="28"/>
          <w:szCs w:val="28"/>
        </w:rPr>
        <w:t> </w:t>
      </w:r>
      <w:r w:rsidRPr="00F663B7">
        <w:rPr>
          <w:sz w:val="28"/>
          <w:szCs w:val="28"/>
        </w:rPr>
        <w:t>Adam and Eve in Genesis is a classic example of misogyny. Systemic discrimination against women, known</w:t>
      </w:r>
      <w:r w:rsidRPr="00F663B7">
        <w:rPr>
          <w:sz w:val="28"/>
          <w:szCs w:val="28"/>
        </w:rPr>
        <w:t> </w:t>
      </w:r>
      <w:r w:rsidRPr="00F663B7">
        <w:rPr>
          <w:sz w:val="28"/>
          <w:szCs w:val="28"/>
        </w:rPr>
        <w:t>as misogyny, leads to an examination of the description of Eve as a “helper,” her part in the Fall, and her punishment. Not all interpretations regard the verse as denigrating women; some regard the verse as</w:t>
      </w:r>
      <w:r w:rsidRPr="00F663B7">
        <w:rPr>
          <w:sz w:val="28"/>
          <w:szCs w:val="28"/>
        </w:rPr>
        <w:t> </w:t>
      </w:r>
      <w:r w:rsidRPr="00F663B7">
        <w:rPr>
          <w:sz w:val="28"/>
          <w:szCs w:val="28"/>
        </w:rPr>
        <w:t>one that reflects human (if not male) responsibility within a patriarchal framework. This</w:t>
      </w:r>
      <w:r w:rsidRPr="00F663B7">
        <w:rPr>
          <w:sz w:val="28"/>
          <w:szCs w:val="28"/>
        </w:rPr>
        <w:t> </w:t>
      </w:r>
      <w:r w:rsidRPr="00F663B7">
        <w:rPr>
          <w:sz w:val="28"/>
          <w:szCs w:val="28"/>
        </w:rPr>
        <w:t>paper uses two types of sources (primary sources: Genesis, NIV and secondary sources: scholars’ articles, theological studies) to consider whether the narrative inherently develops misogyny or is filtered through historical culture. The theme is visually depicted on the accompanying poster, with</w:t>
      </w:r>
      <w:r w:rsidRPr="00F663B7">
        <w:rPr>
          <w:sz w:val="28"/>
          <w:szCs w:val="28"/>
        </w:rPr>
        <w:t> </w:t>
      </w:r>
      <w:r w:rsidRPr="00F663B7">
        <w:rPr>
          <w:sz w:val="28"/>
          <w:szCs w:val="28"/>
        </w:rPr>
        <w:t>important quotes and artwork. This essay maintains that while aspects of the story have been employed as an excuse for misogyny, a closer reading of the text</w:t>
      </w:r>
      <w:r w:rsidRPr="00F663B7">
        <w:rPr>
          <w:sz w:val="28"/>
          <w:szCs w:val="28"/>
        </w:rPr>
        <w:t> </w:t>
      </w:r>
      <w:r w:rsidRPr="00F663B7">
        <w:rPr>
          <w:sz w:val="28"/>
          <w:szCs w:val="28"/>
        </w:rPr>
        <w:t>indicates a complex situation in which Adam and Eve are both culpable.</w:t>
      </w:r>
    </w:p>
    <w:p w14:paraId="0A552B3C" w14:textId="77777777" w:rsidR="00B310F5" w:rsidRPr="00F663B7" w:rsidRDefault="00B310F5" w:rsidP="00B310F5">
      <w:pPr>
        <w:pStyle w:val="NormalWeb"/>
        <w:rPr>
          <w:sz w:val="28"/>
          <w:szCs w:val="28"/>
        </w:rPr>
      </w:pPr>
      <w:r w:rsidRPr="00F663B7">
        <w:rPr>
          <w:sz w:val="28"/>
          <w:szCs w:val="28"/>
        </w:rPr>
        <w:t xml:space="preserve">   </w:t>
      </w:r>
    </w:p>
    <w:p w14:paraId="4006FAA2" w14:textId="142A6050" w:rsidR="00B310F5" w:rsidRPr="00F663B7" w:rsidRDefault="00B310F5" w:rsidP="00B310F5">
      <w:pPr>
        <w:pStyle w:val="NormalWeb"/>
        <w:rPr>
          <w:sz w:val="28"/>
          <w:szCs w:val="28"/>
        </w:rPr>
      </w:pPr>
      <w:r w:rsidRPr="004B1104">
        <w:rPr>
          <w:b/>
          <w:bCs/>
          <w:sz w:val="28"/>
          <w:szCs w:val="28"/>
        </w:rPr>
        <w:t>Analysis of the Narrative</w:t>
      </w:r>
    </w:p>
    <w:p w14:paraId="39732903" w14:textId="78DF2712" w:rsidR="00B310F5" w:rsidRPr="00F663B7" w:rsidRDefault="00B310F5" w:rsidP="00B310F5">
      <w:pPr>
        <w:pStyle w:val="NormalWeb"/>
        <w:rPr>
          <w:sz w:val="28"/>
          <w:szCs w:val="28"/>
        </w:rPr>
      </w:pPr>
      <w:r w:rsidRPr="00F663B7">
        <w:rPr>
          <w:sz w:val="28"/>
          <w:szCs w:val="28"/>
        </w:rPr>
        <w:t xml:space="preserve">   The tale of Adam and Eve</w:t>
      </w:r>
      <w:r w:rsidRPr="00F663B7">
        <w:rPr>
          <w:sz w:val="28"/>
          <w:szCs w:val="28"/>
        </w:rPr>
        <w:t> </w:t>
      </w:r>
      <w:r w:rsidRPr="00F663B7">
        <w:rPr>
          <w:sz w:val="28"/>
          <w:szCs w:val="28"/>
        </w:rPr>
        <w:t>in Genesis chapters 1–3 is among the best-known material in the Hebrew Bible. Genesis 1:27 tells us that God created mankind “male and female” in His</w:t>
      </w:r>
      <w:r w:rsidRPr="00F663B7">
        <w:rPr>
          <w:sz w:val="28"/>
          <w:szCs w:val="28"/>
        </w:rPr>
        <w:t> </w:t>
      </w:r>
      <w:r w:rsidRPr="00F663B7">
        <w:rPr>
          <w:sz w:val="28"/>
          <w:szCs w:val="28"/>
        </w:rPr>
        <w:t>image. That this is an original equality is strongly implied by the verse that</w:t>
      </w:r>
      <w:r w:rsidRPr="00F663B7">
        <w:rPr>
          <w:sz w:val="28"/>
          <w:szCs w:val="28"/>
        </w:rPr>
        <w:t> </w:t>
      </w:r>
      <w:r w:rsidRPr="00F663B7">
        <w:rPr>
          <w:sz w:val="28"/>
          <w:szCs w:val="28"/>
        </w:rPr>
        <w:t>follows: "And he called their name Adam, in the day when they were created," and there is not the slightest suggestion of one being preeminent or superior. The fact that they are referred to as “them” in the plural indicates that males and females alike reflect the</w:t>
      </w:r>
      <w:r w:rsidRPr="00F663B7">
        <w:rPr>
          <w:sz w:val="28"/>
          <w:szCs w:val="28"/>
        </w:rPr>
        <w:t> </w:t>
      </w:r>
      <w:r w:rsidRPr="00F663B7">
        <w:rPr>
          <w:sz w:val="28"/>
          <w:szCs w:val="28"/>
        </w:rPr>
        <w:t>image of God.</w:t>
      </w:r>
    </w:p>
    <w:p w14:paraId="11F92F3C" w14:textId="77777777" w:rsidR="00B310F5" w:rsidRPr="00F663B7" w:rsidRDefault="00B310F5" w:rsidP="00B310F5">
      <w:pPr>
        <w:pStyle w:val="NormalWeb"/>
        <w:rPr>
          <w:sz w:val="28"/>
          <w:szCs w:val="28"/>
        </w:rPr>
      </w:pPr>
      <w:r w:rsidRPr="00F663B7">
        <w:rPr>
          <w:sz w:val="28"/>
          <w:szCs w:val="28"/>
        </w:rPr>
        <w:t>However, Genesis 2:18–25 gives a fuller description of the creation of Eve, which is said to have been made from Adam’s</w:t>
      </w:r>
      <w:r w:rsidRPr="00F663B7">
        <w:rPr>
          <w:sz w:val="28"/>
          <w:szCs w:val="28"/>
        </w:rPr>
        <w:t> </w:t>
      </w:r>
      <w:r w:rsidRPr="00F663B7">
        <w:rPr>
          <w:sz w:val="28"/>
          <w:szCs w:val="28"/>
        </w:rPr>
        <w:t>rib to be a “helper suitable for him.” The</w:t>
      </w:r>
      <w:r w:rsidRPr="00F663B7">
        <w:rPr>
          <w:sz w:val="28"/>
          <w:szCs w:val="28"/>
        </w:rPr>
        <w:t> </w:t>
      </w:r>
      <w:r w:rsidRPr="00F663B7">
        <w:rPr>
          <w:sz w:val="28"/>
          <w:szCs w:val="28"/>
        </w:rPr>
        <w:t>Hebrew term ezer kendo is key here. Though ezer has often been associated with the</w:t>
      </w:r>
      <w:r w:rsidRPr="00F663B7">
        <w:rPr>
          <w:sz w:val="28"/>
          <w:szCs w:val="28"/>
        </w:rPr>
        <w:t> </w:t>
      </w:r>
      <w:r w:rsidRPr="00F663B7">
        <w:rPr>
          <w:sz w:val="28"/>
          <w:szCs w:val="28"/>
        </w:rPr>
        <w:t>notion of subservience, in many other biblical instances, it refers to God as a helper (e.g., Psalm 33:20, “Our soul waits for the Lord; He is our help and our shield”), not as subordinate but as supportive and strengthening. The word</w:t>
      </w:r>
      <w:r w:rsidRPr="00F663B7">
        <w:rPr>
          <w:sz w:val="28"/>
          <w:szCs w:val="28"/>
        </w:rPr>
        <w:t> </w:t>
      </w:r>
      <w:r w:rsidRPr="00F663B7">
        <w:rPr>
          <w:sz w:val="28"/>
          <w:szCs w:val="28"/>
        </w:rPr>
        <w:t>kendo, which means “corresponding to him” or “matching him,” adds the basis of mutuality as opposed to ruling and submitting. However, interpretations, including some in patriarchal societies, have</w:t>
      </w:r>
      <w:r w:rsidRPr="00F663B7">
        <w:rPr>
          <w:sz w:val="28"/>
          <w:szCs w:val="28"/>
        </w:rPr>
        <w:t> </w:t>
      </w:r>
      <w:r w:rsidRPr="00F663B7">
        <w:rPr>
          <w:sz w:val="28"/>
          <w:szCs w:val="28"/>
        </w:rPr>
        <w:t>at times regarded Eve’s being made from Adam as a basis for Eve’s lower standing.</w:t>
      </w:r>
    </w:p>
    <w:p w14:paraId="1F95CDCA" w14:textId="77777777" w:rsidR="00B310F5" w:rsidRPr="00F663B7" w:rsidRDefault="00B310F5" w:rsidP="00B310F5">
      <w:pPr>
        <w:pStyle w:val="NormalWeb"/>
        <w:rPr>
          <w:sz w:val="28"/>
          <w:szCs w:val="28"/>
        </w:rPr>
      </w:pPr>
      <w:r w:rsidRPr="00F663B7">
        <w:rPr>
          <w:sz w:val="28"/>
          <w:szCs w:val="28"/>
        </w:rPr>
        <w:t>The change comes in Genesis 3:1–6, when the Serpent persuades Eve to take a bite of the fruit from the Tree</w:t>
      </w:r>
      <w:r w:rsidRPr="00F663B7">
        <w:rPr>
          <w:sz w:val="28"/>
          <w:szCs w:val="28"/>
        </w:rPr>
        <w:t> </w:t>
      </w:r>
      <w:r w:rsidRPr="00F663B7">
        <w:rPr>
          <w:sz w:val="28"/>
          <w:szCs w:val="28"/>
        </w:rPr>
        <w:t>of Knowledge. And “with her” -Ve 6a Noting that he was “with</w:t>
      </w:r>
      <w:r w:rsidRPr="00F663B7">
        <w:rPr>
          <w:sz w:val="28"/>
          <w:szCs w:val="28"/>
        </w:rPr>
        <w:t> </w:t>
      </w:r>
      <w:r w:rsidRPr="00F663B7">
        <w:rPr>
          <w:sz w:val="28"/>
          <w:szCs w:val="28"/>
        </w:rPr>
        <w:t>her,” we learn here that Adam was not deceived, he was complicit. Nevertheless, Eve’s relationship with the serpent, the centre of the story, has typically become a way to</w:t>
      </w:r>
      <w:r w:rsidRPr="00F663B7">
        <w:rPr>
          <w:sz w:val="28"/>
          <w:szCs w:val="28"/>
        </w:rPr>
        <w:t> </w:t>
      </w:r>
      <w:r w:rsidRPr="00F663B7">
        <w:rPr>
          <w:sz w:val="28"/>
          <w:szCs w:val="28"/>
        </w:rPr>
        <w:t>portray her as the original sinner. This has frequently</w:t>
      </w:r>
      <w:r w:rsidRPr="00F663B7">
        <w:rPr>
          <w:sz w:val="28"/>
          <w:szCs w:val="28"/>
        </w:rPr>
        <w:t> </w:t>
      </w:r>
      <w:r w:rsidRPr="00F663B7">
        <w:rPr>
          <w:sz w:val="28"/>
          <w:szCs w:val="28"/>
        </w:rPr>
        <w:t>been extended to more general theological or social opinions about female frailty or sin.</w:t>
      </w:r>
    </w:p>
    <w:p w14:paraId="510492AD" w14:textId="5DE88994" w:rsidR="00B310F5" w:rsidRPr="00F663B7" w:rsidRDefault="00B310F5" w:rsidP="00B310F5">
      <w:pPr>
        <w:pStyle w:val="NormalWeb"/>
        <w:rPr>
          <w:sz w:val="28"/>
          <w:szCs w:val="28"/>
        </w:rPr>
      </w:pPr>
      <w:r w:rsidRPr="00F663B7">
        <w:rPr>
          <w:sz w:val="28"/>
          <w:szCs w:val="28"/>
        </w:rPr>
        <w:t>God also metes out punishment for the disobedience</w:t>
      </w:r>
      <w:r w:rsidRPr="00F663B7">
        <w:rPr>
          <w:sz w:val="28"/>
          <w:szCs w:val="28"/>
        </w:rPr>
        <w:t> </w:t>
      </w:r>
      <w:r w:rsidRPr="00F663B7">
        <w:rPr>
          <w:sz w:val="28"/>
          <w:szCs w:val="28"/>
        </w:rPr>
        <w:t>in Genesis 3:16–19. Eve is a prophesied pain in childbearing,</w:t>
      </w:r>
      <w:r w:rsidRPr="00F663B7">
        <w:rPr>
          <w:sz w:val="28"/>
          <w:szCs w:val="28"/>
        </w:rPr>
        <w:t> </w:t>
      </w:r>
      <w:r w:rsidRPr="00F663B7">
        <w:rPr>
          <w:sz w:val="28"/>
          <w:szCs w:val="28"/>
        </w:rPr>
        <w:t>and a husband who “will rule over” her. And</w:t>
      </w:r>
      <w:r w:rsidRPr="00F663B7">
        <w:rPr>
          <w:sz w:val="28"/>
          <w:szCs w:val="28"/>
        </w:rPr>
        <w:t> </w:t>
      </w:r>
      <w:r w:rsidRPr="00F663B7">
        <w:rPr>
          <w:sz w:val="28"/>
          <w:szCs w:val="28"/>
        </w:rPr>
        <w:t>Adam will be condemned to work for his food and to slow death. Such judgments reflect the gender expectations of</w:t>
      </w:r>
      <w:r w:rsidRPr="00F663B7">
        <w:rPr>
          <w:sz w:val="28"/>
          <w:szCs w:val="28"/>
        </w:rPr>
        <w:t> </w:t>
      </w:r>
      <w:r w:rsidRPr="00F663B7">
        <w:rPr>
          <w:sz w:val="28"/>
          <w:szCs w:val="28"/>
        </w:rPr>
        <w:t>the ancient Near East in which womanly duties were found in the home and childbearing, while men were thought of as engaging in physical labour and providing. The phrase “he will rule over you” has been used to justify male headship, though others have made the point that this describes the consequences of a fallen humanity rather than God’s creative</w:t>
      </w:r>
      <w:r w:rsidRPr="00F663B7">
        <w:rPr>
          <w:sz w:val="28"/>
          <w:szCs w:val="28"/>
        </w:rPr>
        <w:t> </w:t>
      </w:r>
      <w:r w:rsidRPr="00F663B7">
        <w:rPr>
          <w:sz w:val="28"/>
          <w:szCs w:val="28"/>
        </w:rPr>
        <w:t>plan.</w:t>
      </w:r>
    </w:p>
    <w:p w14:paraId="377BDDF3" w14:textId="77777777" w:rsidR="00B310F5" w:rsidRPr="00F663B7" w:rsidRDefault="00B310F5" w:rsidP="00B310F5">
      <w:pPr>
        <w:pStyle w:val="NormalWeb"/>
        <w:rPr>
          <w:sz w:val="28"/>
          <w:szCs w:val="28"/>
        </w:rPr>
      </w:pPr>
      <w:r w:rsidRPr="00F663B7">
        <w:rPr>
          <w:sz w:val="28"/>
          <w:szCs w:val="28"/>
        </w:rPr>
        <w:t>Although the story has long been portrayed as a licence for male chauvinism, a closer reading indicates the shared culpability of Adam</w:t>
      </w:r>
      <w:r w:rsidRPr="00F663B7">
        <w:rPr>
          <w:sz w:val="28"/>
          <w:szCs w:val="28"/>
        </w:rPr>
        <w:t> </w:t>
      </w:r>
      <w:r w:rsidRPr="00F663B7">
        <w:rPr>
          <w:sz w:val="28"/>
          <w:szCs w:val="28"/>
        </w:rPr>
        <w:t>and Eve. Both are reprimanded;</w:t>
      </w:r>
      <w:r w:rsidRPr="00F663B7">
        <w:rPr>
          <w:sz w:val="28"/>
          <w:szCs w:val="28"/>
        </w:rPr>
        <w:t> </w:t>
      </w:r>
      <w:r w:rsidRPr="00F663B7">
        <w:rPr>
          <w:sz w:val="28"/>
          <w:szCs w:val="28"/>
        </w:rPr>
        <w:t>neither gets away with anything. The original text does not place the entire blame on Eve as some cultural interpretations of her do. For this reason, it is of importance to come to grips with the subtleties of a phrase such as ezer kendo or the collective responsibility of the fall as they are vital to</w:t>
      </w:r>
      <w:r w:rsidRPr="00F663B7">
        <w:rPr>
          <w:sz w:val="28"/>
          <w:szCs w:val="28"/>
        </w:rPr>
        <w:t> </w:t>
      </w:r>
      <w:r w:rsidRPr="00F663B7">
        <w:rPr>
          <w:sz w:val="28"/>
          <w:szCs w:val="28"/>
        </w:rPr>
        <w:t>assessing charges of an anti-woman bias within the creation account of Genesis.</w:t>
      </w:r>
    </w:p>
    <w:p w14:paraId="65B45BE2" w14:textId="77777777" w:rsidR="006B3DD0" w:rsidRPr="00F663B7" w:rsidRDefault="006B3DD0" w:rsidP="00B310F5">
      <w:pPr>
        <w:pStyle w:val="NormalWeb"/>
        <w:rPr>
          <w:sz w:val="28"/>
          <w:szCs w:val="28"/>
        </w:rPr>
      </w:pPr>
    </w:p>
    <w:p w14:paraId="530F26D9" w14:textId="1B983B4A" w:rsidR="006B3DD0" w:rsidRPr="00F663B7" w:rsidRDefault="006B3DD0" w:rsidP="00B310F5">
      <w:pPr>
        <w:pStyle w:val="NormalWeb"/>
        <w:rPr>
          <w:b/>
          <w:bCs/>
          <w:sz w:val="28"/>
          <w:szCs w:val="28"/>
        </w:rPr>
      </w:pPr>
      <w:r w:rsidRPr="004B1104">
        <w:rPr>
          <w:b/>
          <w:bCs/>
          <w:sz w:val="28"/>
          <w:szCs w:val="28"/>
        </w:rPr>
        <w:t>Evaluation of the Statement</w:t>
      </w:r>
    </w:p>
    <w:p w14:paraId="7D302D0E" w14:textId="77777777" w:rsidR="006B3DD0" w:rsidRPr="00F663B7" w:rsidRDefault="006B3DD0" w:rsidP="006B3DD0">
      <w:pPr>
        <w:pStyle w:val="NormalWeb"/>
        <w:rPr>
          <w:sz w:val="28"/>
          <w:szCs w:val="28"/>
        </w:rPr>
      </w:pPr>
      <w:r w:rsidRPr="00F663B7">
        <w:rPr>
          <w:sz w:val="28"/>
          <w:szCs w:val="28"/>
        </w:rPr>
        <w:t>What it means to say that the story of Adam and Eve is a “perfect example of misogyny” requires us to first clarify what we mean</w:t>
      </w:r>
      <w:r w:rsidRPr="00F663B7">
        <w:rPr>
          <w:sz w:val="28"/>
          <w:szCs w:val="28"/>
        </w:rPr>
        <w:t> </w:t>
      </w:r>
      <w:r w:rsidRPr="00F663B7">
        <w:rPr>
          <w:sz w:val="28"/>
          <w:szCs w:val="28"/>
        </w:rPr>
        <w:t>by misogyny. Misogyny is the upholding of attitudes, beliefs or structures of superiority and domination meant to ensure the systematic dehumanisation, objectification and</w:t>
      </w:r>
      <w:r w:rsidRPr="00F663B7">
        <w:rPr>
          <w:sz w:val="28"/>
          <w:szCs w:val="28"/>
        </w:rPr>
        <w:t> </w:t>
      </w:r>
      <w:r w:rsidRPr="00F663B7">
        <w:rPr>
          <w:sz w:val="28"/>
          <w:szCs w:val="28"/>
        </w:rPr>
        <w:t>marginalisation of women. This Genesis 1–3 portrait, under review, is fraught, therefore, with textual uncertainties, historical readings, and cultural</w:t>
      </w:r>
      <w:r w:rsidRPr="00F663B7">
        <w:rPr>
          <w:sz w:val="28"/>
          <w:szCs w:val="28"/>
        </w:rPr>
        <w:t> </w:t>
      </w:r>
      <w:r w:rsidRPr="00F663B7">
        <w:rPr>
          <w:sz w:val="28"/>
          <w:szCs w:val="28"/>
        </w:rPr>
        <w:t>dynamics.</w:t>
      </w:r>
    </w:p>
    <w:p w14:paraId="3C3D7057" w14:textId="4AC2BEDF" w:rsidR="006B3DD0" w:rsidRPr="00F663B7" w:rsidRDefault="006B3DD0" w:rsidP="006B3DD0">
      <w:pPr>
        <w:pStyle w:val="NormalWeb"/>
        <w:rPr>
          <w:sz w:val="28"/>
          <w:szCs w:val="28"/>
        </w:rPr>
      </w:pPr>
      <w:r w:rsidRPr="00F663B7">
        <w:rPr>
          <w:sz w:val="28"/>
          <w:szCs w:val="28"/>
        </w:rPr>
        <w:t>Evidence for the claim that the</w:t>
      </w:r>
      <w:r w:rsidRPr="00F663B7">
        <w:rPr>
          <w:sz w:val="28"/>
          <w:szCs w:val="28"/>
        </w:rPr>
        <w:t> </w:t>
      </w:r>
      <w:r w:rsidRPr="00F663B7">
        <w:rPr>
          <w:sz w:val="28"/>
          <w:szCs w:val="28"/>
        </w:rPr>
        <w:t xml:space="preserve">text is misogynistic is </w:t>
      </w:r>
      <w:r w:rsidR="00F663B7" w:rsidRPr="00F663B7">
        <w:rPr>
          <w:sz w:val="28"/>
          <w:szCs w:val="28"/>
        </w:rPr>
        <w:t>several</w:t>
      </w:r>
      <w:r w:rsidRPr="00F663B7">
        <w:rPr>
          <w:sz w:val="28"/>
          <w:szCs w:val="28"/>
        </w:rPr>
        <w:t xml:space="preserve"> textual elements that are disturbing. In Genesis 2:18, Eve is described as a “helper”</w:t>
      </w:r>
      <w:r w:rsidRPr="00F663B7">
        <w:rPr>
          <w:sz w:val="28"/>
          <w:szCs w:val="28"/>
        </w:rPr>
        <w:t> </w:t>
      </w:r>
      <w:r w:rsidRPr="00F663B7">
        <w:rPr>
          <w:sz w:val="28"/>
          <w:szCs w:val="28"/>
        </w:rPr>
        <w:t>(ezer kenegdo) for Adam. This</w:t>
      </w:r>
      <w:r w:rsidRPr="00F663B7">
        <w:rPr>
          <w:sz w:val="28"/>
          <w:szCs w:val="28"/>
        </w:rPr>
        <w:t> </w:t>
      </w:r>
      <w:r w:rsidRPr="00F663B7">
        <w:rPr>
          <w:sz w:val="28"/>
          <w:szCs w:val="28"/>
        </w:rPr>
        <w:t>is conversely only ever interpreted to mean that Eve is inferior to Adam, as she is created after him and from one of his ribs (Gen 2:21-22). These are the biological reasons traditionally used to validate male dominance and female</w:t>
      </w:r>
      <w:r w:rsidRPr="00F663B7">
        <w:rPr>
          <w:sz w:val="28"/>
          <w:szCs w:val="28"/>
        </w:rPr>
        <w:t> </w:t>
      </w:r>
      <w:r w:rsidRPr="00F663B7">
        <w:rPr>
          <w:sz w:val="28"/>
          <w:szCs w:val="28"/>
        </w:rPr>
        <w:t>submission. Its finality is reached in Genesis 3:16, where God says to Eve, “Your desire will be for your husband, and he will rule</w:t>
      </w:r>
      <w:r w:rsidRPr="00F663B7">
        <w:rPr>
          <w:sz w:val="28"/>
          <w:szCs w:val="28"/>
        </w:rPr>
        <w:t> </w:t>
      </w:r>
      <w:r w:rsidRPr="00F663B7">
        <w:rPr>
          <w:sz w:val="28"/>
          <w:szCs w:val="28"/>
        </w:rPr>
        <w:t>over you.” This specific verbalisation of male supremacy appears to enshrine a gender hierarchy that complies with folk, traditional and indigenous society patriarchal ideologies, in which women’s subordination is confirmed as ordained by God.</w:t>
      </w:r>
    </w:p>
    <w:p w14:paraId="1C0B95FF" w14:textId="4EE935ED" w:rsidR="006B3DD0" w:rsidRPr="00F663B7" w:rsidRDefault="006B3DD0" w:rsidP="006B3DD0">
      <w:pPr>
        <w:pStyle w:val="NormalWeb"/>
        <w:rPr>
          <w:sz w:val="28"/>
          <w:szCs w:val="28"/>
        </w:rPr>
      </w:pPr>
      <w:r w:rsidRPr="00F663B7">
        <w:rPr>
          <w:sz w:val="28"/>
          <w:szCs w:val="28"/>
        </w:rPr>
        <w:t>Throughout human history, powerful religious interpreters have</w:t>
      </w:r>
      <w:r w:rsidRPr="00F663B7">
        <w:rPr>
          <w:sz w:val="28"/>
          <w:szCs w:val="28"/>
        </w:rPr>
        <w:t> </w:t>
      </w:r>
      <w:r w:rsidRPr="00F663B7">
        <w:rPr>
          <w:sz w:val="28"/>
          <w:szCs w:val="28"/>
        </w:rPr>
        <w:t>reinforced these notions. Early Fathers of the Church, such as Augustine, stressed that Eve was the one deceived by the serpent and so she stood for</w:t>
      </w:r>
      <w:r w:rsidRPr="00F663B7">
        <w:rPr>
          <w:sz w:val="28"/>
          <w:szCs w:val="28"/>
        </w:rPr>
        <w:t> </w:t>
      </w:r>
      <w:r w:rsidRPr="00F663B7">
        <w:rPr>
          <w:sz w:val="28"/>
          <w:szCs w:val="28"/>
        </w:rPr>
        <w:t>female frailty and moral vulnerability. This description has</w:t>
      </w:r>
      <w:r w:rsidRPr="00F663B7">
        <w:rPr>
          <w:sz w:val="28"/>
          <w:szCs w:val="28"/>
        </w:rPr>
        <w:t> </w:t>
      </w:r>
      <w:r w:rsidRPr="00F663B7">
        <w:rPr>
          <w:sz w:val="28"/>
          <w:szCs w:val="28"/>
        </w:rPr>
        <w:t>been a long casting ripple effect. As feminist</w:t>
      </w:r>
      <w:r w:rsidRPr="00F663B7">
        <w:rPr>
          <w:sz w:val="28"/>
          <w:szCs w:val="28"/>
        </w:rPr>
        <w:t> </w:t>
      </w:r>
      <w:r w:rsidRPr="00F663B7">
        <w:rPr>
          <w:sz w:val="28"/>
          <w:szCs w:val="28"/>
        </w:rPr>
        <w:t>Bible scholars at The</w:t>
      </w:r>
      <w:r w:rsidR="00F663B7">
        <w:rPr>
          <w:sz w:val="28"/>
          <w:szCs w:val="28"/>
        </w:rPr>
        <w:t xml:space="preserve"> </w:t>
      </w:r>
      <w:r w:rsidRPr="00F663B7">
        <w:rPr>
          <w:sz w:val="28"/>
          <w:szCs w:val="28"/>
        </w:rPr>
        <w:t xml:space="preserve">Torah. And there are thousands more like </w:t>
      </w:r>
      <w:r w:rsidR="00F663B7" w:rsidRPr="00F663B7">
        <w:rPr>
          <w:sz w:val="28"/>
          <w:szCs w:val="28"/>
        </w:rPr>
        <w:t>her. In</w:t>
      </w:r>
      <w:r w:rsidRPr="00F663B7">
        <w:rPr>
          <w:sz w:val="28"/>
          <w:szCs w:val="28"/>
        </w:rPr>
        <w:t xml:space="preserve"> fact, many medieval and early modern writers depicted Eve as morally deficient and as a</w:t>
      </w:r>
      <w:r w:rsidRPr="00F663B7">
        <w:rPr>
          <w:sz w:val="28"/>
          <w:szCs w:val="28"/>
        </w:rPr>
        <w:t> </w:t>
      </w:r>
      <w:r w:rsidR="00F663B7" w:rsidRPr="00F663B7">
        <w:rPr>
          <w:sz w:val="28"/>
          <w:szCs w:val="28"/>
        </w:rPr>
        <w:t>contributing</w:t>
      </w:r>
      <w:r w:rsidRPr="00F663B7">
        <w:rPr>
          <w:sz w:val="28"/>
          <w:szCs w:val="28"/>
        </w:rPr>
        <w:t xml:space="preserve"> source of sin, contributing to the </w:t>
      </w:r>
      <w:r w:rsidR="00F663B7" w:rsidRPr="00F663B7">
        <w:rPr>
          <w:sz w:val="28"/>
          <w:szCs w:val="28"/>
        </w:rPr>
        <w:t>millennia</w:t>
      </w:r>
      <w:r w:rsidRPr="00F663B7">
        <w:rPr>
          <w:sz w:val="28"/>
          <w:szCs w:val="28"/>
        </w:rPr>
        <w:t xml:space="preserve"> of sexist stereotyping on the basis of gender (Trible: http://www. thetorah. com).</w:t>
      </w:r>
    </w:p>
    <w:p w14:paraId="038609B1" w14:textId="77777777" w:rsidR="006B3DD0" w:rsidRPr="00F663B7" w:rsidRDefault="006B3DD0" w:rsidP="006B3DD0">
      <w:pPr>
        <w:pStyle w:val="NormalWeb"/>
        <w:rPr>
          <w:sz w:val="28"/>
          <w:szCs w:val="28"/>
        </w:rPr>
      </w:pPr>
      <w:r w:rsidRPr="00F663B7">
        <w:rPr>
          <w:sz w:val="28"/>
          <w:szCs w:val="28"/>
        </w:rPr>
        <w:t>Eve’s chastisement really is aimed at her own</w:t>
      </w:r>
      <w:r w:rsidRPr="00F663B7">
        <w:rPr>
          <w:sz w:val="28"/>
          <w:szCs w:val="28"/>
        </w:rPr>
        <w:t> </w:t>
      </w:r>
      <w:r w:rsidRPr="00F663B7">
        <w:rPr>
          <w:sz w:val="28"/>
          <w:szCs w:val="28"/>
        </w:rPr>
        <w:t>sex. She is condemned to painful childbearing and to a</w:t>
      </w:r>
      <w:r w:rsidRPr="00F663B7">
        <w:rPr>
          <w:sz w:val="28"/>
          <w:szCs w:val="28"/>
        </w:rPr>
        <w:t> </w:t>
      </w:r>
      <w:r w:rsidRPr="00F663B7">
        <w:rPr>
          <w:sz w:val="28"/>
          <w:szCs w:val="28"/>
        </w:rPr>
        <w:t>subservient position with her husband. Unlike Adam, however, the curse of tiredness associated with struggling with the ground to make a living, ultimately leading to mortality, is essentially a universal human experience. In Adam, Eve, and the Serpent (1988), feminist scholar Elaine Pagels contends that, over the millennia, followers used Genesis 3:16 to rationalise restricting the rights of women, from holding political and clerical leadership positions to confining them to the home and dictating sexual</w:t>
      </w:r>
      <w:r w:rsidRPr="00F663B7">
        <w:rPr>
          <w:sz w:val="28"/>
          <w:szCs w:val="28"/>
        </w:rPr>
        <w:t> </w:t>
      </w:r>
      <w:r w:rsidRPr="00F663B7">
        <w:rPr>
          <w:sz w:val="28"/>
          <w:szCs w:val="28"/>
        </w:rPr>
        <w:t>passivity. This history of literal use of the text, especially in Christian theology and church</w:t>
      </w:r>
      <w:r w:rsidRPr="00F663B7">
        <w:rPr>
          <w:sz w:val="28"/>
          <w:szCs w:val="28"/>
        </w:rPr>
        <w:t> </w:t>
      </w:r>
      <w:r w:rsidRPr="00F663B7">
        <w:rPr>
          <w:sz w:val="28"/>
          <w:szCs w:val="28"/>
        </w:rPr>
        <w:t>tradition, demonstrates the extent to which it has served the purpose of misogyny, regardless of the original intent.</w:t>
      </w:r>
    </w:p>
    <w:p w14:paraId="482E8BAA" w14:textId="77777777" w:rsidR="006B3DD0" w:rsidRPr="00F663B7" w:rsidRDefault="006B3DD0" w:rsidP="006B3DD0">
      <w:pPr>
        <w:pStyle w:val="NormalWeb"/>
        <w:rPr>
          <w:sz w:val="28"/>
          <w:szCs w:val="28"/>
        </w:rPr>
      </w:pPr>
      <w:r w:rsidRPr="00F663B7">
        <w:rPr>
          <w:sz w:val="28"/>
          <w:szCs w:val="28"/>
        </w:rPr>
        <w:t>However, the counter-interpretation shows that</w:t>
      </w:r>
      <w:r w:rsidRPr="00F663B7">
        <w:rPr>
          <w:sz w:val="28"/>
          <w:szCs w:val="28"/>
        </w:rPr>
        <w:t> </w:t>
      </w:r>
      <w:r w:rsidRPr="00F663B7">
        <w:rPr>
          <w:sz w:val="28"/>
          <w:szCs w:val="28"/>
        </w:rPr>
        <w:t>the story is more complex than it initially seems. The word</w:t>
      </w:r>
      <w:r w:rsidRPr="00F663B7">
        <w:rPr>
          <w:sz w:val="28"/>
          <w:szCs w:val="28"/>
        </w:rPr>
        <w:t> </w:t>
      </w:r>
      <w:r w:rsidRPr="00F663B7">
        <w:rPr>
          <w:sz w:val="28"/>
          <w:szCs w:val="28"/>
        </w:rPr>
        <w:t>ezer in Hebrew does not imply subservience. Indeed,</w:t>
      </w:r>
      <w:r w:rsidRPr="00F663B7">
        <w:rPr>
          <w:sz w:val="28"/>
          <w:szCs w:val="28"/>
        </w:rPr>
        <w:t> </w:t>
      </w:r>
      <w:r w:rsidRPr="00F663B7">
        <w:rPr>
          <w:sz w:val="28"/>
          <w:szCs w:val="28"/>
        </w:rPr>
        <w:t>it is employed in numerous biblical texts to denote God as a “helper” or “deliverer” (e.g., Exodus 18:4, Ps 33:20), connoting strength and support, not subservience. Hence, Eve’s</w:t>
      </w:r>
      <w:r w:rsidRPr="00F663B7">
        <w:rPr>
          <w:sz w:val="28"/>
          <w:szCs w:val="28"/>
        </w:rPr>
        <w:t> </w:t>
      </w:r>
      <w:r w:rsidRPr="00F663B7">
        <w:rPr>
          <w:sz w:val="28"/>
          <w:szCs w:val="28"/>
        </w:rPr>
        <w:t>function could be seen as that of a necessary helper, and not merely a helpmeet.</w:t>
      </w:r>
    </w:p>
    <w:p w14:paraId="3CB0D3B9" w14:textId="77777777" w:rsidR="006B3DD0" w:rsidRPr="00F663B7" w:rsidRDefault="006B3DD0" w:rsidP="006B3DD0">
      <w:pPr>
        <w:pStyle w:val="NormalWeb"/>
        <w:rPr>
          <w:sz w:val="28"/>
          <w:szCs w:val="28"/>
        </w:rPr>
      </w:pPr>
      <w:r w:rsidRPr="00F663B7">
        <w:rPr>
          <w:sz w:val="28"/>
          <w:szCs w:val="28"/>
        </w:rPr>
        <w:t>Phyllis Trible in God and the Rhetoric of Sexuality (1978) presents a retelling of the Genesis story, highlighting that in Genesis 1:27 we already hear the full equality</w:t>
      </w:r>
      <w:r w:rsidRPr="00F663B7">
        <w:rPr>
          <w:sz w:val="28"/>
          <w:szCs w:val="28"/>
        </w:rPr>
        <w:t> </w:t>
      </w:r>
      <w:r w:rsidRPr="00F663B7">
        <w:rPr>
          <w:sz w:val="28"/>
          <w:szCs w:val="28"/>
        </w:rPr>
        <w:t>of male and female—”in the image of God he created them; male and female he created them.” In Trible’s reading, the fact that Eve was formed from Adam’s rib might symbolise mutuality and unity</w:t>
      </w:r>
      <w:r w:rsidRPr="00F663B7">
        <w:rPr>
          <w:sz w:val="28"/>
          <w:szCs w:val="28"/>
        </w:rPr>
        <w:t> </w:t>
      </w:r>
      <w:r w:rsidRPr="00F663B7">
        <w:rPr>
          <w:sz w:val="28"/>
          <w:szCs w:val="28"/>
        </w:rPr>
        <w:t>rather than hierarchy. Adam is obviously implicated in the disobedience according to</w:t>
      </w:r>
      <w:r w:rsidRPr="00F663B7">
        <w:rPr>
          <w:sz w:val="28"/>
          <w:szCs w:val="28"/>
        </w:rPr>
        <w:t> </w:t>
      </w:r>
      <w:r w:rsidRPr="00F663B7">
        <w:rPr>
          <w:sz w:val="28"/>
          <w:szCs w:val="28"/>
        </w:rPr>
        <w:t>the narrative. Genesis 3:6 states that Eve gave Adam the fruit “who was with her,” and he</w:t>
      </w:r>
      <w:r w:rsidRPr="00F663B7">
        <w:rPr>
          <w:sz w:val="28"/>
          <w:szCs w:val="28"/>
        </w:rPr>
        <w:t> </w:t>
      </w:r>
      <w:r w:rsidRPr="00F663B7">
        <w:rPr>
          <w:sz w:val="28"/>
          <w:szCs w:val="28"/>
        </w:rPr>
        <w:t>ate it without protest. Both</w:t>
      </w:r>
      <w:r w:rsidRPr="00F663B7">
        <w:rPr>
          <w:sz w:val="28"/>
          <w:szCs w:val="28"/>
        </w:rPr>
        <w:t> </w:t>
      </w:r>
      <w:r w:rsidRPr="00F663B7">
        <w:rPr>
          <w:sz w:val="28"/>
          <w:szCs w:val="28"/>
        </w:rPr>
        <w:t>are judged by God, indicting their mutual culpability.</w:t>
      </w:r>
    </w:p>
    <w:p w14:paraId="66B72750" w14:textId="77777777" w:rsidR="006B3DD0" w:rsidRPr="00F663B7" w:rsidRDefault="006B3DD0" w:rsidP="006B3DD0">
      <w:pPr>
        <w:pStyle w:val="NormalWeb"/>
        <w:rPr>
          <w:sz w:val="28"/>
          <w:szCs w:val="28"/>
        </w:rPr>
      </w:pPr>
      <w:r w:rsidRPr="00F663B7">
        <w:rPr>
          <w:sz w:val="28"/>
          <w:szCs w:val="28"/>
        </w:rPr>
        <w:t>Let us not forget the cultural milieu</w:t>
      </w:r>
      <w:r w:rsidRPr="00F663B7">
        <w:rPr>
          <w:sz w:val="28"/>
          <w:szCs w:val="28"/>
        </w:rPr>
        <w:t> </w:t>
      </w:r>
      <w:r w:rsidRPr="00F663B7">
        <w:rPr>
          <w:sz w:val="28"/>
          <w:szCs w:val="28"/>
        </w:rPr>
        <w:t>in which Genesis was produced. It is a story that probably originated from the patriarchal</w:t>
      </w:r>
      <w:r w:rsidRPr="00F663B7">
        <w:rPr>
          <w:sz w:val="28"/>
          <w:szCs w:val="28"/>
        </w:rPr>
        <w:t> </w:t>
      </w:r>
      <w:r w:rsidRPr="00F663B7">
        <w:rPr>
          <w:sz w:val="28"/>
          <w:szCs w:val="28"/>
        </w:rPr>
        <w:t>milieu of the ancient Near East, so it probably reflects human customs and does not necessarily endorse them. Others</w:t>
      </w:r>
      <w:r w:rsidRPr="00F663B7">
        <w:rPr>
          <w:sz w:val="28"/>
          <w:szCs w:val="28"/>
        </w:rPr>
        <w:t> </w:t>
      </w:r>
      <w:r w:rsidRPr="00F663B7">
        <w:rPr>
          <w:sz w:val="28"/>
          <w:szCs w:val="28"/>
        </w:rPr>
        <w:t>maintain that Genesis 3:16 describes the effects of sin but is not a legitimising of male power. Here the</w:t>
      </w:r>
      <w:r w:rsidRPr="00F663B7">
        <w:rPr>
          <w:sz w:val="28"/>
          <w:szCs w:val="28"/>
        </w:rPr>
        <w:t> </w:t>
      </w:r>
      <w:r w:rsidRPr="00F663B7">
        <w:rPr>
          <w:sz w:val="28"/>
          <w:szCs w:val="28"/>
        </w:rPr>
        <w:t>unequal power transfer is not the ideal, but rather a symptom of the Fall.</w:t>
      </w:r>
    </w:p>
    <w:p w14:paraId="1B6C105E" w14:textId="77777777" w:rsidR="006B3DD0" w:rsidRPr="00F663B7" w:rsidRDefault="006B3DD0" w:rsidP="006B3DD0">
      <w:pPr>
        <w:pStyle w:val="NormalWeb"/>
        <w:rPr>
          <w:sz w:val="28"/>
          <w:szCs w:val="28"/>
        </w:rPr>
      </w:pPr>
      <w:r w:rsidRPr="00F663B7">
        <w:rPr>
          <w:sz w:val="28"/>
          <w:szCs w:val="28"/>
        </w:rPr>
        <w:t>Contemporary theological readers, particularly those from Christian</w:t>
      </w:r>
      <w:r w:rsidRPr="00F663B7">
        <w:rPr>
          <w:sz w:val="28"/>
          <w:szCs w:val="28"/>
        </w:rPr>
        <w:t> </w:t>
      </w:r>
      <w:r w:rsidRPr="00F663B7">
        <w:rPr>
          <w:sz w:val="28"/>
          <w:szCs w:val="28"/>
        </w:rPr>
        <w:t>egalitarian traditions, frequently interpret the story “in light of a theology of redemption.” Further, Galatians 3:28 states that in Christ “there is neither male nor female”</w:t>
      </w:r>
      <w:r w:rsidRPr="00F663B7">
        <w:rPr>
          <w:sz w:val="28"/>
          <w:szCs w:val="28"/>
        </w:rPr>
        <w:t> </w:t>
      </w:r>
      <w:r w:rsidRPr="00F663B7">
        <w:rPr>
          <w:sz w:val="28"/>
          <w:szCs w:val="28"/>
        </w:rPr>
        <w:t>and suggests a restored parity. This tends to confirm that</w:t>
      </w:r>
      <w:r w:rsidRPr="00F663B7">
        <w:rPr>
          <w:sz w:val="28"/>
          <w:szCs w:val="28"/>
        </w:rPr>
        <w:t> </w:t>
      </w:r>
      <w:r w:rsidRPr="00F663B7">
        <w:rPr>
          <w:sz w:val="28"/>
          <w:szCs w:val="28"/>
        </w:rPr>
        <w:t>subsequent scriptural faculties will be working to correct the relational disconnections that started in Genesis.</w:t>
      </w:r>
    </w:p>
    <w:p w14:paraId="1BBC93A2" w14:textId="4D79A5AA" w:rsidR="006B3DD0" w:rsidRPr="00F663B7" w:rsidRDefault="006B3DD0" w:rsidP="006B3DD0">
      <w:pPr>
        <w:pStyle w:val="NormalWeb"/>
        <w:rPr>
          <w:sz w:val="28"/>
          <w:szCs w:val="28"/>
        </w:rPr>
      </w:pPr>
      <w:r w:rsidRPr="00F663B7">
        <w:rPr>
          <w:sz w:val="28"/>
          <w:szCs w:val="28"/>
        </w:rPr>
        <w:t>In</w:t>
      </w:r>
      <w:r w:rsidRPr="00F663B7">
        <w:rPr>
          <w:sz w:val="28"/>
          <w:szCs w:val="28"/>
        </w:rPr>
        <w:t> </w:t>
      </w:r>
      <w:r w:rsidRPr="00F663B7">
        <w:rPr>
          <w:sz w:val="28"/>
          <w:szCs w:val="28"/>
        </w:rPr>
        <w:t>summary, while the Adam and Eve story is often used, I believe it is more complex than simply calling it a “perfect example.” The tale is ripe for nuanced consideration, however, with textual ambiguities, cultural overlays and readings to</w:t>
      </w:r>
      <w:r w:rsidRPr="00F663B7">
        <w:rPr>
          <w:sz w:val="28"/>
          <w:szCs w:val="28"/>
        </w:rPr>
        <w:t> </w:t>
      </w:r>
      <w:r w:rsidRPr="00F663B7">
        <w:rPr>
          <w:sz w:val="28"/>
          <w:szCs w:val="28"/>
        </w:rPr>
        <w:t>follow privacy’s limits as they may or may not relate to justice. All the wrong parts of</w:t>
      </w:r>
      <w:r w:rsidRPr="00F663B7">
        <w:rPr>
          <w:sz w:val="28"/>
          <w:szCs w:val="28"/>
        </w:rPr>
        <w:t> </w:t>
      </w:r>
      <w:r w:rsidRPr="00F663B7">
        <w:rPr>
          <w:sz w:val="28"/>
          <w:szCs w:val="28"/>
        </w:rPr>
        <w:t>it arises largely from how humans down the line have interpreted that text, not from the original text. A balanced approach acknowledges some of the dangers of misogynistic misreadings</w:t>
      </w:r>
      <w:r w:rsidRPr="00F663B7">
        <w:rPr>
          <w:sz w:val="28"/>
          <w:szCs w:val="28"/>
        </w:rPr>
        <w:t> </w:t>
      </w:r>
      <w:r w:rsidRPr="00F663B7">
        <w:rPr>
          <w:sz w:val="28"/>
          <w:szCs w:val="28"/>
        </w:rPr>
        <w:t>and the deeper theological themes of mutuality, shared accountability, and the impact of human disobedience.</w:t>
      </w:r>
    </w:p>
    <w:p w14:paraId="77AE5753" w14:textId="277B26DD" w:rsidR="00F663B7" w:rsidRPr="00F663B7" w:rsidRDefault="00F663B7" w:rsidP="006B3DD0">
      <w:pPr>
        <w:pStyle w:val="NormalWeb"/>
        <w:rPr>
          <w:b/>
          <w:bCs/>
          <w:sz w:val="28"/>
          <w:szCs w:val="28"/>
        </w:rPr>
      </w:pPr>
      <w:r w:rsidRPr="004B1104">
        <w:rPr>
          <w:b/>
          <w:bCs/>
          <w:sz w:val="28"/>
          <w:szCs w:val="28"/>
        </w:rPr>
        <w:t>Conclusion</w:t>
      </w:r>
    </w:p>
    <w:p w14:paraId="112F9C0D" w14:textId="4628FC5A" w:rsidR="00F663B7" w:rsidRPr="004B1104" w:rsidRDefault="00F663B7" w:rsidP="00F663B7">
      <w:pPr>
        <w:pStyle w:val="NormalWeb"/>
        <w:rPr>
          <w:sz w:val="28"/>
          <w:szCs w:val="28"/>
        </w:rPr>
      </w:pPr>
      <w:r w:rsidRPr="00F663B7">
        <w:rPr>
          <w:sz w:val="28"/>
          <w:szCs w:val="28"/>
        </w:rPr>
        <w:t>It argues that the story of Adam and Eve is not a “textbook example of misogyny,” yet elements of the story have bolstered such</w:t>
      </w:r>
      <w:r w:rsidRPr="00F663B7">
        <w:rPr>
          <w:sz w:val="28"/>
          <w:szCs w:val="28"/>
        </w:rPr>
        <w:t> </w:t>
      </w:r>
      <w:r w:rsidRPr="00F663B7">
        <w:rPr>
          <w:sz w:val="28"/>
          <w:szCs w:val="28"/>
        </w:rPr>
        <w:t>interpret</w:t>
      </w:r>
      <w:r>
        <w:rPr>
          <w:sz w:val="28"/>
          <w:szCs w:val="28"/>
        </w:rPr>
        <w:t xml:space="preserve">ation </w:t>
      </w:r>
      <w:r w:rsidRPr="00F663B7">
        <w:rPr>
          <w:sz w:val="28"/>
          <w:szCs w:val="28"/>
        </w:rPr>
        <w:t>The references to “helper” in Genesis 2:18 and “rule over you” in 3:16 reflect patriarchal norms, and interpretations through the ages have tended to</w:t>
      </w:r>
      <w:r w:rsidRPr="00F663B7">
        <w:rPr>
          <w:sz w:val="28"/>
          <w:szCs w:val="28"/>
        </w:rPr>
        <w:t> </w:t>
      </w:r>
      <w:r w:rsidRPr="00F663B7">
        <w:rPr>
          <w:sz w:val="28"/>
          <w:szCs w:val="28"/>
        </w:rPr>
        <w:t>magnify women’s culpability. However, the nuances of the text—Eve as</w:t>
      </w:r>
      <w:r w:rsidRPr="00F663B7">
        <w:rPr>
          <w:sz w:val="28"/>
          <w:szCs w:val="28"/>
        </w:rPr>
        <w:t> </w:t>
      </w:r>
      <w:r w:rsidRPr="00F663B7">
        <w:rPr>
          <w:sz w:val="28"/>
          <w:szCs w:val="28"/>
        </w:rPr>
        <w:t>ezer, the common disobedience of both, and the cultural situation—seem to challenge the overall presence of simple and clear misogyny. Secondary sources such as Trible</w:t>
      </w:r>
      <w:r w:rsidRPr="00F663B7">
        <w:rPr>
          <w:sz w:val="28"/>
          <w:szCs w:val="28"/>
        </w:rPr>
        <w:t> </w:t>
      </w:r>
      <w:r w:rsidRPr="00F663B7">
        <w:rPr>
          <w:sz w:val="28"/>
          <w:szCs w:val="28"/>
        </w:rPr>
        <w:t>and Pagels reveal that outside the narrative, it is the interpretation, not the story itself, that results in misogyny. The</w:t>
      </w:r>
      <w:r w:rsidRPr="00F663B7">
        <w:rPr>
          <w:sz w:val="28"/>
          <w:szCs w:val="28"/>
        </w:rPr>
        <w:t> </w:t>
      </w:r>
      <w:r w:rsidRPr="00F663B7">
        <w:rPr>
          <w:sz w:val="28"/>
          <w:szCs w:val="28"/>
        </w:rPr>
        <w:t>poster reflects this and juxtaposes blame and partnership. These accounts highlight the need for reading scripture in context, that our own sacred texts can be used to oppress or reread in such a way that they are liberating for</w:t>
      </w:r>
      <w:r w:rsidRPr="00F663B7">
        <w:rPr>
          <w:sz w:val="28"/>
          <w:szCs w:val="28"/>
        </w:rPr>
        <w:t> </w:t>
      </w:r>
      <w:r w:rsidRPr="00F663B7">
        <w:rPr>
          <w:sz w:val="28"/>
          <w:szCs w:val="28"/>
        </w:rPr>
        <w:t>all. Subsequent analyses might examine</w:t>
      </w:r>
      <w:r w:rsidRPr="00F663B7">
        <w:rPr>
          <w:sz w:val="28"/>
          <w:szCs w:val="28"/>
        </w:rPr>
        <w:t> </w:t>
      </w:r>
      <w:r w:rsidRPr="00F663B7">
        <w:rPr>
          <w:sz w:val="28"/>
          <w:szCs w:val="28"/>
        </w:rPr>
        <w:t xml:space="preserve">how the strange world of Genesis has shaped modern gender theology, linking ancient literature with modern morality </w:t>
      </w:r>
      <w:r w:rsidRPr="004B1104">
        <w:rPr>
          <w:sz w:val="28"/>
          <w:szCs w:val="28"/>
        </w:rPr>
        <w:t>contemporary ethics.</w:t>
      </w:r>
    </w:p>
    <w:p w14:paraId="4D69B47A" w14:textId="77777777" w:rsidR="00F663B7" w:rsidRPr="00F663B7" w:rsidRDefault="00F663B7" w:rsidP="00F663B7">
      <w:pPr>
        <w:spacing w:before="100" w:beforeAutospacing="1" w:after="100" w:afterAutospacing="1" w:line="240" w:lineRule="auto"/>
        <w:outlineLvl w:val="3"/>
        <w:rPr>
          <w:rFonts w:ascii="Times New Roman" w:eastAsia="Times New Roman" w:hAnsi="Times New Roman" w:cs="Times New Roman"/>
          <w:b/>
          <w:bCs/>
          <w:kern w:val="0"/>
          <w:sz w:val="28"/>
          <w:szCs w:val="28"/>
          <w:lang w:eastAsia="en-GB"/>
          <w14:ligatures w14:val="none"/>
        </w:rPr>
      </w:pPr>
    </w:p>
    <w:p w14:paraId="6A824CCD" w14:textId="0EF44E3A" w:rsidR="00F663B7" w:rsidRPr="004B1104" w:rsidRDefault="00F663B7" w:rsidP="00F663B7">
      <w:pPr>
        <w:spacing w:before="100" w:beforeAutospacing="1" w:after="100" w:afterAutospacing="1" w:line="240" w:lineRule="auto"/>
        <w:outlineLvl w:val="3"/>
        <w:rPr>
          <w:rFonts w:ascii="Times New Roman" w:eastAsia="Times New Roman" w:hAnsi="Times New Roman" w:cs="Times New Roman"/>
          <w:b/>
          <w:bCs/>
          <w:kern w:val="0"/>
          <w:sz w:val="28"/>
          <w:szCs w:val="28"/>
          <w:lang w:eastAsia="en-GB"/>
          <w14:ligatures w14:val="none"/>
        </w:rPr>
      </w:pPr>
      <w:r w:rsidRPr="004B1104">
        <w:rPr>
          <w:rFonts w:ascii="Times New Roman" w:eastAsia="Times New Roman" w:hAnsi="Times New Roman" w:cs="Times New Roman"/>
          <w:b/>
          <w:bCs/>
          <w:kern w:val="0"/>
          <w:sz w:val="28"/>
          <w:szCs w:val="28"/>
          <w:lang w:eastAsia="en-GB"/>
          <w14:ligatures w14:val="none"/>
        </w:rPr>
        <w:t>References</w:t>
      </w:r>
    </w:p>
    <w:p w14:paraId="23C94983" w14:textId="77777777" w:rsidR="00F663B7" w:rsidRPr="004B1104" w:rsidRDefault="00F663B7" w:rsidP="00F663B7">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B1104">
        <w:rPr>
          <w:rFonts w:ascii="Times New Roman" w:eastAsia="Times New Roman" w:hAnsi="Times New Roman" w:cs="Times New Roman"/>
          <w:kern w:val="0"/>
          <w:sz w:val="28"/>
          <w:szCs w:val="28"/>
          <w:lang w:eastAsia="en-GB"/>
          <w14:ligatures w14:val="none"/>
        </w:rPr>
        <w:t>Holy Bible, New International Version. Zondervan, 2011.</w:t>
      </w:r>
    </w:p>
    <w:p w14:paraId="7C15F5C9" w14:textId="77777777" w:rsidR="00F663B7" w:rsidRPr="004B1104" w:rsidRDefault="00F663B7" w:rsidP="00F663B7">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B1104">
        <w:rPr>
          <w:rFonts w:ascii="Times New Roman" w:eastAsia="Times New Roman" w:hAnsi="Times New Roman" w:cs="Times New Roman"/>
          <w:kern w:val="0"/>
          <w:sz w:val="28"/>
          <w:szCs w:val="28"/>
          <w:lang w:eastAsia="en-GB"/>
          <w14:ligatures w14:val="none"/>
        </w:rPr>
        <w:t xml:space="preserve">Pagels, Elaine. </w:t>
      </w:r>
      <w:r w:rsidRPr="004B1104">
        <w:rPr>
          <w:rFonts w:ascii="Times New Roman" w:eastAsia="Times New Roman" w:hAnsi="Times New Roman" w:cs="Times New Roman"/>
          <w:i/>
          <w:iCs/>
          <w:kern w:val="0"/>
          <w:sz w:val="28"/>
          <w:szCs w:val="28"/>
          <w:lang w:eastAsia="en-GB"/>
          <w14:ligatures w14:val="none"/>
        </w:rPr>
        <w:t>Adam, Eve, and the Serpent</w:t>
      </w:r>
      <w:r w:rsidRPr="004B1104">
        <w:rPr>
          <w:rFonts w:ascii="Times New Roman" w:eastAsia="Times New Roman" w:hAnsi="Times New Roman" w:cs="Times New Roman"/>
          <w:kern w:val="0"/>
          <w:sz w:val="28"/>
          <w:szCs w:val="28"/>
          <w:lang w:eastAsia="en-GB"/>
          <w14:ligatures w14:val="none"/>
        </w:rPr>
        <w:t>. Random House, 1988.</w:t>
      </w:r>
    </w:p>
    <w:p w14:paraId="71831FFF" w14:textId="77777777" w:rsidR="00F663B7" w:rsidRPr="004B1104" w:rsidRDefault="00F663B7" w:rsidP="00F663B7">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B1104">
        <w:rPr>
          <w:rFonts w:ascii="Times New Roman" w:eastAsia="Times New Roman" w:hAnsi="Times New Roman" w:cs="Times New Roman"/>
          <w:kern w:val="0"/>
          <w:sz w:val="28"/>
          <w:szCs w:val="28"/>
          <w:lang w:eastAsia="en-GB"/>
          <w14:ligatures w14:val="none"/>
        </w:rPr>
        <w:t xml:space="preserve">Trible, Phyllis. “Eve and Adam: Genesis 2–3 Reread.” </w:t>
      </w:r>
      <w:r w:rsidRPr="004B1104">
        <w:rPr>
          <w:rFonts w:ascii="Times New Roman" w:eastAsia="Times New Roman" w:hAnsi="Times New Roman" w:cs="Times New Roman"/>
          <w:i/>
          <w:iCs/>
          <w:kern w:val="0"/>
          <w:sz w:val="28"/>
          <w:szCs w:val="28"/>
          <w:lang w:eastAsia="en-GB"/>
          <w14:ligatures w14:val="none"/>
        </w:rPr>
        <w:t>The Torah</w:t>
      </w:r>
      <w:r w:rsidRPr="004B1104">
        <w:rPr>
          <w:rFonts w:ascii="Times New Roman" w:eastAsia="Times New Roman" w:hAnsi="Times New Roman" w:cs="Times New Roman"/>
          <w:kern w:val="0"/>
          <w:sz w:val="28"/>
          <w:szCs w:val="28"/>
          <w:lang w:eastAsia="en-GB"/>
          <w14:ligatures w14:val="none"/>
        </w:rPr>
        <w:t>, www.thetorah.com/article/eve-and-adam-genesis-2-3-reread.</w:t>
      </w:r>
    </w:p>
    <w:p w14:paraId="4E6F5CC4" w14:textId="77777777" w:rsidR="00F663B7" w:rsidRPr="004B1104" w:rsidRDefault="00F663B7" w:rsidP="00F663B7">
      <w:pPr>
        <w:numPr>
          <w:ilvl w:val="0"/>
          <w:numId w:val="1"/>
        </w:num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4B1104">
        <w:rPr>
          <w:rFonts w:ascii="Times New Roman" w:eastAsia="Times New Roman" w:hAnsi="Times New Roman" w:cs="Times New Roman"/>
          <w:kern w:val="0"/>
          <w:sz w:val="28"/>
          <w:szCs w:val="28"/>
          <w:lang w:eastAsia="en-GB"/>
          <w14:ligatures w14:val="none"/>
        </w:rPr>
        <w:t xml:space="preserve">Trible, Phyllis. </w:t>
      </w:r>
      <w:r w:rsidRPr="004B1104">
        <w:rPr>
          <w:rFonts w:ascii="Times New Roman" w:eastAsia="Times New Roman" w:hAnsi="Times New Roman" w:cs="Times New Roman"/>
          <w:i/>
          <w:iCs/>
          <w:kern w:val="0"/>
          <w:sz w:val="28"/>
          <w:szCs w:val="28"/>
          <w:lang w:eastAsia="en-GB"/>
          <w14:ligatures w14:val="none"/>
        </w:rPr>
        <w:t>God and the Rhetoric of Sexuality</w:t>
      </w:r>
      <w:r w:rsidRPr="004B1104">
        <w:rPr>
          <w:rFonts w:ascii="Times New Roman" w:eastAsia="Times New Roman" w:hAnsi="Times New Roman" w:cs="Times New Roman"/>
          <w:kern w:val="0"/>
          <w:sz w:val="28"/>
          <w:szCs w:val="28"/>
          <w:lang w:eastAsia="en-GB"/>
          <w14:ligatures w14:val="none"/>
        </w:rPr>
        <w:t>. Fortress Press, 1978.</w:t>
      </w:r>
    </w:p>
    <w:p w14:paraId="6ED0F220" w14:textId="77777777" w:rsidR="00F663B7" w:rsidRPr="00F663B7" w:rsidRDefault="00F663B7" w:rsidP="006B3DD0">
      <w:pPr>
        <w:pStyle w:val="NormalWeb"/>
        <w:rPr>
          <w:sz w:val="28"/>
          <w:szCs w:val="28"/>
        </w:rPr>
      </w:pPr>
    </w:p>
    <w:p w14:paraId="77B3FC83" w14:textId="77777777" w:rsidR="006B3DD0" w:rsidRPr="00F663B7" w:rsidRDefault="006B3DD0" w:rsidP="00B310F5">
      <w:pPr>
        <w:pStyle w:val="NormalWeb"/>
        <w:rPr>
          <w:sz w:val="28"/>
          <w:szCs w:val="28"/>
        </w:rPr>
      </w:pPr>
    </w:p>
    <w:p w14:paraId="25FE8AB8" w14:textId="77777777" w:rsidR="00B310F5" w:rsidRPr="00F663B7" w:rsidRDefault="00B310F5" w:rsidP="00B310F5">
      <w:pPr>
        <w:pStyle w:val="NormalWeb"/>
        <w:rPr>
          <w:sz w:val="28"/>
          <w:szCs w:val="28"/>
        </w:rPr>
      </w:pPr>
      <w:r w:rsidRPr="00F663B7">
        <w:rPr>
          <w:sz w:val="28"/>
          <w:szCs w:val="28"/>
        </w:rPr>
        <w:t> </w:t>
      </w:r>
    </w:p>
    <w:p w14:paraId="783CB6A5" w14:textId="77777777" w:rsidR="00B310F5" w:rsidRPr="00F663B7" w:rsidRDefault="00B310F5" w:rsidP="00B310F5">
      <w:pPr>
        <w:pStyle w:val="NormalWeb"/>
        <w:rPr>
          <w:sz w:val="28"/>
          <w:szCs w:val="28"/>
        </w:rPr>
      </w:pPr>
    </w:p>
    <w:p w14:paraId="4B07F271" w14:textId="77777777" w:rsidR="00446ADB" w:rsidRDefault="00446ADB"/>
    <w:sectPr w:rsidR="00446A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69AD1" w14:textId="77777777" w:rsidR="00926B77" w:rsidRDefault="00926B77" w:rsidP="00926B77">
      <w:pPr>
        <w:spacing w:after="0" w:line="240" w:lineRule="auto"/>
      </w:pPr>
      <w:r>
        <w:separator/>
      </w:r>
    </w:p>
  </w:endnote>
  <w:endnote w:type="continuationSeparator" w:id="0">
    <w:p w14:paraId="12EE8172" w14:textId="77777777" w:rsidR="00926B77" w:rsidRDefault="00926B77" w:rsidP="00926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F4A61" w14:textId="77777777" w:rsidR="00926B77" w:rsidRDefault="00926B77" w:rsidP="00926B77">
      <w:pPr>
        <w:spacing w:after="0" w:line="240" w:lineRule="auto"/>
      </w:pPr>
      <w:r>
        <w:separator/>
      </w:r>
    </w:p>
  </w:footnote>
  <w:footnote w:type="continuationSeparator" w:id="0">
    <w:p w14:paraId="05404AE0" w14:textId="77777777" w:rsidR="00926B77" w:rsidRDefault="00926B77" w:rsidP="00926B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75600"/>
    <w:multiLevelType w:val="multilevel"/>
    <w:tmpl w:val="061A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3753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0F5"/>
    <w:rsid w:val="0033267E"/>
    <w:rsid w:val="00446ADB"/>
    <w:rsid w:val="006B1C12"/>
    <w:rsid w:val="006B3DD0"/>
    <w:rsid w:val="007B41BB"/>
    <w:rsid w:val="00926B77"/>
    <w:rsid w:val="00B310F5"/>
    <w:rsid w:val="00D86210"/>
    <w:rsid w:val="00F66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5C16D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B310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310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B310F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310F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310F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310F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310F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310F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310F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310F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B310F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B310F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B310F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310F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310F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310F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310F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310F5"/>
    <w:rPr>
      <w:rFonts w:eastAsiaTheme="majorEastAsia" w:cstheme="majorBidi"/>
      <w:color w:val="272727" w:themeColor="text1" w:themeTint="D8"/>
    </w:rPr>
  </w:style>
  <w:style w:type="paragraph" w:styleId="Titlu">
    <w:name w:val="Title"/>
    <w:basedOn w:val="Normal"/>
    <w:next w:val="Normal"/>
    <w:link w:val="TitluCaracter"/>
    <w:uiPriority w:val="10"/>
    <w:qFormat/>
    <w:rsid w:val="00B31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310F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310F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310F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310F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310F5"/>
    <w:rPr>
      <w:i/>
      <w:iCs/>
      <w:color w:val="404040" w:themeColor="text1" w:themeTint="BF"/>
    </w:rPr>
  </w:style>
  <w:style w:type="paragraph" w:styleId="Listparagraf">
    <w:name w:val="List Paragraph"/>
    <w:basedOn w:val="Normal"/>
    <w:uiPriority w:val="34"/>
    <w:qFormat/>
    <w:rsid w:val="00B310F5"/>
    <w:pPr>
      <w:ind w:left="720"/>
      <w:contextualSpacing/>
    </w:pPr>
  </w:style>
  <w:style w:type="character" w:styleId="Accentuareintens">
    <w:name w:val="Intense Emphasis"/>
    <w:basedOn w:val="Fontdeparagrafimplicit"/>
    <w:uiPriority w:val="21"/>
    <w:qFormat/>
    <w:rsid w:val="00B310F5"/>
    <w:rPr>
      <w:i/>
      <w:iCs/>
      <w:color w:val="0F4761" w:themeColor="accent1" w:themeShade="BF"/>
    </w:rPr>
  </w:style>
  <w:style w:type="paragraph" w:styleId="Citatintens">
    <w:name w:val="Intense Quote"/>
    <w:basedOn w:val="Normal"/>
    <w:next w:val="Normal"/>
    <w:link w:val="CitatintensCaracter"/>
    <w:uiPriority w:val="30"/>
    <w:qFormat/>
    <w:rsid w:val="00B310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310F5"/>
    <w:rPr>
      <w:i/>
      <w:iCs/>
      <w:color w:val="0F4761" w:themeColor="accent1" w:themeShade="BF"/>
    </w:rPr>
  </w:style>
  <w:style w:type="character" w:styleId="Referireintens">
    <w:name w:val="Intense Reference"/>
    <w:basedOn w:val="Fontdeparagrafimplicit"/>
    <w:uiPriority w:val="32"/>
    <w:qFormat/>
    <w:rsid w:val="00B310F5"/>
    <w:rPr>
      <w:b/>
      <w:bCs/>
      <w:smallCaps/>
      <w:color w:val="0F4761" w:themeColor="accent1" w:themeShade="BF"/>
      <w:spacing w:val="5"/>
    </w:rPr>
  </w:style>
  <w:style w:type="paragraph" w:styleId="NormalWeb">
    <w:name w:val="Normal (Web)"/>
    <w:basedOn w:val="Normal"/>
    <w:uiPriority w:val="99"/>
    <w:unhideWhenUsed/>
    <w:rsid w:val="00B310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Antet">
    <w:name w:val="header"/>
    <w:basedOn w:val="Normal"/>
    <w:link w:val="AntetCaracter"/>
    <w:uiPriority w:val="99"/>
    <w:unhideWhenUsed/>
    <w:rsid w:val="00926B77"/>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26B77"/>
  </w:style>
  <w:style w:type="paragraph" w:styleId="Subsol">
    <w:name w:val="footer"/>
    <w:basedOn w:val="Normal"/>
    <w:link w:val="SubsolCaracter"/>
    <w:uiPriority w:val="99"/>
    <w:unhideWhenUsed/>
    <w:rsid w:val="00926B77"/>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26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234263">
      <w:bodyDiv w:val="1"/>
      <w:marLeft w:val="0"/>
      <w:marRight w:val="0"/>
      <w:marTop w:val="0"/>
      <w:marBottom w:val="0"/>
      <w:divBdr>
        <w:top w:val="none" w:sz="0" w:space="0" w:color="auto"/>
        <w:left w:val="none" w:sz="0" w:space="0" w:color="auto"/>
        <w:bottom w:val="none" w:sz="0" w:space="0" w:color="auto"/>
        <w:right w:val="none" w:sz="0" w:space="0" w:color="auto"/>
      </w:divBdr>
    </w:div>
    <w:div w:id="243758587">
      <w:bodyDiv w:val="1"/>
      <w:marLeft w:val="0"/>
      <w:marRight w:val="0"/>
      <w:marTop w:val="0"/>
      <w:marBottom w:val="0"/>
      <w:divBdr>
        <w:top w:val="none" w:sz="0" w:space="0" w:color="auto"/>
        <w:left w:val="none" w:sz="0" w:space="0" w:color="auto"/>
        <w:bottom w:val="none" w:sz="0" w:space="0" w:color="auto"/>
        <w:right w:val="none" w:sz="0" w:space="0" w:color="auto"/>
      </w:divBdr>
    </w:div>
    <w:div w:id="124449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1601</Words>
  <Characters>9289</Characters>
  <Application>Microsoft Office Word</Application>
  <DocSecurity>0</DocSecurity>
  <Lines>77</Lines>
  <Paragraphs>21</Paragraphs>
  <ScaleCrop>false</ScaleCrop>
  <Company/>
  <LinksUpToDate>false</LinksUpToDate>
  <CharactersWithSpaces>10869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2025-06-25T10:45:00Z</dcterms:created>
  <dcterms:modified xsi:type="dcterms:W3CDTF">2025-06-25T10:45:00Z</dcterms:modified>
</cp:coreProperties>
</file>