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1D3E9396" w14:textId="4A3FB98A" w:rsidR="00EA38EE" w:rsidRDefault="00B04898">
      <w:r w:rsidRPr="00A02EE4">
        <w:rPr>
          <w:noProof/>
        </w:rPr>
        <w:drawing>
          <wp:inline distT="0" distB="0" distL="0" distR="0" wp14:anchorId="09BDCA9D" wp14:editId="33DC3155">
            <wp:extent cx="5408839" cy="2381250"/>
            <wp:effectExtent l="0" t="0" r="1905" b="0"/>
            <wp:docPr id="1" name="Picture 1" descr="A logo with a shield and tex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Picture 1" descr="A logo with a shield and text&#10;&#10;Description automatically generated"/>
                    <pic:cNvPicPr/>
                  </pic:nvPicPr>
                  <pic:blipFill rotWithShape="1">
                    <a:blip r:embed="rId4"/>
                    <a:srcRect t="31372"/>
                    <a:stretch/>
                  </pic:blipFill>
                  <pic:spPr bwMode="auto">
                    <a:xfrm>
                      <a:off x="0" y="0"/>
                      <a:ext cx="5417032" cy="2384857"/>
                    </a:xfrm>
                    <a:prstGeom prst="rect">
                      <a:avLst/>
                    </a:prstGeom>
                    <a:ln>
                      <a:noFill/>
                    </a:ln>
                    <a:extLst>
                      <a:ext uri="{53640926-AAD7-44D8-BBD7-CCE9431645EC}">
                        <a14:shadowObscured xmlns:a14="http://schemas.microsoft.com/office/drawing/2010/main"/>
                      </a:ext>
                    </a:extLst>
                  </pic:spPr>
                </pic:pic>
              </a:graphicData>
            </a:graphic>
          </wp:inline>
        </w:drawing>
      </w:r>
    </w:p>
    <w:p w14:paraId="7595878C" w14:textId="6C4EA3E9" w:rsidR="00125E43" w:rsidRPr="00BF1052" w:rsidRDefault="00125E43" w:rsidP="00D20FB5">
      <w:pPr>
        <w:jc w:val="center"/>
        <w:rPr>
          <w:rFonts w:eastAsiaTheme="majorEastAsia" w:cs="Arial"/>
          <w:b/>
          <w:bCs/>
          <w:i/>
          <w:spacing w:val="-10"/>
          <w:kern w:val="28"/>
          <w:sz w:val="32"/>
          <w:szCs w:val="32"/>
          <w:shd w:val="clear" w:color="auto" w:fill="FFFFFF"/>
        </w:rPr>
      </w:pPr>
      <w:r w:rsidRPr="00BF1052">
        <w:rPr>
          <w:rFonts w:eastAsiaTheme="majorEastAsia" w:cs="Arial"/>
          <w:b/>
          <w:bCs/>
          <w:i/>
          <w:spacing w:val="-10"/>
          <w:kern w:val="28"/>
          <w:sz w:val="32"/>
          <w:szCs w:val="32"/>
          <w:shd w:val="clear" w:color="auto" w:fill="FFFFFF"/>
        </w:rPr>
        <w:t xml:space="preserve">BA Hons </w:t>
      </w:r>
      <w:r w:rsidR="00BF1052" w:rsidRPr="00BF1052">
        <w:rPr>
          <w:rFonts w:eastAsiaTheme="majorEastAsia" w:cs="Arial"/>
          <w:b/>
          <w:bCs/>
          <w:i/>
          <w:spacing w:val="-10"/>
          <w:kern w:val="28"/>
          <w:sz w:val="32"/>
          <w:szCs w:val="32"/>
          <w:shd w:val="clear" w:color="auto" w:fill="FFFFFF"/>
        </w:rPr>
        <w:t>International Hotel Management</w:t>
      </w:r>
    </w:p>
    <w:p w14:paraId="6747D3A3" w14:textId="77F7B988" w:rsidR="005409A5" w:rsidRPr="00BF1052" w:rsidRDefault="005409A5" w:rsidP="00D20FB5">
      <w:pPr>
        <w:jc w:val="center"/>
        <w:rPr>
          <w:rFonts w:eastAsiaTheme="majorEastAsia" w:cs="Arial"/>
          <w:b/>
          <w:bCs/>
          <w:i/>
          <w:spacing w:val="-10"/>
          <w:kern w:val="28"/>
          <w:sz w:val="56"/>
          <w:szCs w:val="56"/>
          <w:u w:val="single"/>
          <w:shd w:val="clear" w:color="auto" w:fill="FFFFFF"/>
        </w:rPr>
      </w:pPr>
      <w:r w:rsidRPr="00BF1052">
        <w:rPr>
          <w:rFonts w:eastAsiaTheme="majorEastAsia" w:cs="Arial"/>
          <w:b/>
          <w:bCs/>
          <w:i/>
          <w:spacing w:val="-10"/>
          <w:kern w:val="28"/>
          <w:sz w:val="56"/>
          <w:szCs w:val="56"/>
          <w:u w:val="single"/>
          <w:shd w:val="clear" w:color="auto" w:fill="FFFFFF"/>
        </w:rPr>
        <w:t>BMIH5005</w:t>
      </w:r>
    </w:p>
    <w:p w14:paraId="46973704" w14:textId="5E045543" w:rsidR="00D20FB5" w:rsidRPr="00BF1052" w:rsidRDefault="00477865" w:rsidP="00D20FB5">
      <w:pPr>
        <w:jc w:val="center"/>
        <w:rPr>
          <w:rFonts w:eastAsiaTheme="majorEastAsia" w:cs="Arial"/>
          <w:b/>
          <w:bCs/>
          <w:i/>
          <w:spacing w:val="-10"/>
          <w:kern w:val="28"/>
          <w:sz w:val="56"/>
          <w:szCs w:val="56"/>
          <w:u w:val="single"/>
          <w:shd w:val="clear" w:color="auto" w:fill="FFFFFF"/>
        </w:rPr>
      </w:pPr>
      <w:r w:rsidRPr="00BF1052">
        <w:rPr>
          <w:rFonts w:eastAsiaTheme="majorEastAsia" w:cs="Arial"/>
          <w:b/>
          <w:bCs/>
          <w:i/>
          <w:spacing w:val="-10"/>
          <w:kern w:val="28"/>
          <w:sz w:val="56"/>
          <w:szCs w:val="56"/>
          <w:u w:val="single"/>
          <w:shd w:val="clear" w:color="auto" w:fill="FFFFFF"/>
        </w:rPr>
        <w:t xml:space="preserve">Personnel </w:t>
      </w:r>
      <w:r w:rsidR="00601B33" w:rsidRPr="00BF1052">
        <w:rPr>
          <w:rFonts w:eastAsiaTheme="majorEastAsia" w:cs="Arial"/>
          <w:b/>
          <w:bCs/>
          <w:i/>
          <w:spacing w:val="-10"/>
          <w:kern w:val="28"/>
          <w:sz w:val="56"/>
          <w:szCs w:val="56"/>
          <w:u w:val="single"/>
          <w:shd w:val="clear" w:color="auto" w:fill="FFFFFF"/>
        </w:rPr>
        <w:t xml:space="preserve">Resourcing </w:t>
      </w:r>
      <w:r w:rsidR="005409A5" w:rsidRPr="00BF1052">
        <w:rPr>
          <w:rFonts w:eastAsiaTheme="majorEastAsia" w:cs="Arial"/>
          <w:b/>
          <w:bCs/>
          <w:i/>
          <w:spacing w:val="-10"/>
          <w:kern w:val="28"/>
          <w:sz w:val="56"/>
          <w:szCs w:val="56"/>
          <w:u w:val="single"/>
          <w:shd w:val="clear" w:color="auto" w:fill="FFFFFF"/>
        </w:rPr>
        <w:t>and</w:t>
      </w:r>
      <w:r w:rsidR="00601B33" w:rsidRPr="00BF1052">
        <w:rPr>
          <w:rFonts w:eastAsiaTheme="majorEastAsia" w:cs="Arial"/>
          <w:b/>
          <w:bCs/>
          <w:i/>
          <w:spacing w:val="-10"/>
          <w:kern w:val="28"/>
          <w:sz w:val="56"/>
          <w:szCs w:val="56"/>
          <w:u w:val="single"/>
          <w:shd w:val="clear" w:color="auto" w:fill="FFFFFF"/>
        </w:rPr>
        <w:t xml:space="preserve"> Development</w:t>
      </w:r>
    </w:p>
    <w:p w14:paraId="322674E3" w14:textId="77777777" w:rsidR="00D20FB5" w:rsidRPr="00A02EE4" w:rsidRDefault="00D20FB5" w:rsidP="00D20FB5">
      <w:pPr>
        <w:jc w:val="center"/>
        <w:rPr>
          <w:rFonts w:cs="Arial"/>
          <w:i/>
        </w:rPr>
      </w:pPr>
    </w:p>
    <w:p w14:paraId="085EF98A" w14:textId="003688E3" w:rsidR="00D20FB5" w:rsidRPr="000D7E0B" w:rsidRDefault="00D20FB5" w:rsidP="00D20FB5">
      <w:pPr>
        <w:jc w:val="center"/>
        <w:rPr>
          <w:sz w:val="48"/>
          <w:szCs w:val="48"/>
        </w:rPr>
      </w:pPr>
      <w:r w:rsidRPr="000D7E0B">
        <w:rPr>
          <w:sz w:val="48"/>
          <w:szCs w:val="48"/>
        </w:rPr>
        <w:t>Student: Nasima Akter</w:t>
      </w:r>
    </w:p>
    <w:p w14:paraId="3E97EB24" w14:textId="7AAD2416" w:rsidR="00D20FB5" w:rsidRPr="000D7E0B" w:rsidRDefault="00D20FB5" w:rsidP="00D20FB5">
      <w:pPr>
        <w:spacing w:line="276" w:lineRule="auto"/>
        <w:jc w:val="center"/>
        <w:rPr>
          <w:sz w:val="48"/>
          <w:szCs w:val="48"/>
        </w:rPr>
      </w:pPr>
      <w:r w:rsidRPr="000D7E0B">
        <w:rPr>
          <w:sz w:val="48"/>
          <w:szCs w:val="48"/>
        </w:rPr>
        <w:t>ID: 221</w:t>
      </w:r>
      <w:r>
        <w:rPr>
          <w:sz w:val="48"/>
          <w:szCs w:val="48"/>
        </w:rPr>
        <w:t>02</w:t>
      </w:r>
      <w:r w:rsidRPr="000D7E0B">
        <w:rPr>
          <w:sz w:val="48"/>
          <w:szCs w:val="48"/>
        </w:rPr>
        <w:t>68</w:t>
      </w:r>
    </w:p>
    <w:p w14:paraId="65248CE8" w14:textId="387089B5" w:rsidR="00D20FB5" w:rsidRPr="000D7E0B" w:rsidRDefault="00D20FB5" w:rsidP="00D20FB5">
      <w:pPr>
        <w:spacing w:line="276" w:lineRule="auto"/>
        <w:jc w:val="center"/>
        <w:rPr>
          <w:sz w:val="48"/>
          <w:szCs w:val="48"/>
        </w:rPr>
      </w:pPr>
      <w:r w:rsidRPr="000D7E0B">
        <w:rPr>
          <w:sz w:val="48"/>
          <w:szCs w:val="48"/>
        </w:rPr>
        <w:t xml:space="preserve">Lecturer Name: </w:t>
      </w:r>
      <w:r w:rsidR="00D4789B">
        <w:rPr>
          <w:sz w:val="48"/>
          <w:szCs w:val="48"/>
        </w:rPr>
        <w:t>Deborah Lloyd</w:t>
      </w:r>
    </w:p>
    <w:p w14:paraId="463E8F66" w14:textId="4B735C2B" w:rsidR="00D20FB5" w:rsidRDefault="00D20FB5" w:rsidP="00D20FB5">
      <w:pPr>
        <w:spacing w:line="276" w:lineRule="auto"/>
        <w:jc w:val="center"/>
        <w:rPr>
          <w:sz w:val="48"/>
          <w:szCs w:val="48"/>
        </w:rPr>
      </w:pPr>
      <w:r w:rsidRPr="000D7E0B">
        <w:rPr>
          <w:sz w:val="48"/>
          <w:szCs w:val="48"/>
        </w:rPr>
        <w:t>Word Count:</w:t>
      </w:r>
      <w:r>
        <w:rPr>
          <w:sz w:val="48"/>
          <w:szCs w:val="48"/>
        </w:rPr>
        <w:t xml:space="preserve"> </w:t>
      </w:r>
      <w:r w:rsidR="00D4789B">
        <w:rPr>
          <w:sz w:val="48"/>
          <w:szCs w:val="48"/>
        </w:rPr>
        <w:t>20</w:t>
      </w:r>
      <w:r w:rsidR="00634225">
        <w:rPr>
          <w:sz w:val="48"/>
          <w:szCs w:val="48"/>
        </w:rPr>
        <w:t>15</w:t>
      </w:r>
    </w:p>
    <w:p w14:paraId="0732B4B2" w14:textId="77777777" w:rsidR="002E3882" w:rsidRDefault="002E3882" w:rsidP="00D20FB5">
      <w:pPr>
        <w:spacing w:line="276" w:lineRule="auto"/>
        <w:jc w:val="center"/>
        <w:rPr>
          <w:rFonts w:ascii="Arial" w:hAnsi="Arial" w:cs="Arial"/>
          <w:b/>
          <w:sz w:val="28"/>
          <w:szCs w:val="32"/>
          <w:u w:val="single"/>
        </w:rPr>
      </w:pPr>
    </w:p>
    <w:p w14:paraId="341C7630" w14:textId="35FC3F5C" w:rsidR="002E3882" w:rsidRDefault="002E3882" w:rsidP="00D20FB5">
      <w:pPr>
        <w:spacing w:line="276" w:lineRule="auto"/>
        <w:jc w:val="center"/>
        <w:rPr>
          <w:rFonts w:ascii="Arial" w:hAnsi="Arial" w:cs="Arial"/>
          <w:b/>
          <w:sz w:val="28"/>
          <w:szCs w:val="32"/>
          <w:u w:val="single"/>
        </w:rPr>
      </w:pPr>
      <w:r>
        <w:rPr>
          <w:rFonts w:ascii="Arial" w:hAnsi="Arial" w:cs="Arial"/>
          <w:b/>
          <w:sz w:val="28"/>
          <w:szCs w:val="32"/>
          <w:u w:val="single"/>
        </w:rPr>
        <w:t>Assignment 1</w:t>
      </w:r>
      <w:r w:rsidR="00257BC0">
        <w:rPr>
          <w:rFonts w:ascii="Arial" w:hAnsi="Arial" w:cs="Arial"/>
          <w:b/>
          <w:sz w:val="28"/>
          <w:szCs w:val="32"/>
          <w:u w:val="single"/>
        </w:rPr>
        <w:t xml:space="preserve">- </w:t>
      </w:r>
      <w:r w:rsidR="000318C2">
        <w:rPr>
          <w:rFonts w:ascii="Arial" w:hAnsi="Arial" w:cs="Arial"/>
          <w:b/>
          <w:sz w:val="28"/>
          <w:szCs w:val="32"/>
          <w:u w:val="single"/>
        </w:rPr>
        <w:t>Essay.</w:t>
      </w:r>
    </w:p>
    <w:p w14:paraId="69102434" w14:textId="6F1DB880" w:rsidR="00D20FB5" w:rsidRPr="004E3F20" w:rsidRDefault="00407135" w:rsidP="004E3F20">
      <w:pPr>
        <w:spacing w:line="276" w:lineRule="auto"/>
        <w:jc w:val="center"/>
        <w:rPr>
          <w:b/>
          <w:sz w:val="48"/>
          <w:szCs w:val="48"/>
          <w:u w:val="single"/>
        </w:rPr>
      </w:pPr>
      <w:r w:rsidRPr="002E3882">
        <w:rPr>
          <w:rFonts w:ascii="Arial" w:hAnsi="Arial" w:cs="Arial"/>
          <w:b/>
          <w:sz w:val="28"/>
          <w:szCs w:val="32"/>
          <w:u w:val="single"/>
        </w:rPr>
        <w:t xml:space="preserve">How to engage employees </w:t>
      </w:r>
      <w:r w:rsidR="002E3882" w:rsidRPr="002E3882">
        <w:rPr>
          <w:rFonts w:ascii="Arial" w:hAnsi="Arial" w:cs="Arial"/>
          <w:b/>
          <w:sz w:val="28"/>
          <w:szCs w:val="32"/>
          <w:u w:val="single"/>
        </w:rPr>
        <w:t xml:space="preserve">from </w:t>
      </w:r>
      <w:r w:rsidRPr="002E3882">
        <w:rPr>
          <w:rFonts w:ascii="Arial" w:hAnsi="Arial" w:cs="Arial"/>
          <w:b/>
          <w:sz w:val="28"/>
          <w:szCs w:val="32"/>
          <w:u w:val="single"/>
        </w:rPr>
        <w:t>Generation Y</w:t>
      </w:r>
      <w:r w:rsidRPr="002E3882">
        <w:rPr>
          <w:rFonts w:ascii="Arial" w:hAnsi="Arial" w:cs="Arial"/>
          <w:b/>
          <w:sz w:val="28"/>
          <w:szCs w:val="32"/>
          <w:u w:val="single"/>
        </w:rPr>
        <w:t>’</w:t>
      </w:r>
      <w:r w:rsidRPr="002E3882">
        <w:rPr>
          <w:rFonts w:ascii="Arial" w:hAnsi="Arial" w:cs="Arial"/>
          <w:b/>
          <w:sz w:val="28"/>
          <w:szCs w:val="32"/>
          <w:u w:val="single"/>
        </w:rPr>
        <w:t>s</w:t>
      </w:r>
      <w:r w:rsidR="002E3882" w:rsidRPr="002E3882">
        <w:rPr>
          <w:rFonts w:ascii="Arial" w:hAnsi="Arial" w:cs="Arial"/>
          <w:b/>
          <w:sz w:val="28"/>
          <w:szCs w:val="32"/>
          <w:u w:val="single"/>
        </w:rPr>
        <w:t xml:space="preserve"> </w:t>
      </w:r>
      <w:r w:rsidRPr="002E3882">
        <w:rPr>
          <w:rFonts w:ascii="Arial" w:hAnsi="Arial" w:cs="Arial"/>
          <w:b/>
          <w:sz w:val="28"/>
          <w:szCs w:val="32"/>
          <w:u w:val="single"/>
        </w:rPr>
        <w:t>throughout the employee lifecycle</w:t>
      </w:r>
      <w:r w:rsidR="00D20FB5" w:rsidRPr="000D7E0B">
        <w:rPr>
          <w:b/>
          <w:sz w:val="48"/>
          <w:szCs w:val="48"/>
        </w:rPr>
        <w:br w:type="page"/>
      </w:r>
    </w:p>
    <w:p w14:paraId="29176C1D" w14:textId="6CBBB9D1" w:rsidR="000318C2" w:rsidRPr="002D36A4" w:rsidRDefault="000318C2" w:rsidP="002D36A4">
      <w:pPr>
        <w:spacing w:before="120" w:line="360" w:lineRule="auto"/>
        <w:jc w:val="both"/>
        <w:rPr>
          <w:rFonts w:ascii="Arial" w:hAnsi="Arial" w:cs="Arial"/>
          <w:b/>
          <w:bCs/>
          <w:sz w:val="24"/>
          <w:szCs w:val="24"/>
        </w:rPr>
      </w:pPr>
      <w:r w:rsidRPr="002D36A4">
        <w:rPr>
          <w:rFonts w:ascii="Arial" w:hAnsi="Arial" w:cs="Arial"/>
          <w:sz w:val="24"/>
          <w:szCs w:val="24"/>
        </w:rPr>
        <w:lastRenderedPageBreak/>
        <w:t xml:space="preserve">The importance of employee engagement cannot be overstated for organisations aiming to improve efficiency, cultivate loyalty, and attain long-term success. This </w:t>
      </w:r>
      <w:r w:rsidR="007B012C">
        <w:rPr>
          <w:rFonts w:ascii="Arial" w:hAnsi="Arial" w:cs="Arial"/>
          <w:sz w:val="24"/>
          <w:szCs w:val="24"/>
        </w:rPr>
        <w:t>essay</w:t>
      </w:r>
      <w:r w:rsidRPr="002D36A4">
        <w:rPr>
          <w:rFonts w:ascii="Arial" w:hAnsi="Arial" w:cs="Arial"/>
          <w:sz w:val="24"/>
          <w:szCs w:val="24"/>
        </w:rPr>
        <w:t xml:space="preserve"> examines the tactics that the human resource (HR) department of Hilton Hotel may utilise within the framework of the hospitality sector to effectively engage Generation Y employees at various stages of the employee lifecycle (Torrington et al., 2020). The text also examines the involvement of Human Resources (HR) in fostering employee engagement, </w:t>
      </w:r>
      <w:r w:rsidR="00027BE0" w:rsidRPr="002D36A4">
        <w:rPr>
          <w:rFonts w:ascii="Arial" w:hAnsi="Arial" w:cs="Arial"/>
          <w:sz w:val="24"/>
          <w:szCs w:val="24"/>
        </w:rPr>
        <w:t>investigates</w:t>
      </w:r>
      <w:r w:rsidRPr="002D36A4">
        <w:rPr>
          <w:rFonts w:ascii="Arial" w:hAnsi="Arial" w:cs="Arial"/>
          <w:sz w:val="24"/>
          <w:szCs w:val="24"/>
        </w:rPr>
        <w:t xml:space="preserve"> into the distinguishing traits of Generation Y, proposes strategies for effectively engaging this specific demographic, underscores the benefits of a highly engaged workforce, and integrates Maslow's hierarchy of needs to offer a comprehensive perspective from an HR standpoint (Schweikle, 2014). In addition, this </w:t>
      </w:r>
      <w:r w:rsidR="00BB1071">
        <w:rPr>
          <w:rFonts w:ascii="Arial" w:hAnsi="Arial" w:cs="Arial"/>
          <w:sz w:val="24"/>
          <w:szCs w:val="24"/>
        </w:rPr>
        <w:t xml:space="preserve">essay </w:t>
      </w:r>
      <w:r w:rsidRPr="002D36A4">
        <w:rPr>
          <w:rFonts w:ascii="Arial" w:hAnsi="Arial" w:cs="Arial"/>
          <w:sz w:val="24"/>
          <w:szCs w:val="24"/>
        </w:rPr>
        <w:t xml:space="preserve">will analyse and </w:t>
      </w:r>
      <w:r w:rsidR="00BB1071" w:rsidRPr="002D36A4">
        <w:rPr>
          <w:rFonts w:ascii="Arial" w:hAnsi="Arial" w:cs="Arial"/>
          <w:sz w:val="24"/>
          <w:szCs w:val="24"/>
        </w:rPr>
        <w:t>put together</w:t>
      </w:r>
      <w:r w:rsidRPr="002D36A4">
        <w:rPr>
          <w:rFonts w:ascii="Arial" w:hAnsi="Arial" w:cs="Arial"/>
          <w:sz w:val="24"/>
          <w:szCs w:val="24"/>
        </w:rPr>
        <w:t xml:space="preserve"> instances from the sector to provide </w:t>
      </w:r>
      <w:r w:rsidR="00BB1071" w:rsidRPr="002D36A4">
        <w:rPr>
          <w:rFonts w:ascii="Arial" w:hAnsi="Arial" w:cs="Arial"/>
          <w:sz w:val="24"/>
          <w:szCs w:val="24"/>
        </w:rPr>
        <w:t>standard</w:t>
      </w:r>
      <w:r w:rsidRPr="002D36A4">
        <w:rPr>
          <w:rFonts w:ascii="Arial" w:hAnsi="Arial" w:cs="Arial"/>
          <w:sz w:val="24"/>
          <w:szCs w:val="24"/>
        </w:rPr>
        <w:t xml:space="preserve"> approaches to </w:t>
      </w:r>
      <w:r w:rsidR="00BB1071" w:rsidRPr="002D36A4">
        <w:rPr>
          <w:rFonts w:ascii="Arial" w:hAnsi="Arial" w:cs="Arial"/>
          <w:sz w:val="24"/>
          <w:szCs w:val="24"/>
        </w:rPr>
        <w:t>promoting</w:t>
      </w:r>
      <w:r w:rsidRPr="002D36A4">
        <w:rPr>
          <w:rFonts w:ascii="Arial" w:hAnsi="Arial" w:cs="Arial"/>
          <w:sz w:val="24"/>
          <w:szCs w:val="24"/>
        </w:rPr>
        <w:t xml:space="preserve"> employee engagement.</w:t>
      </w:r>
    </w:p>
    <w:p w14:paraId="0F1BD687" w14:textId="77777777" w:rsidR="0057048A" w:rsidRDefault="000318C2" w:rsidP="002D36A4">
      <w:pPr>
        <w:spacing w:before="120" w:line="360" w:lineRule="auto"/>
        <w:jc w:val="both"/>
        <w:rPr>
          <w:rFonts w:ascii="Arial" w:hAnsi="Arial" w:cs="Arial"/>
          <w:sz w:val="24"/>
          <w:szCs w:val="24"/>
        </w:rPr>
      </w:pPr>
      <w:r w:rsidRPr="002D36A4">
        <w:rPr>
          <w:rFonts w:ascii="Arial" w:hAnsi="Arial" w:cs="Arial"/>
          <w:sz w:val="24"/>
          <w:szCs w:val="24"/>
        </w:rPr>
        <w:t xml:space="preserve">Human resources are critical in </w:t>
      </w:r>
      <w:r w:rsidR="00854E02" w:rsidRPr="002D36A4">
        <w:rPr>
          <w:rFonts w:ascii="Arial" w:hAnsi="Arial" w:cs="Arial"/>
          <w:sz w:val="24"/>
          <w:szCs w:val="24"/>
        </w:rPr>
        <w:t>advancing</w:t>
      </w:r>
      <w:r w:rsidRPr="002D36A4">
        <w:rPr>
          <w:rFonts w:ascii="Arial" w:hAnsi="Arial" w:cs="Arial"/>
          <w:sz w:val="24"/>
          <w:szCs w:val="24"/>
        </w:rPr>
        <w:t xml:space="preserve"> and sustaining employee engagement within an organisation. HR may focus on the following critical areas to effectively engage Generation Y employees at Hilton:</w:t>
      </w:r>
      <w:r w:rsidRPr="002D36A4">
        <w:rPr>
          <w:rFonts w:ascii="Arial" w:hAnsi="Arial" w:cs="Arial"/>
          <w:b/>
          <w:bCs/>
          <w:sz w:val="24"/>
          <w:szCs w:val="24"/>
        </w:rPr>
        <w:t xml:space="preserve"> </w:t>
      </w:r>
      <w:r w:rsidRPr="002D36A4">
        <w:rPr>
          <w:rFonts w:ascii="Arial" w:hAnsi="Arial" w:cs="Arial"/>
          <w:sz w:val="24"/>
          <w:szCs w:val="24"/>
        </w:rPr>
        <w:t xml:space="preserve">Employees of Generation Y are digital natives who are accustomed to continual connectivity and want to communicate via numerous digital channels (Johnston et al., 2012). To facilitate communication, exchange information, and gather input, HR might use technology to develop interactive intranets, mobile applications, or social media groups. Regularly requesting feedback and facilitating open discourse </w:t>
      </w:r>
      <w:r w:rsidR="00232729">
        <w:rPr>
          <w:rFonts w:ascii="Arial" w:hAnsi="Arial" w:cs="Arial"/>
          <w:sz w:val="24"/>
          <w:szCs w:val="24"/>
        </w:rPr>
        <w:t xml:space="preserve">that </w:t>
      </w:r>
      <w:r w:rsidRPr="002D36A4">
        <w:rPr>
          <w:rFonts w:ascii="Arial" w:hAnsi="Arial" w:cs="Arial"/>
          <w:sz w:val="24"/>
          <w:szCs w:val="24"/>
        </w:rPr>
        <w:t>can boost involvement. They seek employment that gives them a feeling of purpose and is consistent with their ideals.</w:t>
      </w:r>
    </w:p>
    <w:p w14:paraId="6A286A3D" w14:textId="77777777" w:rsidR="00E708AC" w:rsidRDefault="000318C2" w:rsidP="002D36A4">
      <w:pPr>
        <w:spacing w:before="120" w:line="360" w:lineRule="auto"/>
        <w:jc w:val="both"/>
        <w:rPr>
          <w:rFonts w:ascii="Arial" w:hAnsi="Arial" w:cs="Arial"/>
          <w:sz w:val="24"/>
          <w:szCs w:val="24"/>
        </w:rPr>
      </w:pPr>
      <w:r w:rsidRPr="002D36A4">
        <w:rPr>
          <w:rFonts w:ascii="Arial" w:hAnsi="Arial" w:cs="Arial"/>
          <w:sz w:val="24"/>
          <w:szCs w:val="24"/>
        </w:rPr>
        <w:t>HR can ensure that job tasks are clearly defined, that opportunities for skill development and progress are available and that the importance of workers' contributions to the hotel's success is emphasised (Armstrong and Taylor, 2020). Offering a clear career path</w:t>
      </w:r>
      <w:r w:rsidR="00AC4DFC">
        <w:rPr>
          <w:rFonts w:ascii="Arial" w:hAnsi="Arial" w:cs="Arial"/>
          <w:sz w:val="24"/>
          <w:szCs w:val="24"/>
        </w:rPr>
        <w:t xml:space="preserve">, with the right knowledge </w:t>
      </w:r>
      <w:r w:rsidR="00A80AFB">
        <w:rPr>
          <w:rFonts w:ascii="Arial" w:hAnsi="Arial" w:cs="Arial"/>
          <w:sz w:val="24"/>
          <w:szCs w:val="24"/>
        </w:rPr>
        <w:t>and effective</w:t>
      </w:r>
      <w:r w:rsidR="008A6348">
        <w:rPr>
          <w:rFonts w:ascii="Arial" w:hAnsi="Arial" w:cs="Arial"/>
          <w:sz w:val="24"/>
          <w:szCs w:val="24"/>
        </w:rPr>
        <w:t xml:space="preserve"> skills</w:t>
      </w:r>
      <w:r w:rsidRPr="002D36A4">
        <w:rPr>
          <w:rFonts w:ascii="Arial" w:hAnsi="Arial" w:cs="Arial"/>
          <w:sz w:val="24"/>
          <w:szCs w:val="24"/>
        </w:rPr>
        <w:t xml:space="preserve"> </w:t>
      </w:r>
      <w:r w:rsidR="008A6348">
        <w:rPr>
          <w:rFonts w:ascii="Arial" w:hAnsi="Arial" w:cs="Arial"/>
          <w:sz w:val="24"/>
          <w:szCs w:val="24"/>
        </w:rPr>
        <w:t xml:space="preserve">will ease </w:t>
      </w:r>
      <w:r w:rsidRPr="002D36A4">
        <w:rPr>
          <w:rFonts w:ascii="Arial" w:hAnsi="Arial" w:cs="Arial"/>
          <w:sz w:val="24"/>
          <w:szCs w:val="24"/>
        </w:rPr>
        <w:t xml:space="preserve">responsibilities </w:t>
      </w:r>
      <w:r w:rsidR="007B01A0">
        <w:rPr>
          <w:rFonts w:ascii="Arial" w:hAnsi="Arial" w:cs="Arial"/>
          <w:sz w:val="24"/>
          <w:szCs w:val="24"/>
        </w:rPr>
        <w:t xml:space="preserve">that </w:t>
      </w:r>
      <w:r w:rsidRPr="002D36A4">
        <w:rPr>
          <w:rFonts w:ascii="Arial" w:hAnsi="Arial" w:cs="Arial"/>
          <w:sz w:val="24"/>
          <w:szCs w:val="24"/>
        </w:rPr>
        <w:t xml:space="preserve">can help increase engagement and retention. Generation Y values work-life balance and prefers flexible work arrangements. To encourage healthy work-life integration, HR can create Work-Life Balance rules that allow for flexible hours, remote work choices, and time off (Murton et al., 2010). Employee engagement may also be increased by providing wellness programmes, employee support programmes, and establishing a good work environment. Employee engagement requires recognising and appreciating their contributions. HR may design recognition programmes that recognise and recognise Generation Y employees' </w:t>
      </w:r>
      <w:r w:rsidRPr="002D36A4">
        <w:rPr>
          <w:rFonts w:ascii="Arial" w:hAnsi="Arial" w:cs="Arial"/>
          <w:sz w:val="24"/>
          <w:szCs w:val="24"/>
        </w:rPr>
        <w:lastRenderedPageBreak/>
        <w:t>accomplishments, both individually and as</w:t>
      </w:r>
      <w:r w:rsidR="002D2205">
        <w:rPr>
          <w:rFonts w:ascii="Arial" w:hAnsi="Arial" w:cs="Arial"/>
          <w:sz w:val="24"/>
          <w:szCs w:val="24"/>
        </w:rPr>
        <w:t xml:space="preserve"> a</w:t>
      </w:r>
      <w:r w:rsidRPr="002D36A4">
        <w:rPr>
          <w:rFonts w:ascii="Arial" w:hAnsi="Arial" w:cs="Arial"/>
          <w:sz w:val="24"/>
          <w:szCs w:val="24"/>
        </w:rPr>
        <w:t xml:space="preserve"> </w:t>
      </w:r>
      <w:r w:rsidR="00226D5B" w:rsidRPr="002D36A4">
        <w:rPr>
          <w:rFonts w:ascii="Arial" w:hAnsi="Arial" w:cs="Arial"/>
          <w:sz w:val="24"/>
          <w:szCs w:val="24"/>
        </w:rPr>
        <w:t>member of the team (Marchington and Wilkinson, 2016)</w:t>
      </w:r>
      <w:r w:rsidRPr="002D36A4">
        <w:rPr>
          <w:rFonts w:ascii="Arial" w:hAnsi="Arial" w:cs="Arial"/>
          <w:sz w:val="24"/>
          <w:szCs w:val="24"/>
        </w:rPr>
        <w:t xml:space="preserve">. Non-monetary incentives, such as public acknowledgement, gratitude gatherings, or professional development opportunities, can be beneficial in inspiring and engaging this generation. Employees in Generation Y embrace cooperation and teamwork. HR may encourage a collaborative culture by forming cross-functional teams, </w:t>
      </w:r>
      <w:r w:rsidR="00DD1D07" w:rsidRPr="002D36A4">
        <w:rPr>
          <w:rFonts w:ascii="Arial" w:hAnsi="Arial" w:cs="Arial"/>
          <w:sz w:val="24"/>
          <w:szCs w:val="24"/>
        </w:rPr>
        <w:t>raising</w:t>
      </w:r>
      <w:r w:rsidRPr="002D36A4">
        <w:rPr>
          <w:rFonts w:ascii="Arial" w:hAnsi="Arial" w:cs="Arial"/>
          <w:sz w:val="24"/>
          <w:szCs w:val="24"/>
        </w:rPr>
        <w:t xml:space="preserve"> information exchange, and offering networking and mentorship opportunities inside the organisation (Frye et al., 2020). Team-building activities like as workshops, retreats, or social gatherings can help to establish connections and increase participation.</w:t>
      </w:r>
    </w:p>
    <w:p w14:paraId="029B5727" w14:textId="70EDB43D" w:rsidR="000318C2" w:rsidRPr="002D36A4" w:rsidRDefault="000318C2" w:rsidP="002D36A4">
      <w:pPr>
        <w:spacing w:before="120" w:line="360" w:lineRule="auto"/>
        <w:jc w:val="both"/>
        <w:rPr>
          <w:rFonts w:ascii="Arial" w:hAnsi="Arial" w:cs="Arial"/>
          <w:b/>
          <w:bCs/>
          <w:sz w:val="24"/>
          <w:szCs w:val="24"/>
        </w:rPr>
      </w:pPr>
      <w:r w:rsidRPr="002D36A4">
        <w:rPr>
          <w:rFonts w:ascii="Arial" w:hAnsi="Arial" w:cs="Arial"/>
          <w:sz w:val="24"/>
          <w:szCs w:val="24"/>
        </w:rPr>
        <w:t>As Generation Y is recognised for their embracing of diversity and inclusion, HR may design policies and practises that encourage diversity, equity, and inclusion within Hilton, ensuring that all workers feel appreciated and respected. Diversity training, employee resource groups, and programmes that honour other cultures and viewpoints are examples of such projects (www.cipd.co.uk/cpd). HR may use technology to improve employee engagement because Generation Y is digitally sophisticated. Digital learning platforms for training and development, gamification of work processes, and the use of collaborative technologies to stimulate teamwork and creativity are examples of this.</w:t>
      </w:r>
    </w:p>
    <w:p w14:paraId="0B9C8C6E" w14:textId="77777777" w:rsidR="009F2643" w:rsidRDefault="000318C2" w:rsidP="002D36A4">
      <w:pPr>
        <w:spacing w:before="120" w:line="360" w:lineRule="auto"/>
        <w:jc w:val="both"/>
        <w:rPr>
          <w:rFonts w:ascii="Arial" w:hAnsi="Arial" w:cs="Arial"/>
          <w:sz w:val="24"/>
          <w:szCs w:val="24"/>
        </w:rPr>
      </w:pPr>
      <w:r w:rsidRPr="002D36A4">
        <w:rPr>
          <w:rFonts w:ascii="Arial" w:hAnsi="Arial" w:cs="Arial"/>
          <w:sz w:val="24"/>
          <w:szCs w:val="24"/>
        </w:rPr>
        <w:t xml:space="preserve">Millennials, </w:t>
      </w:r>
      <w:r w:rsidR="00972722">
        <w:rPr>
          <w:rFonts w:ascii="Arial" w:hAnsi="Arial" w:cs="Arial"/>
          <w:sz w:val="24"/>
          <w:szCs w:val="24"/>
        </w:rPr>
        <w:t>also known as</w:t>
      </w:r>
      <w:r w:rsidRPr="002D36A4">
        <w:rPr>
          <w:rFonts w:ascii="Arial" w:hAnsi="Arial" w:cs="Arial"/>
          <w:sz w:val="24"/>
          <w:szCs w:val="24"/>
        </w:rPr>
        <w:t xml:space="preserve"> Generation Y, were born between the early 1980s and the mid-1990s. Hilton Hotels, for example, </w:t>
      </w:r>
      <w:r w:rsidR="00017C41">
        <w:rPr>
          <w:rFonts w:ascii="Arial" w:hAnsi="Arial" w:cs="Arial"/>
          <w:sz w:val="24"/>
          <w:szCs w:val="24"/>
        </w:rPr>
        <w:t xml:space="preserve">a large organisation </w:t>
      </w:r>
      <w:r w:rsidRPr="002D36A4">
        <w:rPr>
          <w:rFonts w:ascii="Arial" w:hAnsi="Arial" w:cs="Arial"/>
          <w:sz w:val="24"/>
          <w:szCs w:val="24"/>
        </w:rPr>
        <w:t>employs a sizable number of them. Knowing their characteristics is required for tailoring engagement. Employees of Generation Y are likely to have grown up with the internet and rapid technology advancements. They are technologically adept since they grew up with computers, cell phones, and access to the internet. Many have a college education. They seek employment flexibility as well as personal development (Brown et al., 2015).</w:t>
      </w:r>
    </w:p>
    <w:p w14:paraId="1C6B12A4" w14:textId="17AF7DDA" w:rsidR="000318C2" w:rsidRPr="002D36A4" w:rsidRDefault="000318C2" w:rsidP="002D36A4">
      <w:pPr>
        <w:spacing w:before="120" w:line="360" w:lineRule="auto"/>
        <w:jc w:val="both"/>
        <w:rPr>
          <w:rFonts w:ascii="Arial" w:hAnsi="Arial" w:cs="Arial"/>
          <w:b/>
          <w:bCs/>
          <w:sz w:val="24"/>
          <w:szCs w:val="24"/>
        </w:rPr>
      </w:pPr>
      <w:r w:rsidRPr="002D36A4">
        <w:rPr>
          <w:rFonts w:ascii="Arial" w:hAnsi="Arial" w:cs="Arial"/>
          <w:sz w:val="24"/>
          <w:szCs w:val="24"/>
        </w:rPr>
        <w:t xml:space="preserve">They value inclusive, supportive work environments. Millennials are comfortable with technology in their daily lives. They enjoy internet communication and having quick access to things. They also value diversity and inclusivity. Employees who are socially conscious favour organisations that value environmental sustainability and corporate social responsibility. They value experiences above possessions. Their </w:t>
      </w:r>
      <w:r w:rsidR="00BD1DB8" w:rsidRPr="002D36A4">
        <w:rPr>
          <w:rFonts w:ascii="Arial" w:hAnsi="Arial" w:cs="Arial"/>
          <w:sz w:val="24"/>
          <w:szCs w:val="24"/>
        </w:rPr>
        <w:t>desire</w:t>
      </w:r>
      <w:r w:rsidRPr="002D36A4">
        <w:rPr>
          <w:rFonts w:ascii="Arial" w:hAnsi="Arial" w:cs="Arial"/>
          <w:sz w:val="24"/>
          <w:szCs w:val="24"/>
        </w:rPr>
        <w:t xml:space="preserve"> for travel and unique experiences promotes the hotel industry (Frye et al., 2020). These employees want ongoing training. They value mentoring, training, and professional </w:t>
      </w:r>
      <w:r w:rsidRPr="002D36A4">
        <w:rPr>
          <w:rFonts w:ascii="Arial" w:hAnsi="Arial" w:cs="Arial"/>
          <w:sz w:val="24"/>
          <w:szCs w:val="24"/>
        </w:rPr>
        <w:lastRenderedPageBreak/>
        <w:t>development. They stay with firms that invest in their professional development for a longer period. Young people desire meaningful jobs that reflect their values. To make a difference, they pursue social responsibility and sustainability</w:t>
      </w:r>
      <w:r w:rsidR="00F96EF6">
        <w:rPr>
          <w:rFonts w:ascii="Arial" w:hAnsi="Arial" w:cs="Arial"/>
          <w:sz w:val="24"/>
          <w:szCs w:val="24"/>
        </w:rPr>
        <w:t xml:space="preserve"> with</w:t>
      </w:r>
      <w:r w:rsidR="00F96EF6" w:rsidRPr="002D36A4">
        <w:rPr>
          <w:rFonts w:ascii="Arial" w:hAnsi="Arial" w:cs="Arial"/>
          <w:sz w:val="24"/>
          <w:szCs w:val="24"/>
        </w:rPr>
        <w:t>in</w:t>
      </w:r>
      <w:r w:rsidRPr="002D36A4">
        <w:rPr>
          <w:rFonts w:ascii="Arial" w:hAnsi="Arial" w:cs="Arial"/>
          <w:sz w:val="24"/>
          <w:szCs w:val="24"/>
        </w:rPr>
        <w:t xml:space="preserve"> their organisations. Employees in Generation Y prefer a collaborative environment in which they can exchange ideas (Bush, 2017). They want frequent feedback and open contact with management. According to a Hilton Hotels study, meeting the demands </w:t>
      </w:r>
      <w:r w:rsidR="00F96EF6">
        <w:rPr>
          <w:rFonts w:ascii="Arial" w:hAnsi="Arial" w:cs="Arial"/>
          <w:sz w:val="24"/>
          <w:szCs w:val="24"/>
        </w:rPr>
        <w:t>the</w:t>
      </w:r>
      <w:r w:rsidRPr="002D36A4">
        <w:rPr>
          <w:rFonts w:ascii="Arial" w:hAnsi="Arial" w:cs="Arial"/>
          <w:sz w:val="24"/>
          <w:szCs w:val="24"/>
        </w:rPr>
        <w:t xml:space="preserve"> preferences of Generation Y employees may increase workplace happiness, engagement, and retention. Adaptable work practises, career advancement, a diverse and inclusive workplace, functional adoption of technology, and relevant work all contribute to attracting and retaining millennial personnel (Torrington et al., 2020</w:t>
      </w:r>
      <w:r w:rsidR="002D36A4" w:rsidRPr="002D36A4">
        <w:rPr>
          <w:rFonts w:ascii="Arial" w:hAnsi="Arial" w:cs="Arial"/>
          <w:sz w:val="24"/>
          <w:szCs w:val="24"/>
        </w:rPr>
        <w:t>).</w:t>
      </w:r>
    </w:p>
    <w:p w14:paraId="08711D0C" w14:textId="77777777" w:rsidR="00947F51" w:rsidRDefault="000318C2" w:rsidP="002D36A4">
      <w:pPr>
        <w:spacing w:before="120" w:line="360" w:lineRule="auto"/>
        <w:jc w:val="both"/>
        <w:rPr>
          <w:rFonts w:ascii="Arial" w:hAnsi="Arial" w:cs="Arial"/>
          <w:sz w:val="24"/>
          <w:szCs w:val="24"/>
        </w:rPr>
      </w:pPr>
      <w:r w:rsidRPr="002D36A4">
        <w:rPr>
          <w:rFonts w:ascii="Arial" w:hAnsi="Arial" w:cs="Arial"/>
          <w:sz w:val="24"/>
          <w:szCs w:val="24"/>
        </w:rPr>
        <w:t>Hilton Hotel should deploy initiatives across the employment lifecycle to effectively engage Generation Y employees (Bolden-Barrett, 2018). Emphasising the organi</w:t>
      </w:r>
      <w:r w:rsidR="00947F51">
        <w:rPr>
          <w:rFonts w:ascii="Arial" w:hAnsi="Arial" w:cs="Arial"/>
          <w:sz w:val="24"/>
          <w:szCs w:val="24"/>
        </w:rPr>
        <w:t>s</w:t>
      </w:r>
      <w:r w:rsidRPr="002D36A4">
        <w:rPr>
          <w:rFonts w:ascii="Arial" w:hAnsi="Arial" w:cs="Arial"/>
          <w:sz w:val="24"/>
          <w:szCs w:val="24"/>
        </w:rPr>
        <w:t>ation's commitment to employee development, work-life balance, and social responsibility throughout the attraction and recruiting stage may attract top talent. Using social media channels, attending employment fairs, and providing attractive remuneration packages may all help to increase interest.</w:t>
      </w:r>
      <w:r w:rsidRPr="002D36A4">
        <w:rPr>
          <w:rFonts w:ascii="Arial" w:hAnsi="Arial" w:cs="Arial"/>
          <w:b/>
          <w:bCs/>
          <w:sz w:val="24"/>
          <w:szCs w:val="24"/>
        </w:rPr>
        <w:t xml:space="preserve"> </w:t>
      </w:r>
      <w:r w:rsidRPr="002D36A4">
        <w:rPr>
          <w:rFonts w:ascii="Arial" w:hAnsi="Arial" w:cs="Arial"/>
          <w:sz w:val="24"/>
          <w:szCs w:val="24"/>
        </w:rPr>
        <w:t xml:space="preserve">Hilton Hotel should prioritise offering a thorough experience during the onboarding process. A sense of belonging may be </w:t>
      </w:r>
      <w:r w:rsidR="00947F51" w:rsidRPr="002D36A4">
        <w:rPr>
          <w:rFonts w:ascii="Arial" w:hAnsi="Arial" w:cs="Arial"/>
          <w:sz w:val="24"/>
          <w:szCs w:val="24"/>
        </w:rPr>
        <w:t>cultivated</w:t>
      </w:r>
      <w:r w:rsidRPr="002D36A4">
        <w:rPr>
          <w:rFonts w:ascii="Arial" w:hAnsi="Arial" w:cs="Arial"/>
          <w:sz w:val="24"/>
          <w:szCs w:val="24"/>
        </w:rPr>
        <w:t xml:space="preserve"> by assigning mentors to help recruits, defining clear job requirements, and introducing them to the business culture and values (New Assignment Help UK, 2023). </w:t>
      </w:r>
    </w:p>
    <w:p w14:paraId="52B6DC25" w14:textId="47D44F77" w:rsidR="000318C2" w:rsidRPr="002D36A4" w:rsidRDefault="000318C2" w:rsidP="002D36A4">
      <w:pPr>
        <w:spacing w:before="120" w:line="360" w:lineRule="auto"/>
        <w:jc w:val="both"/>
        <w:rPr>
          <w:rFonts w:ascii="Arial" w:hAnsi="Arial" w:cs="Arial"/>
          <w:b/>
          <w:bCs/>
          <w:sz w:val="24"/>
          <w:szCs w:val="24"/>
        </w:rPr>
      </w:pPr>
      <w:r w:rsidRPr="002D36A4">
        <w:rPr>
          <w:rFonts w:ascii="Arial" w:hAnsi="Arial" w:cs="Arial"/>
          <w:sz w:val="24"/>
          <w:szCs w:val="24"/>
        </w:rPr>
        <w:t>Furthermore, appealing to Generation Y's technology savvy by delivering a flawless technological onboarding experience is critical.</w:t>
      </w:r>
      <w:r w:rsidRPr="002D36A4">
        <w:rPr>
          <w:rFonts w:ascii="Arial" w:hAnsi="Arial" w:cs="Arial"/>
          <w:b/>
          <w:bCs/>
          <w:sz w:val="24"/>
          <w:szCs w:val="24"/>
        </w:rPr>
        <w:t xml:space="preserve"> </w:t>
      </w:r>
      <w:r w:rsidRPr="002D36A4">
        <w:rPr>
          <w:rFonts w:ascii="Arial" w:hAnsi="Arial" w:cs="Arial"/>
          <w:sz w:val="24"/>
          <w:szCs w:val="24"/>
        </w:rPr>
        <w:t>During the development stage, the Hilton Hotel should provide possibilities for continual learning and professional promotion. Training programmes, mentorship, coaching sessions, and difficult projects can help to feed Generation Y's drive</w:t>
      </w:r>
      <w:r w:rsidR="00274DC9">
        <w:rPr>
          <w:rFonts w:ascii="Arial" w:hAnsi="Arial" w:cs="Arial"/>
          <w:sz w:val="24"/>
          <w:szCs w:val="24"/>
        </w:rPr>
        <w:t xml:space="preserve">, </w:t>
      </w:r>
      <w:r w:rsidRPr="002D36A4">
        <w:rPr>
          <w:rFonts w:ascii="Arial" w:hAnsi="Arial" w:cs="Arial"/>
          <w:sz w:val="24"/>
          <w:szCs w:val="24"/>
        </w:rPr>
        <w:t xml:space="preserve">desire </w:t>
      </w:r>
      <w:r w:rsidR="00274DC9">
        <w:rPr>
          <w:rFonts w:ascii="Arial" w:hAnsi="Arial" w:cs="Arial"/>
          <w:sz w:val="24"/>
          <w:szCs w:val="24"/>
        </w:rPr>
        <w:t xml:space="preserve">or craving </w:t>
      </w:r>
      <w:r w:rsidRPr="002D36A4">
        <w:rPr>
          <w:rFonts w:ascii="Arial" w:hAnsi="Arial" w:cs="Arial"/>
          <w:sz w:val="24"/>
          <w:szCs w:val="24"/>
        </w:rPr>
        <w:t xml:space="preserve">for advancement. Implementing a defined professional development plan that corresponds with individual goals can boost engagement even </w:t>
      </w:r>
      <w:r w:rsidR="00D91328" w:rsidRPr="002D36A4">
        <w:rPr>
          <w:rFonts w:ascii="Arial" w:hAnsi="Arial" w:cs="Arial"/>
          <w:sz w:val="24"/>
          <w:szCs w:val="24"/>
        </w:rPr>
        <w:t>supplementar</w:t>
      </w:r>
      <w:r w:rsidR="004F744D">
        <w:rPr>
          <w:rFonts w:ascii="Arial" w:hAnsi="Arial" w:cs="Arial"/>
          <w:sz w:val="24"/>
          <w:szCs w:val="24"/>
        </w:rPr>
        <w:t>il</w:t>
      </w:r>
      <w:r w:rsidR="00D91328" w:rsidRPr="002D36A4">
        <w:rPr>
          <w:rFonts w:ascii="Arial" w:hAnsi="Arial" w:cs="Arial"/>
          <w:sz w:val="24"/>
          <w:szCs w:val="24"/>
        </w:rPr>
        <w:t>y</w:t>
      </w:r>
      <w:r w:rsidR="004F744D">
        <w:rPr>
          <w:rFonts w:ascii="Arial" w:hAnsi="Arial" w:cs="Arial"/>
          <w:sz w:val="24"/>
          <w:szCs w:val="24"/>
        </w:rPr>
        <w:t xml:space="preserve"> further</w:t>
      </w:r>
      <w:r w:rsidRPr="002D36A4">
        <w:rPr>
          <w:rFonts w:ascii="Arial" w:hAnsi="Arial" w:cs="Arial"/>
          <w:sz w:val="24"/>
          <w:szCs w:val="24"/>
        </w:rPr>
        <w:t>.</w:t>
      </w:r>
      <w:r w:rsidRPr="002D36A4">
        <w:rPr>
          <w:rFonts w:ascii="Arial" w:hAnsi="Arial" w:cs="Arial"/>
          <w:b/>
          <w:bCs/>
          <w:sz w:val="24"/>
          <w:szCs w:val="24"/>
        </w:rPr>
        <w:t xml:space="preserve"> </w:t>
      </w:r>
      <w:r w:rsidRPr="002D36A4">
        <w:rPr>
          <w:rFonts w:ascii="Arial" w:hAnsi="Arial" w:cs="Arial"/>
          <w:sz w:val="24"/>
          <w:szCs w:val="24"/>
        </w:rPr>
        <w:t>Hilton Hotel should develop a healthy work atmosphere that encourages work-life balance, promotes diversity and inclusion, and recognises Generation Y employees' achievements to keep them</w:t>
      </w:r>
      <w:r w:rsidR="004F744D">
        <w:rPr>
          <w:rFonts w:ascii="Arial" w:hAnsi="Arial" w:cs="Arial"/>
          <w:sz w:val="24"/>
          <w:szCs w:val="24"/>
        </w:rPr>
        <w:t xml:space="preserve"> going</w:t>
      </w:r>
      <w:r w:rsidRPr="002D36A4">
        <w:rPr>
          <w:rFonts w:ascii="Arial" w:hAnsi="Arial" w:cs="Arial"/>
          <w:sz w:val="24"/>
          <w:szCs w:val="24"/>
        </w:rPr>
        <w:t xml:space="preserve"> (Bengougam, 2019). It is critical to have regular feedback sessions, performance-based rewards, and chances for personal and professional growth. </w:t>
      </w:r>
      <w:r w:rsidR="00C666FE" w:rsidRPr="002D36A4">
        <w:rPr>
          <w:rFonts w:ascii="Arial" w:hAnsi="Arial" w:cs="Arial"/>
          <w:sz w:val="24"/>
          <w:szCs w:val="24"/>
        </w:rPr>
        <w:t>Advancing</w:t>
      </w:r>
      <w:r w:rsidRPr="002D36A4">
        <w:rPr>
          <w:rFonts w:ascii="Arial" w:hAnsi="Arial" w:cs="Arial"/>
          <w:sz w:val="24"/>
          <w:szCs w:val="24"/>
        </w:rPr>
        <w:t xml:space="preserve"> a culture of openness and open communication can help to increase trust and engagement.</w:t>
      </w:r>
      <w:r w:rsidRPr="002D36A4">
        <w:rPr>
          <w:rFonts w:ascii="Arial" w:hAnsi="Arial" w:cs="Arial"/>
          <w:b/>
          <w:bCs/>
          <w:sz w:val="24"/>
          <w:szCs w:val="24"/>
        </w:rPr>
        <w:t xml:space="preserve"> </w:t>
      </w:r>
      <w:r w:rsidRPr="002D36A4">
        <w:rPr>
          <w:rFonts w:ascii="Arial" w:hAnsi="Arial" w:cs="Arial"/>
          <w:sz w:val="24"/>
          <w:szCs w:val="24"/>
        </w:rPr>
        <w:t xml:space="preserve">Maintaining good involvement is critical even </w:t>
      </w:r>
      <w:r w:rsidRPr="002D36A4">
        <w:rPr>
          <w:rFonts w:ascii="Arial" w:hAnsi="Arial" w:cs="Arial"/>
          <w:sz w:val="24"/>
          <w:szCs w:val="24"/>
        </w:rPr>
        <w:lastRenderedPageBreak/>
        <w:t>during the parting process. Exit interviews for feedback, praising employees' accomplishments, and supporting a smooth transfer may all leave a favourable impression. Staying connected through alumni networks may generate goodwill and lead to future re-engagement (Friedman, 2012).</w:t>
      </w:r>
      <w:r w:rsidRPr="002D36A4">
        <w:rPr>
          <w:rFonts w:ascii="Arial" w:hAnsi="Arial" w:cs="Arial"/>
          <w:b/>
          <w:bCs/>
          <w:sz w:val="24"/>
          <w:szCs w:val="24"/>
        </w:rPr>
        <w:t xml:space="preserve"> </w:t>
      </w:r>
      <w:r w:rsidRPr="002D36A4">
        <w:rPr>
          <w:rFonts w:ascii="Arial" w:hAnsi="Arial" w:cs="Arial"/>
          <w:sz w:val="24"/>
          <w:szCs w:val="24"/>
        </w:rPr>
        <w:t>Hilton Hotel may successfully engage Generation Y employees by using these methods across the employee lifecycle, resulting in enhanced job satisfaction, higher levels of engagement, and improved retention rates.</w:t>
      </w:r>
    </w:p>
    <w:p w14:paraId="06F1DD0A" w14:textId="77777777" w:rsidR="000A354D" w:rsidRDefault="000318C2" w:rsidP="002D36A4">
      <w:pPr>
        <w:spacing w:line="360" w:lineRule="auto"/>
        <w:jc w:val="both"/>
        <w:rPr>
          <w:rFonts w:ascii="Arial" w:hAnsi="Arial" w:cs="Arial"/>
          <w:sz w:val="24"/>
          <w:szCs w:val="24"/>
        </w:rPr>
      </w:pPr>
      <w:r w:rsidRPr="002D36A4">
        <w:rPr>
          <w:rFonts w:ascii="Arial" w:hAnsi="Arial" w:cs="Arial"/>
          <w:sz w:val="24"/>
          <w:szCs w:val="24"/>
        </w:rPr>
        <w:t>Engaging a team, particularly Generation Y employees, yields several advantages. Firstly, engaged employees are more productive and committed to their work, leading to increased customer satisfaction and organi</w:t>
      </w:r>
      <w:r w:rsidR="00C666FE">
        <w:rPr>
          <w:rFonts w:ascii="Arial" w:hAnsi="Arial" w:cs="Arial"/>
          <w:sz w:val="24"/>
          <w:szCs w:val="24"/>
        </w:rPr>
        <w:t>s</w:t>
      </w:r>
      <w:r w:rsidRPr="002D36A4">
        <w:rPr>
          <w:rFonts w:ascii="Arial" w:hAnsi="Arial" w:cs="Arial"/>
          <w:sz w:val="24"/>
          <w:szCs w:val="24"/>
        </w:rPr>
        <w:t xml:space="preserve">ational success (Armstrong and Taylor, 2020). </w:t>
      </w:r>
    </w:p>
    <w:p w14:paraId="3412DFE4" w14:textId="77777777" w:rsidR="001411F4" w:rsidRDefault="000318C2" w:rsidP="002D36A4">
      <w:pPr>
        <w:spacing w:line="360" w:lineRule="auto"/>
        <w:jc w:val="both"/>
        <w:rPr>
          <w:rFonts w:ascii="Arial" w:hAnsi="Arial" w:cs="Arial"/>
          <w:sz w:val="24"/>
          <w:szCs w:val="24"/>
        </w:rPr>
      </w:pPr>
      <w:r w:rsidRPr="002D36A4">
        <w:rPr>
          <w:rFonts w:ascii="Arial" w:hAnsi="Arial" w:cs="Arial"/>
          <w:sz w:val="24"/>
          <w:szCs w:val="24"/>
        </w:rPr>
        <w:t>Secondly, an engaged team is more likely to collaborate effectively, fostering innovation and problem-solving. Thirdly, engaged employees tend to exhibit higher levels of job satisfaction, resulting in reduced turnover and associated costs. Ultimately, an engaged team contributes to a positive work culture and strengthens the organi</w:t>
      </w:r>
      <w:r w:rsidR="001411F4">
        <w:rPr>
          <w:rFonts w:ascii="Arial" w:hAnsi="Arial" w:cs="Arial"/>
          <w:sz w:val="24"/>
          <w:szCs w:val="24"/>
        </w:rPr>
        <w:t>s</w:t>
      </w:r>
      <w:r w:rsidRPr="002D36A4">
        <w:rPr>
          <w:rFonts w:ascii="Arial" w:hAnsi="Arial" w:cs="Arial"/>
          <w:sz w:val="24"/>
          <w:szCs w:val="24"/>
        </w:rPr>
        <w:t xml:space="preserve">ation's competitive advantage (Gallagher, 2016). </w:t>
      </w:r>
    </w:p>
    <w:p w14:paraId="4C285B9F" w14:textId="28D6B654" w:rsidR="000318C2" w:rsidRPr="002D36A4" w:rsidRDefault="000318C2" w:rsidP="002D36A4">
      <w:pPr>
        <w:spacing w:line="360" w:lineRule="auto"/>
        <w:jc w:val="both"/>
        <w:rPr>
          <w:rFonts w:ascii="Arial" w:hAnsi="Arial" w:cs="Arial"/>
          <w:b/>
          <w:bCs/>
          <w:sz w:val="24"/>
          <w:szCs w:val="24"/>
        </w:rPr>
      </w:pPr>
      <w:r w:rsidRPr="002D36A4">
        <w:rPr>
          <w:rFonts w:ascii="Arial" w:hAnsi="Arial" w:cs="Arial"/>
          <w:sz w:val="24"/>
          <w:szCs w:val="24"/>
        </w:rPr>
        <w:t xml:space="preserve">Engaging Generation Y through effective employer branding and targeted recruitment channels can help Hilton Hotels attract highly skilled and motivated employees. Besides a strong employer brand can improve Hilton Hotel's reputation among millennials, making it a preferred employer in the hospitality industry. Effective onboarding can help Generation Y employees feel connected to Hilton Hotels from the start, reducing the time needed to become productive (New Assignment Help UK, 2023). A positive onboarding experience contributes to higher job satisfaction, engagement, and retention rates among Generation Y employees. Also providing continuous learning opportunities can help the employees develop new skills and stay up to date with industry trends, contributing to their professional growth (Kumar and Pansari, 2015). Lastly, </w:t>
      </w:r>
      <w:r w:rsidR="001411F4" w:rsidRPr="002D36A4">
        <w:rPr>
          <w:rFonts w:ascii="Arial" w:hAnsi="Arial" w:cs="Arial"/>
          <w:sz w:val="24"/>
          <w:szCs w:val="24"/>
        </w:rPr>
        <w:t>offering</w:t>
      </w:r>
      <w:r w:rsidRPr="002D36A4">
        <w:rPr>
          <w:rFonts w:ascii="Arial" w:hAnsi="Arial" w:cs="Arial"/>
          <w:sz w:val="24"/>
          <w:szCs w:val="24"/>
        </w:rPr>
        <w:t xml:space="preserve"> career progression pathways demonstrates Hilton Hotel's commitment to employee development, increasing the likelihood of retaining talented Generation Y employees (Naim and Lenka, 2018).</w:t>
      </w:r>
    </w:p>
    <w:p w14:paraId="201299A1" w14:textId="77777777" w:rsidR="00F72A76" w:rsidRDefault="000318C2" w:rsidP="002D36A4">
      <w:pPr>
        <w:spacing w:line="360" w:lineRule="auto"/>
        <w:jc w:val="both"/>
        <w:rPr>
          <w:rFonts w:ascii="Arial" w:hAnsi="Arial" w:cs="Arial"/>
          <w:sz w:val="24"/>
          <w:szCs w:val="24"/>
        </w:rPr>
      </w:pPr>
      <w:r w:rsidRPr="002D36A4">
        <w:rPr>
          <w:rFonts w:ascii="Arial" w:hAnsi="Arial" w:cs="Arial"/>
          <w:sz w:val="24"/>
          <w:szCs w:val="24"/>
        </w:rPr>
        <w:t>Hilton Hotel can effectively engage Generation Y employees by meeting their particular demands at each level. To begin, Hilton Hotels should provide competitive wage</w:t>
      </w:r>
      <w:r w:rsidR="001E108B">
        <w:rPr>
          <w:rFonts w:ascii="Arial" w:hAnsi="Arial" w:cs="Arial"/>
          <w:sz w:val="24"/>
          <w:szCs w:val="24"/>
        </w:rPr>
        <w:t>s</w:t>
      </w:r>
      <w:r w:rsidRPr="002D36A4">
        <w:rPr>
          <w:rFonts w:ascii="Arial" w:hAnsi="Arial" w:cs="Arial"/>
          <w:sz w:val="24"/>
          <w:szCs w:val="24"/>
        </w:rPr>
        <w:t xml:space="preserve"> and benefit packages to fulfil the physiological demands of Generation Y </w:t>
      </w:r>
      <w:r w:rsidRPr="002D36A4">
        <w:rPr>
          <w:rFonts w:ascii="Arial" w:hAnsi="Arial" w:cs="Arial"/>
          <w:sz w:val="24"/>
          <w:szCs w:val="24"/>
        </w:rPr>
        <w:lastRenderedPageBreak/>
        <w:t>employees (Chalakova, 2018). The hotel may build a foundation of financial stability for its employees by offering fair and competitive compensation, healthcare benefits, and other fundamental requirements (Bolden-Barrett, 2018). Second</w:t>
      </w:r>
      <w:r w:rsidR="00C91C40">
        <w:rPr>
          <w:rFonts w:ascii="Arial" w:hAnsi="Arial" w:cs="Arial"/>
          <w:sz w:val="24"/>
          <w:szCs w:val="24"/>
        </w:rPr>
        <w:t>ly</w:t>
      </w:r>
      <w:r w:rsidRPr="002D36A4">
        <w:rPr>
          <w:rFonts w:ascii="Arial" w:hAnsi="Arial" w:cs="Arial"/>
          <w:sz w:val="24"/>
          <w:szCs w:val="24"/>
        </w:rPr>
        <w:t xml:space="preserve">, having a safe and inclusive work environment is critical for meeting the safety demands of Generation Y. HR may develop policies and practises that encourage work-life balance, mental health assistance, and a sense of security (Naim and Lenka, 2018). This might include flexible work options, wellness programmes, and anti-discrimination measures to help employees feel secure and appreciated. Employees in Generation Y love cooperation and social connection, thus meeting their social demands is critical for engagement (Schweikle, 2014). </w:t>
      </w:r>
    </w:p>
    <w:p w14:paraId="3E168BCB" w14:textId="77777777" w:rsidR="000C383E" w:rsidRDefault="000318C2" w:rsidP="002D36A4">
      <w:pPr>
        <w:spacing w:line="360" w:lineRule="auto"/>
        <w:jc w:val="both"/>
        <w:rPr>
          <w:rFonts w:ascii="Arial" w:hAnsi="Arial" w:cs="Arial"/>
          <w:sz w:val="24"/>
          <w:szCs w:val="24"/>
        </w:rPr>
      </w:pPr>
      <w:r w:rsidRPr="002D36A4">
        <w:rPr>
          <w:rFonts w:ascii="Arial" w:hAnsi="Arial" w:cs="Arial"/>
          <w:sz w:val="24"/>
          <w:szCs w:val="24"/>
        </w:rPr>
        <w:t xml:space="preserve">HR may develop a feeling of community inside the organisation by organising team-building activities, social gatherings, and open communication channels to increase Employee happiness. </w:t>
      </w:r>
      <w:r w:rsidR="00F72A76" w:rsidRPr="002D36A4">
        <w:rPr>
          <w:rFonts w:ascii="Arial" w:hAnsi="Arial" w:cs="Arial"/>
          <w:sz w:val="24"/>
          <w:szCs w:val="24"/>
        </w:rPr>
        <w:t>Also,</w:t>
      </w:r>
      <w:r w:rsidRPr="002D36A4">
        <w:rPr>
          <w:rFonts w:ascii="Arial" w:hAnsi="Arial" w:cs="Arial"/>
          <w:sz w:val="24"/>
          <w:szCs w:val="24"/>
        </w:rPr>
        <w:t xml:space="preserve"> it can be done by encouraging cooperation and collaboration. HR might develop formal recognition programmes to recognise and reward workers' efforts as such measures are considered important in meeting the esteem demands of Generation Y employees (Horn, 2009). Providing chances for job progression, providing constructive criticism, </w:t>
      </w:r>
      <w:r w:rsidR="00F72A76" w:rsidRPr="002D36A4">
        <w:rPr>
          <w:rFonts w:ascii="Arial" w:hAnsi="Arial" w:cs="Arial"/>
          <w:sz w:val="24"/>
          <w:szCs w:val="24"/>
        </w:rPr>
        <w:t>promoting</w:t>
      </w:r>
      <w:r w:rsidRPr="002D36A4">
        <w:rPr>
          <w:rFonts w:ascii="Arial" w:hAnsi="Arial" w:cs="Arial"/>
          <w:sz w:val="24"/>
          <w:szCs w:val="24"/>
        </w:rPr>
        <w:t xml:space="preserve"> a culture of continual development and growth also can help to meet their esteem demands.</w:t>
      </w:r>
    </w:p>
    <w:p w14:paraId="434FB6FB" w14:textId="33C7E82A" w:rsidR="000318C2" w:rsidRPr="002D36A4" w:rsidRDefault="000318C2" w:rsidP="002D36A4">
      <w:pPr>
        <w:spacing w:line="360" w:lineRule="auto"/>
        <w:jc w:val="both"/>
        <w:rPr>
          <w:rFonts w:ascii="Arial" w:hAnsi="Arial" w:cs="Arial"/>
          <w:b/>
          <w:bCs/>
          <w:sz w:val="24"/>
          <w:szCs w:val="24"/>
        </w:rPr>
      </w:pPr>
      <w:r w:rsidRPr="002D36A4">
        <w:rPr>
          <w:rFonts w:ascii="Arial" w:hAnsi="Arial" w:cs="Arial"/>
          <w:sz w:val="24"/>
          <w:szCs w:val="24"/>
        </w:rPr>
        <w:t>Furthermore, Hilton Hotel should create possibilities for Generation Y workers to reach their full potential and meet their self-actuali</w:t>
      </w:r>
      <w:r w:rsidR="000C383E">
        <w:rPr>
          <w:rFonts w:ascii="Arial" w:hAnsi="Arial" w:cs="Arial"/>
          <w:sz w:val="24"/>
          <w:szCs w:val="24"/>
        </w:rPr>
        <w:t>s</w:t>
      </w:r>
      <w:r w:rsidRPr="002D36A4">
        <w:rPr>
          <w:rFonts w:ascii="Arial" w:hAnsi="Arial" w:cs="Arial"/>
          <w:sz w:val="24"/>
          <w:szCs w:val="24"/>
        </w:rPr>
        <w:t xml:space="preserve">ation demands. This may be accomplished through a variety of techniques, including training programmes, mentorship, and demanding projects that allow staff to grow their skills and talents. Hilton Hotel can engage Generation Y workers and develop a feeling of fulfilment and career success by investing in their personal and professional growth. Finally, by using Maslow's Hierarchy of requirements, Hilton Hotel may effectively engage Generation Y employees by addressing their individual requirements at each level. Hilton Hotel can create a work environment where Generation Y employees feel valued, motivated, and engaged by ensuring competitive compensation, creating a safe work environment, encouraging social interaction, </w:t>
      </w:r>
      <w:r w:rsidR="000C383E" w:rsidRPr="002D36A4">
        <w:rPr>
          <w:rFonts w:ascii="Arial" w:hAnsi="Arial" w:cs="Arial"/>
          <w:sz w:val="24"/>
          <w:szCs w:val="24"/>
        </w:rPr>
        <w:t>recognising,</w:t>
      </w:r>
      <w:r w:rsidRPr="002D36A4">
        <w:rPr>
          <w:rFonts w:ascii="Arial" w:hAnsi="Arial" w:cs="Arial"/>
          <w:sz w:val="24"/>
          <w:szCs w:val="24"/>
        </w:rPr>
        <w:t xml:space="preserve"> and rewarding contributions, and providing opportunities for self-actuali</w:t>
      </w:r>
      <w:r w:rsidR="000C383E">
        <w:rPr>
          <w:rFonts w:ascii="Arial" w:hAnsi="Arial" w:cs="Arial"/>
          <w:sz w:val="24"/>
          <w:szCs w:val="24"/>
        </w:rPr>
        <w:t>s</w:t>
      </w:r>
      <w:r w:rsidRPr="002D36A4">
        <w:rPr>
          <w:rFonts w:ascii="Arial" w:hAnsi="Arial" w:cs="Arial"/>
          <w:sz w:val="24"/>
          <w:szCs w:val="24"/>
        </w:rPr>
        <w:t>ation.</w:t>
      </w:r>
    </w:p>
    <w:p w14:paraId="642B9B51" w14:textId="2785E65C" w:rsidR="000318C2" w:rsidRPr="002D36A4" w:rsidRDefault="000318C2" w:rsidP="002D36A4">
      <w:pPr>
        <w:spacing w:line="360" w:lineRule="auto"/>
        <w:jc w:val="both"/>
        <w:rPr>
          <w:rFonts w:ascii="Arial" w:hAnsi="Arial" w:cs="Arial"/>
          <w:b/>
          <w:bCs/>
          <w:sz w:val="24"/>
          <w:szCs w:val="24"/>
        </w:rPr>
      </w:pPr>
      <w:r w:rsidRPr="002D36A4">
        <w:rPr>
          <w:rFonts w:ascii="Arial" w:hAnsi="Arial" w:cs="Arial"/>
          <w:sz w:val="24"/>
          <w:szCs w:val="24"/>
        </w:rPr>
        <w:t xml:space="preserve">It is vital to remember that employee engagement practises may differ from one organisation to the next. Marriott International, a key rival of Hilton Hotels, for example, </w:t>
      </w:r>
      <w:r w:rsidRPr="002D36A4">
        <w:rPr>
          <w:rFonts w:ascii="Arial" w:hAnsi="Arial" w:cs="Arial"/>
          <w:sz w:val="24"/>
          <w:szCs w:val="24"/>
        </w:rPr>
        <w:lastRenderedPageBreak/>
        <w:t>emphasises staff involvement with its "Spirit to Serve Our Guests" programme (A case study on employee engagement: Marriott International, Inc., 2018). This programme focuses on developing a culture of service excellence, employee empowerment, and chances for career advancement. Marriott International engages Generation Y workers with substantial training programmes, recognition initiatives, and cross-functional cooperation possibilities. Accor, another major participant in the hotel business, on the other side, has launched the "</w:t>
      </w:r>
      <w:r w:rsidR="00F229CC" w:rsidRPr="002D36A4">
        <w:rPr>
          <w:rFonts w:ascii="Arial" w:hAnsi="Arial" w:cs="Arial"/>
          <w:sz w:val="24"/>
          <w:szCs w:val="24"/>
        </w:rPr>
        <w:t>Heartiest</w:t>
      </w:r>
      <w:r w:rsidRPr="002D36A4">
        <w:rPr>
          <w:rFonts w:ascii="Arial" w:hAnsi="Arial" w:cs="Arial"/>
          <w:sz w:val="24"/>
          <w:szCs w:val="24"/>
        </w:rPr>
        <w:t xml:space="preserve">" programme. The relevance of emotional intelligence and personalised guest experiences is emphasised in this programme. Accor engages Generation Y employees by creating a welcoming and inclusive workplace, supporting innovation and creativity, and introducing flexible work arrangements (King, 2017). While each organisation takes a different strategy, the focus on employee development, recognition, and establishing a pleasant work culture is a constant thread (Murton et al., 2010). Hilton Hotels may take cues from these industry examples and adjust their employee engagement methods to the particular demands and characteristics of Generation Y personnel. </w:t>
      </w:r>
    </w:p>
    <w:p w14:paraId="77F24DFC" w14:textId="77777777" w:rsidR="000318C2" w:rsidRPr="002D36A4" w:rsidRDefault="000318C2" w:rsidP="002D36A4">
      <w:pPr>
        <w:spacing w:line="360" w:lineRule="auto"/>
        <w:jc w:val="both"/>
        <w:rPr>
          <w:rFonts w:ascii="Arial" w:hAnsi="Arial" w:cs="Arial"/>
          <w:b/>
          <w:bCs/>
          <w:sz w:val="24"/>
          <w:szCs w:val="24"/>
        </w:rPr>
      </w:pPr>
      <w:r w:rsidRPr="002D36A4">
        <w:rPr>
          <w:rFonts w:ascii="Arial" w:hAnsi="Arial" w:cs="Arial"/>
          <w:sz w:val="24"/>
          <w:szCs w:val="24"/>
        </w:rPr>
        <w:t xml:space="preserve">It is imperative for organisations such as Hilton Hotel to effectively engage Generation Y employees over the entirety of their employment journey to effectively recruit, retain, and motivate highly skilled and capable staff. By comprehending the distinctive attributes of Generation Y, human resource departments may utilise efficacious techniques across the whole employee lifecycle, including attraction, recruiting, onboarding, development, retention, and separation. The integration of Maslow's hierarchy of needs offers a thorough theoretical structure for effectively addressing the motivational aspects that underlie employee engagement. Moreover, it is worth noting that industry illustrations from rival companies like Marriott International and Accor serve to underscore the significance of personalised growth prospects, recognition initiatives, and the establishment of a conducive work atmosphere. </w:t>
      </w:r>
    </w:p>
    <w:p w14:paraId="25A6BB67" w14:textId="77777777" w:rsidR="000318C2" w:rsidRDefault="000318C2" w:rsidP="000318C2">
      <w:pPr>
        <w:rPr>
          <w:rFonts w:ascii="Arial" w:hAnsi="Arial" w:cs="Arial"/>
          <w:sz w:val="28"/>
        </w:rPr>
      </w:pPr>
    </w:p>
    <w:p w14:paraId="087025D4" w14:textId="77777777" w:rsidR="000318C2" w:rsidRDefault="000318C2" w:rsidP="000318C2">
      <w:pPr>
        <w:rPr>
          <w:rFonts w:ascii="Arial" w:hAnsi="Arial" w:cs="Arial"/>
          <w:sz w:val="28"/>
        </w:rPr>
      </w:pPr>
    </w:p>
    <w:p w14:paraId="5167ED76" w14:textId="77777777" w:rsidR="000318C2" w:rsidRDefault="000318C2" w:rsidP="000318C2">
      <w:pPr>
        <w:rPr>
          <w:rFonts w:ascii="Arial" w:hAnsi="Arial" w:cs="Arial"/>
          <w:sz w:val="28"/>
        </w:rPr>
      </w:pPr>
    </w:p>
    <w:p w14:paraId="1B0DB198" w14:textId="77777777" w:rsidR="000318C2" w:rsidRDefault="000318C2" w:rsidP="000318C2">
      <w:pPr>
        <w:rPr>
          <w:rFonts w:ascii="Arial" w:hAnsi="Arial" w:cs="Arial"/>
          <w:sz w:val="28"/>
        </w:rPr>
      </w:pPr>
    </w:p>
    <w:p w14:paraId="7762D301" w14:textId="77777777" w:rsidR="000318C2" w:rsidRDefault="000318C2" w:rsidP="000318C2">
      <w:pPr>
        <w:rPr>
          <w:rFonts w:ascii="Arial" w:hAnsi="Arial" w:cs="Arial"/>
          <w:sz w:val="28"/>
        </w:rPr>
      </w:pPr>
    </w:p>
    <w:p w14:paraId="5FC97814" w14:textId="77777777" w:rsidR="00D87685" w:rsidRDefault="00D87685" w:rsidP="000318C2">
      <w:pPr>
        <w:rPr>
          <w:rFonts w:ascii="Arial" w:hAnsi="Arial" w:cs="Arial"/>
          <w:sz w:val="28"/>
        </w:rPr>
      </w:pPr>
    </w:p>
    <w:p w14:paraId="71ADCAD8" w14:textId="6E024751" w:rsidR="000318C2" w:rsidRPr="0047232F" w:rsidRDefault="000318C2" w:rsidP="000318C2">
      <w:pPr>
        <w:rPr>
          <w:rFonts w:ascii="Arial" w:hAnsi="Arial" w:cs="Arial"/>
          <w:sz w:val="28"/>
        </w:rPr>
      </w:pPr>
      <w:r w:rsidRPr="0047232F">
        <w:rPr>
          <w:rFonts w:ascii="Arial" w:hAnsi="Arial" w:cs="Arial"/>
          <w:sz w:val="28"/>
        </w:rPr>
        <w:lastRenderedPageBreak/>
        <w:t>References</w:t>
      </w:r>
    </w:p>
    <w:p w14:paraId="334BB8E1" w14:textId="77777777" w:rsidR="000318C2" w:rsidRPr="0047232F" w:rsidRDefault="000318C2" w:rsidP="000318C2">
      <w:pPr>
        <w:spacing w:beforeLines="120" w:before="288"/>
        <w:rPr>
          <w:rFonts w:ascii="Arial" w:hAnsi="Arial" w:cs="Arial"/>
          <w:color w:val="000000" w:themeColor="text1"/>
        </w:rPr>
      </w:pPr>
      <w:r w:rsidRPr="0047232F">
        <w:rPr>
          <w:rFonts w:ascii="Arial" w:hAnsi="Arial" w:cs="Arial"/>
          <w:color w:val="000000" w:themeColor="text1"/>
        </w:rPr>
        <w:t>A case study on employee engagement: Marriott International, Inc. (2018) Acasestudy.com. Available at: https://acasestudy.com/a-case-study-on-employee-engagement-marriott-international-inc/ (Accessed: October 14, 2023).</w:t>
      </w:r>
    </w:p>
    <w:p w14:paraId="7B007137" w14:textId="219A2D9B" w:rsidR="000318C2" w:rsidRPr="0047232F" w:rsidRDefault="000318C2" w:rsidP="000318C2">
      <w:pPr>
        <w:spacing w:beforeLines="120" w:before="288"/>
        <w:rPr>
          <w:rFonts w:ascii="Arial" w:hAnsi="Arial" w:cs="Arial"/>
          <w:color w:val="000000" w:themeColor="text1"/>
        </w:rPr>
      </w:pPr>
      <w:r w:rsidRPr="0047232F">
        <w:rPr>
          <w:rFonts w:ascii="Arial" w:hAnsi="Arial" w:cs="Arial"/>
          <w:color w:val="000000" w:themeColor="text1"/>
        </w:rPr>
        <w:t>Armstrong, M. and Taylor, S. (2020) Armstrong's handbook of human resource management practice. 15th edition. London, United Kingdom.</w:t>
      </w:r>
    </w:p>
    <w:p w14:paraId="5B04573F" w14:textId="77777777" w:rsidR="000318C2" w:rsidRPr="0047232F" w:rsidRDefault="000318C2" w:rsidP="000318C2">
      <w:pPr>
        <w:spacing w:beforeLines="120" w:before="288"/>
        <w:rPr>
          <w:rFonts w:ascii="Arial" w:hAnsi="Arial" w:cs="Arial"/>
          <w:color w:val="000000" w:themeColor="text1"/>
        </w:rPr>
      </w:pPr>
      <w:r w:rsidRPr="0047232F">
        <w:rPr>
          <w:rFonts w:ascii="Arial" w:hAnsi="Arial" w:cs="Arial"/>
          <w:color w:val="000000" w:themeColor="text1"/>
        </w:rPr>
        <w:t>Bengougam, B. (2019) Creating a culture fit to last at Hilton, HR Magazine. Available at: https://www.hrmagazine.co.uk/content/features/creating-a-culture-fit-to-last-at-hilton/ (Accessed: October 14, 2023).</w:t>
      </w:r>
    </w:p>
    <w:p w14:paraId="5093E6ED" w14:textId="77777777" w:rsidR="000318C2" w:rsidRPr="0047232F" w:rsidRDefault="000318C2" w:rsidP="000318C2">
      <w:pPr>
        <w:spacing w:beforeLines="120" w:before="288"/>
        <w:rPr>
          <w:rFonts w:ascii="Arial" w:hAnsi="Arial" w:cs="Arial"/>
          <w:color w:val="000000" w:themeColor="text1"/>
        </w:rPr>
      </w:pPr>
      <w:r w:rsidRPr="0047232F">
        <w:rPr>
          <w:rFonts w:ascii="Arial" w:hAnsi="Arial" w:cs="Arial"/>
          <w:color w:val="000000" w:themeColor="text1"/>
        </w:rPr>
        <w:t>Bolden-Barrett, V. (2018) Hilton Hotels to upgrade staff spaces to improve the employee experience, HR Dive. Available at: https://www.hrdive.com/news/hilton-hotels-to-upgrade-staff-spaces-to-improve-the-employee-experience/520422/ (Accessed: October 14, 2023).</w:t>
      </w:r>
    </w:p>
    <w:p w14:paraId="550EE02C" w14:textId="34444250" w:rsidR="000318C2" w:rsidRPr="0047232F" w:rsidRDefault="000318C2" w:rsidP="000318C2">
      <w:pPr>
        <w:spacing w:beforeLines="120" w:before="288"/>
        <w:rPr>
          <w:rFonts w:ascii="Arial" w:hAnsi="Arial" w:cs="Arial"/>
          <w:color w:val="000000" w:themeColor="text1"/>
        </w:rPr>
      </w:pPr>
      <w:r w:rsidRPr="0047232F">
        <w:rPr>
          <w:rFonts w:ascii="Arial" w:hAnsi="Arial" w:cs="Arial"/>
          <w:color w:val="000000" w:themeColor="text1"/>
        </w:rPr>
        <w:t xml:space="preserve">Brown, E. A., Thomas, N. J. and Bosselman, R. H. (2015) "Are they leaving or staying: A qualitative analysis of turnover issues for Generation Y hospitality employees with a hospitality education," International Journal of Hospitality Management, 46, pp. 130–137. </w:t>
      </w:r>
    </w:p>
    <w:p w14:paraId="36BADC2A" w14:textId="77777777" w:rsidR="000318C2" w:rsidRPr="0047232F" w:rsidRDefault="000318C2" w:rsidP="000318C2">
      <w:pPr>
        <w:spacing w:beforeLines="120" w:before="288"/>
        <w:rPr>
          <w:rFonts w:ascii="Arial" w:hAnsi="Arial" w:cs="Arial"/>
          <w:color w:val="000000" w:themeColor="text1"/>
        </w:rPr>
      </w:pPr>
      <w:r w:rsidRPr="0047232F">
        <w:rPr>
          <w:rFonts w:ascii="Arial" w:hAnsi="Arial" w:cs="Arial"/>
          <w:color w:val="000000" w:themeColor="text1"/>
        </w:rPr>
        <w:t>Bush, C. (2017) "Leading and motivating Generation Y employees," Radiology Management, 39(2), pp. 19–22.</w:t>
      </w:r>
    </w:p>
    <w:p w14:paraId="399D0B7A" w14:textId="77777777" w:rsidR="000318C2" w:rsidRPr="0047232F" w:rsidRDefault="000318C2" w:rsidP="000318C2">
      <w:pPr>
        <w:spacing w:beforeLines="120" w:before="288"/>
        <w:rPr>
          <w:rFonts w:ascii="Arial" w:hAnsi="Arial" w:cs="Arial"/>
          <w:color w:val="000000" w:themeColor="text1"/>
        </w:rPr>
      </w:pPr>
      <w:r w:rsidRPr="0047232F">
        <w:rPr>
          <w:rFonts w:ascii="Arial" w:hAnsi="Arial" w:cs="Arial"/>
          <w:color w:val="000000" w:themeColor="text1"/>
        </w:rPr>
        <w:t>Chalakova, V. (2018) A Hospitality Value Perception Model based on Maslow's Hierarchy of Needs.</w:t>
      </w:r>
    </w:p>
    <w:p w14:paraId="58CE2774" w14:textId="77777777" w:rsidR="000318C2" w:rsidRPr="0047232F" w:rsidRDefault="000318C2" w:rsidP="000318C2">
      <w:pPr>
        <w:spacing w:beforeLines="120" w:before="288"/>
        <w:rPr>
          <w:rFonts w:ascii="Arial" w:hAnsi="Arial" w:cs="Arial"/>
          <w:color w:val="000000" w:themeColor="text1"/>
        </w:rPr>
      </w:pPr>
      <w:r w:rsidRPr="0047232F">
        <w:rPr>
          <w:rFonts w:ascii="Arial" w:hAnsi="Arial" w:cs="Arial"/>
          <w:color w:val="000000" w:themeColor="text1"/>
        </w:rPr>
        <w:t>Friedman, A. (2012) Continuing professional development: lifelong learning of millions. London: Routledge.</w:t>
      </w:r>
    </w:p>
    <w:p w14:paraId="77CC68B3" w14:textId="77777777" w:rsidR="000318C2" w:rsidRPr="0047232F" w:rsidRDefault="000318C2" w:rsidP="000318C2">
      <w:pPr>
        <w:spacing w:beforeLines="120" w:before="288"/>
        <w:rPr>
          <w:rFonts w:ascii="Arial" w:hAnsi="Arial" w:cs="Arial"/>
          <w:color w:val="000000" w:themeColor="text1"/>
        </w:rPr>
      </w:pPr>
      <w:r w:rsidRPr="0047232F">
        <w:rPr>
          <w:rFonts w:ascii="Arial" w:hAnsi="Arial" w:cs="Arial"/>
          <w:color w:val="000000" w:themeColor="text1"/>
        </w:rPr>
        <w:t>Frye, W. D. et al. (2020) "What factors influence Generation Y's employee retention in the hospitality industry?: An internal marketing approach," International Journal of Hospitality Management, 85(102352), p. 102352. doi: 10.1016/j.ijhm.2019.102352.</w:t>
      </w:r>
    </w:p>
    <w:p w14:paraId="77D999E1" w14:textId="77777777" w:rsidR="000318C2" w:rsidRPr="0047232F" w:rsidRDefault="000318C2" w:rsidP="000318C2">
      <w:pPr>
        <w:spacing w:beforeLines="120" w:before="288"/>
        <w:rPr>
          <w:rFonts w:ascii="Arial" w:hAnsi="Arial" w:cs="Arial"/>
          <w:color w:val="000000" w:themeColor="text1"/>
        </w:rPr>
      </w:pPr>
      <w:r w:rsidRPr="0047232F">
        <w:rPr>
          <w:rFonts w:ascii="Arial" w:hAnsi="Arial" w:cs="Arial"/>
          <w:color w:val="000000" w:themeColor="text1"/>
        </w:rPr>
        <w:t>Gallagher, K. (2016) Essential study and employment skills for business and management students. Oxford: Oxford University Press.</w:t>
      </w:r>
    </w:p>
    <w:p w14:paraId="71F13A81" w14:textId="77777777" w:rsidR="000318C2" w:rsidRPr="0047232F" w:rsidRDefault="000318C2" w:rsidP="000318C2">
      <w:pPr>
        <w:spacing w:beforeLines="120" w:before="288"/>
        <w:rPr>
          <w:rFonts w:ascii="Arial" w:hAnsi="Arial" w:cs="Arial"/>
          <w:color w:val="000000" w:themeColor="text1"/>
        </w:rPr>
      </w:pPr>
      <w:r w:rsidRPr="0047232F">
        <w:rPr>
          <w:rFonts w:ascii="Arial" w:hAnsi="Arial" w:cs="Arial"/>
          <w:color w:val="000000" w:themeColor="text1"/>
        </w:rPr>
        <w:t>Horn, R. (2009) The business skills handbook. London: Chartered Institute of Personnel and Development.</w:t>
      </w:r>
    </w:p>
    <w:p w14:paraId="4E5E6B1C" w14:textId="77777777" w:rsidR="000318C2" w:rsidRPr="0047232F" w:rsidRDefault="000318C2" w:rsidP="000318C2">
      <w:pPr>
        <w:spacing w:beforeLines="120" w:before="288"/>
        <w:rPr>
          <w:rFonts w:ascii="Arial" w:hAnsi="Arial" w:cs="Arial"/>
          <w:color w:val="000000" w:themeColor="text1"/>
        </w:rPr>
      </w:pPr>
      <w:r w:rsidRPr="0047232F">
        <w:rPr>
          <w:rFonts w:ascii="Arial" w:hAnsi="Arial" w:cs="Arial"/>
          <w:color w:val="000000" w:themeColor="text1"/>
        </w:rPr>
        <w:t>Johnston, R. Clark, G. Shulver, M (2012). Service Operations Management, Pearson, London.</w:t>
      </w:r>
    </w:p>
    <w:p w14:paraId="174001F1" w14:textId="77777777" w:rsidR="000318C2" w:rsidRPr="0047232F" w:rsidRDefault="000318C2" w:rsidP="000318C2">
      <w:pPr>
        <w:spacing w:beforeLines="120" w:before="288"/>
        <w:rPr>
          <w:rFonts w:ascii="Arial" w:hAnsi="Arial" w:cs="Arial"/>
          <w:color w:val="000000" w:themeColor="text1"/>
        </w:rPr>
      </w:pPr>
      <w:r w:rsidRPr="0047232F">
        <w:rPr>
          <w:rFonts w:ascii="Arial" w:hAnsi="Arial" w:cs="Arial"/>
          <w:color w:val="000000" w:themeColor="text1"/>
        </w:rPr>
        <w:t>King, N. M. (2017) Generational diversity: Organizational commitment between Generation X employees and Generation Y employees in the hospitality industry (Doctoral dissertation).</w:t>
      </w:r>
    </w:p>
    <w:p w14:paraId="0D973C31" w14:textId="77777777" w:rsidR="000318C2" w:rsidRPr="0047232F" w:rsidRDefault="000318C2" w:rsidP="000318C2">
      <w:pPr>
        <w:spacing w:beforeLines="120" w:before="288"/>
        <w:rPr>
          <w:rFonts w:ascii="Arial" w:hAnsi="Arial" w:cs="Arial"/>
          <w:color w:val="000000" w:themeColor="text1"/>
        </w:rPr>
      </w:pPr>
      <w:r w:rsidRPr="0047232F">
        <w:rPr>
          <w:rFonts w:ascii="Arial" w:hAnsi="Arial" w:cs="Arial"/>
          <w:color w:val="000000" w:themeColor="text1"/>
        </w:rPr>
        <w:t>Kumar, V. and Pansari, A. (2015) "Measuring the benefits of employee engagement," MIT Sloan Management Review, 56(4).</w:t>
      </w:r>
    </w:p>
    <w:p w14:paraId="7DECDBC5" w14:textId="77777777" w:rsidR="000318C2" w:rsidRPr="0047232F" w:rsidRDefault="000318C2" w:rsidP="000318C2">
      <w:pPr>
        <w:spacing w:beforeLines="120" w:before="288"/>
        <w:rPr>
          <w:rFonts w:ascii="Arial" w:hAnsi="Arial" w:cs="Arial"/>
          <w:color w:val="000000" w:themeColor="text1"/>
        </w:rPr>
      </w:pPr>
      <w:r w:rsidRPr="0047232F">
        <w:rPr>
          <w:rFonts w:ascii="Arial" w:hAnsi="Arial" w:cs="Arial"/>
          <w:color w:val="000000" w:themeColor="text1"/>
        </w:rPr>
        <w:lastRenderedPageBreak/>
        <w:t>Marchington, M. and Wilkinson, A. (2016) Human resource management at work. 6th ed. London: Chartered Institute of Personnel and Development.</w:t>
      </w:r>
    </w:p>
    <w:p w14:paraId="02B808B6" w14:textId="23CE466E" w:rsidR="000318C2" w:rsidRPr="0047232F" w:rsidRDefault="000318C2" w:rsidP="000318C2">
      <w:pPr>
        <w:spacing w:beforeLines="120" w:before="288"/>
        <w:rPr>
          <w:rFonts w:ascii="Arial" w:hAnsi="Arial" w:cs="Arial"/>
          <w:color w:val="000000" w:themeColor="text1"/>
        </w:rPr>
      </w:pPr>
      <w:r w:rsidRPr="0047232F">
        <w:rPr>
          <w:rFonts w:ascii="Arial" w:hAnsi="Arial" w:cs="Arial"/>
          <w:color w:val="000000" w:themeColor="text1"/>
        </w:rPr>
        <w:t>Murton, A. Inman, M., O'Sullivan, N. (2010) Unlocking Human Resource Management, Hodder Education.</w:t>
      </w:r>
    </w:p>
    <w:p w14:paraId="6932D035" w14:textId="6ABCED13" w:rsidR="000318C2" w:rsidRPr="0047232F" w:rsidRDefault="000318C2" w:rsidP="000318C2">
      <w:pPr>
        <w:spacing w:beforeLines="120" w:before="288"/>
        <w:rPr>
          <w:rFonts w:ascii="Arial" w:hAnsi="Arial" w:cs="Arial"/>
          <w:color w:val="000000" w:themeColor="text1"/>
        </w:rPr>
      </w:pPr>
      <w:r w:rsidRPr="0047232F">
        <w:rPr>
          <w:rFonts w:ascii="Arial" w:hAnsi="Arial" w:cs="Arial"/>
          <w:color w:val="000000" w:themeColor="text1"/>
        </w:rPr>
        <w:t>Naim, M. F. and Lenka, U. (2018) "Development and retention of Generation Y employees: a conceptual framework," Employee Relations, 40(2), pp. 433–455.</w:t>
      </w:r>
    </w:p>
    <w:p w14:paraId="5D6A73E5" w14:textId="1A074C10" w:rsidR="000318C2" w:rsidRPr="0047232F" w:rsidRDefault="000318C2" w:rsidP="000318C2">
      <w:pPr>
        <w:spacing w:beforeLines="120" w:before="288"/>
        <w:rPr>
          <w:rFonts w:ascii="Arial" w:hAnsi="Arial" w:cs="Arial"/>
          <w:color w:val="000000" w:themeColor="text1"/>
        </w:rPr>
      </w:pPr>
      <w:r w:rsidRPr="0047232F">
        <w:rPr>
          <w:rFonts w:ascii="Arial" w:hAnsi="Arial" w:cs="Arial"/>
          <w:color w:val="000000" w:themeColor="text1"/>
        </w:rPr>
        <w:t xml:space="preserve">New Assignment Help UK (2023) Impact </w:t>
      </w:r>
      <w:r w:rsidR="00D87685">
        <w:rPr>
          <w:rFonts w:ascii="Arial" w:hAnsi="Arial" w:cs="Arial"/>
          <w:color w:val="000000" w:themeColor="text1"/>
        </w:rPr>
        <w:t>o</w:t>
      </w:r>
      <w:r w:rsidRPr="0047232F">
        <w:rPr>
          <w:rFonts w:ascii="Arial" w:hAnsi="Arial" w:cs="Arial"/>
          <w:color w:val="000000" w:themeColor="text1"/>
        </w:rPr>
        <w:t>f Positive Work Environment On Employee Engagement: A Case Study of Hilton Hotel In The UK, Newassignmenthelp.co.uk. Available at: https://www.newassignmenthelp.co.uk/impact-of-positive-work-environment-on-employee-engagement-a-case-study-of-hilton-hotel-in-the-uk-15272 (Accessed: October 14, 2023).</w:t>
      </w:r>
    </w:p>
    <w:p w14:paraId="57ED0596" w14:textId="77777777" w:rsidR="000318C2" w:rsidRPr="0047232F" w:rsidRDefault="000318C2" w:rsidP="000318C2">
      <w:pPr>
        <w:spacing w:beforeLines="120" w:before="288"/>
        <w:rPr>
          <w:rFonts w:ascii="Arial" w:hAnsi="Arial" w:cs="Arial"/>
          <w:color w:val="000000" w:themeColor="text1"/>
        </w:rPr>
      </w:pPr>
      <w:r w:rsidRPr="0047232F">
        <w:rPr>
          <w:rFonts w:ascii="Arial" w:hAnsi="Arial" w:cs="Arial"/>
          <w:color w:val="000000" w:themeColor="text1"/>
        </w:rPr>
        <w:t>Schweikle, N. (2014) Situational Leadership: How to effectively lead and motivate employees through each development stage.</w:t>
      </w:r>
    </w:p>
    <w:p w14:paraId="3AFC2CD3" w14:textId="3535AF48" w:rsidR="000318C2" w:rsidRPr="0047232F" w:rsidRDefault="000318C2" w:rsidP="000318C2">
      <w:pPr>
        <w:spacing w:beforeLines="120" w:before="288"/>
        <w:rPr>
          <w:rFonts w:ascii="Arial" w:hAnsi="Arial" w:cs="Arial"/>
          <w:color w:val="000000" w:themeColor="text1"/>
        </w:rPr>
      </w:pPr>
      <w:r w:rsidRPr="0047232F">
        <w:rPr>
          <w:rFonts w:ascii="Arial" w:hAnsi="Arial" w:cs="Arial"/>
          <w:color w:val="000000" w:themeColor="text1"/>
        </w:rPr>
        <w:t xml:space="preserve">Torrington, D, Hall, L, Atkinson, C, &amp; Taylor, S (2020), Human Resource Management PDF </w:t>
      </w:r>
      <w:r w:rsidR="00BC621C" w:rsidRPr="0047232F">
        <w:rPr>
          <w:rFonts w:ascii="Arial" w:hAnsi="Arial" w:cs="Arial"/>
          <w:color w:val="000000" w:themeColor="text1"/>
        </w:rPr>
        <w:t>eBook</w:t>
      </w:r>
      <w:r w:rsidRPr="0047232F">
        <w:rPr>
          <w:rFonts w:ascii="Arial" w:hAnsi="Arial" w:cs="Arial"/>
          <w:color w:val="000000" w:themeColor="text1"/>
        </w:rPr>
        <w:t xml:space="preserve">, Pearson Education, Limited, Harlow. Available from: ProQuest </w:t>
      </w:r>
      <w:r w:rsidR="002D36A4" w:rsidRPr="0047232F">
        <w:rPr>
          <w:rFonts w:ascii="Arial" w:hAnsi="Arial" w:cs="Arial"/>
          <w:color w:val="000000" w:themeColor="text1"/>
        </w:rPr>
        <w:t>E-book</w:t>
      </w:r>
      <w:r w:rsidRPr="0047232F">
        <w:rPr>
          <w:rFonts w:ascii="Arial" w:hAnsi="Arial" w:cs="Arial"/>
          <w:color w:val="000000" w:themeColor="text1"/>
        </w:rPr>
        <w:t xml:space="preserve"> Central.</w:t>
      </w:r>
    </w:p>
    <w:p w14:paraId="7750729D" w14:textId="77777777" w:rsidR="000318C2" w:rsidRPr="0047232F" w:rsidRDefault="000318C2" w:rsidP="000318C2">
      <w:pPr>
        <w:spacing w:beforeLines="120" w:before="288"/>
        <w:rPr>
          <w:rFonts w:ascii="Arial" w:hAnsi="Arial" w:cs="Arial"/>
          <w:color w:val="000000" w:themeColor="text1"/>
        </w:rPr>
      </w:pPr>
      <w:hyperlink r:id="rId5" w:history="1">
        <w:r w:rsidRPr="0047232F">
          <w:rPr>
            <w:rStyle w:val="Hyperlink"/>
            <w:rFonts w:ascii="Arial" w:hAnsi="Arial" w:cs="Arial"/>
            <w:color w:val="000000" w:themeColor="text1"/>
          </w:rPr>
          <w:t>www.cipd.co.uk/cpd</w:t>
        </w:r>
      </w:hyperlink>
      <w:r w:rsidRPr="0047232F">
        <w:rPr>
          <w:rFonts w:ascii="Arial" w:hAnsi="Arial" w:cs="Arial"/>
          <w:color w:val="000000" w:themeColor="text1"/>
        </w:rPr>
        <w:t xml:space="preserve"> (no date) - Continuing professional development (CPD) information on the website of the Chartered Institute of Personnel and Development (CIPD).</w:t>
      </w:r>
    </w:p>
    <w:p w14:paraId="28AE6CF8" w14:textId="77777777" w:rsidR="00D20FB5" w:rsidRDefault="00D20FB5"/>
    <w:sectPr w:rsidR="00D20FB5">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Calibri">
    <w:panose1 w:val="020F0502020204030204"/>
    <w:charset w:val="00"/>
    <w:family w:val="swiss"/>
    <w:pitch w:val="variable"/>
    <w:sig w:usb0="E4002E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Arial">
    <w:panose1 w:val="020B0604020202020204"/>
    <w:charset w:val="00"/>
    <w:family w:val="swiss"/>
    <w:pitch w:val="variable"/>
    <w:sig w:usb0="E0002EFF" w:usb1="C000785B" w:usb2="00000009" w:usb3="00000000" w:csb0="000001FF" w:csb1="00000000"/>
  </w:font>
  <w:font w:name="Calibri Light">
    <w:panose1 w:val="020F0302020204030204"/>
    <w:charset w:val="00"/>
    <w:family w:val="swiss"/>
    <w:pitch w:val="variable"/>
    <w:sig w:usb0="E4002EFF" w:usb1="C000247B" w:usb2="00000009" w:usb3="00000000" w:csb0="000001F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90"/>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E357CD"/>
    <w:rsid w:val="0000166B"/>
    <w:rsid w:val="00017C41"/>
    <w:rsid w:val="00027BE0"/>
    <w:rsid w:val="000318C2"/>
    <w:rsid w:val="00033E34"/>
    <w:rsid w:val="00034E23"/>
    <w:rsid w:val="000A354D"/>
    <w:rsid w:val="000A464D"/>
    <w:rsid w:val="000C383E"/>
    <w:rsid w:val="00125E43"/>
    <w:rsid w:val="001411F4"/>
    <w:rsid w:val="001840BC"/>
    <w:rsid w:val="00194167"/>
    <w:rsid w:val="001A64A1"/>
    <w:rsid w:val="001E108B"/>
    <w:rsid w:val="00226D5B"/>
    <w:rsid w:val="00232729"/>
    <w:rsid w:val="00251A78"/>
    <w:rsid w:val="00257BC0"/>
    <w:rsid w:val="00260F30"/>
    <w:rsid w:val="00274DC9"/>
    <w:rsid w:val="00290C70"/>
    <w:rsid w:val="002D2205"/>
    <w:rsid w:val="002D36A4"/>
    <w:rsid w:val="002E3882"/>
    <w:rsid w:val="003270C9"/>
    <w:rsid w:val="003334BD"/>
    <w:rsid w:val="003450AC"/>
    <w:rsid w:val="00372EF8"/>
    <w:rsid w:val="003F1C27"/>
    <w:rsid w:val="00407135"/>
    <w:rsid w:val="004374EB"/>
    <w:rsid w:val="004538A9"/>
    <w:rsid w:val="00477865"/>
    <w:rsid w:val="004E3F20"/>
    <w:rsid w:val="004F744D"/>
    <w:rsid w:val="00521B08"/>
    <w:rsid w:val="005409A5"/>
    <w:rsid w:val="00553345"/>
    <w:rsid w:val="0057048A"/>
    <w:rsid w:val="005C2D69"/>
    <w:rsid w:val="005E5A19"/>
    <w:rsid w:val="00601B33"/>
    <w:rsid w:val="00634225"/>
    <w:rsid w:val="007B012C"/>
    <w:rsid w:val="007B01A0"/>
    <w:rsid w:val="007E3173"/>
    <w:rsid w:val="00854E02"/>
    <w:rsid w:val="00885C3B"/>
    <w:rsid w:val="008A6348"/>
    <w:rsid w:val="00901B0D"/>
    <w:rsid w:val="00947F51"/>
    <w:rsid w:val="009528D2"/>
    <w:rsid w:val="00965F80"/>
    <w:rsid w:val="00972722"/>
    <w:rsid w:val="009C62EC"/>
    <w:rsid w:val="009F2643"/>
    <w:rsid w:val="00A80AFB"/>
    <w:rsid w:val="00AC4DFC"/>
    <w:rsid w:val="00B04898"/>
    <w:rsid w:val="00B24FA6"/>
    <w:rsid w:val="00B34DA2"/>
    <w:rsid w:val="00B81043"/>
    <w:rsid w:val="00BB1071"/>
    <w:rsid w:val="00BC621C"/>
    <w:rsid w:val="00BD1DB8"/>
    <w:rsid w:val="00BF1052"/>
    <w:rsid w:val="00C666FE"/>
    <w:rsid w:val="00C66895"/>
    <w:rsid w:val="00C91C40"/>
    <w:rsid w:val="00CD29FB"/>
    <w:rsid w:val="00D20FB5"/>
    <w:rsid w:val="00D46359"/>
    <w:rsid w:val="00D4789B"/>
    <w:rsid w:val="00D55EB0"/>
    <w:rsid w:val="00D651A8"/>
    <w:rsid w:val="00D756F8"/>
    <w:rsid w:val="00D85B50"/>
    <w:rsid w:val="00D87685"/>
    <w:rsid w:val="00D91328"/>
    <w:rsid w:val="00DD1D07"/>
    <w:rsid w:val="00DD77AF"/>
    <w:rsid w:val="00E357CD"/>
    <w:rsid w:val="00E708AC"/>
    <w:rsid w:val="00EA23E8"/>
    <w:rsid w:val="00EA38EE"/>
    <w:rsid w:val="00F229CC"/>
    <w:rsid w:val="00F72A76"/>
    <w:rsid w:val="00F96EF6"/>
    <w:rsid w:val="00FD3063"/>
    <w:rsid w:val="00FE45D2"/>
    <w:rsid w:val="00FE76BB"/>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5099544E"/>
  <w15:chartTrackingRefBased/>
  <w15:docId w15:val="{E885CE93-532B-47D8-8E32-F88FE8A850E2}"/>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kern w:val="2"/>
        <w:sz w:val="22"/>
        <w:szCs w:val="22"/>
        <w:lang w:val="en-GB" w:eastAsia="en-US" w:bidi="ar-SA"/>
        <w14:ligatures w14:val="standardContextual"/>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styleId="Hyperlink">
    <w:name w:val="Hyperlink"/>
    <w:basedOn w:val="DefaultParagraphFont"/>
    <w:uiPriority w:val="99"/>
    <w:unhideWhenUsed/>
    <w:rsid w:val="000318C2"/>
    <w:rPr>
      <w:color w:val="0563C1" w:themeColor="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optimizeForBrowser/>
  <w:allowPNG/>
</w:webSettings>
</file>

<file path=word/_rels/document.xml.rels><?xml version="1.0" encoding="UTF-8" standalone="yes"?>
<Relationships xmlns="http://schemas.openxmlformats.org/package/2006/relationships"><Relationship Id="rId3" Type="http://schemas.openxmlformats.org/officeDocument/2006/relationships/webSettings" Target="webSettings.xml"/><Relationship Id="rId7" Type="http://schemas.openxmlformats.org/officeDocument/2006/relationships/theme" Target="theme/theme1.xml"/><Relationship Id="rId2" Type="http://schemas.openxmlformats.org/officeDocument/2006/relationships/settings" Target="settings.xml"/><Relationship Id="rId1" Type="http://schemas.openxmlformats.org/officeDocument/2006/relationships/styles" Target="styles.xml"/><Relationship Id="rId6" Type="http://schemas.openxmlformats.org/officeDocument/2006/relationships/fontTable" Target="fontTable.xml"/><Relationship Id="rId5" Type="http://schemas.openxmlformats.org/officeDocument/2006/relationships/hyperlink" Target="http://www.cipd.co.uk/cpd" TargetMode="External"/><Relationship Id="rId4" Type="http://schemas.openxmlformats.org/officeDocument/2006/relationships/image" Target="media/image1.pn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743</TotalTime>
  <Pages>9</Pages>
  <Words>2784</Words>
  <Characters>15871</Characters>
  <Application>Microsoft Office Word</Application>
  <DocSecurity>0</DocSecurity>
  <Lines>132</Lines>
  <Paragraphs>37</Paragraphs>
  <ScaleCrop>false</ScaleCrop>
  <Company/>
  <LinksUpToDate>false</LinksUpToDate>
  <CharactersWithSpaces>18618</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Nasima Akter</dc:creator>
  <cp:keywords/>
  <dc:description/>
  <cp:lastModifiedBy>Nasima Akter</cp:lastModifiedBy>
  <cp:revision>65</cp:revision>
  <dcterms:created xsi:type="dcterms:W3CDTF">2023-10-12T08:42:00Z</dcterms:created>
  <dcterms:modified xsi:type="dcterms:W3CDTF">2023-10-23T09:24:00Z</dcterms:modified>
</cp:coreProperties>
</file>