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C7DEB" w14:textId="5F050325" w:rsidR="00D47947" w:rsidRDefault="001D2F47">
      <w:r>
        <w:rPr>
          <w:noProof/>
        </w:rPr>
        <w:drawing>
          <wp:inline distT="0" distB="0" distL="0" distR="0" wp14:anchorId="5E567E01" wp14:editId="2AB1DC32">
            <wp:extent cx="6197079" cy="4034971"/>
            <wp:effectExtent l="0" t="0" r="0" b="0"/>
            <wp:docPr id="2113625604" name="Picture 1" descr="A group of people sitting at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25604" name="Picture 1" descr="A group of people sitting at a marke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6317037" cy="4113077"/>
                    </a:xfrm>
                    <a:prstGeom prst="rect">
                      <a:avLst/>
                    </a:prstGeom>
                    <a:effectLst>
                      <a:outerShdw dir="5400000" algn="ctr" rotWithShape="0">
                        <a:srgbClr val="000000"/>
                      </a:outerShdw>
                      <a:reflection endPos="0" dir="5400000" sy="-100000" algn="bl" rotWithShape="0"/>
                      <a:softEdge rad="76200"/>
                    </a:effectLst>
                  </pic:spPr>
                </pic:pic>
              </a:graphicData>
            </a:graphic>
          </wp:inline>
        </w:drawing>
      </w:r>
    </w:p>
    <w:p w14:paraId="41CDBDF8" w14:textId="117BFE01" w:rsidR="00573951" w:rsidRPr="00573951" w:rsidRDefault="00573951" w:rsidP="00573951">
      <w:pPr>
        <w:jc w:val="right"/>
        <w:rPr>
          <w:sz w:val="16"/>
          <w:szCs w:val="16"/>
        </w:rPr>
      </w:pPr>
      <w:r w:rsidRPr="00573951">
        <w:rPr>
          <w:sz w:val="16"/>
          <w:szCs w:val="16"/>
        </w:rPr>
        <w:t>(Future-agricultures.org, 202</w:t>
      </w:r>
      <w:r>
        <w:rPr>
          <w:sz w:val="16"/>
          <w:szCs w:val="16"/>
        </w:rPr>
        <w:t>0</w:t>
      </w:r>
      <w:r w:rsidRPr="00573951">
        <w:rPr>
          <w:sz w:val="16"/>
          <w:szCs w:val="16"/>
        </w:rPr>
        <w:t>)</w:t>
      </w:r>
    </w:p>
    <w:p w14:paraId="5A454AF9" w14:textId="77777777" w:rsidR="001D2F47" w:rsidRDefault="001D2F47" w:rsidP="00765B54"/>
    <w:p w14:paraId="101FBD97" w14:textId="77777777" w:rsidR="00883D75" w:rsidRPr="00883D75" w:rsidRDefault="00883D75" w:rsidP="00883D75">
      <w:pPr>
        <w:ind w:left="720"/>
        <w:jc w:val="center"/>
        <w:rPr>
          <w:rFonts w:ascii="Times New Roman" w:hAnsi="Times New Roman" w:cs="Times New Roman"/>
          <w:b/>
          <w:bCs/>
          <w:sz w:val="32"/>
          <w:szCs w:val="32"/>
        </w:rPr>
      </w:pPr>
      <w:bookmarkStart w:id="0" w:name="_Hlk161489345"/>
      <w:r w:rsidRPr="00883D75">
        <w:rPr>
          <w:rFonts w:ascii="Times New Roman" w:hAnsi="Times New Roman" w:cs="Times New Roman"/>
          <w:b/>
          <w:bCs/>
          <w:sz w:val="32"/>
          <w:szCs w:val="32"/>
        </w:rPr>
        <w:t xml:space="preserve">How significant is the </w:t>
      </w:r>
      <w:r w:rsidRPr="00883D75">
        <w:rPr>
          <w:rFonts w:ascii="Times New Roman" w:hAnsi="Times New Roman" w:cs="Times New Roman"/>
          <w:b/>
          <w:bCs/>
          <w:i/>
          <w:sz w:val="32"/>
          <w:szCs w:val="32"/>
        </w:rPr>
        <w:t>informal sector</w:t>
      </w:r>
      <w:r w:rsidRPr="00883D75">
        <w:rPr>
          <w:rFonts w:ascii="Times New Roman" w:hAnsi="Times New Roman" w:cs="Times New Roman"/>
          <w:b/>
          <w:bCs/>
          <w:sz w:val="32"/>
          <w:szCs w:val="32"/>
        </w:rPr>
        <w:t xml:space="preserve"> economy, especially in poorer countries? What kind of legal and policy framework is most likely to be effective in managing the development of this sector? Give examples. Is </w:t>
      </w:r>
      <w:r w:rsidRPr="00883D75">
        <w:rPr>
          <w:rFonts w:ascii="Times New Roman" w:hAnsi="Times New Roman" w:cs="Times New Roman"/>
          <w:b/>
          <w:bCs/>
          <w:i/>
          <w:sz w:val="32"/>
          <w:szCs w:val="32"/>
        </w:rPr>
        <w:t>management</w:t>
      </w:r>
      <w:r w:rsidRPr="00883D75">
        <w:rPr>
          <w:rFonts w:ascii="Times New Roman" w:hAnsi="Times New Roman" w:cs="Times New Roman"/>
          <w:b/>
          <w:bCs/>
          <w:sz w:val="32"/>
          <w:szCs w:val="32"/>
        </w:rPr>
        <w:t xml:space="preserve"> actually needed in this sector and, if so, by whom and by what means?</w:t>
      </w:r>
    </w:p>
    <w:bookmarkEnd w:id="0"/>
    <w:p w14:paraId="2C0F775C" w14:textId="77777777" w:rsidR="001D2F47" w:rsidRDefault="001D2F47" w:rsidP="001D2F47">
      <w:pPr>
        <w:jc w:val="center"/>
        <w:rPr>
          <w:sz w:val="32"/>
          <w:szCs w:val="32"/>
        </w:rPr>
      </w:pPr>
    </w:p>
    <w:p w14:paraId="52F3193D" w14:textId="77777777" w:rsidR="005D47A1" w:rsidRDefault="005D47A1" w:rsidP="001D2F47">
      <w:pPr>
        <w:jc w:val="center"/>
        <w:rPr>
          <w:sz w:val="32"/>
          <w:szCs w:val="32"/>
        </w:rPr>
      </w:pPr>
    </w:p>
    <w:p w14:paraId="77E38F3A" w14:textId="77777777" w:rsidR="005D47A1" w:rsidRDefault="005D47A1" w:rsidP="001D2F47">
      <w:pPr>
        <w:jc w:val="center"/>
        <w:rPr>
          <w:sz w:val="32"/>
          <w:szCs w:val="32"/>
        </w:rPr>
      </w:pPr>
    </w:p>
    <w:p w14:paraId="50636634" w14:textId="77777777" w:rsidR="000F1EF3" w:rsidRDefault="000F1EF3" w:rsidP="000E28D5">
      <w:pPr>
        <w:rPr>
          <w:sz w:val="32"/>
          <w:szCs w:val="32"/>
        </w:rPr>
      </w:pPr>
    </w:p>
    <w:p w14:paraId="3B6774A0" w14:textId="247D5803" w:rsidR="005D47A1" w:rsidRPr="000F1EF3" w:rsidRDefault="005D47A1" w:rsidP="005D47A1">
      <w:pPr>
        <w:jc w:val="right"/>
        <w:rPr>
          <w:rFonts w:ascii="Times New Roman" w:hAnsi="Times New Roman" w:cs="Times New Roman"/>
          <w:i/>
          <w:iCs/>
          <w:sz w:val="32"/>
          <w:szCs w:val="32"/>
        </w:rPr>
      </w:pPr>
      <w:r w:rsidRPr="000F1EF3">
        <w:rPr>
          <w:rFonts w:ascii="Times New Roman" w:hAnsi="Times New Roman" w:cs="Times New Roman"/>
          <w:i/>
          <w:iCs/>
          <w:sz w:val="32"/>
          <w:szCs w:val="32"/>
        </w:rPr>
        <w:t>Xaverna Black (2115326)</w:t>
      </w:r>
    </w:p>
    <w:p w14:paraId="3F8CDD32" w14:textId="377C313B" w:rsidR="005D47A1" w:rsidRPr="000F1EF3" w:rsidRDefault="000F1EF3" w:rsidP="005D47A1">
      <w:pPr>
        <w:jc w:val="right"/>
        <w:rPr>
          <w:rFonts w:ascii="Times New Roman" w:hAnsi="Times New Roman" w:cs="Times New Roman"/>
          <w:i/>
          <w:iCs/>
          <w:sz w:val="32"/>
          <w:szCs w:val="32"/>
        </w:rPr>
      </w:pPr>
      <w:r w:rsidRPr="000F1EF3">
        <w:rPr>
          <w:rFonts w:ascii="Times New Roman" w:hAnsi="Times New Roman" w:cs="Times New Roman"/>
          <w:i/>
          <w:iCs/>
          <w:sz w:val="32"/>
          <w:szCs w:val="32"/>
        </w:rPr>
        <w:t>Population Growth, Urbanisation and Sustainability</w:t>
      </w:r>
    </w:p>
    <w:p w14:paraId="4F26F9CA" w14:textId="34132849" w:rsidR="000F1EF3" w:rsidRPr="000E28D5" w:rsidRDefault="000F1EF3" w:rsidP="005D47A1">
      <w:pPr>
        <w:jc w:val="right"/>
        <w:rPr>
          <w:rFonts w:ascii="Times New Roman" w:hAnsi="Times New Roman" w:cs="Times New Roman"/>
          <w:i/>
          <w:iCs/>
          <w:sz w:val="32"/>
          <w:szCs w:val="32"/>
        </w:rPr>
      </w:pPr>
      <w:r w:rsidRPr="000E28D5">
        <w:rPr>
          <w:rFonts w:ascii="Times New Roman" w:hAnsi="Times New Roman" w:cs="Times New Roman"/>
          <w:i/>
          <w:iCs/>
          <w:sz w:val="32"/>
          <w:szCs w:val="32"/>
        </w:rPr>
        <w:t>Andy Bevan</w:t>
      </w:r>
    </w:p>
    <w:p w14:paraId="7AC99BAE" w14:textId="74E96090" w:rsidR="000E28D5" w:rsidRPr="000E28D5" w:rsidRDefault="000E28D5" w:rsidP="005D47A1">
      <w:pPr>
        <w:jc w:val="right"/>
        <w:rPr>
          <w:rFonts w:ascii="Times New Roman" w:hAnsi="Times New Roman" w:cs="Times New Roman"/>
          <w:i/>
          <w:iCs/>
          <w:sz w:val="32"/>
          <w:szCs w:val="32"/>
        </w:rPr>
      </w:pPr>
      <w:r w:rsidRPr="000E28D5">
        <w:rPr>
          <w:rFonts w:ascii="Times New Roman" w:hAnsi="Times New Roman" w:cs="Times New Roman"/>
          <w:i/>
          <w:iCs/>
          <w:sz w:val="32"/>
          <w:szCs w:val="32"/>
        </w:rPr>
        <w:t>14-03-24</w:t>
      </w:r>
    </w:p>
    <w:p w14:paraId="6218FBB2" w14:textId="77777777" w:rsidR="000E28D5" w:rsidRPr="000E28D5" w:rsidRDefault="000E28D5" w:rsidP="00DC3443">
      <w:pPr>
        <w:jc w:val="right"/>
        <w:rPr>
          <w:rFonts w:ascii="Times New Roman" w:hAnsi="Times New Roman" w:cs="Times New Roman"/>
          <w:b/>
          <w:bCs/>
          <w:i/>
          <w:iCs/>
          <w:sz w:val="32"/>
          <w:szCs w:val="32"/>
        </w:rPr>
      </w:pPr>
      <w:r w:rsidRPr="000E28D5">
        <w:rPr>
          <w:rFonts w:ascii="Times New Roman" w:hAnsi="Times New Roman" w:cs="Times New Roman"/>
          <w:b/>
          <w:bCs/>
          <w:i/>
          <w:iCs/>
          <w:sz w:val="32"/>
          <w:szCs w:val="32"/>
        </w:rPr>
        <w:lastRenderedPageBreak/>
        <w:t>How significant is the informal sector economy, especially in poorer countries? What kind of legal and policy framework is most likely to be effective in managing the development of this sector? Give examples. Is management actually needed in this sector and, if so, by whom and by what means?</w:t>
      </w:r>
    </w:p>
    <w:p w14:paraId="6C4A6B15" w14:textId="77777777" w:rsidR="000E28D5" w:rsidRDefault="000E28D5" w:rsidP="005D47A1">
      <w:pPr>
        <w:jc w:val="right"/>
        <w:rPr>
          <w:rFonts w:ascii="Times New Roman" w:hAnsi="Times New Roman" w:cs="Times New Roman"/>
          <w:i/>
          <w:iCs/>
          <w:sz w:val="32"/>
          <w:szCs w:val="32"/>
        </w:rPr>
      </w:pPr>
    </w:p>
    <w:p w14:paraId="422061DD" w14:textId="0965E305" w:rsidR="00111DE4" w:rsidRPr="00111DE4" w:rsidRDefault="001A7FA9" w:rsidP="00000E7B">
      <w:pPr>
        <w:jc w:val="both"/>
        <w:rPr>
          <w:rFonts w:ascii="Times New Roman" w:hAnsi="Times New Roman" w:cs="Times New Roman"/>
          <w:sz w:val="24"/>
          <w:szCs w:val="24"/>
        </w:rPr>
      </w:pPr>
      <w:r w:rsidRPr="001A7FA9">
        <w:rPr>
          <w:rFonts w:ascii="Times New Roman" w:hAnsi="Times New Roman" w:cs="Times New Roman"/>
          <w:sz w:val="24"/>
          <w:szCs w:val="24"/>
        </w:rPr>
        <w:t>Within the economic framework of less developed nations, the informal sector economy serves as a vital means of sustenance and a driver of resilience. Incorporating the dynamic interplay between livelihoods, socioeconomic structures, and policy imperatives, its significance transcends mere statistics. In the process of overseeing the growth of this industry, a nuanced legal and policy structure is required to maintain a balanced approach that acknowledges the critical contributions it makes while also confronting the inherent difficulties it presents. By coordinating the endeavours of governmental bodies, grassroots organisations, and civil society, efficient administration can be achieved, thereby enabling the informal sector to contribute to inclusive development and alleviate poverty.</w:t>
      </w:r>
      <w:r w:rsidR="001C0352">
        <w:rPr>
          <w:rFonts w:ascii="Times New Roman" w:hAnsi="Times New Roman" w:cs="Times New Roman"/>
          <w:sz w:val="24"/>
          <w:szCs w:val="24"/>
        </w:rPr>
        <w:t xml:space="preserve"> </w:t>
      </w:r>
      <w:r w:rsidR="001C0352" w:rsidRPr="001C0352">
        <w:rPr>
          <w:rFonts w:ascii="Times New Roman" w:hAnsi="Times New Roman" w:cs="Times New Roman"/>
          <w:sz w:val="24"/>
          <w:szCs w:val="24"/>
        </w:rPr>
        <w:t>Academics and theorists have conceptualised and defined the informal sector economy in a variety of ways due to its complexity and multifaceted nature.</w:t>
      </w:r>
      <w:r w:rsidR="008000EC">
        <w:rPr>
          <w:rFonts w:ascii="Times New Roman" w:hAnsi="Times New Roman" w:cs="Times New Roman"/>
          <w:sz w:val="24"/>
          <w:szCs w:val="24"/>
        </w:rPr>
        <w:t xml:space="preserve"> </w:t>
      </w:r>
      <w:r w:rsidR="008000EC" w:rsidRPr="008000EC">
        <w:rPr>
          <w:rFonts w:ascii="Times New Roman" w:hAnsi="Times New Roman" w:cs="Times New Roman"/>
          <w:sz w:val="24"/>
          <w:szCs w:val="24"/>
        </w:rPr>
        <w:t xml:space="preserve">The informal sector economy, sometimes referred to as the informal economy or the shadow economy, encompasses economic activities that operate beyond the purview of official institutions and lack legal regulations, registration, and taxation (Portes et al., 1989, p. 3). These operations frequently function beyond the scope of government supervision and official statistical evaluation, rendering them challenging to adequately record. The informal sector comprises various activities such as street vending, </w:t>
      </w:r>
      <w:r w:rsidR="00261C5D">
        <w:rPr>
          <w:rFonts w:ascii="Times New Roman" w:hAnsi="Times New Roman" w:cs="Times New Roman"/>
          <w:sz w:val="24"/>
          <w:szCs w:val="24"/>
        </w:rPr>
        <w:t>micro</w:t>
      </w:r>
      <w:r w:rsidR="006A20F8">
        <w:rPr>
          <w:rFonts w:ascii="Times New Roman" w:hAnsi="Times New Roman" w:cs="Times New Roman"/>
          <w:sz w:val="24"/>
          <w:szCs w:val="24"/>
        </w:rPr>
        <w:t xml:space="preserve">- enterprises, </w:t>
      </w:r>
      <w:r w:rsidR="008000EC" w:rsidRPr="008000EC">
        <w:rPr>
          <w:rFonts w:ascii="Times New Roman" w:hAnsi="Times New Roman" w:cs="Times New Roman"/>
          <w:sz w:val="24"/>
          <w:szCs w:val="24"/>
        </w:rPr>
        <w:t>small-scale manufacturing, domestic employment, and unregistered service supply</w:t>
      </w:r>
      <w:r w:rsidR="006A20F8">
        <w:rPr>
          <w:rFonts w:ascii="Times New Roman" w:hAnsi="Times New Roman" w:cs="Times New Roman"/>
          <w:sz w:val="24"/>
          <w:szCs w:val="24"/>
        </w:rPr>
        <w:t xml:space="preserve"> which </w:t>
      </w:r>
      <w:r w:rsidR="0056240E">
        <w:rPr>
          <w:rFonts w:ascii="Times New Roman" w:hAnsi="Times New Roman" w:cs="Times New Roman"/>
          <w:sz w:val="24"/>
          <w:szCs w:val="24"/>
        </w:rPr>
        <w:t>provide</w:t>
      </w:r>
      <w:r w:rsidR="00212FBF">
        <w:rPr>
          <w:rFonts w:ascii="Times New Roman" w:hAnsi="Times New Roman" w:cs="Times New Roman"/>
          <w:sz w:val="24"/>
          <w:szCs w:val="24"/>
        </w:rPr>
        <w:t>s</w:t>
      </w:r>
      <w:r w:rsidR="0056240E">
        <w:rPr>
          <w:rFonts w:ascii="Times New Roman" w:hAnsi="Times New Roman" w:cs="Times New Roman"/>
          <w:sz w:val="24"/>
          <w:szCs w:val="24"/>
        </w:rPr>
        <w:t xml:space="preserve"> essential goods and services to millions in poorer </w:t>
      </w:r>
      <w:r w:rsidR="009A0CE6">
        <w:rPr>
          <w:rFonts w:ascii="Times New Roman" w:hAnsi="Times New Roman" w:cs="Times New Roman"/>
          <w:sz w:val="24"/>
          <w:szCs w:val="24"/>
        </w:rPr>
        <w:t xml:space="preserve">countries </w:t>
      </w:r>
      <w:r w:rsidR="008000EC" w:rsidRPr="008000EC">
        <w:rPr>
          <w:rFonts w:ascii="Times New Roman" w:hAnsi="Times New Roman" w:cs="Times New Roman"/>
          <w:sz w:val="24"/>
          <w:szCs w:val="24"/>
        </w:rPr>
        <w:t>(ILO, 2018, p. 6). Individuals engaged in the informal sector generally do not have formal agreements, employment stability, social advantages, or the ability to seek legal action in the event of conflicts or infringements.</w:t>
      </w:r>
      <w:r w:rsidR="00EA259E">
        <w:rPr>
          <w:rFonts w:ascii="Times New Roman" w:hAnsi="Times New Roman" w:cs="Times New Roman"/>
          <w:sz w:val="24"/>
          <w:szCs w:val="24"/>
        </w:rPr>
        <w:t xml:space="preserve"> </w:t>
      </w:r>
      <w:r w:rsidR="00C83871" w:rsidRPr="00C83871">
        <w:rPr>
          <w:rFonts w:ascii="Times New Roman" w:hAnsi="Times New Roman" w:cs="Times New Roman"/>
          <w:sz w:val="24"/>
          <w:szCs w:val="24"/>
        </w:rPr>
        <w:t>It thrives predominantly in developing countries due to factors such as unemployment, poverty, and limited access to formal employment opportunities.</w:t>
      </w:r>
      <w:r w:rsidR="00991E13">
        <w:rPr>
          <w:rFonts w:ascii="Times New Roman" w:hAnsi="Times New Roman" w:cs="Times New Roman"/>
          <w:sz w:val="24"/>
          <w:szCs w:val="24"/>
        </w:rPr>
        <w:t xml:space="preserve"> </w:t>
      </w:r>
      <w:r w:rsidR="00111DE4" w:rsidRPr="00111DE4">
        <w:rPr>
          <w:rFonts w:ascii="Times New Roman" w:hAnsi="Times New Roman" w:cs="Times New Roman"/>
          <w:sz w:val="24"/>
          <w:szCs w:val="24"/>
        </w:rPr>
        <w:t>The purpose of this essay is to examine the intricate connection between the informal sector and development in poorer countries. It highlights the opportunities and challenges of the informal economy while providing an overview</w:t>
      </w:r>
      <w:r w:rsidR="00FD6930">
        <w:rPr>
          <w:rFonts w:ascii="Times New Roman" w:hAnsi="Times New Roman" w:cs="Times New Roman"/>
          <w:sz w:val="24"/>
          <w:szCs w:val="24"/>
        </w:rPr>
        <w:t xml:space="preserve"> </w:t>
      </w:r>
      <w:r w:rsidR="00111DE4" w:rsidRPr="00111DE4">
        <w:rPr>
          <w:rFonts w:ascii="Times New Roman" w:hAnsi="Times New Roman" w:cs="Times New Roman"/>
          <w:sz w:val="24"/>
          <w:szCs w:val="24"/>
        </w:rPr>
        <w:t xml:space="preserve">and significance of the sector. The subsequent </w:t>
      </w:r>
      <w:r w:rsidR="00C17466">
        <w:rPr>
          <w:rFonts w:ascii="Times New Roman" w:hAnsi="Times New Roman" w:cs="Times New Roman"/>
          <w:sz w:val="24"/>
          <w:szCs w:val="24"/>
        </w:rPr>
        <w:t>discussion</w:t>
      </w:r>
      <w:r w:rsidR="00111DE4" w:rsidRPr="00111DE4">
        <w:rPr>
          <w:rFonts w:ascii="Times New Roman" w:hAnsi="Times New Roman" w:cs="Times New Roman"/>
          <w:sz w:val="24"/>
          <w:szCs w:val="24"/>
        </w:rPr>
        <w:t xml:space="preserve"> explores the matter of whether and how this sector ought to be regulated, scrutinising various policy and legal structures that may facilitate its expansion while encouraging shifts towards formality. </w:t>
      </w:r>
      <w:r w:rsidR="00111DE4" w:rsidRPr="00013884">
        <w:rPr>
          <w:rFonts w:ascii="Times New Roman" w:hAnsi="Times New Roman" w:cs="Times New Roman"/>
          <w:sz w:val="24"/>
          <w:szCs w:val="24"/>
        </w:rPr>
        <w:t>Exemplary instances</w:t>
      </w:r>
      <w:r w:rsidR="00111DE4" w:rsidRPr="00111DE4">
        <w:rPr>
          <w:rFonts w:ascii="Times New Roman" w:hAnsi="Times New Roman" w:cs="Times New Roman"/>
          <w:sz w:val="24"/>
          <w:szCs w:val="24"/>
        </w:rPr>
        <w:t xml:space="preserve"> from </w:t>
      </w:r>
      <w:r w:rsidR="00873007">
        <w:rPr>
          <w:rFonts w:ascii="Times New Roman" w:hAnsi="Times New Roman" w:cs="Times New Roman"/>
          <w:sz w:val="24"/>
          <w:szCs w:val="24"/>
        </w:rPr>
        <w:t>various</w:t>
      </w:r>
      <w:r w:rsidR="00111DE4" w:rsidRPr="00111DE4">
        <w:rPr>
          <w:rFonts w:ascii="Times New Roman" w:hAnsi="Times New Roman" w:cs="Times New Roman"/>
          <w:sz w:val="24"/>
          <w:szCs w:val="24"/>
        </w:rPr>
        <w:t xml:space="preserve"> nations will be employed to demonstrate the efficacy of these frameworks. By evaluating the informal sector's function critically, this essay seeks to contribute to the ongoing discussion regarding how to maximise its potential for sustainable and inclusive development.</w:t>
      </w:r>
    </w:p>
    <w:p w14:paraId="202CCEDB" w14:textId="0EE88136" w:rsidR="00763215" w:rsidRDefault="002C290B" w:rsidP="00000E7B">
      <w:pPr>
        <w:jc w:val="both"/>
        <w:rPr>
          <w:rFonts w:ascii="Times New Roman" w:hAnsi="Times New Roman" w:cs="Times New Roman"/>
          <w:sz w:val="24"/>
          <w:szCs w:val="24"/>
        </w:rPr>
      </w:pPr>
      <w:r w:rsidRPr="002C290B">
        <w:rPr>
          <w:rFonts w:ascii="Times New Roman" w:hAnsi="Times New Roman" w:cs="Times New Roman"/>
          <w:sz w:val="24"/>
          <w:szCs w:val="24"/>
        </w:rPr>
        <w:t xml:space="preserve">The informal sector, which includes economic activities that operate outside the conventional legal framework, has a crucial impact on several economies, especially in developing nations. Despite being often disregarded, this industry has a plethora of possibilities for generating employment, creating revenue, and promoting social unity. The informal sector plays a substantial role in generating employment, providing opportunities for millions of persons who may otherwise be unable to participate in the formal labour market owing to educational </w:t>
      </w:r>
      <w:r w:rsidRPr="002C290B">
        <w:rPr>
          <w:rFonts w:ascii="Times New Roman" w:hAnsi="Times New Roman" w:cs="Times New Roman"/>
          <w:sz w:val="24"/>
          <w:szCs w:val="24"/>
        </w:rPr>
        <w:lastRenderedPageBreak/>
        <w:t>shortcomings, limited skills, or lack of qualifications. The informal sector plays a vital role in providing a means of subsistence in developing countries, where official employment possibilities are often few.</w:t>
      </w:r>
      <w:r w:rsidR="002147C7">
        <w:rPr>
          <w:rFonts w:ascii="Times New Roman" w:hAnsi="Times New Roman" w:cs="Times New Roman"/>
          <w:sz w:val="24"/>
          <w:szCs w:val="24"/>
        </w:rPr>
        <w:t xml:space="preserve"> </w:t>
      </w:r>
      <w:r w:rsidR="002147C7" w:rsidRPr="002147C7">
        <w:rPr>
          <w:rFonts w:ascii="Times New Roman" w:hAnsi="Times New Roman" w:cs="Times New Roman"/>
          <w:sz w:val="24"/>
          <w:szCs w:val="24"/>
        </w:rPr>
        <w:t xml:space="preserve">The International Labour Organisation (ILO) states that the informal sector constitutes a significant proportion of employment in developing nations, estimated to be between 50% and 80% (ILO, 2020, p. 10). In India, the informal sector employs more than 80% of the whole workforce. This sector includes activities like street selling, small-scale manufacturing, and home businesses (Kumar &amp; Pradhan, 2019, p. 332). This lack of formality often results in adaptability. Informal enterprises </w:t>
      </w:r>
      <w:r w:rsidR="00E40994" w:rsidRPr="002147C7">
        <w:rPr>
          <w:rFonts w:ascii="Times New Roman" w:hAnsi="Times New Roman" w:cs="Times New Roman"/>
          <w:sz w:val="24"/>
          <w:szCs w:val="24"/>
        </w:rPr>
        <w:t>can</w:t>
      </w:r>
      <w:r w:rsidR="002147C7" w:rsidRPr="002147C7">
        <w:rPr>
          <w:rFonts w:ascii="Times New Roman" w:hAnsi="Times New Roman" w:cs="Times New Roman"/>
          <w:sz w:val="24"/>
          <w:szCs w:val="24"/>
        </w:rPr>
        <w:t xml:space="preserve"> promptly adjust to changing market requirements, so contributing a dynamic and adaptable component to the economy. Moreover, the accessibility for people to enter and depart is conducive to their pursuit of entrepreneurial ventures, which in turn promotes a culture of innovation and self-employment. Street sellers in poor nations provide as excellent examples. They symbolise the first step on the ladder of entrepreneurship, providing a route to financial independence and the generating of revenue (Chen, 2012, p. 12). These vendors provide items and services that are easily accessible to meet the requirements of the local community. </w:t>
      </w:r>
      <w:r w:rsidR="00AA4AC1" w:rsidRPr="00AA4AC1">
        <w:rPr>
          <w:rFonts w:ascii="Times New Roman" w:hAnsi="Times New Roman" w:cs="Times New Roman"/>
          <w:sz w:val="24"/>
          <w:szCs w:val="24"/>
        </w:rPr>
        <w:t xml:space="preserve">The informal sector is a vital source of revenue for low-income households in less developed nations, providing essential products and services to local communities. It also aids in reducing poverty by absorbing excess </w:t>
      </w:r>
      <w:r w:rsidR="0051272E" w:rsidRPr="00AA4AC1">
        <w:rPr>
          <w:rFonts w:ascii="Times New Roman" w:hAnsi="Times New Roman" w:cs="Times New Roman"/>
          <w:sz w:val="24"/>
          <w:szCs w:val="24"/>
        </w:rPr>
        <w:t>labour</w:t>
      </w:r>
      <w:r w:rsidR="00AA4AC1" w:rsidRPr="00AA4AC1">
        <w:rPr>
          <w:rFonts w:ascii="Times New Roman" w:hAnsi="Times New Roman" w:cs="Times New Roman"/>
          <w:sz w:val="24"/>
          <w:szCs w:val="24"/>
        </w:rPr>
        <w:t xml:space="preserve"> from other sectors and providing job opportunities to disadvantaged individuals, thereby enhancing their quality of life.</w:t>
      </w:r>
      <w:r w:rsidR="00A7091E">
        <w:rPr>
          <w:rFonts w:ascii="Times New Roman" w:hAnsi="Times New Roman" w:cs="Times New Roman"/>
          <w:sz w:val="24"/>
          <w:szCs w:val="24"/>
        </w:rPr>
        <w:t xml:space="preserve"> </w:t>
      </w:r>
      <w:r w:rsidR="00A7091E" w:rsidRPr="00A7091E">
        <w:rPr>
          <w:rFonts w:ascii="Times New Roman" w:hAnsi="Times New Roman" w:cs="Times New Roman"/>
          <w:sz w:val="24"/>
          <w:szCs w:val="24"/>
        </w:rPr>
        <w:t xml:space="preserve">The informal sector in countries such as Bangladesh has a crucial function in absorbing excess labour from the agricultural sector and mitigating urban unemployment (Islam &amp; Parveen, 2019, p. 150). The informal sector in countries such as Bangladesh plays an integral part in absorbing excess labour from the agricultural sector and mitigating urban unemployment (Islam &amp; Parveen, 2019, p. 150). Although informal enterprises are often tiny in size, they make a substantial contribution to national economies. The production of money from informal companies not only helps individual families but also adds to national tax revenue when these firms are formalised. </w:t>
      </w:r>
    </w:p>
    <w:p w14:paraId="5FE4F242" w14:textId="05E20E57" w:rsidR="003437A9" w:rsidRDefault="000F5959" w:rsidP="00000E7B">
      <w:pPr>
        <w:jc w:val="both"/>
        <w:rPr>
          <w:rFonts w:ascii="Times New Roman" w:hAnsi="Times New Roman" w:cs="Times New Roman"/>
          <w:sz w:val="24"/>
          <w:szCs w:val="24"/>
        </w:rPr>
      </w:pPr>
      <w:r w:rsidRPr="000F5959">
        <w:rPr>
          <w:rFonts w:ascii="Times New Roman" w:hAnsi="Times New Roman" w:cs="Times New Roman"/>
          <w:sz w:val="24"/>
          <w:szCs w:val="24"/>
        </w:rPr>
        <w:t xml:space="preserve">In addition to its economic advantages, the informal sector facilitates social opportunities and aids in the resilience of communities via its informal networks and support systems. Informal sector operations frequently transpire within </w:t>
      </w:r>
      <w:r w:rsidR="007A22FB" w:rsidRPr="000F5959">
        <w:rPr>
          <w:rFonts w:ascii="Times New Roman" w:hAnsi="Times New Roman" w:cs="Times New Roman"/>
          <w:sz w:val="24"/>
          <w:szCs w:val="24"/>
        </w:rPr>
        <w:t>tightly knit</w:t>
      </w:r>
      <w:r w:rsidRPr="000F5959">
        <w:rPr>
          <w:rFonts w:ascii="Times New Roman" w:hAnsi="Times New Roman" w:cs="Times New Roman"/>
          <w:sz w:val="24"/>
          <w:szCs w:val="24"/>
        </w:rPr>
        <w:t xml:space="preserve"> communities, thereby promoting social unity and reciprocal assistance among labourers. These enterprises accommodate the preferences and requirements of the local populace, thereby nurturing emotional connection, familiarity, and cultural identity. As an example, employees of the informal garment industry in Cambodia depend on community-based social networks to provide for their emotional well-being, financial aid, and </w:t>
      </w:r>
      <w:r w:rsidR="007A22FB" w:rsidRPr="000F5959">
        <w:rPr>
          <w:rFonts w:ascii="Times New Roman" w:hAnsi="Times New Roman" w:cs="Times New Roman"/>
          <w:sz w:val="24"/>
          <w:szCs w:val="24"/>
        </w:rPr>
        <w:t>childcare</w:t>
      </w:r>
      <w:r w:rsidRPr="000F5959">
        <w:rPr>
          <w:rFonts w:ascii="Times New Roman" w:hAnsi="Times New Roman" w:cs="Times New Roman"/>
          <w:sz w:val="24"/>
          <w:szCs w:val="24"/>
        </w:rPr>
        <w:t xml:space="preserve"> (Carney, 2018, p. 215). For instance, informal markets situated in impoverished regions of Nairobi, Kenya, serve as indispensable repositories for residents' necessities, such as apparel, food, and domestic goods (Mutua &amp; Otiso, 2019, p. 85). The provision of fundamental necessities by informal sector initiatives enhances the resilience of communities amidst economic adversities and external disturbances. Frequently, when formal social safety systems are inadequate, the informal sector steps in to provide assistance. Informal enterprises have the potential to offer vital support systems, especially by means of informal financial arrangements and credit. As an illustration, vendors may extend credit to customers for everyday expenditures, thereby cultivating an atmosphere of confidence and mutual support.</w:t>
      </w:r>
    </w:p>
    <w:p w14:paraId="41D39E28" w14:textId="4BD51751" w:rsidR="004F550C" w:rsidRPr="004F550C" w:rsidRDefault="004F550C" w:rsidP="00000E7B">
      <w:pPr>
        <w:jc w:val="both"/>
        <w:rPr>
          <w:rFonts w:ascii="Times New Roman" w:hAnsi="Times New Roman" w:cs="Times New Roman"/>
          <w:sz w:val="24"/>
          <w:szCs w:val="24"/>
        </w:rPr>
      </w:pPr>
      <w:r w:rsidRPr="004F550C">
        <w:rPr>
          <w:rFonts w:ascii="Times New Roman" w:hAnsi="Times New Roman" w:cs="Times New Roman"/>
          <w:sz w:val="24"/>
          <w:szCs w:val="24"/>
        </w:rPr>
        <w:t xml:space="preserve">Notwithstanding its economic and social contributions, the informal sector encounters a multitude of obstacles that impede its expansion and long-term viability. Lack of legal </w:t>
      </w:r>
      <w:r w:rsidRPr="004F550C">
        <w:rPr>
          <w:rFonts w:ascii="Times New Roman" w:hAnsi="Times New Roman" w:cs="Times New Roman"/>
          <w:sz w:val="24"/>
          <w:szCs w:val="24"/>
        </w:rPr>
        <w:lastRenderedPageBreak/>
        <w:t xml:space="preserve">protection and recognition, in addition to restricted access to formal institutions and services, contribute to these obstacles. Workers in the informal sector frequently function without legal recognition or protections, which exposes them to the risk of exploitation and hazardous working conditions. Basic rights, including but not limited to social security, minimum wage, and workplace safety standards, are inaccessible to them (Charmes, 2019, p. 45). Moreover, a considerable number of informal </w:t>
      </w:r>
      <w:r w:rsidR="007A22FB" w:rsidRPr="004F550C">
        <w:rPr>
          <w:rFonts w:ascii="Times New Roman" w:hAnsi="Times New Roman" w:cs="Times New Roman"/>
          <w:sz w:val="24"/>
          <w:szCs w:val="24"/>
        </w:rPr>
        <w:t>labourer’s</w:t>
      </w:r>
      <w:r w:rsidRPr="004F550C">
        <w:rPr>
          <w:rFonts w:ascii="Times New Roman" w:hAnsi="Times New Roman" w:cs="Times New Roman"/>
          <w:sz w:val="24"/>
          <w:szCs w:val="24"/>
        </w:rPr>
        <w:t xml:space="preserve"> lack in critical competencies such as entrepreneurship, management, and the ability to effectively advocate for their rights and traverse the intricacies of business operations (Banerjee &amp; Gupta, 2019, p. 78). Due to the absence of legal security measures, informal labourers are susceptible to mistreatment and exploitation. This may lead to physical or verbal harassment, wage deception, and unjust labour practices (Chen, 2012, p. 24). The consequences of this susceptibility on social mobility and gender dynamics are substantial. Women employed in the informal sector are especially vulnerable, as they frequently encounter prejudice and the added responsibilities of providing unpaid care (Chen, 2012, p. 25). </w:t>
      </w:r>
    </w:p>
    <w:p w14:paraId="572D2AEC" w14:textId="255ED1CD" w:rsidR="00FE7517" w:rsidRPr="003437A9" w:rsidRDefault="00562DAE" w:rsidP="00000E7B">
      <w:pPr>
        <w:jc w:val="both"/>
        <w:rPr>
          <w:rFonts w:ascii="Times New Roman" w:hAnsi="Times New Roman" w:cs="Times New Roman"/>
          <w:sz w:val="24"/>
          <w:szCs w:val="24"/>
        </w:rPr>
      </w:pPr>
      <w:r w:rsidRPr="00562DAE">
        <w:rPr>
          <w:rFonts w:ascii="Times New Roman" w:hAnsi="Times New Roman" w:cs="Times New Roman"/>
          <w:sz w:val="24"/>
          <w:szCs w:val="24"/>
        </w:rPr>
        <w:t xml:space="preserve">Moreover, community resilience may be undermined by the precariousness of informal labour, as families and individuals seek to fulfil fundamental necessities and strategize for the future. Given their informal status and absence of collateral, access to formal financial institutions and credit markets is frequently difficult for enterprises in the informal sector. As a result, their capacity to allocate funds towards business expansion, technology integration, and productivity enhancement is constrained (Banerjee &amp; Gupta, 2019, p. 82). This difficulty is exacerbated by the lack of institutional support for small and medium-sized enterprises (SMEs), which impedes the expansion of informal businesses (Charmes, 2019, p. 50). Many informal enterprises are constrained in their capacity for expansion due to their dependence on personal savings, high-interest lenders, or informal credit arrangements, which do not provide access to formal financial institutions. Moreover, informal operators encounter difficulties in securing appropriate sites for their enterprises, as they frequently conduct business in unauthorised public areas or informal settlements, such as roadside areas. This further restricts their growth prospects by impeding their capacity to establish stable operations and attract customers (Charmes, 2019, p. 52). Workers in the informal sector frequently face barriers in accessing critical services, including healthcare, education, and social security, </w:t>
      </w:r>
      <w:r w:rsidR="00E40994" w:rsidRPr="00562DAE">
        <w:rPr>
          <w:rFonts w:ascii="Times New Roman" w:hAnsi="Times New Roman" w:cs="Times New Roman"/>
          <w:sz w:val="24"/>
          <w:szCs w:val="24"/>
        </w:rPr>
        <w:t>because of</w:t>
      </w:r>
      <w:r w:rsidRPr="00562DAE">
        <w:rPr>
          <w:rFonts w:ascii="Times New Roman" w:hAnsi="Times New Roman" w:cs="Times New Roman"/>
          <w:sz w:val="24"/>
          <w:szCs w:val="24"/>
        </w:rPr>
        <w:t xml:space="preserve"> their informal classification. Due to their inability to afford essential services for themselves or their children, they are unable to pursue an education, which hinders their ability to escape the squalor and establish a more favourable living environment for their family. Consequently, when confronted with external forces such as natural disasters or maladies, they lack the necessary auxiliary assistance. Social inequalities are further intensified, and cycles of poverty and vulnerability are sustained (Banerjee &amp; Gupta, 2019, p. 86).</w:t>
      </w:r>
    </w:p>
    <w:p w14:paraId="029060AF" w14:textId="4CD3E600" w:rsidR="00690869" w:rsidRPr="00690869" w:rsidRDefault="003060CD" w:rsidP="00000E7B">
      <w:pPr>
        <w:jc w:val="both"/>
        <w:rPr>
          <w:rFonts w:ascii="Times New Roman" w:hAnsi="Times New Roman" w:cs="Times New Roman"/>
          <w:sz w:val="24"/>
          <w:szCs w:val="24"/>
        </w:rPr>
      </w:pPr>
      <w:r w:rsidRPr="003060CD">
        <w:rPr>
          <w:rFonts w:ascii="Times New Roman" w:hAnsi="Times New Roman" w:cs="Times New Roman"/>
          <w:sz w:val="24"/>
          <w:szCs w:val="24"/>
        </w:rPr>
        <w:t>The informal sector</w:t>
      </w:r>
      <w:r w:rsidR="00980DC5">
        <w:rPr>
          <w:rFonts w:ascii="Times New Roman" w:hAnsi="Times New Roman" w:cs="Times New Roman"/>
          <w:sz w:val="24"/>
          <w:szCs w:val="24"/>
        </w:rPr>
        <w:t xml:space="preserve"> requires </w:t>
      </w:r>
      <w:r w:rsidRPr="003060CD">
        <w:rPr>
          <w:rFonts w:ascii="Times New Roman" w:hAnsi="Times New Roman" w:cs="Times New Roman"/>
          <w:sz w:val="24"/>
          <w:szCs w:val="24"/>
        </w:rPr>
        <w:t xml:space="preserve">inventive legal and administrative frameworks to effectively control its </w:t>
      </w:r>
      <w:r w:rsidR="00B33DA1">
        <w:rPr>
          <w:rFonts w:ascii="Times New Roman" w:hAnsi="Times New Roman" w:cs="Times New Roman"/>
          <w:sz w:val="24"/>
          <w:szCs w:val="24"/>
        </w:rPr>
        <w:t>growth and integration.</w:t>
      </w:r>
      <w:r w:rsidRPr="003060CD">
        <w:rPr>
          <w:rFonts w:ascii="Times New Roman" w:hAnsi="Times New Roman" w:cs="Times New Roman"/>
          <w:sz w:val="24"/>
          <w:szCs w:val="24"/>
        </w:rPr>
        <w:t xml:space="preserve"> Gaining a comprehensive understanding of the importance of this industry and its influence on progress is essential for formulating efficient strategies to address obstacles. To enhance resilience, foster growth, and promote integration, it is crucial to adopt efficient legal and policy frameworks, including plans for formalisation, regulatory measures, social safety nets, and engagement with players in the informal sector. </w:t>
      </w:r>
      <w:r w:rsidR="00690869" w:rsidRPr="00690869">
        <w:rPr>
          <w:rFonts w:ascii="Times New Roman" w:hAnsi="Times New Roman" w:cs="Times New Roman"/>
          <w:sz w:val="24"/>
          <w:szCs w:val="24"/>
        </w:rPr>
        <w:t xml:space="preserve">The objective of formalisation strategies is to institutionalise informal enterprises, thereby promoting expansion and safeguarding the rights of employees. The promotion of </w:t>
      </w:r>
      <w:r w:rsidR="00690869" w:rsidRPr="00690869">
        <w:rPr>
          <w:rFonts w:ascii="Times New Roman" w:hAnsi="Times New Roman" w:cs="Times New Roman"/>
          <w:sz w:val="24"/>
          <w:szCs w:val="24"/>
        </w:rPr>
        <w:lastRenderedPageBreak/>
        <w:t xml:space="preserve">formalisation among informal businesses can be facilitated through the reduction of bureaucratic obstacles and administrative expenses associated with registration procedures. This may encompass the utilisation of online portals, streamlined documentation processes, small business-specific support programmes, and dedicated support centres. As an illustration, to facilitate the formalisation process for small businesses, nations such as Rwanda have adopted streamlined registration systems, including the Rwanda Online Platform for Business Registration (Nkurunziza, 2018, p. 102). It is essential to improve access to financial services and credit </w:t>
      </w:r>
      <w:r w:rsidR="00344926" w:rsidRPr="00690869">
        <w:rPr>
          <w:rFonts w:ascii="Times New Roman" w:hAnsi="Times New Roman" w:cs="Times New Roman"/>
          <w:sz w:val="24"/>
          <w:szCs w:val="24"/>
        </w:rPr>
        <w:t>to</w:t>
      </w:r>
      <w:r w:rsidR="00690869" w:rsidRPr="00690869">
        <w:rPr>
          <w:rFonts w:ascii="Times New Roman" w:hAnsi="Times New Roman" w:cs="Times New Roman"/>
          <w:sz w:val="24"/>
          <w:szCs w:val="24"/>
        </w:rPr>
        <w:t xml:space="preserve"> foster the expansion and sustainability of informal sector businesses. </w:t>
      </w:r>
      <w:r w:rsidR="00344926" w:rsidRPr="00690869">
        <w:rPr>
          <w:rFonts w:ascii="Times New Roman" w:hAnsi="Times New Roman" w:cs="Times New Roman"/>
          <w:sz w:val="24"/>
          <w:szCs w:val="24"/>
        </w:rPr>
        <w:t>To</w:t>
      </w:r>
      <w:r w:rsidR="00690869" w:rsidRPr="00690869">
        <w:rPr>
          <w:rFonts w:ascii="Times New Roman" w:hAnsi="Times New Roman" w:cs="Times New Roman"/>
          <w:sz w:val="24"/>
          <w:szCs w:val="24"/>
        </w:rPr>
        <w:t xml:space="preserve"> foster formalisation, governments may support microfinance initiatives and customise financial products to specifically address the requirements of informal entrepreneurs. As a perfect example, Grameen Bank in Bangladesh was at the forefront of microfinance initiatives that provided capital to low-income individuals for the purpose of expanding their businesses (Yunus, 2017, p. 88). By means of training and capacity-building initiatives, informal sector employees can be enabled to cultivate critical competencies and foster their entrepreneurial aptitudes. In order to bolster the productivity and competitiveness of informal enterprises, governments and development organisations may consider implementing mentorship programmes, vocational training initiatives, and business management courses Thailand's advocacy for community-based enterprises, which concurrently pursue social and environmental goals with economic endeavours, presents a paradigm shift in the way informal sectors are integrated and social development is advanced (ILO, 2019).</w:t>
      </w:r>
    </w:p>
    <w:p w14:paraId="04E18F4C" w14:textId="7901B10B" w:rsidR="00CB29A7" w:rsidRPr="00CB29A7" w:rsidRDefault="00CB29A7" w:rsidP="00000E7B">
      <w:pPr>
        <w:jc w:val="both"/>
        <w:rPr>
          <w:rFonts w:ascii="Times New Roman" w:hAnsi="Times New Roman" w:cs="Times New Roman"/>
          <w:sz w:val="24"/>
          <w:szCs w:val="24"/>
        </w:rPr>
      </w:pPr>
      <w:r w:rsidRPr="00CB29A7">
        <w:rPr>
          <w:rFonts w:ascii="Times New Roman" w:hAnsi="Times New Roman" w:cs="Times New Roman"/>
          <w:sz w:val="24"/>
          <w:szCs w:val="24"/>
        </w:rPr>
        <w:t>With consumer and worker protections in consideration, regulatory frameworks seek to achieve a balance between promoting formalisation and assuring their safety. The implementation of labour regulations and the safeguarding of fundamental rights and protections for workers in the informal sector are critical in the effort to advance employment and mitigate exploitation. Legislative actions to enforce minimum wage regulations, enforce occupational health and safety protocols, and safeguard workers' rights to engage in collective bargaining and organisation are within the purview of governments (Chen &amp; Sinha, 2018, p. 268). The government of Rwanda, for instance, has implemented microfinance initiatives that provide access to credit, training, and business development services to entrepreneurs in the informal sector. The establishment of equitable and transparent tax policies, coupled with efficient enforcement mechanisms, has the potential to stimulate tax compliance and bolster the collection of government revenues. Schneider and Buehn (2019) argue that the implementation of targeted enforcement actions, tax incentives, and simplified tax regimes can effectively incentivize informal enterprises to register and subsequently integrate into the formal economy</w:t>
      </w:r>
      <w:r w:rsidR="00927A36">
        <w:rPr>
          <w:rFonts w:ascii="Times New Roman" w:hAnsi="Times New Roman" w:cs="Times New Roman"/>
          <w:sz w:val="24"/>
          <w:szCs w:val="24"/>
        </w:rPr>
        <w:t xml:space="preserve">. </w:t>
      </w:r>
      <w:r w:rsidRPr="00CB29A7">
        <w:rPr>
          <w:rFonts w:ascii="Times New Roman" w:hAnsi="Times New Roman" w:cs="Times New Roman"/>
          <w:sz w:val="24"/>
          <w:szCs w:val="24"/>
        </w:rPr>
        <w:t>The establishment of robust consumer protection laws and regulations has the potential to bolster market transparency and foster confidence among consumers and informal enterprises. In informal markets, governance can implement mechanisms to ensure equitable pricing practices, enforce quality standards, and resolve disputes (Sharma &amp; Dash, 2019, p. 178).</w:t>
      </w:r>
    </w:p>
    <w:p w14:paraId="252407B7" w14:textId="20F49390" w:rsidR="00F12BFC" w:rsidRPr="00915E68" w:rsidRDefault="00F12BFC" w:rsidP="00000E7B">
      <w:pPr>
        <w:jc w:val="both"/>
        <w:rPr>
          <w:rFonts w:ascii="Times New Roman" w:eastAsia="Times New Roman" w:hAnsi="Times New Roman" w:cs="Times New Roman"/>
          <w:sz w:val="24"/>
          <w:szCs w:val="24"/>
          <w:lang w:eastAsia="en-GB"/>
        </w:rPr>
      </w:pPr>
      <w:r w:rsidRPr="00F12BFC">
        <w:rPr>
          <w:rFonts w:ascii="Times New Roman" w:hAnsi="Times New Roman" w:cs="Times New Roman"/>
          <w:sz w:val="24"/>
          <w:szCs w:val="24"/>
        </w:rPr>
        <w:t xml:space="preserve">Supporting informal workers who lack fundamental security requires expanding social safety nets. Informal sector workers can be protected by improving community-based insurance plans and mutual help networks. Establishing informal worker associations that provide illness benefits and economic downturn support can boost resilience. Government regulatory frameworks, financial aid, and capacity-building can help develop these systems (Davis et al., </w:t>
      </w:r>
      <w:r w:rsidRPr="00F12BFC">
        <w:rPr>
          <w:rFonts w:ascii="Times New Roman" w:hAnsi="Times New Roman" w:cs="Times New Roman"/>
          <w:sz w:val="24"/>
          <w:szCs w:val="24"/>
        </w:rPr>
        <w:lastRenderedPageBreak/>
        <w:t>2018, p. 215). Improved healthcare and education are essential for addressing the socio-economic vulnerabilities of informal sector workers and their families in emerging nations. To promote health and education, governments might invest in healthcare infrastructure, subsidise vital services, and target informal sector populations with education programmes (ILO, 2020, p. 88). Brazil offers cash transfers, healthcare subsidies, and education to informal sector workers. These initiatives have raised living standards, reduced inequality, and helped disadvantaged groups move up (Kabeer &amp; Waddington, 2015, p. 92). The Indian government's "Street Vendors (Protection of Livelihood and Regulation of Street Vending) Act, 2014" protects street vendors' rights and creates vending zones to balance economic activity and urban planning. It protects street merchants from harassment</w:t>
      </w:r>
      <w:r w:rsidR="00915E68">
        <w:rPr>
          <w:rFonts w:ascii="Times New Roman" w:hAnsi="Times New Roman" w:cs="Times New Roman"/>
          <w:sz w:val="24"/>
          <w:szCs w:val="24"/>
        </w:rPr>
        <w:t xml:space="preserve"> </w:t>
      </w:r>
      <w:r w:rsidR="00915E68" w:rsidRPr="00915E68">
        <w:rPr>
          <w:rFonts w:ascii="Times New Roman" w:eastAsia="Times New Roman" w:hAnsi="Times New Roman" w:cs="Times New Roman"/>
          <w:sz w:val="24"/>
          <w:szCs w:val="24"/>
          <w:lang w:eastAsia="en-GB"/>
        </w:rPr>
        <w:t>(mohua.gov.in, n.d.)</w:t>
      </w:r>
    </w:p>
    <w:p w14:paraId="349AED8D" w14:textId="0F56D394" w:rsidR="00117818" w:rsidRPr="00117818" w:rsidRDefault="009300DE" w:rsidP="00000E7B">
      <w:pPr>
        <w:jc w:val="both"/>
        <w:rPr>
          <w:rFonts w:ascii="Times New Roman" w:hAnsi="Times New Roman" w:cs="Times New Roman"/>
          <w:sz w:val="24"/>
          <w:szCs w:val="24"/>
        </w:rPr>
      </w:pPr>
      <w:r w:rsidRPr="009300DE">
        <w:rPr>
          <w:rFonts w:ascii="Times New Roman" w:hAnsi="Times New Roman" w:cs="Times New Roman"/>
          <w:sz w:val="24"/>
          <w:szCs w:val="24"/>
        </w:rPr>
        <w:t>Management in the informal sector is crucial for several reasons</w:t>
      </w:r>
      <w:r w:rsidR="00344926" w:rsidRPr="009300DE">
        <w:rPr>
          <w:rFonts w:ascii="Times New Roman" w:hAnsi="Times New Roman" w:cs="Times New Roman"/>
          <w:sz w:val="24"/>
          <w:szCs w:val="24"/>
        </w:rPr>
        <w:t xml:space="preserve">. </w:t>
      </w:r>
      <w:r w:rsidRPr="009300DE">
        <w:rPr>
          <w:rFonts w:ascii="Times New Roman" w:hAnsi="Times New Roman" w:cs="Times New Roman"/>
          <w:sz w:val="24"/>
          <w:szCs w:val="24"/>
        </w:rPr>
        <w:t>Enforcement of labour laws, social safety nets, and formalisation can reduce these dangers. Managing the informal sector is difficult. Overly rigid rules can limit its growth and reduce its benefits. However, total laissez-faire can encourage exploitation and impede economy. My own view is that government</w:t>
      </w:r>
      <w:r w:rsidR="00C17466">
        <w:rPr>
          <w:rFonts w:ascii="Times New Roman" w:hAnsi="Times New Roman" w:cs="Times New Roman"/>
          <w:sz w:val="24"/>
          <w:szCs w:val="24"/>
        </w:rPr>
        <w:t>s</w:t>
      </w:r>
      <w:r w:rsidRPr="009300DE">
        <w:rPr>
          <w:rFonts w:ascii="Times New Roman" w:hAnsi="Times New Roman" w:cs="Times New Roman"/>
          <w:sz w:val="24"/>
          <w:szCs w:val="24"/>
        </w:rPr>
        <w:t xml:space="preserve">, </w:t>
      </w:r>
      <w:r w:rsidR="00F21F00">
        <w:rPr>
          <w:rFonts w:ascii="Times New Roman" w:hAnsi="Times New Roman" w:cs="Times New Roman"/>
          <w:sz w:val="24"/>
          <w:szCs w:val="24"/>
        </w:rPr>
        <w:t>C</w:t>
      </w:r>
      <w:r w:rsidRPr="009300DE">
        <w:rPr>
          <w:rFonts w:ascii="Times New Roman" w:hAnsi="Times New Roman" w:cs="Times New Roman"/>
          <w:sz w:val="24"/>
          <w:szCs w:val="24"/>
        </w:rPr>
        <w:t xml:space="preserve">ivil </w:t>
      </w:r>
      <w:r w:rsidR="00F21F00">
        <w:rPr>
          <w:rFonts w:ascii="Times New Roman" w:hAnsi="Times New Roman" w:cs="Times New Roman"/>
          <w:sz w:val="24"/>
          <w:szCs w:val="24"/>
        </w:rPr>
        <w:t>S</w:t>
      </w:r>
      <w:r w:rsidRPr="009300DE">
        <w:rPr>
          <w:rFonts w:ascii="Times New Roman" w:hAnsi="Times New Roman" w:cs="Times New Roman"/>
          <w:sz w:val="24"/>
          <w:szCs w:val="24"/>
        </w:rPr>
        <w:t xml:space="preserve">ociety </w:t>
      </w:r>
      <w:r w:rsidR="00F21F00">
        <w:rPr>
          <w:rFonts w:ascii="Times New Roman" w:hAnsi="Times New Roman" w:cs="Times New Roman"/>
          <w:sz w:val="24"/>
          <w:szCs w:val="24"/>
        </w:rPr>
        <w:t>O</w:t>
      </w:r>
      <w:r w:rsidRPr="009300DE">
        <w:rPr>
          <w:rFonts w:ascii="Times New Roman" w:hAnsi="Times New Roman" w:cs="Times New Roman"/>
          <w:sz w:val="24"/>
          <w:szCs w:val="24"/>
        </w:rPr>
        <w:t xml:space="preserve">rganisations (CSOs), informal sector actors, and international organisations should collaborate to manage the informal sector and to improve the standard of living for individual in </w:t>
      </w:r>
      <w:r w:rsidR="0051272E" w:rsidRPr="009300DE">
        <w:rPr>
          <w:rFonts w:ascii="Times New Roman" w:hAnsi="Times New Roman" w:cs="Times New Roman"/>
          <w:sz w:val="24"/>
          <w:szCs w:val="24"/>
        </w:rPr>
        <w:t>poorer</w:t>
      </w:r>
      <w:r w:rsidRPr="009300DE">
        <w:rPr>
          <w:rFonts w:ascii="Times New Roman" w:hAnsi="Times New Roman" w:cs="Times New Roman"/>
          <w:sz w:val="24"/>
          <w:szCs w:val="24"/>
        </w:rPr>
        <w:t xml:space="preserve"> countries. Governments, CSOs, and informal sector players may establish confidence, minimise tensions, and develop community relationships by working together. </w:t>
      </w:r>
      <w:r w:rsidR="00661347" w:rsidRPr="00661347">
        <w:rPr>
          <w:rFonts w:ascii="Times New Roman" w:hAnsi="Times New Roman" w:cs="Times New Roman"/>
          <w:sz w:val="24"/>
          <w:szCs w:val="24"/>
        </w:rPr>
        <w:t xml:space="preserve">Governments have a primary responsibility for managing the informal sector through policy formulation, regulation, and enforcement. They can create an enabling environment for informal enterprises by implementing legal and policy frameworks tailored to the need of the informal sector that promote formalization, protect workers' rights, and ensure access to essential services (Davis et al., 2018, p. 215). Effective implementation and enforcement mechanisms are essential to ensure compliance and accountability. </w:t>
      </w:r>
      <w:r w:rsidR="00661347" w:rsidRPr="007E0EB0">
        <w:rPr>
          <w:rFonts w:ascii="Times New Roman" w:hAnsi="Times New Roman" w:cs="Times New Roman"/>
          <w:sz w:val="24"/>
          <w:szCs w:val="24"/>
        </w:rPr>
        <w:t>They can also invest in infrastructure and services that benefit informal businesses, such as improved market facilities or skills development programs.</w:t>
      </w:r>
      <w:r w:rsidR="00661347" w:rsidRPr="00661347">
        <w:rPr>
          <w:rFonts w:ascii="Times New Roman" w:hAnsi="Times New Roman" w:cs="Times New Roman"/>
          <w:sz w:val="24"/>
          <w:szCs w:val="24"/>
        </w:rPr>
        <w:t xml:space="preserve"> </w:t>
      </w:r>
      <w:r w:rsidR="00117818" w:rsidRPr="00117818">
        <w:rPr>
          <w:rFonts w:ascii="Times New Roman" w:hAnsi="Times New Roman" w:cs="Times New Roman"/>
          <w:sz w:val="24"/>
          <w:szCs w:val="24"/>
        </w:rPr>
        <w:t xml:space="preserve">The enhancement of the welfare and resilience of informal workers and their families can be achieved through the facilitation of access to healthcare, education, financial services, and social protection initiatives by governments and international organisations. </w:t>
      </w:r>
    </w:p>
    <w:p w14:paraId="2DBDC08B" w14:textId="31AEDE15" w:rsidR="00757247" w:rsidRDefault="002E40B7" w:rsidP="00000E7B">
      <w:pPr>
        <w:jc w:val="both"/>
        <w:rPr>
          <w:rFonts w:ascii="Times New Roman" w:hAnsi="Times New Roman" w:cs="Times New Roman"/>
          <w:sz w:val="24"/>
          <w:szCs w:val="24"/>
        </w:rPr>
      </w:pPr>
      <w:r>
        <w:rPr>
          <w:rFonts w:ascii="Times New Roman" w:hAnsi="Times New Roman" w:cs="Times New Roman"/>
          <w:sz w:val="24"/>
          <w:szCs w:val="24"/>
        </w:rPr>
        <w:t>Secondl</w:t>
      </w:r>
      <w:r w:rsidR="00523473">
        <w:rPr>
          <w:rFonts w:ascii="Times New Roman" w:hAnsi="Times New Roman" w:cs="Times New Roman"/>
          <w:sz w:val="24"/>
          <w:szCs w:val="24"/>
        </w:rPr>
        <w:t xml:space="preserve">y, </w:t>
      </w:r>
      <w:r w:rsidR="000858B3" w:rsidRPr="00992BC8">
        <w:rPr>
          <w:rFonts w:ascii="Times New Roman" w:hAnsi="Times New Roman" w:cs="Times New Roman"/>
          <w:sz w:val="24"/>
          <w:szCs w:val="24"/>
        </w:rPr>
        <w:t xml:space="preserve">CSOs </w:t>
      </w:r>
      <w:r w:rsidR="000858B3">
        <w:rPr>
          <w:rFonts w:ascii="Times New Roman" w:hAnsi="Times New Roman" w:cs="Times New Roman"/>
          <w:sz w:val="24"/>
          <w:szCs w:val="24"/>
        </w:rPr>
        <w:t>can</w:t>
      </w:r>
      <w:r w:rsidR="00580A03">
        <w:rPr>
          <w:rFonts w:ascii="Times New Roman" w:hAnsi="Times New Roman" w:cs="Times New Roman"/>
          <w:sz w:val="24"/>
          <w:szCs w:val="24"/>
        </w:rPr>
        <w:t xml:space="preserve"> </w:t>
      </w:r>
      <w:r w:rsidR="00992BC8" w:rsidRPr="00992BC8">
        <w:rPr>
          <w:rFonts w:ascii="Times New Roman" w:hAnsi="Times New Roman" w:cs="Times New Roman"/>
          <w:sz w:val="24"/>
          <w:szCs w:val="24"/>
        </w:rPr>
        <w:t>play a vital role in advocating for the rights and interests of informal sector workers, providing support services, and facilitating dialogue between stakeholders. They can offer training, legal assistance, and social protection programs to empower informal workers and strengthen their bargaining power (ILO, 2020, p. 88).</w:t>
      </w:r>
      <w:r w:rsidR="00211D1F">
        <w:rPr>
          <w:rFonts w:ascii="Times New Roman" w:hAnsi="Times New Roman" w:cs="Times New Roman"/>
          <w:sz w:val="24"/>
          <w:szCs w:val="24"/>
        </w:rPr>
        <w:t xml:space="preserve"> </w:t>
      </w:r>
      <w:r w:rsidR="00DB7A82" w:rsidRPr="00DB7A82">
        <w:rPr>
          <w:rFonts w:ascii="Times New Roman" w:hAnsi="Times New Roman" w:cs="Times New Roman"/>
          <w:sz w:val="24"/>
          <w:szCs w:val="24"/>
        </w:rPr>
        <w:t>CSOs can advocate for pro-poor policies, governments can enact legislative reforms, and international organizations can provide diplomatic support and funding for initiatives targeting the informal sector (ILO, 2020, p. 35)</w:t>
      </w:r>
      <w:r w:rsidR="00211D1F" w:rsidRPr="00211D1F">
        <w:rPr>
          <w:rFonts w:ascii="Times New Roman" w:hAnsi="Times New Roman" w:cs="Times New Roman"/>
          <w:sz w:val="24"/>
          <w:szCs w:val="24"/>
        </w:rPr>
        <w:t xml:space="preserve">. Governments, CSOs, and international organizations can offer vocational training, entrepreneurship courses, and mentorship programs to build capacity and promote sustainable livelihoods </w:t>
      </w:r>
      <w:r w:rsidR="0035039F" w:rsidRPr="0035039F">
        <w:rPr>
          <w:rFonts w:ascii="Times New Roman" w:hAnsi="Times New Roman" w:cs="Times New Roman"/>
          <w:sz w:val="24"/>
          <w:szCs w:val="24"/>
        </w:rPr>
        <w:t>Pooling resources and expertise from multiple stakeholders enhances the capacity to implement interventions and programs aimed at improving the conditions of the informal sector.</w:t>
      </w:r>
    </w:p>
    <w:p w14:paraId="311A573C" w14:textId="33529F41" w:rsidR="00E579EF" w:rsidRDefault="004F0BE1" w:rsidP="00000E7B">
      <w:pPr>
        <w:jc w:val="both"/>
        <w:rPr>
          <w:rFonts w:ascii="Times New Roman" w:hAnsi="Times New Roman" w:cs="Times New Roman"/>
          <w:sz w:val="24"/>
          <w:szCs w:val="24"/>
        </w:rPr>
      </w:pPr>
      <w:r w:rsidRPr="004F0BE1">
        <w:rPr>
          <w:rFonts w:ascii="Times New Roman" w:hAnsi="Times New Roman" w:cs="Times New Roman"/>
          <w:sz w:val="24"/>
          <w:szCs w:val="24"/>
        </w:rPr>
        <w:t xml:space="preserve">In addition, financial support, research initiatives, and technical assistance can be offered by international organisations such as the World Bank and the International Labour Organisation (ILO) to aid governments in their endeavours to regulate the informal sector. </w:t>
      </w:r>
      <w:r w:rsidR="004F2F0E" w:rsidRPr="004F0BE1">
        <w:rPr>
          <w:rFonts w:ascii="Times New Roman" w:hAnsi="Times New Roman" w:cs="Times New Roman"/>
          <w:sz w:val="24"/>
          <w:szCs w:val="24"/>
        </w:rPr>
        <w:t>To</w:t>
      </w:r>
      <w:r w:rsidRPr="004F0BE1">
        <w:rPr>
          <w:rFonts w:ascii="Times New Roman" w:hAnsi="Times New Roman" w:cs="Times New Roman"/>
          <w:sz w:val="24"/>
          <w:szCs w:val="24"/>
        </w:rPr>
        <w:t xml:space="preserve"> advance inclusive and sustainable development, they provide platforms for knowledge-sharing, policy </w:t>
      </w:r>
      <w:r w:rsidRPr="004F0BE1">
        <w:rPr>
          <w:rFonts w:ascii="Times New Roman" w:hAnsi="Times New Roman" w:cs="Times New Roman"/>
          <w:sz w:val="24"/>
          <w:szCs w:val="24"/>
        </w:rPr>
        <w:lastRenderedPageBreak/>
        <w:t xml:space="preserve">guidance, and capacity-building initiatives (Schneider &amp; Buehn, 2019, p. 124). A greater availability of vital services and support programmes would be advantageous for actors in the informal sector. By creating avenues for discourse, consultation, and collaboration, stakeholders </w:t>
      </w:r>
      <w:r w:rsidR="004F2F0E" w:rsidRPr="004F0BE1">
        <w:rPr>
          <w:rFonts w:ascii="Times New Roman" w:hAnsi="Times New Roman" w:cs="Times New Roman"/>
          <w:sz w:val="24"/>
          <w:szCs w:val="24"/>
        </w:rPr>
        <w:t>can</w:t>
      </w:r>
      <w:r w:rsidRPr="004F0BE1">
        <w:rPr>
          <w:rFonts w:ascii="Times New Roman" w:hAnsi="Times New Roman" w:cs="Times New Roman"/>
          <w:sz w:val="24"/>
          <w:szCs w:val="24"/>
        </w:rPr>
        <w:t xml:space="preserve"> discern shared objectives, exchange optimal methodologies, and synchronise endeavours </w:t>
      </w:r>
      <w:r w:rsidR="00344926" w:rsidRPr="004F0BE1">
        <w:rPr>
          <w:rFonts w:ascii="Times New Roman" w:hAnsi="Times New Roman" w:cs="Times New Roman"/>
          <w:sz w:val="24"/>
          <w:szCs w:val="24"/>
        </w:rPr>
        <w:t>to</w:t>
      </w:r>
      <w:r w:rsidRPr="004F0BE1">
        <w:rPr>
          <w:rFonts w:ascii="Times New Roman" w:hAnsi="Times New Roman" w:cs="Times New Roman"/>
          <w:sz w:val="24"/>
          <w:szCs w:val="24"/>
        </w:rPr>
        <w:t xml:space="preserve"> tackle intricate dilemmas. Acknowledging the societal and economic contributions of the informal sector via public awareness initiatives, accolades, and incentives has the potential to foster inclusiveness and empower informal entrepreneurs (Chen &amp; Sinha, 2018, p. 279). Collaboration facilitates the interchange of innovative solutions, best practices, and lessons learned among stakeholders. While informal sector actors can offer valuable insights into local contexts and realities, CSOs and international organisations can share knowledge regarding programme design and implementation (Kabeer &amp; Waddington, 2015, p. 96). The cooperative administration of the informal sector economy by these stakeholders results in a multitude of advantages. These include enhanced compliance, improved policy formulation, increased resource mobilisation, facilitated access to services, stakeholder empowerment, knowledge exchange, and the promotion of social cohesion and effective advocacy. By capitalising on the combined capabilities and knowledge of a wide range of stakeholders, it is possible to devise sustainable resolutions to the obstacles and</w:t>
      </w:r>
      <w:r>
        <w:rPr>
          <w:rFonts w:ascii="Times New Roman" w:hAnsi="Times New Roman" w:cs="Times New Roman"/>
          <w:sz w:val="24"/>
          <w:szCs w:val="24"/>
        </w:rPr>
        <w:t xml:space="preserve"> </w:t>
      </w:r>
      <w:r w:rsidR="00034FED" w:rsidRPr="00034FED">
        <w:rPr>
          <w:rFonts w:ascii="Times New Roman" w:hAnsi="Times New Roman" w:cs="Times New Roman"/>
          <w:sz w:val="24"/>
          <w:szCs w:val="24"/>
        </w:rPr>
        <w:t>unlock the potential of the informal sector for inclusive and equitable development.</w:t>
      </w:r>
    </w:p>
    <w:p w14:paraId="5CDBAA00" w14:textId="3272CB34" w:rsidR="00423EE3" w:rsidRPr="00423EE3" w:rsidRDefault="00423EE3" w:rsidP="00000E7B">
      <w:pPr>
        <w:jc w:val="both"/>
        <w:rPr>
          <w:rFonts w:ascii="Times New Roman" w:hAnsi="Times New Roman" w:cs="Times New Roman"/>
          <w:sz w:val="24"/>
          <w:szCs w:val="24"/>
        </w:rPr>
      </w:pPr>
      <w:r w:rsidRPr="00423EE3">
        <w:rPr>
          <w:rFonts w:ascii="Times New Roman" w:hAnsi="Times New Roman" w:cs="Times New Roman"/>
          <w:sz w:val="24"/>
          <w:szCs w:val="24"/>
        </w:rPr>
        <w:t xml:space="preserve">Ultimately, the informal sector economy is crucial in the socioeconomic structure of numerous developing nations, providing employment prospects, generating income, and fostering social unity for countless individuals and communities. Although the informal sector holds </w:t>
      </w:r>
      <w:r w:rsidR="00AD2FC5" w:rsidRPr="00423EE3">
        <w:rPr>
          <w:rFonts w:ascii="Times New Roman" w:hAnsi="Times New Roman" w:cs="Times New Roman"/>
          <w:sz w:val="24"/>
          <w:szCs w:val="24"/>
        </w:rPr>
        <w:t>immense importance</w:t>
      </w:r>
      <w:r w:rsidRPr="00423EE3">
        <w:rPr>
          <w:rFonts w:ascii="Times New Roman" w:hAnsi="Times New Roman" w:cs="Times New Roman"/>
          <w:sz w:val="24"/>
          <w:szCs w:val="24"/>
        </w:rPr>
        <w:t>, it encounters various obstacles such as absence of legal acknowledgment, restricted availability of services, and susceptibility to exploitation. Efficient management of this sector necessitates a subtle strategy that harmonises regulation with assistance for expansion and formalisation. An inclusive framework that involves governments, civil society organisations (CSOs), informal sector actors, and international organisations is crucial for effectively managing the informal sector. Through collaborative efforts towards shared objectives, stakeholders can cultivate confidence, mitigate disputes, and enhance social cohesion within communities. By working together, they can create long-lasting solutions to tackle the difficulties and unleash the possibilities of the informal sector for fair and comprehensive development. Effectively managing the informal sector necessitates a comprehensive approach that acknowledges its contributions while also addressing its vulnerabilities. By leveraging the combined abilities and knowledge of various individuals and organisations, we can establish a conducive setting for the informal sector to flourish, thereby making significant contributions to the alleviation of poverty, promotion of economic expansion, and enhancement of social unity in developing nations.</w:t>
      </w:r>
    </w:p>
    <w:p w14:paraId="193B0524" w14:textId="77777777" w:rsidR="00E579EF" w:rsidRDefault="00E579EF" w:rsidP="00000E7B">
      <w:pPr>
        <w:jc w:val="both"/>
        <w:rPr>
          <w:rFonts w:ascii="Times New Roman" w:hAnsi="Times New Roman" w:cs="Times New Roman"/>
          <w:sz w:val="24"/>
          <w:szCs w:val="24"/>
        </w:rPr>
      </w:pPr>
    </w:p>
    <w:p w14:paraId="505F8729" w14:textId="77777777" w:rsidR="003437A9" w:rsidRDefault="003437A9" w:rsidP="00000E7B">
      <w:pPr>
        <w:jc w:val="both"/>
        <w:rPr>
          <w:rFonts w:ascii="Times New Roman" w:hAnsi="Times New Roman" w:cs="Times New Roman"/>
          <w:sz w:val="24"/>
          <w:szCs w:val="24"/>
        </w:rPr>
      </w:pPr>
    </w:p>
    <w:p w14:paraId="650A5D72" w14:textId="77777777" w:rsidR="003437A9" w:rsidRDefault="003437A9" w:rsidP="00AC633F">
      <w:pPr>
        <w:jc w:val="both"/>
        <w:rPr>
          <w:rFonts w:ascii="Times New Roman" w:hAnsi="Times New Roman" w:cs="Times New Roman"/>
          <w:sz w:val="24"/>
          <w:szCs w:val="24"/>
        </w:rPr>
      </w:pPr>
    </w:p>
    <w:p w14:paraId="11F8C555" w14:textId="77777777" w:rsidR="00F83D42" w:rsidRDefault="00F83D42" w:rsidP="003437A9">
      <w:pPr>
        <w:jc w:val="center"/>
        <w:rPr>
          <w:rFonts w:ascii="Times New Roman" w:hAnsi="Times New Roman" w:cs="Times New Roman"/>
          <w:b/>
          <w:bCs/>
          <w:i/>
          <w:iCs/>
          <w:sz w:val="32"/>
          <w:szCs w:val="32"/>
          <w:u w:val="single"/>
        </w:rPr>
      </w:pPr>
    </w:p>
    <w:p w14:paraId="50114FA5" w14:textId="77777777" w:rsidR="00D74238" w:rsidRDefault="00D74238" w:rsidP="003437A9">
      <w:pPr>
        <w:jc w:val="center"/>
        <w:rPr>
          <w:rFonts w:ascii="Times New Roman" w:hAnsi="Times New Roman" w:cs="Times New Roman"/>
          <w:b/>
          <w:bCs/>
          <w:i/>
          <w:iCs/>
          <w:sz w:val="32"/>
          <w:szCs w:val="32"/>
          <w:u w:val="single"/>
        </w:rPr>
      </w:pPr>
    </w:p>
    <w:p w14:paraId="799F3E88" w14:textId="77777777" w:rsidR="00F83D42" w:rsidRDefault="00F83D42" w:rsidP="003437A9">
      <w:pPr>
        <w:jc w:val="center"/>
        <w:rPr>
          <w:rFonts w:ascii="Times New Roman" w:hAnsi="Times New Roman" w:cs="Times New Roman"/>
          <w:b/>
          <w:bCs/>
          <w:i/>
          <w:iCs/>
          <w:sz w:val="32"/>
          <w:szCs w:val="32"/>
          <w:u w:val="single"/>
        </w:rPr>
      </w:pPr>
    </w:p>
    <w:p w14:paraId="06136D93" w14:textId="03701473" w:rsidR="00D837B3" w:rsidRPr="00D837B3" w:rsidRDefault="003437A9" w:rsidP="00D837B3">
      <w:pPr>
        <w:jc w:val="center"/>
        <w:rPr>
          <w:rFonts w:ascii="Times New Roman" w:hAnsi="Times New Roman" w:cs="Times New Roman"/>
          <w:b/>
          <w:bCs/>
          <w:i/>
          <w:iCs/>
          <w:sz w:val="32"/>
          <w:szCs w:val="32"/>
          <w:u w:val="single"/>
        </w:rPr>
      </w:pPr>
      <w:r w:rsidRPr="003437A9">
        <w:rPr>
          <w:rFonts w:ascii="Times New Roman" w:hAnsi="Times New Roman" w:cs="Times New Roman"/>
          <w:b/>
          <w:bCs/>
          <w:i/>
          <w:iCs/>
          <w:sz w:val="32"/>
          <w:szCs w:val="32"/>
          <w:u w:val="single"/>
        </w:rPr>
        <w:lastRenderedPageBreak/>
        <w:t>References</w:t>
      </w:r>
    </w:p>
    <w:p w14:paraId="325F47F7" w14:textId="77777777" w:rsidR="00D837B3" w:rsidRPr="00D837B3" w:rsidRDefault="00D837B3" w:rsidP="00D837B3">
      <w:pPr>
        <w:jc w:val="both"/>
        <w:rPr>
          <w:rFonts w:ascii="Times New Roman" w:hAnsi="Times New Roman" w:cs="Times New Roman"/>
          <w:sz w:val="24"/>
          <w:szCs w:val="24"/>
        </w:rPr>
      </w:pPr>
    </w:p>
    <w:p w14:paraId="0C58A4FA"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Banerjee, S., &amp; Gupta, S. (2019). Informal Economy, Vulnerability, and Poverty: A Cross-Country Analysis. Journal of Development Studies, 55(1), 77–91.</w:t>
      </w:r>
    </w:p>
    <w:p w14:paraId="3FBDC0EB"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blog, F.I.T.-A. and blog, F.A.C. (2020). </w:t>
      </w:r>
      <w:r w:rsidRPr="00D837B3">
        <w:rPr>
          <w:rFonts w:ascii="Times New Roman" w:eastAsia="Times New Roman" w:hAnsi="Times New Roman" w:cs="Times New Roman"/>
          <w:i/>
          <w:iCs/>
          <w:sz w:val="24"/>
          <w:szCs w:val="24"/>
          <w:lang w:eastAsia="en-GB"/>
        </w:rPr>
        <w:t>Five ways governments can help small businesses in the informal sector survive COVID-19</w:t>
      </w:r>
      <w:r w:rsidRPr="00D837B3">
        <w:rPr>
          <w:rFonts w:ascii="Times New Roman" w:eastAsia="Times New Roman" w:hAnsi="Times New Roman" w:cs="Times New Roman"/>
          <w:sz w:val="24"/>
          <w:szCs w:val="24"/>
          <w:lang w:eastAsia="en-GB"/>
        </w:rPr>
        <w:t>. [online] Future agricultures. Available at: https://www.future-agricultures.org/blog/five-ways-governments-can-help-small-businesses-in-the-informal-sector-survive-covid-19/ [Accessed 9 Mar. 2024].</w:t>
      </w:r>
    </w:p>
    <w:p w14:paraId="6D9ED6C1"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val="de-DE" w:eastAsia="en-GB"/>
        </w:rPr>
        <w:t xml:space="preserve">Buehn, A. and Schneider, F. (2011). </w:t>
      </w:r>
      <w:r w:rsidRPr="00D837B3">
        <w:rPr>
          <w:rFonts w:ascii="Times New Roman" w:eastAsia="Times New Roman" w:hAnsi="Times New Roman" w:cs="Times New Roman"/>
          <w:sz w:val="24"/>
          <w:szCs w:val="24"/>
          <w:lang w:eastAsia="en-GB"/>
        </w:rPr>
        <w:t xml:space="preserve">Shadow economies around the world: novel insights, accepted knowledge, and new estimates. </w:t>
      </w:r>
      <w:r w:rsidRPr="00D837B3">
        <w:rPr>
          <w:rFonts w:ascii="Times New Roman" w:eastAsia="Times New Roman" w:hAnsi="Times New Roman" w:cs="Times New Roman"/>
          <w:i/>
          <w:iCs/>
          <w:sz w:val="24"/>
          <w:szCs w:val="24"/>
          <w:lang w:eastAsia="en-GB"/>
        </w:rPr>
        <w:t>International Tax and Public Finance</w:t>
      </w:r>
      <w:r w:rsidRPr="00D837B3">
        <w:rPr>
          <w:rFonts w:ascii="Times New Roman" w:eastAsia="Times New Roman" w:hAnsi="Times New Roman" w:cs="Times New Roman"/>
          <w:sz w:val="24"/>
          <w:szCs w:val="24"/>
          <w:lang w:eastAsia="en-GB"/>
        </w:rPr>
        <w:t>, 19(1), pp.139–171. doi:https://doi.org/10.1007/s10797-011-9187-7.</w:t>
      </w:r>
    </w:p>
    <w:p w14:paraId="01A18CB9"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Carney, M. A. (2018). Informal work and informalization: Preliminary thoughts on how they matter for development. Development and Change, 49(1), 203–225</w:t>
      </w:r>
    </w:p>
    <w:p w14:paraId="2DA04A2F" w14:textId="2E59367F"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Charmes, J. (2019). </w:t>
      </w:r>
      <w:r w:rsidRPr="00D837B3">
        <w:rPr>
          <w:rFonts w:ascii="Times New Roman" w:eastAsia="Times New Roman" w:hAnsi="Times New Roman" w:cs="Times New Roman"/>
          <w:i/>
          <w:iCs/>
          <w:sz w:val="24"/>
          <w:szCs w:val="24"/>
          <w:lang w:eastAsia="en-GB"/>
        </w:rPr>
        <w:t xml:space="preserve">Dimensions of Resilience in Developing </w:t>
      </w:r>
      <w:r w:rsidR="007A22FB" w:rsidRPr="00D837B3">
        <w:rPr>
          <w:rFonts w:ascii="Times New Roman" w:eastAsia="Times New Roman" w:hAnsi="Times New Roman" w:cs="Times New Roman"/>
          <w:i/>
          <w:iCs/>
          <w:sz w:val="24"/>
          <w:szCs w:val="24"/>
          <w:lang w:eastAsia="en-GB"/>
        </w:rPr>
        <w:t>Countries:</w:t>
      </w:r>
      <w:r w:rsidRPr="00D837B3">
        <w:rPr>
          <w:rFonts w:ascii="Times New Roman" w:eastAsia="Times New Roman" w:hAnsi="Times New Roman" w:cs="Times New Roman"/>
          <w:i/>
          <w:iCs/>
          <w:sz w:val="24"/>
          <w:szCs w:val="24"/>
          <w:lang w:eastAsia="en-GB"/>
        </w:rPr>
        <w:t xml:space="preserve"> Informality, Solidarities and Carework</w:t>
      </w:r>
      <w:r w:rsidRPr="00D837B3">
        <w:rPr>
          <w:rFonts w:ascii="Times New Roman" w:eastAsia="Times New Roman" w:hAnsi="Times New Roman" w:cs="Times New Roman"/>
          <w:sz w:val="24"/>
          <w:szCs w:val="24"/>
          <w:lang w:eastAsia="en-GB"/>
        </w:rPr>
        <w:t>. Cham: Springer International Publishing, pp.40–60.</w:t>
      </w:r>
    </w:p>
    <w:p w14:paraId="794AB0A8"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 xml:space="preserve">Charmes, J. (2019). Women, Work, and Informality in Developing and Transition Economies: A Global Perspective. </w:t>
      </w:r>
      <w:r w:rsidRPr="00D837B3">
        <w:rPr>
          <w:rFonts w:ascii="Times New Roman" w:hAnsi="Times New Roman" w:cs="Times New Roman"/>
          <w:i/>
          <w:iCs/>
          <w:sz w:val="24"/>
          <w:szCs w:val="24"/>
        </w:rPr>
        <w:t>World Development, 113</w:t>
      </w:r>
      <w:r w:rsidRPr="00D837B3">
        <w:rPr>
          <w:rFonts w:ascii="Times New Roman" w:hAnsi="Times New Roman" w:cs="Times New Roman"/>
          <w:sz w:val="24"/>
          <w:szCs w:val="24"/>
        </w:rPr>
        <w:t>, 42–56.</w:t>
      </w:r>
    </w:p>
    <w:p w14:paraId="41682297" w14:textId="77777777" w:rsidR="00D837B3" w:rsidRPr="00D837B3" w:rsidRDefault="00D837B3" w:rsidP="00D837B3">
      <w:pPr>
        <w:jc w:val="both"/>
        <w:rPr>
          <w:rFonts w:ascii="Times New Roman" w:hAnsi="Times New Roman" w:cs="Times New Roman"/>
          <w:sz w:val="24"/>
          <w:szCs w:val="24"/>
        </w:rPr>
      </w:pPr>
      <w:r w:rsidRPr="00890B9B">
        <w:rPr>
          <w:rFonts w:ascii="Times New Roman" w:hAnsi="Times New Roman" w:cs="Times New Roman"/>
          <w:sz w:val="24"/>
          <w:szCs w:val="24"/>
        </w:rPr>
        <w:t>Chen, M. (2012). </w:t>
      </w:r>
      <w:r w:rsidRPr="00890B9B">
        <w:rPr>
          <w:rFonts w:ascii="Times New Roman" w:hAnsi="Times New Roman" w:cs="Times New Roman"/>
          <w:i/>
          <w:iCs/>
          <w:sz w:val="24"/>
          <w:szCs w:val="24"/>
        </w:rPr>
        <w:t>Informal Economy: Definitions, Theories and Policies</w:t>
      </w:r>
      <w:r w:rsidRPr="00890B9B">
        <w:rPr>
          <w:rFonts w:ascii="Times New Roman" w:hAnsi="Times New Roman" w:cs="Times New Roman"/>
          <w:sz w:val="24"/>
          <w:szCs w:val="24"/>
        </w:rPr>
        <w:t>. London: Routledge</w:t>
      </w:r>
      <w:r w:rsidRPr="00D837B3">
        <w:rPr>
          <w:rFonts w:ascii="Times New Roman" w:hAnsi="Times New Roman" w:cs="Times New Roman"/>
          <w:sz w:val="24"/>
          <w:szCs w:val="24"/>
        </w:rPr>
        <w:t>,</w:t>
      </w:r>
      <w:r w:rsidRPr="00890B9B">
        <w:rPr>
          <w:rFonts w:ascii="Times New Roman" w:hAnsi="Times New Roman" w:cs="Times New Roman"/>
          <w:sz w:val="24"/>
          <w:szCs w:val="24"/>
        </w:rPr>
        <w:t xml:space="preserve"> p</w:t>
      </w:r>
      <w:r w:rsidRPr="00D837B3">
        <w:rPr>
          <w:rFonts w:ascii="Times New Roman" w:hAnsi="Times New Roman" w:cs="Times New Roman"/>
          <w:sz w:val="24"/>
          <w:szCs w:val="24"/>
        </w:rPr>
        <w:t>p</w:t>
      </w:r>
      <w:r w:rsidRPr="00890B9B">
        <w:rPr>
          <w:rFonts w:ascii="Times New Roman" w:hAnsi="Times New Roman" w:cs="Times New Roman"/>
          <w:sz w:val="24"/>
          <w:szCs w:val="24"/>
        </w:rPr>
        <w:t>. 12, 14</w:t>
      </w:r>
      <w:r w:rsidRPr="00D837B3">
        <w:rPr>
          <w:rFonts w:ascii="Times New Roman" w:hAnsi="Times New Roman" w:cs="Times New Roman"/>
          <w:sz w:val="24"/>
          <w:szCs w:val="24"/>
        </w:rPr>
        <w:t>.</w:t>
      </w:r>
    </w:p>
    <w:p w14:paraId="5303DF55" w14:textId="77777777" w:rsidR="00D837B3" w:rsidRPr="00D837B3" w:rsidRDefault="00D837B3" w:rsidP="00D837B3">
      <w:pPr>
        <w:jc w:val="both"/>
        <w:rPr>
          <w:rFonts w:ascii="Times New Roman" w:hAnsi="Times New Roman" w:cs="Times New Roman"/>
          <w:sz w:val="24"/>
          <w:szCs w:val="24"/>
        </w:rPr>
      </w:pPr>
      <w:r w:rsidRPr="00765B54">
        <w:rPr>
          <w:rFonts w:ascii="Times New Roman" w:hAnsi="Times New Roman" w:cs="Times New Roman"/>
          <w:sz w:val="24"/>
          <w:szCs w:val="24"/>
        </w:rPr>
        <w:t xml:space="preserve">Chen, M. A., &amp; Sinha, S. (2018). </w:t>
      </w:r>
      <w:r w:rsidRPr="00D837B3">
        <w:rPr>
          <w:rFonts w:ascii="Times New Roman" w:hAnsi="Times New Roman" w:cs="Times New Roman"/>
          <w:sz w:val="24"/>
          <w:szCs w:val="24"/>
        </w:rPr>
        <w:t xml:space="preserve">Informality, Inclusive Growth, and Poverty: Evidence and Arguments from Five South Asian Countries. </w:t>
      </w:r>
      <w:r w:rsidRPr="00D837B3">
        <w:rPr>
          <w:rFonts w:ascii="Times New Roman" w:hAnsi="Times New Roman" w:cs="Times New Roman"/>
          <w:i/>
          <w:iCs/>
          <w:sz w:val="24"/>
          <w:szCs w:val="24"/>
        </w:rPr>
        <w:t>Development and Change, 49</w:t>
      </w:r>
      <w:r w:rsidRPr="00D837B3">
        <w:rPr>
          <w:rFonts w:ascii="Times New Roman" w:hAnsi="Times New Roman" w:cs="Times New Roman"/>
          <w:sz w:val="24"/>
          <w:szCs w:val="24"/>
        </w:rPr>
        <w:t>(2), 255–283.</w:t>
      </w:r>
    </w:p>
    <w:p w14:paraId="569BAFF8" w14:textId="1224F749"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Chen, M. and Carré, F. (2020). </w:t>
      </w:r>
      <w:r w:rsidRPr="00D837B3">
        <w:rPr>
          <w:rFonts w:ascii="Times New Roman" w:eastAsia="Times New Roman" w:hAnsi="Times New Roman" w:cs="Times New Roman"/>
          <w:i/>
          <w:iCs/>
          <w:sz w:val="24"/>
          <w:szCs w:val="24"/>
          <w:lang w:eastAsia="en-GB"/>
        </w:rPr>
        <w:t>The Informal Economy Revisited</w:t>
      </w:r>
      <w:r w:rsidRPr="00D837B3">
        <w:rPr>
          <w:rFonts w:ascii="Times New Roman" w:eastAsia="Times New Roman" w:hAnsi="Times New Roman" w:cs="Times New Roman"/>
          <w:sz w:val="24"/>
          <w:szCs w:val="24"/>
          <w:lang w:eastAsia="en-GB"/>
        </w:rPr>
        <w:t xml:space="preserve">. London: Routledge. </w:t>
      </w:r>
      <w:r w:rsidR="007A22FB" w:rsidRPr="00D837B3">
        <w:rPr>
          <w:rFonts w:ascii="Times New Roman" w:eastAsia="Times New Roman" w:hAnsi="Times New Roman" w:cs="Times New Roman"/>
          <w:sz w:val="24"/>
          <w:szCs w:val="24"/>
          <w:lang w:eastAsia="en-GB"/>
        </w:rPr>
        <w:t>doi: https://doi.org/10.4324/9780429200724</w:t>
      </w:r>
      <w:r w:rsidRPr="00D837B3">
        <w:rPr>
          <w:rFonts w:ascii="Times New Roman" w:eastAsia="Times New Roman" w:hAnsi="Times New Roman" w:cs="Times New Roman"/>
          <w:sz w:val="24"/>
          <w:szCs w:val="24"/>
          <w:lang w:eastAsia="en-GB"/>
        </w:rPr>
        <w:t>.</w:t>
      </w:r>
    </w:p>
    <w:p w14:paraId="2DBAB31B"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Cosic, M. (2017). ‘We are all entrepreneurs’: Muhammad Yunus on changing the world, one microloan at a time. </w:t>
      </w:r>
      <w:r w:rsidRPr="00D837B3">
        <w:rPr>
          <w:rFonts w:ascii="Times New Roman" w:eastAsia="Times New Roman" w:hAnsi="Times New Roman" w:cs="Times New Roman"/>
          <w:i/>
          <w:iCs/>
          <w:sz w:val="24"/>
          <w:szCs w:val="24"/>
          <w:lang w:eastAsia="en-GB"/>
        </w:rPr>
        <w:t>The Guardian</w:t>
      </w:r>
      <w:r w:rsidRPr="00D837B3">
        <w:rPr>
          <w:rFonts w:ascii="Times New Roman" w:eastAsia="Times New Roman" w:hAnsi="Times New Roman" w:cs="Times New Roman"/>
          <w:sz w:val="24"/>
          <w:szCs w:val="24"/>
          <w:lang w:eastAsia="en-GB"/>
        </w:rPr>
        <w:t>. [online] 29 Mar. Available at: https://www.theguardian.com/sustainable-business/2017/mar/29/we-are-all-entrepreneurs-muhammad-yunus-on-changing-the-world-one-microloan-at-a-time.</w:t>
      </w:r>
    </w:p>
    <w:p w14:paraId="6E75EFDE"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 xml:space="preserve">Davis, J., Handa, S., Hypher, N., &amp; Winters, P. (2018). Social Protection and Informality in Developing Countries: A Global Perspective. </w:t>
      </w:r>
      <w:r w:rsidRPr="00D837B3">
        <w:rPr>
          <w:rFonts w:ascii="Times New Roman" w:hAnsi="Times New Roman" w:cs="Times New Roman"/>
          <w:i/>
          <w:iCs/>
          <w:sz w:val="24"/>
          <w:szCs w:val="24"/>
        </w:rPr>
        <w:t>World Development, 110</w:t>
      </w:r>
      <w:r w:rsidRPr="00D837B3">
        <w:rPr>
          <w:rFonts w:ascii="Times New Roman" w:hAnsi="Times New Roman" w:cs="Times New Roman"/>
          <w:sz w:val="24"/>
          <w:szCs w:val="24"/>
        </w:rPr>
        <w:t>, 13–26.</w:t>
      </w:r>
    </w:p>
    <w:p w14:paraId="745A21C6" w14:textId="6753277F" w:rsidR="009375FB"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De Beer, J., Fu, K. and Wunsch-Vincent, S. (n.d.). </w:t>
      </w:r>
      <w:r w:rsidRPr="00D837B3">
        <w:rPr>
          <w:rFonts w:ascii="Times New Roman" w:eastAsia="Times New Roman" w:hAnsi="Times New Roman" w:cs="Times New Roman"/>
          <w:i/>
          <w:iCs/>
          <w:sz w:val="24"/>
          <w:szCs w:val="24"/>
          <w:lang w:eastAsia="en-GB"/>
        </w:rPr>
        <w:t xml:space="preserve">Economic Research Working Paper No. 10 The informal economy, </w:t>
      </w:r>
      <w:r w:rsidR="00AD2FC5" w:rsidRPr="00D837B3">
        <w:rPr>
          <w:rFonts w:ascii="Times New Roman" w:eastAsia="Times New Roman" w:hAnsi="Times New Roman" w:cs="Times New Roman"/>
          <w:i/>
          <w:iCs/>
          <w:sz w:val="24"/>
          <w:szCs w:val="24"/>
          <w:lang w:eastAsia="en-GB"/>
        </w:rPr>
        <w:t>innovation,</w:t>
      </w:r>
      <w:r w:rsidRPr="00D837B3">
        <w:rPr>
          <w:rFonts w:ascii="Times New Roman" w:eastAsia="Times New Roman" w:hAnsi="Times New Roman" w:cs="Times New Roman"/>
          <w:i/>
          <w:iCs/>
          <w:sz w:val="24"/>
          <w:szCs w:val="24"/>
          <w:lang w:eastAsia="en-GB"/>
        </w:rPr>
        <w:t xml:space="preserve"> and intellectual property – Concepts, </w:t>
      </w:r>
      <w:r w:rsidR="00344926" w:rsidRPr="00D837B3">
        <w:rPr>
          <w:rFonts w:ascii="Times New Roman" w:eastAsia="Times New Roman" w:hAnsi="Times New Roman" w:cs="Times New Roman"/>
          <w:i/>
          <w:iCs/>
          <w:sz w:val="24"/>
          <w:szCs w:val="24"/>
          <w:lang w:eastAsia="en-GB"/>
        </w:rPr>
        <w:t>metrics,</w:t>
      </w:r>
      <w:r w:rsidRPr="00D837B3">
        <w:rPr>
          <w:rFonts w:ascii="Times New Roman" w:eastAsia="Times New Roman" w:hAnsi="Times New Roman" w:cs="Times New Roman"/>
          <w:i/>
          <w:iCs/>
          <w:sz w:val="24"/>
          <w:szCs w:val="24"/>
          <w:lang w:eastAsia="en-GB"/>
        </w:rPr>
        <w:t xml:space="preserve"> and </w:t>
      </w:r>
      <w:r w:rsidRPr="00D837B3">
        <w:rPr>
          <w:rFonts w:ascii="Times New Roman" w:eastAsia="Times New Roman" w:hAnsi="Times New Roman" w:cs="Times New Roman"/>
          <w:i/>
          <w:iCs/>
          <w:sz w:val="24"/>
          <w:szCs w:val="24"/>
          <w:lang w:eastAsia="en-GB"/>
        </w:rPr>
        <w:lastRenderedPageBreak/>
        <w:t>policy considerations</w:t>
      </w:r>
      <w:r w:rsidRPr="00D837B3">
        <w:rPr>
          <w:rFonts w:ascii="Times New Roman" w:eastAsia="Times New Roman" w:hAnsi="Times New Roman" w:cs="Times New Roman"/>
          <w:sz w:val="24"/>
          <w:szCs w:val="24"/>
          <w:lang w:eastAsia="en-GB"/>
        </w:rPr>
        <w:t xml:space="preserve">. [online] Available at: </w:t>
      </w:r>
      <w:hyperlink r:id="rId6" w:history="1">
        <w:r w:rsidR="009375FB" w:rsidRPr="00D837B3">
          <w:rPr>
            <w:rStyle w:val="Hyperlink"/>
            <w:rFonts w:ascii="Times New Roman" w:eastAsia="Times New Roman" w:hAnsi="Times New Roman" w:cs="Times New Roman"/>
            <w:sz w:val="24"/>
            <w:szCs w:val="24"/>
            <w:lang w:eastAsia="en-GB"/>
          </w:rPr>
          <w:t>https://www.wipo.int/edocs/pubdocs/en/wipo_pub_econstat_wp_10.pdf</w:t>
        </w:r>
      </w:hyperlink>
      <w:r w:rsidRPr="00D837B3">
        <w:rPr>
          <w:rFonts w:ascii="Times New Roman" w:eastAsia="Times New Roman" w:hAnsi="Times New Roman" w:cs="Times New Roman"/>
          <w:sz w:val="24"/>
          <w:szCs w:val="24"/>
          <w:lang w:eastAsia="en-GB"/>
        </w:rPr>
        <w:t>.</w:t>
      </w:r>
    </w:p>
    <w:p w14:paraId="73CFB295" w14:textId="7BAE951F" w:rsid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val="de-DE" w:eastAsia="en-GB"/>
        </w:rPr>
        <w:t xml:space="preserve">Friedrich Schneider and Dominik Enste (2013). </w:t>
      </w:r>
      <w:r w:rsidRPr="00D837B3">
        <w:rPr>
          <w:rFonts w:ascii="Times New Roman" w:eastAsia="Times New Roman" w:hAnsi="Times New Roman" w:cs="Times New Roman"/>
          <w:i/>
          <w:iCs/>
          <w:sz w:val="24"/>
          <w:szCs w:val="24"/>
          <w:lang w:eastAsia="en-GB"/>
        </w:rPr>
        <w:t xml:space="preserve">The shadow </w:t>
      </w:r>
      <w:r w:rsidR="007A22FB" w:rsidRPr="00D837B3">
        <w:rPr>
          <w:rFonts w:ascii="Times New Roman" w:eastAsia="Times New Roman" w:hAnsi="Times New Roman" w:cs="Times New Roman"/>
          <w:i/>
          <w:iCs/>
          <w:sz w:val="24"/>
          <w:szCs w:val="24"/>
          <w:lang w:eastAsia="en-GB"/>
        </w:rPr>
        <w:t>economy:</w:t>
      </w:r>
      <w:r w:rsidRPr="00D837B3">
        <w:rPr>
          <w:rFonts w:ascii="Times New Roman" w:eastAsia="Times New Roman" w:hAnsi="Times New Roman" w:cs="Times New Roman"/>
          <w:i/>
          <w:iCs/>
          <w:sz w:val="24"/>
          <w:szCs w:val="24"/>
          <w:lang w:eastAsia="en-GB"/>
        </w:rPr>
        <w:t xml:space="preserve"> an international survey</w:t>
      </w:r>
      <w:r w:rsidRPr="00D837B3">
        <w:rPr>
          <w:rFonts w:ascii="Times New Roman" w:eastAsia="Times New Roman" w:hAnsi="Times New Roman" w:cs="Times New Roman"/>
          <w:sz w:val="24"/>
          <w:szCs w:val="24"/>
          <w:lang w:eastAsia="en-GB"/>
        </w:rPr>
        <w:t xml:space="preserve">. </w:t>
      </w:r>
      <w:r w:rsidR="007A22FB" w:rsidRPr="00D837B3">
        <w:rPr>
          <w:rFonts w:ascii="Times New Roman" w:eastAsia="Times New Roman" w:hAnsi="Times New Roman" w:cs="Times New Roman"/>
          <w:sz w:val="24"/>
          <w:szCs w:val="24"/>
          <w:lang w:eastAsia="en-GB"/>
        </w:rPr>
        <w:t>Cambridge;</w:t>
      </w:r>
      <w:r w:rsidRPr="00D837B3">
        <w:rPr>
          <w:rFonts w:ascii="Times New Roman" w:eastAsia="Times New Roman" w:hAnsi="Times New Roman" w:cs="Times New Roman"/>
          <w:sz w:val="24"/>
          <w:szCs w:val="24"/>
          <w:lang w:eastAsia="en-GB"/>
        </w:rPr>
        <w:t xml:space="preserve"> New York: Cambridge University Press, pp.100–140.</w:t>
      </w:r>
    </w:p>
    <w:p w14:paraId="624CD686" w14:textId="303D9859" w:rsidR="009375FB" w:rsidRPr="00D837B3" w:rsidRDefault="009375FB" w:rsidP="00D837B3">
      <w:pPr>
        <w:spacing w:after="240" w:line="360" w:lineRule="auto"/>
        <w:jc w:val="both"/>
        <w:rPr>
          <w:rFonts w:ascii="Times New Roman" w:eastAsia="Times New Roman" w:hAnsi="Times New Roman" w:cs="Times New Roman"/>
          <w:sz w:val="24"/>
          <w:szCs w:val="24"/>
          <w:lang w:eastAsia="en-GB"/>
        </w:rPr>
      </w:pPr>
      <w:r w:rsidRPr="009375FB">
        <w:rPr>
          <w:rFonts w:ascii="Times New Roman" w:eastAsia="Times New Roman" w:hAnsi="Times New Roman" w:cs="Times New Roman"/>
          <w:sz w:val="24"/>
          <w:szCs w:val="24"/>
          <w:lang w:eastAsia="en-GB"/>
        </w:rPr>
        <w:t>Future-agricultures.org. (202</w:t>
      </w:r>
      <w:r w:rsidR="00AB7185">
        <w:rPr>
          <w:rFonts w:ascii="Times New Roman" w:eastAsia="Times New Roman" w:hAnsi="Times New Roman" w:cs="Times New Roman"/>
          <w:sz w:val="24"/>
          <w:szCs w:val="24"/>
          <w:lang w:eastAsia="en-GB"/>
        </w:rPr>
        <w:t>0</w:t>
      </w:r>
      <w:r w:rsidRPr="009375FB">
        <w:rPr>
          <w:rFonts w:ascii="Times New Roman" w:eastAsia="Times New Roman" w:hAnsi="Times New Roman" w:cs="Times New Roman"/>
          <w:sz w:val="24"/>
          <w:szCs w:val="24"/>
          <w:lang w:eastAsia="en-GB"/>
        </w:rPr>
        <w:t>). Available at: https://www.future-agricultures.org/wp-content/uploads/2020/07/COVID19-market-World-Bank-flickr-1024x625.jpg [Accessed 17 Mar. 2024].</w:t>
      </w:r>
    </w:p>
    <w:p w14:paraId="0202E370"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ILO (2020). </w:t>
      </w:r>
      <w:r w:rsidRPr="00D837B3">
        <w:rPr>
          <w:rFonts w:ascii="Times New Roman" w:eastAsia="Times New Roman" w:hAnsi="Times New Roman" w:cs="Times New Roman"/>
          <w:i/>
          <w:iCs/>
          <w:sz w:val="24"/>
          <w:szCs w:val="24"/>
          <w:lang w:eastAsia="en-GB"/>
        </w:rPr>
        <w:t>World Employment and Social Outlook Trends 2020 ILO Flagship Report</w:t>
      </w:r>
      <w:r w:rsidRPr="00D837B3">
        <w:rPr>
          <w:rFonts w:ascii="Times New Roman" w:eastAsia="Times New Roman" w:hAnsi="Times New Roman" w:cs="Times New Roman"/>
          <w:sz w:val="24"/>
          <w:szCs w:val="24"/>
          <w:lang w:eastAsia="en-GB"/>
        </w:rPr>
        <w:t>. [online] pp.10, 88. Available at: https://www.ilo.org/wcmsp5/groups/public/---dgreports/---dcomm/---publ/documents/publication/wcms_734455.pdf.</w:t>
      </w:r>
    </w:p>
    <w:p w14:paraId="43DBE2FB"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International Labour Organization (2018). </w:t>
      </w:r>
      <w:r w:rsidRPr="00D837B3">
        <w:rPr>
          <w:rFonts w:ascii="Times New Roman" w:eastAsia="Times New Roman" w:hAnsi="Times New Roman" w:cs="Times New Roman"/>
          <w:i/>
          <w:iCs/>
          <w:sz w:val="24"/>
          <w:szCs w:val="24"/>
          <w:lang w:eastAsia="en-GB"/>
        </w:rPr>
        <w:t>Women and men in the informal economy: a statistical picture</w:t>
      </w:r>
      <w:r w:rsidRPr="00D837B3">
        <w:rPr>
          <w:rFonts w:ascii="Times New Roman" w:eastAsia="Times New Roman" w:hAnsi="Times New Roman" w:cs="Times New Roman"/>
          <w:sz w:val="24"/>
          <w:szCs w:val="24"/>
          <w:lang w:eastAsia="en-GB"/>
        </w:rPr>
        <w:t>. [online] p.6. Available at: https://www.ilo.org/wcmsp5/groups/public/---dgreports/---dcomm/documents/publication/wcms_626831.pdf.</w:t>
      </w:r>
    </w:p>
    <w:p w14:paraId="659F7FDD"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International Labour Organization (2019). </w:t>
      </w:r>
      <w:r w:rsidRPr="00D837B3">
        <w:rPr>
          <w:rFonts w:ascii="Times New Roman" w:eastAsia="Times New Roman" w:hAnsi="Times New Roman" w:cs="Times New Roman"/>
          <w:i/>
          <w:iCs/>
          <w:sz w:val="24"/>
          <w:szCs w:val="24"/>
          <w:lang w:eastAsia="en-GB"/>
        </w:rPr>
        <w:t>Informal economy</w:t>
      </w:r>
      <w:r w:rsidRPr="00D837B3">
        <w:rPr>
          <w:rFonts w:ascii="Times New Roman" w:eastAsia="Times New Roman" w:hAnsi="Times New Roman" w:cs="Times New Roman"/>
          <w:sz w:val="24"/>
          <w:szCs w:val="24"/>
          <w:lang w:eastAsia="en-GB"/>
        </w:rPr>
        <w:t>. [online] Ilo.org. Available at: https://www.ilo.org/global/topics/employment-promotion/informal-economy/lang--en/index.htm.</w:t>
      </w:r>
    </w:p>
    <w:p w14:paraId="32F93979"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International Monetary Fund (2019). </w:t>
      </w:r>
      <w:r w:rsidRPr="00D837B3">
        <w:rPr>
          <w:rFonts w:ascii="Times New Roman" w:eastAsia="Times New Roman" w:hAnsi="Times New Roman" w:cs="Times New Roman"/>
          <w:i/>
          <w:iCs/>
          <w:sz w:val="24"/>
          <w:szCs w:val="24"/>
          <w:lang w:eastAsia="en-GB"/>
        </w:rPr>
        <w:t>The IMF at a Glance</w:t>
      </w:r>
      <w:r w:rsidRPr="00D837B3">
        <w:rPr>
          <w:rFonts w:ascii="Times New Roman" w:eastAsia="Times New Roman" w:hAnsi="Times New Roman" w:cs="Times New Roman"/>
          <w:sz w:val="24"/>
          <w:szCs w:val="24"/>
          <w:lang w:eastAsia="en-GB"/>
        </w:rPr>
        <w:t>. [online] IMF. Available at: https://www.imf.org/en/About/Factsheets/IMF-at-a-Glance.</w:t>
      </w:r>
    </w:p>
    <w:p w14:paraId="1E1E97EC"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International Monetary Fund (2020). </w:t>
      </w:r>
      <w:r w:rsidRPr="00D837B3">
        <w:rPr>
          <w:rFonts w:ascii="Times New Roman" w:eastAsia="Times New Roman" w:hAnsi="Times New Roman" w:cs="Times New Roman"/>
          <w:i/>
          <w:iCs/>
          <w:sz w:val="24"/>
          <w:szCs w:val="24"/>
          <w:lang w:eastAsia="en-GB"/>
        </w:rPr>
        <w:t>What is the Informal Economy?</w:t>
      </w:r>
      <w:r w:rsidRPr="00D837B3">
        <w:rPr>
          <w:rFonts w:ascii="Times New Roman" w:eastAsia="Times New Roman" w:hAnsi="Times New Roman" w:cs="Times New Roman"/>
          <w:sz w:val="24"/>
          <w:szCs w:val="24"/>
          <w:lang w:eastAsia="en-GB"/>
        </w:rPr>
        <w:t xml:space="preserve"> [online] IMF. Available at: https://www.imf.org/en/Publications/fandd/issues/2020/12/what-is-the-informal-economy-basics.</w:t>
      </w:r>
    </w:p>
    <w:p w14:paraId="16B6FEB8"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Islam, M. S., &amp; Parveen, S. (2019). Urban informal sector in Bangladesh: Dimensions, trends, and policy imperatives. Journal of the Bangladesh Agricultural University, 17(1), 145–154.</w:t>
      </w:r>
    </w:p>
    <w:p w14:paraId="0556A559" w14:textId="27EB68C6"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Kabeer, N. and Waddington, H. (2015). Economic impacts of conditional cash transfer programmes: a systematic review and meta-analysis. </w:t>
      </w:r>
      <w:r w:rsidRPr="00D837B3">
        <w:rPr>
          <w:rFonts w:ascii="Times New Roman" w:eastAsia="Times New Roman" w:hAnsi="Times New Roman" w:cs="Times New Roman"/>
          <w:i/>
          <w:iCs/>
          <w:sz w:val="24"/>
          <w:szCs w:val="24"/>
          <w:lang w:eastAsia="en-GB"/>
        </w:rPr>
        <w:t>Journal of Development Effectiveness</w:t>
      </w:r>
      <w:r w:rsidRPr="00D837B3">
        <w:rPr>
          <w:rFonts w:ascii="Times New Roman" w:eastAsia="Times New Roman" w:hAnsi="Times New Roman" w:cs="Times New Roman"/>
          <w:sz w:val="24"/>
          <w:szCs w:val="24"/>
          <w:lang w:eastAsia="en-GB"/>
        </w:rPr>
        <w:t xml:space="preserve">, 7(3). </w:t>
      </w:r>
      <w:r w:rsidR="007A22FB" w:rsidRPr="00D837B3">
        <w:rPr>
          <w:rFonts w:ascii="Times New Roman" w:eastAsia="Times New Roman" w:hAnsi="Times New Roman" w:cs="Times New Roman"/>
          <w:sz w:val="24"/>
          <w:szCs w:val="24"/>
          <w:lang w:eastAsia="en-GB"/>
        </w:rPr>
        <w:t>doi: https://doi.org/10.1080/19439342.2015.1068833</w:t>
      </w:r>
      <w:r w:rsidRPr="00D837B3">
        <w:rPr>
          <w:rFonts w:ascii="Times New Roman" w:eastAsia="Times New Roman" w:hAnsi="Times New Roman" w:cs="Times New Roman"/>
          <w:sz w:val="24"/>
          <w:szCs w:val="24"/>
          <w:lang w:eastAsia="en-GB"/>
        </w:rPr>
        <w:t>.</w:t>
      </w:r>
    </w:p>
    <w:p w14:paraId="68120C44"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lastRenderedPageBreak/>
        <w:t xml:space="preserve">Kabeer, N., &amp; Waddington, H. (2015). Economic Reforms, Social Protection, and Livelihoods: A Study of Women Workers in Export-Oriented Industries in Bangladesh. </w:t>
      </w:r>
      <w:r w:rsidRPr="00D837B3">
        <w:rPr>
          <w:rFonts w:ascii="Times New Roman" w:hAnsi="Times New Roman" w:cs="Times New Roman"/>
          <w:i/>
          <w:iCs/>
          <w:sz w:val="24"/>
          <w:szCs w:val="24"/>
        </w:rPr>
        <w:t>Feminist Economics, 21</w:t>
      </w:r>
      <w:r w:rsidRPr="00D837B3">
        <w:rPr>
          <w:rFonts w:ascii="Times New Roman" w:hAnsi="Times New Roman" w:cs="Times New Roman"/>
          <w:sz w:val="24"/>
          <w:szCs w:val="24"/>
        </w:rPr>
        <w:t>(2), 90–116.</w:t>
      </w:r>
    </w:p>
    <w:p w14:paraId="176D6ABE" w14:textId="02878C4E"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mohua.gov.in. (n.d.). </w:t>
      </w:r>
      <w:r w:rsidRPr="00D837B3">
        <w:rPr>
          <w:rFonts w:ascii="Times New Roman" w:eastAsia="Times New Roman" w:hAnsi="Times New Roman" w:cs="Times New Roman"/>
          <w:i/>
          <w:iCs/>
          <w:sz w:val="24"/>
          <w:szCs w:val="24"/>
          <w:lang w:eastAsia="en-GB"/>
        </w:rPr>
        <w:t xml:space="preserve">The Street Vendors Act </w:t>
      </w:r>
      <w:r w:rsidR="007A22FB" w:rsidRPr="00D837B3">
        <w:rPr>
          <w:rFonts w:ascii="Times New Roman" w:eastAsia="Times New Roman" w:hAnsi="Times New Roman" w:cs="Times New Roman"/>
          <w:i/>
          <w:iCs/>
          <w:sz w:val="24"/>
          <w:szCs w:val="24"/>
          <w:lang w:eastAsia="en-GB"/>
        </w:rPr>
        <w:t>2014:</w:t>
      </w:r>
      <w:r w:rsidRPr="00D837B3">
        <w:rPr>
          <w:rFonts w:ascii="Times New Roman" w:eastAsia="Times New Roman" w:hAnsi="Times New Roman" w:cs="Times New Roman"/>
          <w:i/>
          <w:iCs/>
          <w:sz w:val="24"/>
          <w:szCs w:val="24"/>
          <w:lang w:eastAsia="en-GB"/>
        </w:rPr>
        <w:t xml:space="preserve"> Ministry of Housing and Urban Affairs, Goverment of India</w:t>
      </w:r>
      <w:r w:rsidRPr="00D837B3">
        <w:rPr>
          <w:rFonts w:ascii="Times New Roman" w:eastAsia="Times New Roman" w:hAnsi="Times New Roman" w:cs="Times New Roman"/>
          <w:sz w:val="24"/>
          <w:szCs w:val="24"/>
          <w:lang w:eastAsia="en-GB"/>
        </w:rPr>
        <w:t>. [online] Available at: https://mohua.gov.in/cms/TheStreetVendorsAct2014.php.</w:t>
      </w:r>
    </w:p>
    <w:p w14:paraId="5BA4ACED"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lang w:val="it-IT"/>
        </w:rPr>
        <w:t xml:space="preserve">Mutua, J. M., &amp; Otiso, K. M. (2019). </w:t>
      </w:r>
      <w:r w:rsidRPr="00D837B3">
        <w:rPr>
          <w:rFonts w:ascii="Times New Roman" w:hAnsi="Times New Roman" w:cs="Times New Roman"/>
          <w:sz w:val="24"/>
          <w:szCs w:val="24"/>
        </w:rPr>
        <w:t xml:space="preserve">The political economy of informal food markets in Nairobi, Kenya: A case of Kangemi and Kibera slums. </w:t>
      </w:r>
      <w:r w:rsidRPr="00D837B3">
        <w:rPr>
          <w:rFonts w:ascii="Times New Roman" w:hAnsi="Times New Roman" w:cs="Times New Roman"/>
          <w:i/>
          <w:iCs/>
          <w:sz w:val="24"/>
          <w:szCs w:val="24"/>
        </w:rPr>
        <w:t>International Journal of Urban Sustainable Development, 11</w:t>
      </w:r>
      <w:r w:rsidRPr="00D837B3">
        <w:rPr>
          <w:rFonts w:ascii="Times New Roman" w:hAnsi="Times New Roman" w:cs="Times New Roman"/>
          <w:sz w:val="24"/>
          <w:szCs w:val="24"/>
        </w:rPr>
        <w:t>(1), 75–91.</w:t>
      </w:r>
    </w:p>
    <w:p w14:paraId="578AD8E3"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 xml:space="preserve">Nkurunziza, J. D. (2018). Entrepreneurial Ecosystems and Microfinance in Rwanda: Policy Challenges and Opportunities. </w:t>
      </w:r>
      <w:r w:rsidRPr="00D837B3">
        <w:rPr>
          <w:rFonts w:ascii="Times New Roman" w:hAnsi="Times New Roman" w:cs="Times New Roman"/>
          <w:i/>
          <w:iCs/>
          <w:sz w:val="24"/>
          <w:szCs w:val="24"/>
        </w:rPr>
        <w:t>The Journal of Development Studies, 54</w:t>
      </w:r>
      <w:r w:rsidRPr="00D837B3">
        <w:rPr>
          <w:rFonts w:ascii="Times New Roman" w:hAnsi="Times New Roman" w:cs="Times New Roman"/>
          <w:sz w:val="24"/>
          <w:szCs w:val="24"/>
        </w:rPr>
        <w:t>(7), 100–115.</w:t>
      </w:r>
    </w:p>
    <w:p w14:paraId="04AF5FAD" w14:textId="163AAC74"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Ohnsorge, F. and Yu, S. (2022). </w:t>
      </w:r>
      <w:r w:rsidRPr="00D837B3">
        <w:rPr>
          <w:rFonts w:ascii="Times New Roman" w:eastAsia="Times New Roman" w:hAnsi="Times New Roman" w:cs="Times New Roman"/>
          <w:i/>
          <w:iCs/>
          <w:sz w:val="24"/>
          <w:szCs w:val="24"/>
          <w:lang w:eastAsia="en-GB"/>
        </w:rPr>
        <w:t xml:space="preserve">The long shadow of </w:t>
      </w:r>
      <w:r w:rsidR="007A22FB" w:rsidRPr="00D837B3">
        <w:rPr>
          <w:rFonts w:ascii="Times New Roman" w:eastAsia="Times New Roman" w:hAnsi="Times New Roman" w:cs="Times New Roman"/>
          <w:i/>
          <w:iCs/>
          <w:sz w:val="24"/>
          <w:szCs w:val="24"/>
          <w:lang w:eastAsia="en-GB"/>
        </w:rPr>
        <w:t>informality:</w:t>
      </w:r>
      <w:r w:rsidRPr="00D837B3">
        <w:rPr>
          <w:rFonts w:ascii="Times New Roman" w:eastAsia="Times New Roman" w:hAnsi="Times New Roman" w:cs="Times New Roman"/>
          <w:i/>
          <w:iCs/>
          <w:sz w:val="24"/>
          <w:szCs w:val="24"/>
          <w:lang w:eastAsia="en-GB"/>
        </w:rPr>
        <w:t xml:space="preserve"> challenges and policies</w:t>
      </w:r>
      <w:r w:rsidRPr="00D837B3">
        <w:rPr>
          <w:rFonts w:ascii="Times New Roman" w:eastAsia="Times New Roman" w:hAnsi="Times New Roman" w:cs="Times New Roman"/>
          <w:sz w:val="24"/>
          <w:szCs w:val="24"/>
          <w:lang w:eastAsia="en-GB"/>
        </w:rPr>
        <w:t>. Washington, DC: World Bank Group.</w:t>
      </w:r>
    </w:p>
    <w:p w14:paraId="56F60FD7"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Portes, A., Castells, M. and Benton, L.A. (1989). </w:t>
      </w:r>
      <w:r w:rsidRPr="00D837B3">
        <w:rPr>
          <w:rFonts w:ascii="Times New Roman" w:eastAsia="Times New Roman" w:hAnsi="Times New Roman" w:cs="Times New Roman"/>
          <w:i/>
          <w:iCs/>
          <w:sz w:val="24"/>
          <w:szCs w:val="24"/>
          <w:lang w:eastAsia="en-GB"/>
        </w:rPr>
        <w:t>The Informal Economy: Studies in Advanced and Less Developed Countries.</w:t>
      </w:r>
      <w:r w:rsidRPr="00D837B3">
        <w:rPr>
          <w:rFonts w:ascii="Times New Roman" w:eastAsia="Times New Roman" w:hAnsi="Times New Roman" w:cs="Times New Roman"/>
          <w:sz w:val="24"/>
          <w:szCs w:val="24"/>
          <w:lang w:eastAsia="en-GB"/>
        </w:rPr>
        <w:t xml:space="preserve"> Johns Hopkins University Press., p.3.</w:t>
      </w:r>
    </w:p>
    <w:p w14:paraId="38CA9A73"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REPUBLIC OF RWANDA MINISTRY OF TRADE AND INDUSTRY Entrepreneurship Development Policy Developing an effective entrepreneurship and MSME ecosystem in Rwanda. (2020). Available at: https://www.minicom.gov.rw/fileadmin/user_upload/Minicom/Publications/Policies/Entrepreneurship_Development_Policy_-_EDP.pdf.</w:t>
      </w:r>
    </w:p>
    <w:p w14:paraId="4F940478"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 xml:space="preserve">Schneider, F., &amp; Buehn, A. (2019). Shadow Economies and Corruption Alliances: What Drives Tax Evasion in 145 Countries? </w:t>
      </w:r>
      <w:r w:rsidRPr="00D837B3">
        <w:rPr>
          <w:rFonts w:ascii="Times New Roman" w:hAnsi="Times New Roman" w:cs="Times New Roman"/>
          <w:i/>
          <w:iCs/>
          <w:sz w:val="24"/>
          <w:szCs w:val="24"/>
        </w:rPr>
        <w:t>Journal of Economic Behavior &amp; Organization, 159</w:t>
      </w:r>
      <w:r w:rsidRPr="00D837B3">
        <w:rPr>
          <w:rFonts w:ascii="Times New Roman" w:hAnsi="Times New Roman" w:cs="Times New Roman"/>
          <w:sz w:val="24"/>
          <w:szCs w:val="24"/>
        </w:rPr>
        <w:t>, 122–139.</w:t>
      </w:r>
    </w:p>
    <w:p w14:paraId="7C7C4F80" w14:textId="180C8D4C"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765B54">
        <w:rPr>
          <w:rFonts w:ascii="Times New Roman" w:eastAsia="Times New Roman" w:hAnsi="Times New Roman" w:cs="Times New Roman"/>
          <w:sz w:val="24"/>
          <w:szCs w:val="24"/>
          <w:lang w:eastAsia="en-GB"/>
        </w:rPr>
        <w:t xml:space="preserve">Schneider, R.A.Z., Schneider, R.W.S. and Moore, P.A. (1999). </w:t>
      </w:r>
      <w:r w:rsidRPr="00D837B3">
        <w:rPr>
          <w:rFonts w:ascii="Times New Roman" w:eastAsia="Times New Roman" w:hAnsi="Times New Roman" w:cs="Times New Roman"/>
          <w:sz w:val="24"/>
          <w:szCs w:val="24"/>
          <w:lang w:eastAsia="en-GB"/>
        </w:rPr>
        <w:t xml:space="preserve">Recognition of Dominance Status By Chemoreception in the Red Swamp Crayfish, Procambarus clarkii. </w:t>
      </w:r>
      <w:r w:rsidRPr="00D837B3">
        <w:rPr>
          <w:rFonts w:ascii="Times New Roman" w:eastAsia="Times New Roman" w:hAnsi="Times New Roman" w:cs="Times New Roman"/>
          <w:i/>
          <w:iCs/>
          <w:sz w:val="24"/>
          <w:szCs w:val="24"/>
          <w:lang w:eastAsia="en-GB"/>
        </w:rPr>
        <w:t>Journal of Chemical Ecology</w:t>
      </w:r>
      <w:r w:rsidRPr="00D837B3">
        <w:rPr>
          <w:rFonts w:ascii="Times New Roman" w:eastAsia="Times New Roman" w:hAnsi="Times New Roman" w:cs="Times New Roman"/>
          <w:sz w:val="24"/>
          <w:szCs w:val="24"/>
          <w:lang w:eastAsia="en-GB"/>
        </w:rPr>
        <w:t xml:space="preserve">, [online] 25(4), pp.781–794. </w:t>
      </w:r>
      <w:r w:rsidR="009613A8" w:rsidRPr="00D837B3">
        <w:rPr>
          <w:rFonts w:ascii="Times New Roman" w:eastAsia="Times New Roman" w:hAnsi="Times New Roman" w:cs="Times New Roman"/>
          <w:sz w:val="24"/>
          <w:szCs w:val="24"/>
          <w:lang w:eastAsia="en-GB"/>
        </w:rPr>
        <w:t>doi: https://doi.org/10.1023/a:1020888532513</w:t>
      </w:r>
      <w:r w:rsidRPr="00D837B3">
        <w:rPr>
          <w:rFonts w:ascii="Times New Roman" w:eastAsia="Times New Roman" w:hAnsi="Times New Roman" w:cs="Times New Roman"/>
          <w:sz w:val="24"/>
          <w:szCs w:val="24"/>
          <w:lang w:eastAsia="en-GB"/>
        </w:rPr>
        <w:t>.</w:t>
      </w:r>
    </w:p>
    <w:p w14:paraId="4802CE85"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Sharma, A., &amp; Dash, D. P. (2019). Informal Sector: A Challenge for Consumer Protection in India. *International Journal of Business Competition and Growth, p. 178.</w:t>
      </w:r>
    </w:p>
    <w:p w14:paraId="2EB9A93F" w14:textId="5E7635F0" w:rsidR="00D837B3" w:rsidRPr="00890B9B"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Tokman, G. (2015). </w:t>
      </w:r>
      <w:r w:rsidRPr="00D837B3">
        <w:rPr>
          <w:rFonts w:ascii="Times New Roman" w:hAnsi="Times New Roman" w:cs="Times New Roman"/>
          <w:i/>
          <w:iCs/>
          <w:sz w:val="24"/>
          <w:szCs w:val="24"/>
        </w:rPr>
        <w:t xml:space="preserve">From Informal to </w:t>
      </w:r>
      <w:r w:rsidR="009613A8" w:rsidRPr="00D837B3">
        <w:rPr>
          <w:rFonts w:ascii="Times New Roman" w:hAnsi="Times New Roman" w:cs="Times New Roman"/>
          <w:i/>
          <w:iCs/>
          <w:sz w:val="24"/>
          <w:szCs w:val="24"/>
        </w:rPr>
        <w:t>Formal?</w:t>
      </w:r>
      <w:r w:rsidRPr="00D837B3">
        <w:rPr>
          <w:rFonts w:ascii="Times New Roman" w:hAnsi="Times New Roman" w:cs="Times New Roman"/>
          <w:i/>
          <w:iCs/>
          <w:sz w:val="24"/>
          <w:szCs w:val="24"/>
        </w:rPr>
        <w:t xml:space="preserve"> The Debate on the Dynamics of the Labour Market</w:t>
      </w:r>
      <w:r w:rsidRPr="00D837B3">
        <w:rPr>
          <w:rFonts w:ascii="Times New Roman" w:hAnsi="Times New Roman" w:cs="Times New Roman"/>
          <w:sz w:val="24"/>
          <w:szCs w:val="24"/>
        </w:rPr>
        <w:t>. International Labour Review, 154(2), 17-34. (p. 25</w:t>
      </w:r>
    </w:p>
    <w:p w14:paraId="239EA311"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Venkatesh, V.G. (2023). </w:t>
      </w:r>
      <w:r w:rsidRPr="00D837B3">
        <w:rPr>
          <w:rFonts w:ascii="Times New Roman" w:eastAsia="Times New Roman" w:hAnsi="Times New Roman" w:cs="Times New Roman"/>
          <w:i/>
          <w:iCs/>
          <w:sz w:val="24"/>
          <w:szCs w:val="24"/>
          <w:lang w:eastAsia="en-GB"/>
        </w:rPr>
        <w:t>As protests against taking down of BBC documentary spreads, CPI (M) &amp; SFI plan screenings across Tamil Nadu</w:t>
      </w:r>
      <w:r w:rsidRPr="00D837B3">
        <w:rPr>
          <w:rFonts w:ascii="Times New Roman" w:eastAsia="Times New Roman" w:hAnsi="Times New Roman" w:cs="Times New Roman"/>
          <w:sz w:val="24"/>
          <w:szCs w:val="24"/>
          <w:lang w:eastAsia="en-GB"/>
        </w:rPr>
        <w:t xml:space="preserve">. [online] The Indian Express. Available at: </w:t>
      </w:r>
      <w:r w:rsidRPr="00D837B3">
        <w:rPr>
          <w:rFonts w:ascii="Times New Roman" w:eastAsia="Times New Roman" w:hAnsi="Times New Roman" w:cs="Times New Roman"/>
          <w:sz w:val="24"/>
          <w:szCs w:val="24"/>
          <w:lang w:eastAsia="en-GB"/>
        </w:rPr>
        <w:lastRenderedPageBreak/>
        <w:t>https://indianexpress.com/article/cities/chennai/sc-plea-on-india-the-modi-question-bbc-documentary-cpim-sfi-screening-across-tamil-nadu-8412459/ [Accessed 17 Mar. 2024].</w:t>
      </w:r>
    </w:p>
    <w:p w14:paraId="17E27A1A" w14:textId="77777777"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Winters, P., Davis, B., Handa, S., Hypher, N., Natalia Winder Rossi and Yablonski, J. (2019). </w:t>
      </w:r>
      <w:r w:rsidRPr="00D837B3">
        <w:rPr>
          <w:rFonts w:ascii="Times New Roman" w:eastAsia="Times New Roman" w:hAnsi="Times New Roman" w:cs="Times New Roman"/>
          <w:i/>
          <w:iCs/>
          <w:sz w:val="24"/>
          <w:szCs w:val="24"/>
          <w:lang w:eastAsia="en-GB"/>
        </w:rPr>
        <w:t>From Evidence to Action The Story of Cash Transfers and Impact Evaluation in Sub-Saharan Africa</w:t>
      </w:r>
      <w:r w:rsidRPr="00D837B3">
        <w:rPr>
          <w:rFonts w:ascii="Times New Roman" w:eastAsia="Times New Roman" w:hAnsi="Times New Roman" w:cs="Times New Roman"/>
          <w:sz w:val="24"/>
          <w:szCs w:val="24"/>
          <w:lang w:eastAsia="en-GB"/>
        </w:rPr>
        <w:t>. The Food and Agriculture Organization of the United Nations and The United Nations Children’s Fund and Oxford University Press.</w:t>
      </w:r>
    </w:p>
    <w:p w14:paraId="6672F064" w14:textId="77777777" w:rsidR="00D837B3" w:rsidRPr="00D837B3" w:rsidRDefault="00D837B3" w:rsidP="00D837B3">
      <w:pPr>
        <w:jc w:val="both"/>
        <w:rPr>
          <w:rFonts w:ascii="Times New Roman" w:hAnsi="Times New Roman" w:cs="Times New Roman"/>
          <w:sz w:val="24"/>
          <w:szCs w:val="24"/>
        </w:rPr>
      </w:pPr>
      <w:r w:rsidRPr="00D837B3">
        <w:rPr>
          <w:rFonts w:ascii="Times New Roman" w:hAnsi="Times New Roman" w:cs="Times New Roman"/>
          <w:sz w:val="24"/>
          <w:szCs w:val="24"/>
        </w:rPr>
        <w:t>Yunus, M. (2012). Banker to the Poor: Micro-Lending and the Battle Against World Poverty. PublicAffairs.</w:t>
      </w:r>
    </w:p>
    <w:p w14:paraId="627D07F7" w14:textId="7CC9CF88" w:rsidR="00D837B3" w:rsidRPr="00D837B3" w:rsidRDefault="00D837B3" w:rsidP="00D837B3">
      <w:pPr>
        <w:spacing w:after="240" w:line="360" w:lineRule="auto"/>
        <w:jc w:val="both"/>
        <w:rPr>
          <w:rFonts w:ascii="Times New Roman" w:eastAsia="Times New Roman" w:hAnsi="Times New Roman" w:cs="Times New Roman"/>
          <w:sz w:val="24"/>
          <w:szCs w:val="24"/>
          <w:lang w:eastAsia="en-GB"/>
        </w:rPr>
      </w:pPr>
      <w:r w:rsidRPr="00D837B3">
        <w:rPr>
          <w:rFonts w:ascii="Times New Roman" w:eastAsia="Times New Roman" w:hAnsi="Times New Roman" w:cs="Times New Roman"/>
          <w:sz w:val="24"/>
          <w:szCs w:val="24"/>
          <w:lang w:eastAsia="en-GB"/>
        </w:rPr>
        <w:t xml:space="preserve">Yunus, M. (2017). </w:t>
      </w:r>
      <w:r w:rsidRPr="00D837B3">
        <w:rPr>
          <w:rFonts w:ascii="Times New Roman" w:eastAsia="Times New Roman" w:hAnsi="Times New Roman" w:cs="Times New Roman"/>
          <w:i/>
          <w:iCs/>
          <w:sz w:val="24"/>
          <w:szCs w:val="24"/>
          <w:lang w:eastAsia="en-GB"/>
        </w:rPr>
        <w:t xml:space="preserve">WORLD OF THREE </w:t>
      </w:r>
      <w:r w:rsidR="007A22FB" w:rsidRPr="00D837B3">
        <w:rPr>
          <w:rFonts w:ascii="Times New Roman" w:eastAsia="Times New Roman" w:hAnsi="Times New Roman" w:cs="Times New Roman"/>
          <w:i/>
          <w:iCs/>
          <w:sz w:val="24"/>
          <w:szCs w:val="24"/>
          <w:lang w:eastAsia="en-GB"/>
        </w:rPr>
        <w:t>ZEROES:</w:t>
      </w:r>
      <w:r w:rsidRPr="00D837B3">
        <w:rPr>
          <w:rFonts w:ascii="Times New Roman" w:eastAsia="Times New Roman" w:hAnsi="Times New Roman" w:cs="Times New Roman"/>
          <w:i/>
          <w:iCs/>
          <w:sz w:val="24"/>
          <w:szCs w:val="24"/>
          <w:lang w:eastAsia="en-GB"/>
        </w:rPr>
        <w:t xml:space="preserve"> the new economics of zero poverty, zero unemployment, and zero carbon ... emissions.</w:t>
      </w:r>
      <w:r w:rsidRPr="00D837B3">
        <w:rPr>
          <w:rFonts w:ascii="Times New Roman" w:eastAsia="Times New Roman" w:hAnsi="Times New Roman" w:cs="Times New Roman"/>
          <w:sz w:val="24"/>
          <w:szCs w:val="24"/>
          <w:lang w:eastAsia="en-GB"/>
        </w:rPr>
        <w:t xml:space="preserve"> p.88.</w:t>
      </w:r>
    </w:p>
    <w:sectPr w:rsidR="00D837B3" w:rsidRPr="00D837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A5A72"/>
    <w:multiLevelType w:val="multilevel"/>
    <w:tmpl w:val="169A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DD6849"/>
    <w:multiLevelType w:val="multilevel"/>
    <w:tmpl w:val="016CC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6905F6"/>
    <w:multiLevelType w:val="multilevel"/>
    <w:tmpl w:val="9D08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043AB"/>
    <w:multiLevelType w:val="hybridMultilevel"/>
    <w:tmpl w:val="42EA7C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E6D1EBE"/>
    <w:multiLevelType w:val="multilevel"/>
    <w:tmpl w:val="2E5E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5D6C06"/>
    <w:multiLevelType w:val="multilevel"/>
    <w:tmpl w:val="D310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0020D4"/>
    <w:multiLevelType w:val="multilevel"/>
    <w:tmpl w:val="4A74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0F502E"/>
    <w:multiLevelType w:val="multilevel"/>
    <w:tmpl w:val="8526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014449"/>
    <w:multiLevelType w:val="multilevel"/>
    <w:tmpl w:val="C0B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A34EC5"/>
    <w:multiLevelType w:val="multilevel"/>
    <w:tmpl w:val="4144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65800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92059021">
    <w:abstractNumId w:val="8"/>
  </w:num>
  <w:num w:numId="3" w16cid:durableId="698896316">
    <w:abstractNumId w:val="6"/>
  </w:num>
  <w:num w:numId="4" w16cid:durableId="948001028">
    <w:abstractNumId w:val="9"/>
  </w:num>
  <w:num w:numId="5" w16cid:durableId="1846288433">
    <w:abstractNumId w:val="2"/>
  </w:num>
  <w:num w:numId="6" w16cid:durableId="1325621797">
    <w:abstractNumId w:val="5"/>
  </w:num>
  <w:num w:numId="7" w16cid:durableId="1538663997">
    <w:abstractNumId w:val="1"/>
  </w:num>
  <w:num w:numId="8" w16cid:durableId="586424785">
    <w:abstractNumId w:val="4"/>
  </w:num>
  <w:num w:numId="9" w16cid:durableId="506486364">
    <w:abstractNumId w:val="0"/>
  </w:num>
  <w:num w:numId="10" w16cid:durableId="3088222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40AB0"/>
    <w:rsid w:val="00000E7B"/>
    <w:rsid w:val="00010356"/>
    <w:rsid w:val="00013884"/>
    <w:rsid w:val="00030524"/>
    <w:rsid w:val="00030ABC"/>
    <w:rsid w:val="00034FED"/>
    <w:rsid w:val="0003759D"/>
    <w:rsid w:val="000631AA"/>
    <w:rsid w:val="000669A5"/>
    <w:rsid w:val="000858B3"/>
    <w:rsid w:val="000977EE"/>
    <w:rsid w:val="000A4EB1"/>
    <w:rsid w:val="000A761A"/>
    <w:rsid w:val="000B2F57"/>
    <w:rsid w:val="000D25F7"/>
    <w:rsid w:val="000E28D5"/>
    <w:rsid w:val="000F005F"/>
    <w:rsid w:val="000F1EF3"/>
    <w:rsid w:val="000F5959"/>
    <w:rsid w:val="000F7B9F"/>
    <w:rsid w:val="00111DE4"/>
    <w:rsid w:val="00117818"/>
    <w:rsid w:val="00120F52"/>
    <w:rsid w:val="00123641"/>
    <w:rsid w:val="00125FE4"/>
    <w:rsid w:val="001433A6"/>
    <w:rsid w:val="00143E9A"/>
    <w:rsid w:val="0015141E"/>
    <w:rsid w:val="001518BE"/>
    <w:rsid w:val="00155082"/>
    <w:rsid w:val="00171115"/>
    <w:rsid w:val="00173036"/>
    <w:rsid w:val="001A1F5E"/>
    <w:rsid w:val="001A7FA9"/>
    <w:rsid w:val="001C0352"/>
    <w:rsid w:val="001C1BEA"/>
    <w:rsid w:val="001C2892"/>
    <w:rsid w:val="001D2F47"/>
    <w:rsid w:val="001E02CC"/>
    <w:rsid w:val="001E1120"/>
    <w:rsid w:val="001E2855"/>
    <w:rsid w:val="001E57E5"/>
    <w:rsid w:val="001F2143"/>
    <w:rsid w:val="00211D1F"/>
    <w:rsid w:val="00212FBF"/>
    <w:rsid w:val="00213020"/>
    <w:rsid w:val="002147C7"/>
    <w:rsid w:val="00220653"/>
    <w:rsid w:val="00235192"/>
    <w:rsid w:val="00261C5D"/>
    <w:rsid w:val="00271227"/>
    <w:rsid w:val="00273592"/>
    <w:rsid w:val="00276763"/>
    <w:rsid w:val="002769A9"/>
    <w:rsid w:val="002801B6"/>
    <w:rsid w:val="002920B7"/>
    <w:rsid w:val="002A6CBC"/>
    <w:rsid w:val="002B35BE"/>
    <w:rsid w:val="002C290B"/>
    <w:rsid w:val="002E40B7"/>
    <w:rsid w:val="002F1465"/>
    <w:rsid w:val="002F4A55"/>
    <w:rsid w:val="002F7954"/>
    <w:rsid w:val="003060CD"/>
    <w:rsid w:val="003437A9"/>
    <w:rsid w:val="00344926"/>
    <w:rsid w:val="0035039F"/>
    <w:rsid w:val="00353882"/>
    <w:rsid w:val="00381CBE"/>
    <w:rsid w:val="00383514"/>
    <w:rsid w:val="003A0A2C"/>
    <w:rsid w:val="003A281D"/>
    <w:rsid w:val="003C4623"/>
    <w:rsid w:val="003D5CDB"/>
    <w:rsid w:val="003D6E9D"/>
    <w:rsid w:val="003E0081"/>
    <w:rsid w:val="003E745F"/>
    <w:rsid w:val="003F0D4A"/>
    <w:rsid w:val="0041116E"/>
    <w:rsid w:val="00412364"/>
    <w:rsid w:val="004176DC"/>
    <w:rsid w:val="00423EE3"/>
    <w:rsid w:val="00444E59"/>
    <w:rsid w:val="00454428"/>
    <w:rsid w:val="00457A45"/>
    <w:rsid w:val="0046555B"/>
    <w:rsid w:val="00482729"/>
    <w:rsid w:val="00482FA3"/>
    <w:rsid w:val="00491F14"/>
    <w:rsid w:val="00492173"/>
    <w:rsid w:val="004C4F2C"/>
    <w:rsid w:val="004C65A1"/>
    <w:rsid w:val="004E0A99"/>
    <w:rsid w:val="004F0BE1"/>
    <w:rsid w:val="004F2F0E"/>
    <w:rsid w:val="004F3875"/>
    <w:rsid w:val="004F3F7B"/>
    <w:rsid w:val="004F550C"/>
    <w:rsid w:val="0051272E"/>
    <w:rsid w:val="00523473"/>
    <w:rsid w:val="00535E25"/>
    <w:rsid w:val="0056240E"/>
    <w:rsid w:val="00562DAE"/>
    <w:rsid w:val="00573951"/>
    <w:rsid w:val="00575436"/>
    <w:rsid w:val="00576258"/>
    <w:rsid w:val="00580A03"/>
    <w:rsid w:val="005A6082"/>
    <w:rsid w:val="005B3D2D"/>
    <w:rsid w:val="005B763D"/>
    <w:rsid w:val="005D3566"/>
    <w:rsid w:val="005D3FCC"/>
    <w:rsid w:val="005D47A1"/>
    <w:rsid w:val="005D7322"/>
    <w:rsid w:val="005E2297"/>
    <w:rsid w:val="005F1A8D"/>
    <w:rsid w:val="005F3F04"/>
    <w:rsid w:val="00601AB8"/>
    <w:rsid w:val="00604538"/>
    <w:rsid w:val="006122D0"/>
    <w:rsid w:val="006307FC"/>
    <w:rsid w:val="00635659"/>
    <w:rsid w:val="00640378"/>
    <w:rsid w:val="00661347"/>
    <w:rsid w:val="00673200"/>
    <w:rsid w:val="0067573B"/>
    <w:rsid w:val="0067649E"/>
    <w:rsid w:val="00686CD5"/>
    <w:rsid w:val="00690869"/>
    <w:rsid w:val="006A20F8"/>
    <w:rsid w:val="006A4018"/>
    <w:rsid w:val="006C5DDC"/>
    <w:rsid w:val="006E3479"/>
    <w:rsid w:val="006E7002"/>
    <w:rsid w:val="006F2FA9"/>
    <w:rsid w:val="006F4744"/>
    <w:rsid w:val="00704EB6"/>
    <w:rsid w:val="00711171"/>
    <w:rsid w:val="007121E7"/>
    <w:rsid w:val="007162F3"/>
    <w:rsid w:val="00730774"/>
    <w:rsid w:val="00730C55"/>
    <w:rsid w:val="00735AB0"/>
    <w:rsid w:val="00736174"/>
    <w:rsid w:val="00740AB0"/>
    <w:rsid w:val="007443D1"/>
    <w:rsid w:val="00747F92"/>
    <w:rsid w:val="00751C14"/>
    <w:rsid w:val="00757247"/>
    <w:rsid w:val="0076189A"/>
    <w:rsid w:val="00763215"/>
    <w:rsid w:val="00765B54"/>
    <w:rsid w:val="0078358D"/>
    <w:rsid w:val="00792AAA"/>
    <w:rsid w:val="007A22FB"/>
    <w:rsid w:val="007A2874"/>
    <w:rsid w:val="007C61FD"/>
    <w:rsid w:val="007C7280"/>
    <w:rsid w:val="007D6ED9"/>
    <w:rsid w:val="007E0EB0"/>
    <w:rsid w:val="007F2726"/>
    <w:rsid w:val="007F4420"/>
    <w:rsid w:val="008000EC"/>
    <w:rsid w:val="00821A03"/>
    <w:rsid w:val="00833A5A"/>
    <w:rsid w:val="008462E1"/>
    <w:rsid w:val="00870A7F"/>
    <w:rsid w:val="00873007"/>
    <w:rsid w:val="00883D75"/>
    <w:rsid w:val="00890B9B"/>
    <w:rsid w:val="00895E96"/>
    <w:rsid w:val="008A54D4"/>
    <w:rsid w:val="008B014F"/>
    <w:rsid w:val="008C7873"/>
    <w:rsid w:val="008E075F"/>
    <w:rsid w:val="008E2857"/>
    <w:rsid w:val="008E4E70"/>
    <w:rsid w:val="008E5DDC"/>
    <w:rsid w:val="008E774C"/>
    <w:rsid w:val="008F78E3"/>
    <w:rsid w:val="0090467B"/>
    <w:rsid w:val="00905F18"/>
    <w:rsid w:val="00914B74"/>
    <w:rsid w:val="00915E68"/>
    <w:rsid w:val="00927A36"/>
    <w:rsid w:val="009300DE"/>
    <w:rsid w:val="009375FB"/>
    <w:rsid w:val="0095305E"/>
    <w:rsid w:val="00957478"/>
    <w:rsid w:val="00957FDF"/>
    <w:rsid w:val="009613A8"/>
    <w:rsid w:val="009619F4"/>
    <w:rsid w:val="00963838"/>
    <w:rsid w:val="009736C8"/>
    <w:rsid w:val="00976306"/>
    <w:rsid w:val="00980DC5"/>
    <w:rsid w:val="00985F88"/>
    <w:rsid w:val="00991E13"/>
    <w:rsid w:val="00992BC8"/>
    <w:rsid w:val="00997128"/>
    <w:rsid w:val="009A0CE6"/>
    <w:rsid w:val="009A5AD6"/>
    <w:rsid w:val="009E5950"/>
    <w:rsid w:val="009E613F"/>
    <w:rsid w:val="00A00EF5"/>
    <w:rsid w:val="00A02878"/>
    <w:rsid w:val="00A17297"/>
    <w:rsid w:val="00A23B45"/>
    <w:rsid w:val="00A25048"/>
    <w:rsid w:val="00A3412C"/>
    <w:rsid w:val="00A60CD2"/>
    <w:rsid w:val="00A70284"/>
    <w:rsid w:val="00A7091E"/>
    <w:rsid w:val="00A74971"/>
    <w:rsid w:val="00A749D0"/>
    <w:rsid w:val="00A75A16"/>
    <w:rsid w:val="00A80013"/>
    <w:rsid w:val="00A951BC"/>
    <w:rsid w:val="00A95215"/>
    <w:rsid w:val="00AA4AC1"/>
    <w:rsid w:val="00AB7185"/>
    <w:rsid w:val="00AC633F"/>
    <w:rsid w:val="00AC6823"/>
    <w:rsid w:val="00AD2FC5"/>
    <w:rsid w:val="00AF05E2"/>
    <w:rsid w:val="00AF3336"/>
    <w:rsid w:val="00AF3359"/>
    <w:rsid w:val="00B00F54"/>
    <w:rsid w:val="00B06295"/>
    <w:rsid w:val="00B2531C"/>
    <w:rsid w:val="00B33DA1"/>
    <w:rsid w:val="00B36049"/>
    <w:rsid w:val="00B37EE7"/>
    <w:rsid w:val="00B71C21"/>
    <w:rsid w:val="00B85E1D"/>
    <w:rsid w:val="00BA02A7"/>
    <w:rsid w:val="00BB553D"/>
    <w:rsid w:val="00BD0200"/>
    <w:rsid w:val="00BD74CB"/>
    <w:rsid w:val="00BE08E6"/>
    <w:rsid w:val="00BE361F"/>
    <w:rsid w:val="00BF1F78"/>
    <w:rsid w:val="00BF7EBB"/>
    <w:rsid w:val="00C109D5"/>
    <w:rsid w:val="00C17466"/>
    <w:rsid w:val="00C233F6"/>
    <w:rsid w:val="00C514EE"/>
    <w:rsid w:val="00C60B7D"/>
    <w:rsid w:val="00C62B9C"/>
    <w:rsid w:val="00C72F07"/>
    <w:rsid w:val="00C757B3"/>
    <w:rsid w:val="00C81BE0"/>
    <w:rsid w:val="00C83871"/>
    <w:rsid w:val="00CA11E9"/>
    <w:rsid w:val="00CA62EF"/>
    <w:rsid w:val="00CB29A7"/>
    <w:rsid w:val="00CC4C96"/>
    <w:rsid w:val="00CF43C4"/>
    <w:rsid w:val="00D0073D"/>
    <w:rsid w:val="00D2242F"/>
    <w:rsid w:val="00D235B3"/>
    <w:rsid w:val="00D27DCD"/>
    <w:rsid w:val="00D315E9"/>
    <w:rsid w:val="00D44C9E"/>
    <w:rsid w:val="00D47947"/>
    <w:rsid w:val="00D74238"/>
    <w:rsid w:val="00D837B3"/>
    <w:rsid w:val="00D8756F"/>
    <w:rsid w:val="00D907D0"/>
    <w:rsid w:val="00D94060"/>
    <w:rsid w:val="00D9752D"/>
    <w:rsid w:val="00DA51CC"/>
    <w:rsid w:val="00DB3899"/>
    <w:rsid w:val="00DB7A82"/>
    <w:rsid w:val="00DC3443"/>
    <w:rsid w:val="00DC7F9C"/>
    <w:rsid w:val="00DE5ABA"/>
    <w:rsid w:val="00DF222E"/>
    <w:rsid w:val="00E034BE"/>
    <w:rsid w:val="00E11894"/>
    <w:rsid w:val="00E22635"/>
    <w:rsid w:val="00E40994"/>
    <w:rsid w:val="00E51A4B"/>
    <w:rsid w:val="00E5457A"/>
    <w:rsid w:val="00E579EF"/>
    <w:rsid w:val="00E6615D"/>
    <w:rsid w:val="00E86F98"/>
    <w:rsid w:val="00EA259E"/>
    <w:rsid w:val="00EB7319"/>
    <w:rsid w:val="00EC7E91"/>
    <w:rsid w:val="00F12BFC"/>
    <w:rsid w:val="00F16D24"/>
    <w:rsid w:val="00F21F00"/>
    <w:rsid w:val="00F2215D"/>
    <w:rsid w:val="00F23842"/>
    <w:rsid w:val="00F40FAB"/>
    <w:rsid w:val="00F55396"/>
    <w:rsid w:val="00F55F15"/>
    <w:rsid w:val="00F56164"/>
    <w:rsid w:val="00F57FA8"/>
    <w:rsid w:val="00F6311D"/>
    <w:rsid w:val="00F64323"/>
    <w:rsid w:val="00F703B3"/>
    <w:rsid w:val="00F83D42"/>
    <w:rsid w:val="00F85E81"/>
    <w:rsid w:val="00FA0C20"/>
    <w:rsid w:val="00FA3A74"/>
    <w:rsid w:val="00FB4461"/>
    <w:rsid w:val="00FB49A7"/>
    <w:rsid w:val="00FC29B9"/>
    <w:rsid w:val="00FC31D8"/>
    <w:rsid w:val="00FC323F"/>
    <w:rsid w:val="00FD6930"/>
    <w:rsid w:val="00FE7517"/>
    <w:rsid w:val="00FF21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9B1F6"/>
  <w15:chartTrackingRefBased/>
  <w15:docId w15:val="{5F3874AE-935B-4D50-9E64-3F481AE8A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A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0A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0A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0A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0A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0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A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0A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0A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0A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0A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0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AB0"/>
    <w:rPr>
      <w:rFonts w:eastAsiaTheme="majorEastAsia" w:cstheme="majorBidi"/>
      <w:color w:val="272727" w:themeColor="text1" w:themeTint="D8"/>
    </w:rPr>
  </w:style>
  <w:style w:type="paragraph" w:styleId="Title">
    <w:name w:val="Title"/>
    <w:basedOn w:val="Normal"/>
    <w:next w:val="Normal"/>
    <w:link w:val="TitleChar"/>
    <w:uiPriority w:val="10"/>
    <w:qFormat/>
    <w:rsid w:val="00740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AB0"/>
    <w:pPr>
      <w:spacing w:before="160"/>
      <w:jc w:val="center"/>
    </w:pPr>
    <w:rPr>
      <w:i/>
      <w:iCs/>
      <w:color w:val="404040" w:themeColor="text1" w:themeTint="BF"/>
    </w:rPr>
  </w:style>
  <w:style w:type="character" w:customStyle="1" w:styleId="QuoteChar">
    <w:name w:val="Quote Char"/>
    <w:basedOn w:val="DefaultParagraphFont"/>
    <w:link w:val="Quote"/>
    <w:uiPriority w:val="29"/>
    <w:rsid w:val="00740AB0"/>
    <w:rPr>
      <w:i/>
      <w:iCs/>
      <w:color w:val="404040" w:themeColor="text1" w:themeTint="BF"/>
    </w:rPr>
  </w:style>
  <w:style w:type="paragraph" w:styleId="ListParagraph">
    <w:name w:val="List Paragraph"/>
    <w:basedOn w:val="Normal"/>
    <w:uiPriority w:val="34"/>
    <w:qFormat/>
    <w:rsid w:val="00740AB0"/>
    <w:pPr>
      <w:ind w:left="720"/>
      <w:contextualSpacing/>
    </w:pPr>
  </w:style>
  <w:style w:type="character" w:styleId="IntenseEmphasis">
    <w:name w:val="Intense Emphasis"/>
    <w:basedOn w:val="DefaultParagraphFont"/>
    <w:uiPriority w:val="21"/>
    <w:qFormat/>
    <w:rsid w:val="00740AB0"/>
    <w:rPr>
      <w:i/>
      <w:iCs/>
      <w:color w:val="2F5496" w:themeColor="accent1" w:themeShade="BF"/>
    </w:rPr>
  </w:style>
  <w:style w:type="paragraph" w:styleId="IntenseQuote">
    <w:name w:val="Intense Quote"/>
    <w:basedOn w:val="Normal"/>
    <w:next w:val="Normal"/>
    <w:link w:val="IntenseQuoteChar"/>
    <w:uiPriority w:val="30"/>
    <w:qFormat/>
    <w:rsid w:val="00740A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0AB0"/>
    <w:rPr>
      <w:i/>
      <w:iCs/>
      <w:color w:val="2F5496" w:themeColor="accent1" w:themeShade="BF"/>
    </w:rPr>
  </w:style>
  <w:style w:type="character" w:styleId="IntenseReference">
    <w:name w:val="Intense Reference"/>
    <w:basedOn w:val="DefaultParagraphFont"/>
    <w:uiPriority w:val="32"/>
    <w:qFormat/>
    <w:rsid w:val="00740AB0"/>
    <w:rPr>
      <w:b/>
      <w:bCs/>
      <w:smallCaps/>
      <w:color w:val="2F5496" w:themeColor="accent1" w:themeShade="BF"/>
      <w:spacing w:val="5"/>
    </w:rPr>
  </w:style>
  <w:style w:type="character" w:styleId="Hyperlink">
    <w:name w:val="Hyperlink"/>
    <w:basedOn w:val="DefaultParagraphFont"/>
    <w:uiPriority w:val="99"/>
    <w:unhideWhenUsed/>
    <w:rsid w:val="009375FB"/>
    <w:rPr>
      <w:color w:val="0563C1" w:themeColor="hyperlink"/>
      <w:u w:val="single"/>
    </w:rPr>
  </w:style>
  <w:style w:type="character" w:styleId="UnresolvedMention">
    <w:name w:val="Unresolved Mention"/>
    <w:basedOn w:val="DefaultParagraphFont"/>
    <w:uiPriority w:val="99"/>
    <w:semiHidden/>
    <w:unhideWhenUsed/>
    <w:rsid w:val="00937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71826">
      <w:bodyDiv w:val="1"/>
      <w:marLeft w:val="0"/>
      <w:marRight w:val="0"/>
      <w:marTop w:val="0"/>
      <w:marBottom w:val="0"/>
      <w:divBdr>
        <w:top w:val="none" w:sz="0" w:space="0" w:color="auto"/>
        <w:left w:val="none" w:sz="0" w:space="0" w:color="auto"/>
        <w:bottom w:val="none" w:sz="0" w:space="0" w:color="auto"/>
        <w:right w:val="none" w:sz="0" w:space="0" w:color="auto"/>
      </w:divBdr>
    </w:div>
    <w:div w:id="125436309">
      <w:bodyDiv w:val="1"/>
      <w:marLeft w:val="0"/>
      <w:marRight w:val="0"/>
      <w:marTop w:val="0"/>
      <w:marBottom w:val="0"/>
      <w:divBdr>
        <w:top w:val="none" w:sz="0" w:space="0" w:color="auto"/>
        <w:left w:val="none" w:sz="0" w:space="0" w:color="auto"/>
        <w:bottom w:val="none" w:sz="0" w:space="0" w:color="auto"/>
        <w:right w:val="none" w:sz="0" w:space="0" w:color="auto"/>
      </w:divBdr>
    </w:div>
    <w:div w:id="131945836">
      <w:bodyDiv w:val="1"/>
      <w:marLeft w:val="0"/>
      <w:marRight w:val="0"/>
      <w:marTop w:val="0"/>
      <w:marBottom w:val="0"/>
      <w:divBdr>
        <w:top w:val="none" w:sz="0" w:space="0" w:color="auto"/>
        <w:left w:val="none" w:sz="0" w:space="0" w:color="auto"/>
        <w:bottom w:val="none" w:sz="0" w:space="0" w:color="auto"/>
        <w:right w:val="none" w:sz="0" w:space="0" w:color="auto"/>
      </w:divBdr>
    </w:div>
    <w:div w:id="259683080">
      <w:bodyDiv w:val="1"/>
      <w:marLeft w:val="0"/>
      <w:marRight w:val="0"/>
      <w:marTop w:val="0"/>
      <w:marBottom w:val="0"/>
      <w:divBdr>
        <w:top w:val="none" w:sz="0" w:space="0" w:color="auto"/>
        <w:left w:val="none" w:sz="0" w:space="0" w:color="auto"/>
        <w:bottom w:val="none" w:sz="0" w:space="0" w:color="auto"/>
        <w:right w:val="none" w:sz="0" w:space="0" w:color="auto"/>
      </w:divBdr>
    </w:div>
    <w:div w:id="289365777">
      <w:bodyDiv w:val="1"/>
      <w:marLeft w:val="0"/>
      <w:marRight w:val="0"/>
      <w:marTop w:val="0"/>
      <w:marBottom w:val="0"/>
      <w:divBdr>
        <w:top w:val="none" w:sz="0" w:space="0" w:color="auto"/>
        <w:left w:val="none" w:sz="0" w:space="0" w:color="auto"/>
        <w:bottom w:val="none" w:sz="0" w:space="0" w:color="auto"/>
        <w:right w:val="none" w:sz="0" w:space="0" w:color="auto"/>
      </w:divBdr>
    </w:div>
    <w:div w:id="319581570">
      <w:bodyDiv w:val="1"/>
      <w:marLeft w:val="0"/>
      <w:marRight w:val="0"/>
      <w:marTop w:val="0"/>
      <w:marBottom w:val="0"/>
      <w:divBdr>
        <w:top w:val="none" w:sz="0" w:space="0" w:color="auto"/>
        <w:left w:val="none" w:sz="0" w:space="0" w:color="auto"/>
        <w:bottom w:val="none" w:sz="0" w:space="0" w:color="auto"/>
        <w:right w:val="none" w:sz="0" w:space="0" w:color="auto"/>
      </w:divBdr>
    </w:div>
    <w:div w:id="375080075">
      <w:bodyDiv w:val="1"/>
      <w:marLeft w:val="0"/>
      <w:marRight w:val="0"/>
      <w:marTop w:val="0"/>
      <w:marBottom w:val="0"/>
      <w:divBdr>
        <w:top w:val="none" w:sz="0" w:space="0" w:color="auto"/>
        <w:left w:val="none" w:sz="0" w:space="0" w:color="auto"/>
        <w:bottom w:val="none" w:sz="0" w:space="0" w:color="auto"/>
        <w:right w:val="none" w:sz="0" w:space="0" w:color="auto"/>
      </w:divBdr>
      <w:divsChild>
        <w:div w:id="1632051502">
          <w:marLeft w:val="0"/>
          <w:marRight w:val="0"/>
          <w:marTop w:val="0"/>
          <w:marBottom w:val="0"/>
          <w:divBdr>
            <w:top w:val="single" w:sz="2" w:space="0" w:color="E3E3E3"/>
            <w:left w:val="single" w:sz="2" w:space="0" w:color="E3E3E3"/>
            <w:bottom w:val="single" w:sz="2" w:space="0" w:color="E3E3E3"/>
            <w:right w:val="single" w:sz="2" w:space="0" w:color="E3E3E3"/>
          </w:divBdr>
          <w:divsChild>
            <w:div w:id="1375622573">
              <w:marLeft w:val="0"/>
              <w:marRight w:val="0"/>
              <w:marTop w:val="100"/>
              <w:marBottom w:val="100"/>
              <w:divBdr>
                <w:top w:val="single" w:sz="2" w:space="0" w:color="E3E3E3"/>
                <w:left w:val="single" w:sz="2" w:space="0" w:color="E3E3E3"/>
                <w:bottom w:val="single" w:sz="2" w:space="0" w:color="E3E3E3"/>
                <w:right w:val="single" w:sz="2" w:space="0" w:color="E3E3E3"/>
              </w:divBdr>
              <w:divsChild>
                <w:div w:id="574053057">
                  <w:marLeft w:val="0"/>
                  <w:marRight w:val="0"/>
                  <w:marTop w:val="0"/>
                  <w:marBottom w:val="0"/>
                  <w:divBdr>
                    <w:top w:val="single" w:sz="2" w:space="0" w:color="E3E3E3"/>
                    <w:left w:val="single" w:sz="2" w:space="0" w:color="E3E3E3"/>
                    <w:bottom w:val="single" w:sz="2" w:space="0" w:color="E3E3E3"/>
                    <w:right w:val="single" w:sz="2" w:space="0" w:color="E3E3E3"/>
                  </w:divBdr>
                  <w:divsChild>
                    <w:div w:id="250742558">
                      <w:marLeft w:val="0"/>
                      <w:marRight w:val="0"/>
                      <w:marTop w:val="0"/>
                      <w:marBottom w:val="0"/>
                      <w:divBdr>
                        <w:top w:val="single" w:sz="2" w:space="0" w:color="E3E3E3"/>
                        <w:left w:val="single" w:sz="2" w:space="0" w:color="E3E3E3"/>
                        <w:bottom w:val="single" w:sz="2" w:space="0" w:color="E3E3E3"/>
                        <w:right w:val="single" w:sz="2" w:space="0" w:color="E3E3E3"/>
                      </w:divBdr>
                      <w:divsChild>
                        <w:div w:id="136578679">
                          <w:marLeft w:val="0"/>
                          <w:marRight w:val="0"/>
                          <w:marTop w:val="0"/>
                          <w:marBottom w:val="0"/>
                          <w:divBdr>
                            <w:top w:val="single" w:sz="2" w:space="0" w:color="E3E3E3"/>
                            <w:left w:val="single" w:sz="2" w:space="0" w:color="E3E3E3"/>
                            <w:bottom w:val="single" w:sz="2" w:space="0" w:color="E3E3E3"/>
                            <w:right w:val="single" w:sz="2" w:space="0" w:color="E3E3E3"/>
                          </w:divBdr>
                          <w:divsChild>
                            <w:div w:id="1527332178">
                              <w:marLeft w:val="0"/>
                              <w:marRight w:val="0"/>
                              <w:marTop w:val="0"/>
                              <w:marBottom w:val="0"/>
                              <w:divBdr>
                                <w:top w:val="single" w:sz="2" w:space="0" w:color="E3E3E3"/>
                                <w:left w:val="single" w:sz="2" w:space="0" w:color="E3E3E3"/>
                                <w:bottom w:val="single" w:sz="2" w:space="0" w:color="E3E3E3"/>
                                <w:right w:val="single" w:sz="2" w:space="0" w:color="E3E3E3"/>
                              </w:divBdr>
                              <w:divsChild>
                                <w:div w:id="1518957832">
                                  <w:marLeft w:val="0"/>
                                  <w:marRight w:val="0"/>
                                  <w:marTop w:val="0"/>
                                  <w:marBottom w:val="0"/>
                                  <w:divBdr>
                                    <w:top w:val="single" w:sz="2" w:space="0" w:color="E3E3E3"/>
                                    <w:left w:val="single" w:sz="2" w:space="0" w:color="E3E3E3"/>
                                    <w:bottom w:val="single" w:sz="2" w:space="0" w:color="E3E3E3"/>
                                    <w:right w:val="single" w:sz="2" w:space="0" w:color="E3E3E3"/>
                                  </w:divBdr>
                                  <w:divsChild>
                                    <w:div w:id="676690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55565663">
      <w:bodyDiv w:val="1"/>
      <w:marLeft w:val="0"/>
      <w:marRight w:val="0"/>
      <w:marTop w:val="0"/>
      <w:marBottom w:val="0"/>
      <w:divBdr>
        <w:top w:val="none" w:sz="0" w:space="0" w:color="auto"/>
        <w:left w:val="none" w:sz="0" w:space="0" w:color="auto"/>
        <w:bottom w:val="none" w:sz="0" w:space="0" w:color="auto"/>
        <w:right w:val="none" w:sz="0" w:space="0" w:color="auto"/>
      </w:divBdr>
    </w:div>
    <w:div w:id="468209576">
      <w:bodyDiv w:val="1"/>
      <w:marLeft w:val="0"/>
      <w:marRight w:val="0"/>
      <w:marTop w:val="0"/>
      <w:marBottom w:val="0"/>
      <w:divBdr>
        <w:top w:val="none" w:sz="0" w:space="0" w:color="auto"/>
        <w:left w:val="none" w:sz="0" w:space="0" w:color="auto"/>
        <w:bottom w:val="none" w:sz="0" w:space="0" w:color="auto"/>
        <w:right w:val="none" w:sz="0" w:space="0" w:color="auto"/>
      </w:divBdr>
    </w:div>
    <w:div w:id="495606957">
      <w:bodyDiv w:val="1"/>
      <w:marLeft w:val="0"/>
      <w:marRight w:val="0"/>
      <w:marTop w:val="0"/>
      <w:marBottom w:val="0"/>
      <w:divBdr>
        <w:top w:val="none" w:sz="0" w:space="0" w:color="auto"/>
        <w:left w:val="none" w:sz="0" w:space="0" w:color="auto"/>
        <w:bottom w:val="none" w:sz="0" w:space="0" w:color="auto"/>
        <w:right w:val="none" w:sz="0" w:space="0" w:color="auto"/>
      </w:divBdr>
    </w:div>
    <w:div w:id="516770698">
      <w:bodyDiv w:val="1"/>
      <w:marLeft w:val="0"/>
      <w:marRight w:val="0"/>
      <w:marTop w:val="0"/>
      <w:marBottom w:val="0"/>
      <w:divBdr>
        <w:top w:val="none" w:sz="0" w:space="0" w:color="auto"/>
        <w:left w:val="none" w:sz="0" w:space="0" w:color="auto"/>
        <w:bottom w:val="none" w:sz="0" w:space="0" w:color="auto"/>
        <w:right w:val="none" w:sz="0" w:space="0" w:color="auto"/>
      </w:divBdr>
    </w:div>
    <w:div w:id="550504580">
      <w:bodyDiv w:val="1"/>
      <w:marLeft w:val="0"/>
      <w:marRight w:val="0"/>
      <w:marTop w:val="0"/>
      <w:marBottom w:val="0"/>
      <w:divBdr>
        <w:top w:val="none" w:sz="0" w:space="0" w:color="auto"/>
        <w:left w:val="none" w:sz="0" w:space="0" w:color="auto"/>
        <w:bottom w:val="none" w:sz="0" w:space="0" w:color="auto"/>
        <w:right w:val="none" w:sz="0" w:space="0" w:color="auto"/>
      </w:divBdr>
    </w:div>
    <w:div w:id="572397983">
      <w:bodyDiv w:val="1"/>
      <w:marLeft w:val="0"/>
      <w:marRight w:val="0"/>
      <w:marTop w:val="0"/>
      <w:marBottom w:val="0"/>
      <w:divBdr>
        <w:top w:val="none" w:sz="0" w:space="0" w:color="auto"/>
        <w:left w:val="none" w:sz="0" w:space="0" w:color="auto"/>
        <w:bottom w:val="none" w:sz="0" w:space="0" w:color="auto"/>
        <w:right w:val="none" w:sz="0" w:space="0" w:color="auto"/>
      </w:divBdr>
    </w:div>
    <w:div w:id="640117988">
      <w:bodyDiv w:val="1"/>
      <w:marLeft w:val="0"/>
      <w:marRight w:val="0"/>
      <w:marTop w:val="0"/>
      <w:marBottom w:val="0"/>
      <w:divBdr>
        <w:top w:val="none" w:sz="0" w:space="0" w:color="auto"/>
        <w:left w:val="none" w:sz="0" w:space="0" w:color="auto"/>
        <w:bottom w:val="none" w:sz="0" w:space="0" w:color="auto"/>
        <w:right w:val="none" w:sz="0" w:space="0" w:color="auto"/>
      </w:divBdr>
    </w:div>
    <w:div w:id="648558770">
      <w:bodyDiv w:val="1"/>
      <w:marLeft w:val="0"/>
      <w:marRight w:val="0"/>
      <w:marTop w:val="0"/>
      <w:marBottom w:val="0"/>
      <w:divBdr>
        <w:top w:val="none" w:sz="0" w:space="0" w:color="auto"/>
        <w:left w:val="none" w:sz="0" w:space="0" w:color="auto"/>
        <w:bottom w:val="none" w:sz="0" w:space="0" w:color="auto"/>
        <w:right w:val="none" w:sz="0" w:space="0" w:color="auto"/>
      </w:divBdr>
    </w:div>
    <w:div w:id="650251133">
      <w:bodyDiv w:val="1"/>
      <w:marLeft w:val="0"/>
      <w:marRight w:val="0"/>
      <w:marTop w:val="0"/>
      <w:marBottom w:val="0"/>
      <w:divBdr>
        <w:top w:val="none" w:sz="0" w:space="0" w:color="auto"/>
        <w:left w:val="none" w:sz="0" w:space="0" w:color="auto"/>
        <w:bottom w:val="none" w:sz="0" w:space="0" w:color="auto"/>
        <w:right w:val="none" w:sz="0" w:space="0" w:color="auto"/>
      </w:divBdr>
    </w:div>
    <w:div w:id="654994211">
      <w:bodyDiv w:val="1"/>
      <w:marLeft w:val="0"/>
      <w:marRight w:val="0"/>
      <w:marTop w:val="0"/>
      <w:marBottom w:val="0"/>
      <w:divBdr>
        <w:top w:val="none" w:sz="0" w:space="0" w:color="auto"/>
        <w:left w:val="none" w:sz="0" w:space="0" w:color="auto"/>
        <w:bottom w:val="none" w:sz="0" w:space="0" w:color="auto"/>
        <w:right w:val="none" w:sz="0" w:space="0" w:color="auto"/>
      </w:divBdr>
    </w:div>
    <w:div w:id="710227070">
      <w:bodyDiv w:val="1"/>
      <w:marLeft w:val="0"/>
      <w:marRight w:val="0"/>
      <w:marTop w:val="0"/>
      <w:marBottom w:val="0"/>
      <w:divBdr>
        <w:top w:val="none" w:sz="0" w:space="0" w:color="auto"/>
        <w:left w:val="none" w:sz="0" w:space="0" w:color="auto"/>
        <w:bottom w:val="none" w:sz="0" w:space="0" w:color="auto"/>
        <w:right w:val="none" w:sz="0" w:space="0" w:color="auto"/>
      </w:divBdr>
    </w:div>
    <w:div w:id="710492847">
      <w:bodyDiv w:val="1"/>
      <w:marLeft w:val="0"/>
      <w:marRight w:val="0"/>
      <w:marTop w:val="0"/>
      <w:marBottom w:val="0"/>
      <w:divBdr>
        <w:top w:val="none" w:sz="0" w:space="0" w:color="auto"/>
        <w:left w:val="none" w:sz="0" w:space="0" w:color="auto"/>
        <w:bottom w:val="none" w:sz="0" w:space="0" w:color="auto"/>
        <w:right w:val="none" w:sz="0" w:space="0" w:color="auto"/>
      </w:divBdr>
    </w:div>
    <w:div w:id="719936984">
      <w:bodyDiv w:val="1"/>
      <w:marLeft w:val="0"/>
      <w:marRight w:val="0"/>
      <w:marTop w:val="0"/>
      <w:marBottom w:val="0"/>
      <w:divBdr>
        <w:top w:val="none" w:sz="0" w:space="0" w:color="auto"/>
        <w:left w:val="none" w:sz="0" w:space="0" w:color="auto"/>
        <w:bottom w:val="none" w:sz="0" w:space="0" w:color="auto"/>
        <w:right w:val="none" w:sz="0" w:space="0" w:color="auto"/>
      </w:divBdr>
    </w:div>
    <w:div w:id="762920523">
      <w:bodyDiv w:val="1"/>
      <w:marLeft w:val="0"/>
      <w:marRight w:val="0"/>
      <w:marTop w:val="0"/>
      <w:marBottom w:val="0"/>
      <w:divBdr>
        <w:top w:val="none" w:sz="0" w:space="0" w:color="auto"/>
        <w:left w:val="none" w:sz="0" w:space="0" w:color="auto"/>
        <w:bottom w:val="none" w:sz="0" w:space="0" w:color="auto"/>
        <w:right w:val="none" w:sz="0" w:space="0" w:color="auto"/>
      </w:divBdr>
      <w:divsChild>
        <w:div w:id="235093661">
          <w:marLeft w:val="0"/>
          <w:marRight w:val="0"/>
          <w:marTop w:val="0"/>
          <w:marBottom w:val="0"/>
          <w:divBdr>
            <w:top w:val="none" w:sz="0" w:space="0" w:color="auto"/>
            <w:left w:val="none" w:sz="0" w:space="0" w:color="auto"/>
            <w:bottom w:val="none" w:sz="0" w:space="0" w:color="auto"/>
            <w:right w:val="none" w:sz="0" w:space="0" w:color="auto"/>
          </w:divBdr>
        </w:div>
      </w:divsChild>
    </w:div>
    <w:div w:id="814109198">
      <w:bodyDiv w:val="1"/>
      <w:marLeft w:val="0"/>
      <w:marRight w:val="0"/>
      <w:marTop w:val="0"/>
      <w:marBottom w:val="0"/>
      <w:divBdr>
        <w:top w:val="none" w:sz="0" w:space="0" w:color="auto"/>
        <w:left w:val="none" w:sz="0" w:space="0" w:color="auto"/>
        <w:bottom w:val="none" w:sz="0" w:space="0" w:color="auto"/>
        <w:right w:val="none" w:sz="0" w:space="0" w:color="auto"/>
      </w:divBdr>
    </w:div>
    <w:div w:id="846597448">
      <w:bodyDiv w:val="1"/>
      <w:marLeft w:val="0"/>
      <w:marRight w:val="0"/>
      <w:marTop w:val="0"/>
      <w:marBottom w:val="0"/>
      <w:divBdr>
        <w:top w:val="none" w:sz="0" w:space="0" w:color="auto"/>
        <w:left w:val="none" w:sz="0" w:space="0" w:color="auto"/>
        <w:bottom w:val="none" w:sz="0" w:space="0" w:color="auto"/>
        <w:right w:val="none" w:sz="0" w:space="0" w:color="auto"/>
      </w:divBdr>
    </w:div>
    <w:div w:id="848985004">
      <w:bodyDiv w:val="1"/>
      <w:marLeft w:val="0"/>
      <w:marRight w:val="0"/>
      <w:marTop w:val="0"/>
      <w:marBottom w:val="0"/>
      <w:divBdr>
        <w:top w:val="none" w:sz="0" w:space="0" w:color="auto"/>
        <w:left w:val="none" w:sz="0" w:space="0" w:color="auto"/>
        <w:bottom w:val="none" w:sz="0" w:space="0" w:color="auto"/>
        <w:right w:val="none" w:sz="0" w:space="0" w:color="auto"/>
      </w:divBdr>
    </w:div>
    <w:div w:id="958024333">
      <w:bodyDiv w:val="1"/>
      <w:marLeft w:val="0"/>
      <w:marRight w:val="0"/>
      <w:marTop w:val="0"/>
      <w:marBottom w:val="0"/>
      <w:divBdr>
        <w:top w:val="none" w:sz="0" w:space="0" w:color="auto"/>
        <w:left w:val="none" w:sz="0" w:space="0" w:color="auto"/>
        <w:bottom w:val="none" w:sz="0" w:space="0" w:color="auto"/>
        <w:right w:val="none" w:sz="0" w:space="0" w:color="auto"/>
      </w:divBdr>
    </w:div>
    <w:div w:id="1003506152">
      <w:bodyDiv w:val="1"/>
      <w:marLeft w:val="0"/>
      <w:marRight w:val="0"/>
      <w:marTop w:val="0"/>
      <w:marBottom w:val="0"/>
      <w:divBdr>
        <w:top w:val="none" w:sz="0" w:space="0" w:color="auto"/>
        <w:left w:val="none" w:sz="0" w:space="0" w:color="auto"/>
        <w:bottom w:val="none" w:sz="0" w:space="0" w:color="auto"/>
        <w:right w:val="none" w:sz="0" w:space="0" w:color="auto"/>
      </w:divBdr>
    </w:div>
    <w:div w:id="1167286473">
      <w:bodyDiv w:val="1"/>
      <w:marLeft w:val="0"/>
      <w:marRight w:val="0"/>
      <w:marTop w:val="0"/>
      <w:marBottom w:val="0"/>
      <w:divBdr>
        <w:top w:val="none" w:sz="0" w:space="0" w:color="auto"/>
        <w:left w:val="none" w:sz="0" w:space="0" w:color="auto"/>
        <w:bottom w:val="none" w:sz="0" w:space="0" w:color="auto"/>
        <w:right w:val="none" w:sz="0" w:space="0" w:color="auto"/>
      </w:divBdr>
      <w:divsChild>
        <w:div w:id="1404181281">
          <w:marLeft w:val="0"/>
          <w:marRight w:val="0"/>
          <w:marTop w:val="0"/>
          <w:marBottom w:val="0"/>
          <w:divBdr>
            <w:top w:val="none" w:sz="0" w:space="0" w:color="auto"/>
            <w:left w:val="none" w:sz="0" w:space="0" w:color="auto"/>
            <w:bottom w:val="none" w:sz="0" w:space="0" w:color="auto"/>
            <w:right w:val="none" w:sz="0" w:space="0" w:color="auto"/>
          </w:divBdr>
        </w:div>
      </w:divsChild>
    </w:div>
    <w:div w:id="1221788777">
      <w:bodyDiv w:val="1"/>
      <w:marLeft w:val="0"/>
      <w:marRight w:val="0"/>
      <w:marTop w:val="0"/>
      <w:marBottom w:val="0"/>
      <w:divBdr>
        <w:top w:val="none" w:sz="0" w:space="0" w:color="auto"/>
        <w:left w:val="none" w:sz="0" w:space="0" w:color="auto"/>
        <w:bottom w:val="none" w:sz="0" w:space="0" w:color="auto"/>
        <w:right w:val="none" w:sz="0" w:space="0" w:color="auto"/>
      </w:divBdr>
    </w:div>
    <w:div w:id="1353149678">
      <w:bodyDiv w:val="1"/>
      <w:marLeft w:val="0"/>
      <w:marRight w:val="0"/>
      <w:marTop w:val="0"/>
      <w:marBottom w:val="0"/>
      <w:divBdr>
        <w:top w:val="none" w:sz="0" w:space="0" w:color="auto"/>
        <w:left w:val="none" w:sz="0" w:space="0" w:color="auto"/>
        <w:bottom w:val="none" w:sz="0" w:space="0" w:color="auto"/>
        <w:right w:val="none" w:sz="0" w:space="0" w:color="auto"/>
      </w:divBdr>
      <w:divsChild>
        <w:div w:id="136457208">
          <w:marLeft w:val="0"/>
          <w:marRight w:val="0"/>
          <w:marTop w:val="0"/>
          <w:marBottom w:val="0"/>
          <w:divBdr>
            <w:top w:val="none" w:sz="0" w:space="0" w:color="auto"/>
            <w:left w:val="none" w:sz="0" w:space="0" w:color="auto"/>
            <w:bottom w:val="none" w:sz="0" w:space="0" w:color="auto"/>
            <w:right w:val="none" w:sz="0" w:space="0" w:color="auto"/>
          </w:divBdr>
        </w:div>
      </w:divsChild>
    </w:div>
    <w:div w:id="1423989793">
      <w:bodyDiv w:val="1"/>
      <w:marLeft w:val="0"/>
      <w:marRight w:val="0"/>
      <w:marTop w:val="0"/>
      <w:marBottom w:val="0"/>
      <w:divBdr>
        <w:top w:val="none" w:sz="0" w:space="0" w:color="auto"/>
        <w:left w:val="none" w:sz="0" w:space="0" w:color="auto"/>
        <w:bottom w:val="none" w:sz="0" w:space="0" w:color="auto"/>
        <w:right w:val="none" w:sz="0" w:space="0" w:color="auto"/>
      </w:divBdr>
    </w:div>
    <w:div w:id="1427535070">
      <w:bodyDiv w:val="1"/>
      <w:marLeft w:val="0"/>
      <w:marRight w:val="0"/>
      <w:marTop w:val="0"/>
      <w:marBottom w:val="0"/>
      <w:divBdr>
        <w:top w:val="none" w:sz="0" w:space="0" w:color="auto"/>
        <w:left w:val="none" w:sz="0" w:space="0" w:color="auto"/>
        <w:bottom w:val="none" w:sz="0" w:space="0" w:color="auto"/>
        <w:right w:val="none" w:sz="0" w:space="0" w:color="auto"/>
      </w:divBdr>
    </w:div>
    <w:div w:id="1494682941">
      <w:bodyDiv w:val="1"/>
      <w:marLeft w:val="0"/>
      <w:marRight w:val="0"/>
      <w:marTop w:val="0"/>
      <w:marBottom w:val="0"/>
      <w:divBdr>
        <w:top w:val="none" w:sz="0" w:space="0" w:color="auto"/>
        <w:left w:val="none" w:sz="0" w:space="0" w:color="auto"/>
        <w:bottom w:val="none" w:sz="0" w:space="0" w:color="auto"/>
        <w:right w:val="none" w:sz="0" w:space="0" w:color="auto"/>
      </w:divBdr>
    </w:div>
    <w:div w:id="1524974487">
      <w:bodyDiv w:val="1"/>
      <w:marLeft w:val="0"/>
      <w:marRight w:val="0"/>
      <w:marTop w:val="0"/>
      <w:marBottom w:val="0"/>
      <w:divBdr>
        <w:top w:val="none" w:sz="0" w:space="0" w:color="auto"/>
        <w:left w:val="none" w:sz="0" w:space="0" w:color="auto"/>
        <w:bottom w:val="none" w:sz="0" w:space="0" w:color="auto"/>
        <w:right w:val="none" w:sz="0" w:space="0" w:color="auto"/>
      </w:divBdr>
    </w:div>
    <w:div w:id="1592666839">
      <w:bodyDiv w:val="1"/>
      <w:marLeft w:val="0"/>
      <w:marRight w:val="0"/>
      <w:marTop w:val="0"/>
      <w:marBottom w:val="0"/>
      <w:divBdr>
        <w:top w:val="none" w:sz="0" w:space="0" w:color="auto"/>
        <w:left w:val="none" w:sz="0" w:space="0" w:color="auto"/>
        <w:bottom w:val="none" w:sz="0" w:space="0" w:color="auto"/>
        <w:right w:val="none" w:sz="0" w:space="0" w:color="auto"/>
      </w:divBdr>
    </w:div>
    <w:div w:id="1633097568">
      <w:bodyDiv w:val="1"/>
      <w:marLeft w:val="0"/>
      <w:marRight w:val="0"/>
      <w:marTop w:val="0"/>
      <w:marBottom w:val="0"/>
      <w:divBdr>
        <w:top w:val="none" w:sz="0" w:space="0" w:color="auto"/>
        <w:left w:val="none" w:sz="0" w:space="0" w:color="auto"/>
        <w:bottom w:val="none" w:sz="0" w:space="0" w:color="auto"/>
        <w:right w:val="none" w:sz="0" w:space="0" w:color="auto"/>
      </w:divBdr>
    </w:div>
    <w:div w:id="1719472952">
      <w:bodyDiv w:val="1"/>
      <w:marLeft w:val="0"/>
      <w:marRight w:val="0"/>
      <w:marTop w:val="0"/>
      <w:marBottom w:val="0"/>
      <w:divBdr>
        <w:top w:val="none" w:sz="0" w:space="0" w:color="auto"/>
        <w:left w:val="none" w:sz="0" w:space="0" w:color="auto"/>
        <w:bottom w:val="none" w:sz="0" w:space="0" w:color="auto"/>
        <w:right w:val="none" w:sz="0" w:space="0" w:color="auto"/>
      </w:divBdr>
    </w:div>
    <w:div w:id="1870874701">
      <w:bodyDiv w:val="1"/>
      <w:marLeft w:val="0"/>
      <w:marRight w:val="0"/>
      <w:marTop w:val="0"/>
      <w:marBottom w:val="0"/>
      <w:divBdr>
        <w:top w:val="none" w:sz="0" w:space="0" w:color="auto"/>
        <w:left w:val="none" w:sz="0" w:space="0" w:color="auto"/>
        <w:bottom w:val="none" w:sz="0" w:space="0" w:color="auto"/>
        <w:right w:val="none" w:sz="0" w:space="0" w:color="auto"/>
      </w:divBdr>
    </w:div>
    <w:div w:id="1884176292">
      <w:bodyDiv w:val="1"/>
      <w:marLeft w:val="0"/>
      <w:marRight w:val="0"/>
      <w:marTop w:val="0"/>
      <w:marBottom w:val="0"/>
      <w:divBdr>
        <w:top w:val="none" w:sz="0" w:space="0" w:color="auto"/>
        <w:left w:val="none" w:sz="0" w:space="0" w:color="auto"/>
        <w:bottom w:val="none" w:sz="0" w:space="0" w:color="auto"/>
        <w:right w:val="none" w:sz="0" w:space="0" w:color="auto"/>
      </w:divBdr>
    </w:div>
    <w:div w:id="1922983403">
      <w:bodyDiv w:val="1"/>
      <w:marLeft w:val="0"/>
      <w:marRight w:val="0"/>
      <w:marTop w:val="0"/>
      <w:marBottom w:val="0"/>
      <w:divBdr>
        <w:top w:val="none" w:sz="0" w:space="0" w:color="auto"/>
        <w:left w:val="none" w:sz="0" w:space="0" w:color="auto"/>
        <w:bottom w:val="none" w:sz="0" w:space="0" w:color="auto"/>
        <w:right w:val="none" w:sz="0" w:space="0" w:color="auto"/>
      </w:divBdr>
    </w:div>
    <w:div w:id="1949386487">
      <w:bodyDiv w:val="1"/>
      <w:marLeft w:val="0"/>
      <w:marRight w:val="0"/>
      <w:marTop w:val="0"/>
      <w:marBottom w:val="0"/>
      <w:divBdr>
        <w:top w:val="none" w:sz="0" w:space="0" w:color="auto"/>
        <w:left w:val="none" w:sz="0" w:space="0" w:color="auto"/>
        <w:bottom w:val="none" w:sz="0" w:space="0" w:color="auto"/>
        <w:right w:val="none" w:sz="0" w:space="0" w:color="auto"/>
      </w:divBdr>
    </w:div>
    <w:div w:id="1966688792">
      <w:bodyDiv w:val="1"/>
      <w:marLeft w:val="0"/>
      <w:marRight w:val="0"/>
      <w:marTop w:val="0"/>
      <w:marBottom w:val="0"/>
      <w:divBdr>
        <w:top w:val="none" w:sz="0" w:space="0" w:color="auto"/>
        <w:left w:val="none" w:sz="0" w:space="0" w:color="auto"/>
        <w:bottom w:val="none" w:sz="0" w:space="0" w:color="auto"/>
        <w:right w:val="none" w:sz="0" w:space="0" w:color="auto"/>
      </w:divBdr>
    </w:div>
    <w:div w:id="2022125941">
      <w:bodyDiv w:val="1"/>
      <w:marLeft w:val="0"/>
      <w:marRight w:val="0"/>
      <w:marTop w:val="0"/>
      <w:marBottom w:val="0"/>
      <w:divBdr>
        <w:top w:val="none" w:sz="0" w:space="0" w:color="auto"/>
        <w:left w:val="none" w:sz="0" w:space="0" w:color="auto"/>
        <w:bottom w:val="none" w:sz="0" w:space="0" w:color="auto"/>
        <w:right w:val="none" w:sz="0" w:space="0" w:color="auto"/>
      </w:divBdr>
    </w:div>
    <w:div w:id="2081440410">
      <w:bodyDiv w:val="1"/>
      <w:marLeft w:val="0"/>
      <w:marRight w:val="0"/>
      <w:marTop w:val="0"/>
      <w:marBottom w:val="0"/>
      <w:divBdr>
        <w:top w:val="none" w:sz="0" w:space="0" w:color="auto"/>
        <w:left w:val="none" w:sz="0" w:space="0" w:color="auto"/>
        <w:bottom w:val="none" w:sz="0" w:space="0" w:color="auto"/>
        <w:right w:val="none" w:sz="0" w:space="0" w:color="auto"/>
      </w:divBdr>
    </w:div>
    <w:div w:id="21058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ipo.int/edocs/pubdocs/en/wipo_pub_econstat_wp_10.pdf"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2136</TotalTime>
  <Pages>11</Pages>
  <Words>4508</Words>
  <Characters>25697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Xaverna Black</dc:creator>
  <cp:keywords/>
  <dc:description/>
  <cp:lastModifiedBy>Xaverna Black</cp:lastModifiedBy>
  <cp:revision>311</cp:revision>
  <dcterms:created xsi:type="dcterms:W3CDTF">2024-03-15T20:36:00Z</dcterms:created>
  <dcterms:modified xsi:type="dcterms:W3CDTF">2024-03-17T23:25:00Z</dcterms:modified>
</cp:coreProperties>
</file>