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Introduction</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In this assignment, I will create an intervention that will be implemented in Key Stage 2 at the end of the academic year, to help improve the transition from Year 6 to Year 7. From this, I will present my intervention to governors and academic markers in the format of a Powerpoint to demonstrate the main objectives and how it will be carried out.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Within this module, ECAD6001, the contents of the lectures have provided a vast insight in to the some current themes: transitions, pupil progress, children</w:t>
      </w:r>
      <w:r>
        <w:rPr>
          <w:rFonts w:ascii="Times New Roman" w:hAnsi="Times New Roman" w:hint="default"/>
          <w:sz w:val="24"/>
          <w:szCs w:val="24"/>
          <w:rtl w:val="0"/>
          <w:lang w:val="en-US"/>
        </w:rPr>
        <w:t>’</w:t>
      </w:r>
      <w:r>
        <w:rPr>
          <w:rFonts w:ascii="Times New Roman" w:hAnsi="Times New Roman"/>
          <w:sz w:val="24"/>
          <w:szCs w:val="24"/>
          <w:rtl w:val="0"/>
          <w:lang w:val="en-US"/>
        </w:rPr>
        <w:t>s right, poverty and interventions. These lectures, have helped construct ideas and issues which will be brought to attention in this assignment. To do this, I have collated information and statistics from government, consortia and local authority documents. These documents underpin and provide evidence to support the decisions made and actions taken when creating this intervention.</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School Context </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School A is a relatively small school in the Powys local authority which opened in 2012. Following an inspection in 2015, there were 210 pupils on roll. There are 10 mixed age classes which includes three specialist teaching facilities for children with additional learning needs. The children in these facilities range from reception age to Year 6 and have been drawn from other schools within the region. Majority of pupils are of white British ethnicity and speak English as their language at home. The number of pupils that are eligible for free school meals is well above the Wales average (20%), with 35% of children eligible. It has also been identified by the school that 37% of pupils have additional learning needs, where as the national average is 25%.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When inspected School A were ranked 21st out of a total of 84 primary schools in Powys in terms of school budget per pupil. This meant that the individual school budget per pupil was </w:t>
      </w:r>
      <w:r>
        <w:rPr>
          <w:rFonts w:ascii="Times New Roman" w:hAnsi="Times New Roman" w:hint="default"/>
          <w:sz w:val="24"/>
          <w:szCs w:val="24"/>
          <w:rtl w:val="0"/>
          <w:lang w:val="en-US"/>
        </w:rPr>
        <w:t>£</w:t>
      </w:r>
      <w:r>
        <w:rPr>
          <w:rFonts w:ascii="Times New Roman" w:hAnsi="Times New Roman"/>
          <w:sz w:val="24"/>
          <w:szCs w:val="24"/>
          <w:rtl w:val="0"/>
          <w:lang w:val="en-US"/>
        </w:rPr>
        <w:t xml:space="preserve">4,189 for 2015-2015. Since then, the budget per pupil has dropped in 2018-2019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4057 but has a financial reserve </w:t>
      </w:r>
      <w:r>
        <w:rPr>
          <w:rFonts w:ascii="Times New Roman" w:hAnsi="Times New Roman" w:hint="default"/>
          <w:sz w:val="24"/>
          <w:szCs w:val="24"/>
          <w:rtl w:val="0"/>
          <w:lang w:val="en-US"/>
        </w:rPr>
        <w:t>£</w:t>
      </w:r>
      <w:r>
        <w:rPr>
          <w:rFonts w:ascii="Times New Roman" w:hAnsi="Times New Roman"/>
          <w:sz w:val="24"/>
          <w:szCs w:val="24"/>
          <w:rtl w:val="0"/>
          <w:lang w:val="en-US"/>
        </w:rPr>
        <w:t>78,000, which is more than double in 2015-2018 (Welsh Government, 2019).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According to Estyn (2016), there is a strong link with the local secondary school which helps with a smoother transition each year. After carrying out personal research within the school, on the transition from Year 6 to Year 7, it was made apparent that the children would visit the secondary school a maximum of twice as a whole year group. There would also be additional days but would only be available to a small number of pupils and different groups such as the school orchestra.</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Intervention</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Symonds (2015) believed that, targeting a whole year group, in regards to an intervention, will build resilience for more vulnerable children. With this taken in to consideration</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 xml:space="preserve">and from the personal research carried out, it was decided that there needed to be more emphasis on a whole year group approach. As previously mentioned, it has been stated that School A has strong links with the local secondary school, which lead to the the possibility of making the link even stronger between schools whilst benefiting the children. The intervention to be put in to place would be a series of literacy </w:t>
      </w:r>
      <w:r>
        <w:rPr>
          <w:rFonts w:ascii="Times New Roman" w:hAnsi="Times New Roman" w:hint="default"/>
          <w:sz w:val="24"/>
          <w:szCs w:val="24"/>
          <w:rtl w:val="0"/>
          <w:lang w:val="en-US"/>
        </w:rPr>
        <w:t>‘</w:t>
      </w:r>
      <w:r>
        <w:rPr>
          <w:rFonts w:ascii="Times New Roman" w:hAnsi="Times New Roman"/>
          <w:sz w:val="24"/>
          <w:szCs w:val="24"/>
          <w:rtl w:val="0"/>
          <w:lang w:val="en-US"/>
        </w:rPr>
        <w:t>WOW</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days based on stories by Roald Dahl, where the Year 6 children would take the school mini-bus to the local secondary school most Wednesday afternoons in the second half of the summer term. This intervention will seek to improve the literacy standards of these children and aid to close the attainment gap which coincides with one of the Welsh Government</w:t>
      </w:r>
      <w:r>
        <w:rPr>
          <w:rFonts w:ascii="Times New Roman" w:hAnsi="Times New Roman" w:hint="default"/>
          <w:sz w:val="24"/>
          <w:szCs w:val="24"/>
          <w:rtl w:val="0"/>
          <w:lang w:val="en-US"/>
        </w:rPr>
        <w:t>’</w:t>
      </w:r>
      <w:r>
        <w:rPr>
          <w:rFonts w:ascii="Times New Roman" w:hAnsi="Times New Roman"/>
          <w:sz w:val="24"/>
          <w:szCs w:val="24"/>
          <w:rtl w:val="0"/>
          <w:lang w:val="en-US"/>
        </w:rPr>
        <w:t>s (2017c) four key themes (Ambitious and Learning). These extra days will be implemented in the hope that the children will gain further knowledge in literacy but will also help with the children</w:t>
      </w:r>
      <w:r>
        <w:rPr>
          <w:rFonts w:ascii="Times New Roman" w:hAnsi="Times New Roman" w:hint="default"/>
          <w:sz w:val="24"/>
          <w:szCs w:val="24"/>
          <w:rtl w:val="0"/>
          <w:lang w:val="en-US"/>
        </w:rPr>
        <w:t>’</w:t>
      </w:r>
      <w:r>
        <w:rPr>
          <w:rFonts w:ascii="Times New Roman" w:hAnsi="Times New Roman"/>
          <w:sz w:val="24"/>
          <w:szCs w:val="24"/>
          <w:rtl w:val="0"/>
          <w:lang w:val="en-US"/>
        </w:rPr>
        <w:t>s integration in to the school in the future. This is also in line with the future intentions of Welsh Government (2017a) and Donaldson</w:t>
      </w:r>
      <w:r>
        <w:rPr>
          <w:rFonts w:ascii="Times New Roman" w:hAnsi="Times New Roman" w:hint="default"/>
          <w:sz w:val="24"/>
          <w:szCs w:val="24"/>
          <w:rtl w:val="0"/>
          <w:lang w:val="en-US"/>
        </w:rPr>
        <w:t>’</w:t>
      </w:r>
      <w:r>
        <w:rPr>
          <w:rFonts w:ascii="Times New Roman" w:hAnsi="Times New Roman"/>
          <w:sz w:val="24"/>
          <w:szCs w:val="24"/>
          <w:rtl w:val="0"/>
          <w:lang w:val="en-US"/>
        </w:rPr>
        <w:t>s (2015) beliefs, where they wish to acquire high relevant literacy skills for the pupils.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The intervention would be set to take place every Wednesday in the second half of the summer term, so that the children would not have a long period of time between the transition from their primary school to secondary school. It has been created for two reasons, the first being in relation to the Welsh Government (2017b) priorities and the second in response to a point made by Donaldson (2015). The Welsh Government (2017b) conclude that, the national strategy aim to drive up every pupil</w:t>
      </w:r>
      <w:r>
        <w:rPr>
          <w:rFonts w:ascii="Times New Roman" w:hAnsi="Times New Roman" w:hint="default"/>
          <w:sz w:val="24"/>
          <w:szCs w:val="24"/>
          <w:rtl w:val="0"/>
          <w:lang w:val="en-US"/>
        </w:rPr>
        <w:t>’</w:t>
      </w:r>
      <w:r>
        <w:rPr>
          <w:rFonts w:ascii="Times New Roman" w:hAnsi="Times New Roman"/>
          <w:sz w:val="24"/>
          <w:szCs w:val="24"/>
          <w:rtl w:val="0"/>
          <w:lang w:val="en-US"/>
        </w:rPr>
        <w:t xml:space="preserve">s attainment. Taking this in to consideration, the hope is that the children gain extra help with their literacy skills, in an engaging and safe manner, before making the move to secondary school. By creating an engaging environment it hopes to keep children focussed and on task when taking part in the activities. An engaging and safe environment can be crucial during this transition period as there can be a danger of the children becoming disengaged. </w:t>
      </w:r>
      <w:r>
        <w:rPr>
          <w:rFonts w:ascii="Times New Roman" w:hAnsi="Times New Roman"/>
          <w:sz w:val="24"/>
          <w:szCs w:val="24"/>
          <w:rtl w:val="0"/>
        </w:rPr>
        <w:t>Fredricks, Blumenfeld &amp; Paris (2004)</w:t>
      </w:r>
      <w:r>
        <w:rPr>
          <w:rFonts w:ascii="Times New Roman" w:hAnsi="Times New Roman"/>
          <w:sz w:val="24"/>
          <w:szCs w:val="24"/>
          <w:rtl w:val="0"/>
          <w:lang w:val="en-US"/>
        </w:rPr>
        <w:t>, separated disengagement in to three main factors: behavioural, emotional and cognitive engagement. Even though each factor has strong links with each other, the intervention looks to address the emotional side of disengagement. Emotional engagement involves how the pupil reacts with the teachers and the school environment, which in turn involves the pupil</w:t>
      </w:r>
      <w:r>
        <w:rPr>
          <w:rFonts w:ascii="Times New Roman" w:hAnsi="Times New Roman" w:hint="default"/>
          <w:sz w:val="24"/>
          <w:szCs w:val="24"/>
          <w:rtl w:val="0"/>
          <w:lang w:val="en-US"/>
        </w:rPr>
        <w:t>’</w:t>
      </w:r>
      <w:r>
        <w:rPr>
          <w:rFonts w:ascii="Times New Roman" w:hAnsi="Times New Roman"/>
          <w:sz w:val="24"/>
          <w:szCs w:val="24"/>
          <w:rtl w:val="0"/>
          <w:lang w:val="en-US"/>
        </w:rPr>
        <w:t>s want to learn.</w:t>
      </w:r>
      <w:r>
        <w:rPr>
          <w:rFonts w:ascii="Times New Roman" w:hAnsi="Times New Roman"/>
          <w:outline w:val="0"/>
          <w:color w:val="ed220b"/>
          <w:sz w:val="24"/>
          <w:szCs w:val="24"/>
          <w:rtl w:val="0"/>
          <w:lang w:val="en-US"/>
          <w14:textFill>
            <w14:solidFill>
              <w14:srgbClr w14:val="EE220C"/>
            </w14:solidFill>
          </w14:textFill>
        </w:rPr>
        <w:t xml:space="preserve"> </w:t>
      </w:r>
      <w:r>
        <w:rPr>
          <w:rFonts w:ascii="Times New Roman" w:hAnsi="Times New Roman"/>
          <w:sz w:val="24"/>
          <w:szCs w:val="24"/>
          <w:rtl w:val="0"/>
          <w:lang w:val="en-US"/>
        </w:rPr>
        <w:t>Donaldson (2015) made it clear that, there are noticeable, negative effects during the transition period between Key Stage 2 and Key Stage 3. He believes that reasons behind these negative effects could be due to the change in philosophy or the approach to the transition point itself.</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In the first visit to the secondary school, the children will meet Year 7 pupils that will have volunteered or been chosen to help out with this programme. During this first visit the children will get a chance get to know these children on a more casual level so that the children feel more comfortable in the new environment. As well as this, the children will also get a tour of the school so that they become familiar with their surroundings. A study of 2000 pupils, carried out by </w:t>
      </w:r>
      <w:r>
        <w:rPr>
          <w:rFonts w:ascii="Times New Roman" w:hAnsi="Times New Roman"/>
          <w:sz w:val="24"/>
          <w:szCs w:val="24"/>
          <w:rtl w:val="0"/>
          <w:lang w:val="en-US"/>
        </w:rPr>
        <w:t>UCL Psychology and Language Sciences</w:t>
      </w:r>
      <w:r>
        <w:rPr>
          <w:rFonts w:ascii="Times New Roman" w:hAnsi="Times New Roman"/>
          <w:sz w:val="24"/>
          <w:szCs w:val="24"/>
          <w:rtl w:val="0"/>
          <w:lang w:val="en-US"/>
        </w:rPr>
        <w:t xml:space="preserve"> (2016), shows </w:t>
      </w:r>
      <w:r>
        <w:rPr>
          <w:rFonts w:ascii="Times New Roman" w:hAnsi="Times New Roman"/>
          <w:sz w:val="24"/>
          <w:szCs w:val="24"/>
          <w:rtl w:val="0"/>
          <w:lang w:val="en-US"/>
        </w:rPr>
        <w:t>transition-related concerns of pupils and their parents</w:t>
      </w:r>
      <w:r>
        <w:rPr>
          <w:rFonts w:ascii="Times New Roman" w:hAnsi="Times New Roman"/>
          <w:sz w:val="24"/>
          <w:szCs w:val="24"/>
          <w:rtl w:val="0"/>
          <w:lang w:val="en-US"/>
        </w:rPr>
        <w:t xml:space="preserve"> and tells us that the second highest ranked concern for both children and parents was getting lost in the school (Appendix 3). By placing a tour of the school in this visit should hopefully lower this statistic.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In the following visit, the children will be introduced to a volunteer that will read the children a story, by Roald Dahl, of their choice. Using a volunteer would be one way of keeping the cost of the intervention lower. By giving the choice to the children, it also gives them a voice and allows them to have some sort of control over what they are going to learn (Unicef, 2011). This reading group allows the children to develop their listening and questioning skills during a group activity. The activity will not only promote the children to speak clearly and use formal language but will also them to respond to each other using questioning techniques (Welsh Government, 2016). Following this session, the children will be asked to choose a Roald Dahl book of their choice, again making sure the children have their own input in to their learning, and create a character that they think will fit in to the story. Once they have completed this work they will bring it to the next visit to work on another skill within literacy.</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The next visit, the children will get the chance to work in the hall in the secondary school so that they can familiarise themselves with another part of the school before they move up. The children will be split in to even groups and will have the supervision of one of the Year 7 volunteers, this is so that they can hopefully view this child as a role model. The children will then take it in turn to present the book they have chosen to the group and what character they have created. By participating in this activity the children will be working on expressing their ideas clearly and using adventurous and creative vocabulary accurately (Welsh Government, 2016). This activity allows the children to think creatively and build of an idea they have. In these same groups the children will have to pick one of the books and then create a script for a scene that they will create to use in the book. During the week the children will have a chance look over their own work as a group and decide what they could do better. This give the children the opportunity to redraft their on work and also peer assess what they have completed. This is one aspect of literacy that was recommended for improvement by ESTYN (2016) during the school inspection.</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In the last session, the children will have written their scripts and given each other parts to play in their scene. They will get the opportunity to act out the scene they have created in front of the other children, who will be able to ask questions about what they have created. This activity allows the children to adapt the structure of their writing to purpose and use a wide range of structure and vocabulary with precision (Welsh Government, 2016).</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 There is a lot of research which makes it evident that there are negative impacts when children move from one phase to another, including Key Stage 2 to Key Stage 3, which can have a direct affect on the children later on in life. Major issues stemming from a bad transition experience include depression, self-esteem issues and academic achievement </w:t>
      </w:r>
      <w:r>
        <w:rPr>
          <w:rFonts w:ascii="Times New Roman" w:hAnsi="Times New Roman"/>
          <w:sz w:val="24"/>
          <w:szCs w:val="24"/>
          <w:rtl w:val="0"/>
        </w:rPr>
        <w:t>(West et al., 2008).</w:t>
      </w:r>
      <w:r>
        <w:rPr>
          <w:rFonts w:ascii="Times New Roman" w:hAnsi="Times New Roman"/>
          <w:sz w:val="24"/>
          <w:szCs w:val="24"/>
          <w:rtl w:val="0"/>
          <w:lang w:val="en-US"/>
        </w:rPr>
        <w:t xml:space="preserve"> As well as psychological issues, the children will also be faced with social challenges such as new interactions with teachers and other pupils </w:t>
      </w:r>
      <w:r>
        <w:rPr>
          <w:rFonts w:ascii="Times New Roman" w:hAnsi="Times New Roman"/>
          <w:sz w:val="24"/>
          <w:szCs w:val="24"/>
          <w:rtl w:val="0"/>
        </w:rPr>
        <w:t>(Anderson, Jacobs, Schramm &amp; Splittgerber, 2000).</w:t>
      </w:r>
      <w:r>
        <w:rPr>
          <w:rFonts w:ascii="Times New Roman" w:hAnsi="Times New Roman"/>
          <w:sz w:val="24"/>
          <w:szCs w:val="24"/>
          <w:rtl w:val="0"/>
          <w:lang w:val="en-US"/>
        </w:rPr>
        <w:t xml:space="preserve"> The aim of my intervention is to allow a more personal transition for the Year 6 children, so that they can feel more of a part of the secondary school before they make the initial move.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Linking to Bronfenbrenner</w:t>
      </w:r>
      <w:r>
        <w:rPr>
          <w:rFonts w:ascii="Times New Roman" w:hAnsi="Times New Roman" w:hint="default"/>
          <w:sz w:val="24"/>
          <w:szCs w:val="24"/>
          <w:rtl w:val="0"/>
          <w:lang w:val="en-US"/>
        </w:rPr>
        <w:t>’</w:t>
      </w:r>
      <w:r>
        <w:rPr>
          <w:rFonts w:ascii="Times New Roman" w:hAnsi="Times New Roman"/>
          <w:sz w:val="24"/>
          <w:szCs w:val="24"/>
          <w:rtl w:val="0"/>
          <w:lang w:val="en-US"/>
        </w:rPr>
        <w:t>s (1979) Ecological Systems Theory, these visits to the secondary school also aim to create relationships with the teachers and a stronger bond with their peers. Within Bronfenbrenner</w:t>
      </w:r>
      <w:r>
        <w:rPr>
          <w:rFonts w:ascii="Times New Roman" w:hAnsi="Times New Roman" w:hint="default"/>
          <w:sz w:val="24"/>
          <w:szCs w:val="24"/>
          <w:rtl w:val="0"/>
          <w:lang w:val="en-US"/>
        </w:rPr>
        <w:t>’</w:t>
      </w:r>
      <w:r>
        <w:rPr>
          <w:rFonts w:ascii="Times New Roman" w:hAnsi="Times New Roman"/>
          <w:sz w:val="24"/>
          <w:szCs w:val="24"/>
          <w:rtl w:val="0"/>
          <w:lang w:val="en-US"/>
        </w:rPr>
        <w:t>s work, the child is at the centre of the diagram with teachers, family and peer group in the immediate circle, this being the macrosystem. Drawing from these insights, the macrosystem holds the most important part of a child</w:t>
      </w:r>
      <w:r>
        <w:rPr>
          <w:rFonts w:ascii="Times New Roman" w:hAnsi="Times New Roman" w:hint="default"/>
          <w:sz w:val="24"/>
          <w:szCs w:val="24"/>
          <w:rtl w:val="0"/>
          <w:lang w:val="en-US"/>
        </w:rPr>
        <w:t>’</w:t>
      </w:r>
      <w:r>
        <w:rPr>
          <w:rFonts w:ascii="Times New Roman" w:hAnsi="Times New Roman"/>
          <w:sz w:val="24"/>
          <w:szCs w:val="24"/>
          <w:rtl w:val="0"/>
          <w:lang w:val="en-US"/>
        </w:rPr>
        <w:t>s life meaning that they will play a major role when the child is to make the transition from Key Stage 2 to Key Stage 3. The intervention will coincide with these views of Bronfenbrenner as the children will be working closely with the members of staff running the programme as well as their peers. These relationships will help make the transition far easier for the children when the time comes.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This intervention is just one of many strategies that can be implemented during this transition phase. Another strategy being a circle time activity, where a member of staff from the secondary school comes in to the Year 6 class to answer any questions or concerns the children have about moving. This is a simple but effective strategy, as the children will get to know a more senior member of the comprehensive school and may alleviate some of the stress they would feel about getting to know their new teachers. As mentioned previously, a buddy system can be put in place for the Year 6 children when they move up so they have someone they can go to if they have any questions or problems. The intervention mentioned above mean that the children already have pupils that they can recognise in the school when they are settling in to the new setting. Another strategy that has been proved beneficial to a transition from Key Stage 2 to Key Stage 3 is individual pupil profiles or a one page profile written by the children on the first day they get to school in September. These profiles will help not only the children, but will also help the teachers get to know the children on a more personal level so that they are able to help if any problems to occur.</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Evaluation </w:t>
      </w: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This activity has provided an opportunity for me to be able to deliberate as to what challenges and issues will be apparent from an early stage in my teaching career. It has given me an insight in to what will be asked of me and how to respond to these demands. By using government documents and aims, it has allowed me to create a strategy to improve the learning of pupils. In line with Welsh Government (2009), it gave me the skill to contribute to the wider development of the chosen school.</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It has also allowed me to gain a deeper understanding of children</w:t>
      </w:r>
      <w:r>
        <w:rPr>
          <w:rFonts w:ascii="Times New Roman" w:hAnsi="Times New Roman" w:hint="default"/>
          <w:sz w:val="24"/>
          <w:szCs w:val="24"/>
          <w:rtl w:val="0"/>
          <w:lang w:val="en-US"/>
        </w:rPr>
        <w:t>’</w:t>
      </w:r>
      <w:r>
        <w:rPr>
          <w:rFonts w:ascii="Times New Roman" w:hAnsi="Times New Roman"/>
          <w:sz w:val="24"/>
          <w:szCs w:val="24"/>
          <w:rtl w:val="0"/>
          <w:lang w:val="en-US"/>
        </w:rPr>
        <w:t>s rights (Unicef, 1989) and well-being (Welsh Government, 2015) of children during sensitive times of their education. It has made me aware, that there are different interventions and programmes put in place to help children deal with, or protect them from, situations that can be emotionally challenging for them.</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The activity has given me an insight in to not only the challenges of transitions, but also strategies of how to overcome these by leading a school development which is referred to in Estyn (2016) and is also Welsh Government (2009). Along with this I have been able to observe recent work and studies (Welsh Government, 2017a) in this area of education that will most certainly help me in the future.</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On a whole, this approach has supplied me with tools to help me develop my reflective practice to my professional values. This has been achieved by reviewing different government documents to help with my teaching, such as Estyn (2016) publications and a number Welsh Assembly documents.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Bibliography</w:t>
      </w:r>
      <w:r>
        <w:rPr>
          <w:rFonts w:ascii="Arial Unicode MS" w:cs="Arial Unicode MS" w:hAnsi="Arial Unicode MS" w:eastAsia="Arial Unicode MS"/>
          <w:b w:val="0"/>
          <w:bCs w:val="0"/>
          <w:i w:val="0"/>
          <w:iCs w:val="0"/>
          <w:sz w:val="28"/>
          <w:szCs w:val="28"/>
          <w:u w:val="single"/>
        </w:rPr>
        <w:br w:type="textWrapping"/>
      </w:r>
    </w:p>
    <w:p>
      <w:pPr>
        <w:pStyle w:val="Caption"/>
        <w:tabs>
          <w:tab w:val="left" w:pos="1440"/>
          <w:tab w:val="left" w:pos="2880"/>
          <w:tab w:val="left" w:pos="4320"/>
          <w:tab w:val="left" w:pos="5760"/>
          <w:tab w:val="left" w:pos="7200"/>
          <w:tab w:val="left" w:pos="8640"/>
          <w:tab w:val="clear" w:pos="1150"/>
        </w:tabs>
        <w:suppressAutoHyphens w:val="1"/>
        <w:spacing w:line="360" w:lineRule="auto"/>
        <w:jc w:val="left"/>
        <w:outlineLvl w:val="0"/>
        <w:rPr>
          <w:rFonts w:ascii="Times New Roman" w:cs="Times New Roman" w:hAnsi="Times New Roman" w:eastAsia="Times New Roman"/>
          <w:b w:val="0"/>
          <w:bCs w:val="0"/>
          <w:caps w:val="0"/>
          <w:smallCaps w:val="0"/>
          <w:outline w:val="0"/>
          <w:color w:val="ffffff"/>
          <w:sz w:val="24"/>
          <w:szCs w:val="24"/>
          <w14:textOutline w14:w="12700" w14:cap="flat">
            <w14:noFill/>
            <w14:miter w14:lim="400000"/>
          </w14:textOutline>
          <w14:textFill>
            <w14:solidFill>
              <w14:srgbClr w14:val="FFFFFF"/>
            </w14:solidFill>
          </w14:textFill>
        </w:rPr>
      </w:pPr>
    </w:p>
    <w:p>
      <w:pPr>
        <w:pStyle w:val="Table Style 2"/>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Anderson, L.W., Jacobs, J., Schramm, S., &amp; Splittgerber, F. (2000) School transitions: beginning of the end or a new beginning? International Journal of Education, 33, 325-339.</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Bronfenbrenner, U (1979) The ecology of human development: Experiments by nature and design. Cambridge, MA: Harvard University Press.</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Table Style 2"/>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Crafter, Sarah and Maunder, Rachel (2012) Understanding transitions using a sociocultural framework. Educational and Child Psychology, 29(1) pp. 10</w:t>
      </w:r>
      <w:r>
        <w:rPr>
          <w:rFonts w:ascii="Times New Roman" w:hAnsi="Times New Roman" w:hint="default"/>
          <w:sz w:val="24"/>
          <w:szCs w:val="24"/>
          <w:rtl w:val="0"/>
        </w:rPr>
        <w:t>–</w:t>
      </w:r>
      <w:r>
        <w:rPr>
          <w:rFonts w:ascii="Times New Roman" w:hAnsi="Times New Roman"/>
          <w:sz w:val="24"/>
          <w:szCs w:val="24"/>
          <w:rtl w:val="0"/>
        </w:rPr>
        <w:t>18.</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Table Style 2"/>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DfEE (2000) </w:t>
      </w:r>
      <w:r>
        <w:rPr>
          <w:rFonts w:ascii="Times New Roman" w:hAnsi="Times New Roman"/>
          <w:sz w:val="24"/>
          <w:szCs w:val="24"/>
          <w:rtl w:val="0"/>
          <w:lang w:val="en-US"/>
        </w:rPr>
        <w:t>National Literacy and Numeracy Strategies: Guidance on Teaching Able Children</w:t>
      </w:r>
      <w:r>
        <w:rPr>
          <w:rFonts w:ascii="Times New Roman" w:hAnsi="Times New Roman"/>
          <w:sz w:val="24"/>
          <w:szCs w:val="24"/>
          <w:rtl w:val="0"/>
          <w:lang w:val="en-US"/>
        </w:rPr>
        <w:t>. DfEE Publications 2000.</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Donaldson, G (2015) Successful Futures. Cardiff: WAG</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Estyn (2016) </w:t>
      </w:r>
      <w:r>
        <w:rPr>
          <w:rFonts w:ascii="Times New Roman" w:hAnsi="Times New Roman"/>
          <w:sz w:val="24"/>
          <w:szCs w:val="24"/>
          <w:rtl w:val="0"/>
          <w:lang w:val="en-US"/>
        </w:rPr>
        <w:t>A report on</w:t>
      </w:r>
      <w:r>
        <w:rPr>
          <w:rFonts w:ascii="Times New Roman" w:hAnsi="Times New Roman"/>
          <w:sz w:val="24"/>
          <w:szCs w:val="24"/>
          <w:rtl w:val="0"/>
          <w:lang w:val="en-US"/>
        </w:rPr>
        <w:t xml:space="preserve"> </w:t>
      </w:r>
      <w:r>
        <w:rPr>
          <w:rFonts w:ascii="Times New Roman" w:hAnsi="Times New Roman"/>
          <w:sz w:val="24"/>
          <w:szCs w:val="24"/>
          <w:rtl w:val="0"/>
          <w:lang w:val="es-ES_tradnl"/>
        </w:rPr>
        <w:t>Ysgol Golwg Y Cwm</w:t>
      </w:r>
      <w:r>
        <w:rPr>
          <w:rFonts w:ascii="Times New Roman" w:hAnsi="Times New Roman"/>
          <w:sz w:val="24"/>
          <w:szCs w:val="24"/>
          <w:rtl w:val="0"/>
          <w:lang w:val="en-US"/>
        </w:rPr>
        <w:t>,</w:t>
      </w:r>
      <w:r>
        <w:rPr>
          <w:rFonts w:ascii="Times New Roman" w:hAnsi="Times New Roman"/>
          <w:sz w:val="24"/>
          <w:szCs w:val="24"/>
          <w:rtl w:val="0"/>
          <w:lang w:val="fr-FR"/>
        </w:rPr>
        <w:t xml:space="preserve"> Hendre Ladus</w:t>
      </w:r>
      <w:r>
        <w:rPr>
          <w:rFonts w:ascii="Times New Roman" w:hAnsi="Times New Roman"/>
          <w:sz w:val="24"/>
          <w:szCs w:val="24"/>
          <w:rtl w:val="0"/>
          <w:lang w:val="en-US"/>
        </w:rPr>
        <w:t xml:space="preserve">, </w:t>
      </w:r>
      <w:r>
        <w:rPr>
          <w:rFonts w:ascii="Times New Roman" w:hAnsi="Times New Roman"/>
          <w:sz w:val="24"/>
          <w:szCs w:val="24"/>
          <w:rtl w:val="0"/>
        </w:rPr>
        <w:t>Ystradgynlais</w:t>
      </w:r>
      <w:r>
        <w:rPr>
          <w:rFonts w:ascii="Times New Roman" w:hAnsi="Times New Roman"/>
          <w:sz w:val="24"/>
          <w:szCs w:val="24"/>
          <w:rtl w:val="0"/>
          <w:lang w:val="en-US"/>
        </w:rPr>
        <w:t xml:space="preserve">, </w:t>
      </w:r>
      <w:r>
        <w:rPr>
          <w:rFonts w:ascii="Times New Roman" w:hAnsi="Times New Roman"/>
          <w:sz w:val="24"/>
          <w:szCs w:val="24"/>
          <w:rtl w:val="0"/>
          <w:lang w:val="nl-NL"/>
        </w:rPr>
        <w:t>Swansea</w:t>
      </w:r>
      <w:r>
        <w:rPr>
          <w:rFonts w:ascii="Times New Roman" w:hAnsi="Times New Roman"/>
          <w:sz w:val="24"/>
          <w:szCs w:val="24"/>
          <w:rtl w:val="0"/>
          <w:lang w:val="en-US"/>
        </w:rPr>
        <w:t xml:space="preserve">, </w:t>
      </w:r>
      <w:r>
        <w:rPr>
          <w:rFonts w:ascii="Times New Roman" w:hAnsi="Times New Roman"/>
          <w:sz w:val="24"/>
          <w:szCs w:val="24"/>
          <w:rtl w:val="0"/>
        </w:rPr>
        <w:t>SA9 1SE</w:t>
      </w:r>
      <w:r>
        <w:rPr>
          <w:rFonts w:ascii="Times New Roman" w:hAnsi="Times New Roman"/>
          <w:sz w:val="24"/>
          <w:szCs w:val="24"/>
          <w:rtl w:val="0"/>
          <w:lang w:val="en-US"/>
        </w:rPr>
        <w:t xml:space="preserve">, </w:t>
      </w:r>
      <w:r>
        <w:rPr>
          <w:rFonts w:ascii="Times New Roman" w:hAnsi="Times New Roman"/>
          <w:sz w:val="24"/>
          <w:szCs w:val="24"/>
          <w:rtl w:val="0"/>
          <w:lang w:val="en-US"/>
        </w:rPr>
        <w:t>Date of inspection: December 2015</w:t>
      </w:r>
      <w:r>
        <w:rPr>
          <w:rFonts w:ascii="Times New Roman" w:hAnsi="Times New Roman"/>
          <w:sz w:val="24"/>
          <w:szCs w:val="24"/>
          <w:rtl w:val="0"/>
          <w:lang w:val="en-US"/>
        </w:rPr>
        <w:t>. Crown Copyright 2016.</w:t>
      </w:r>
    </w:p>
    <w:p>
      <w:pPr>
        <w:pStyle w:val="Body"/>
        <w:spacing w:line="360" w:lineRule="auto"/>
        <w:rPr>
          <w:rFonts w:ascii="Times New Roman" w:cs="Times New Roman" w:hAnsi="Times New Roman" w:eastAsia="Times New Roman"/>
          <w:sz w:val="24"/>
          <w:szCs w:val="24"/>
        </w:rPr>
      </w:pPr>
    </w:p>
    <w:p>
      <w:pPr>
        <w:pStyle w:val="Body"/>
        <w:bidi w:val="0"/>
        <w:ind w:left="0" w:right="0" w:firstLine="0"/>
        <w:jc w:val="left"/>
        <w:rPr>
          <w:rFonts w:ascii="Times" w:cs="Times" w:hAnsi="Times" w:eastAsia="Times"/>
          <w:sz w:val="24"/>
          <w:szCs w:val="24"/>
          <w:u w:color="000000"/>
          <w:rtl w:val="0"/>
        </w:rPr>
      </w:pPr>
      <w:bookmarkStart w:name="_Hlk24105349" w:id="0"/>
      <w:r>
        <w:rPr>
          <w:rFonts w:ascii="Times" w:cs="Calibri" w:hAnsi="Times" w:eastAsia="Calibri"/>
          <w:sz w:val="24"/>
          <w:szCs w:val="24"/>
          <w:u w:color="000000"/>
          <w:rtl w:val="0"/>
          <w:lang w:val="en-US"/>
        </w:rPr>
        <w:t>Estyn (2016b) Leadership and primary school improvement. Available at:</w:t>
      </w:r>
    </w:p>
    <w:p>
      <w:pPr>
        <w:pStyle w:val="Default"/>
        <w:bidi w:val="0"/>
        <w:spacing w:line="280" w:lineRule="atLeast"/>
        <w:ind w:left="0" w:right="0" w:firstLine="0"/>
        <w:jc w:val="left"/>
        <w:rPr>
          <w:rFonts w:ascii="Times" w:cs="Times" w:hAnsi="Times" w:eastAsia="Times"/>
          <w:outline w:val="0"/>
          <w:color w:val="0075b9"/>
          <w:sz w:val="24"/>
          <w:szCs w:val="24"/>
          <w:u w:val="single"/>
          <w:rtl w:val="0"/>
          <w14:textOutline w14:w="0" w14:cap="flat">
            <w14:solidFill>
              <w14:srgbClr w14:val="0000EE"/>
            </w14:solidFill>
            <w14:prstDash w14:val="solid"/>
            <w14:miter w14:lim="400000"/>
          </w14:textOutline>
          <w14:textFill>
            <w14:solidFill>
              <w14:srgbClr w14:val="0076BA"/>
            </w14:solidFill>
          </w14:textFill>
        </w:rPr>
      </w:pPr>
      <w:r>
        <w:rPr>
          <w:rStyle w:val="Hyperlink.0"/>
          <w:rFonts w:ascii="Times" w:cs="Times" w:hAnsi="Times" w:eastAsia="Times"/>
          <w:outline w:val="0"/>
          <w:color w:val="0075b9"/>
          <w:sz w:val="24"/>
          <w:szCs w:val="24"/>
          <w:u w:val="single"/>
          <w:rtl w:val="0"/>
          <w14:textOutline w14:w="0" w14:cap="flat">
            <w14:solidFill>
              <w14:srgbClr w14:val="0000EE"/>
            </w14:solidFill>
            <w14:prstDash w14:val="solid"/>
            <w14:miter w14:lim="400000"/>
          </w14:textOutline>
          <w14:textFill>
            <w14:solidFill>
              <w14:srgbClr w14:val="0076BA"/>
            </w14:solidFill>
          </w14:textFill>
        </w:rPr>
        <w:fldChar w:fldCharType="begin" w:fldLock="0"/>
      </w:r>
      <w:r>
        <w:rPr>
          <w:rStyle w:val="Hyperlink.0"/>
          <w:rFonts w:ascii="Times" w:cs="Times" w:hAnsi="Times" w:eastAsia="Times"/>
          <w:outline w:val="0"/>
          <w:color w:val="0075b9"/>
          <w:sz w:val="24"/>
          <w:szCs w:val="24"/>
          <w:u w:val="single"/>
          <w:rtl w:val="0"/>
          <w14:textOutline w14:w="0" w14:cap="flat">
            <w14:solidFill>
              <w14:srgbClr w14:val="0000EE"/>
            </w14:solidFill>
            <w14:prstDash w14:val="solid"/>
            <w14:miter w14:lim="400000"/>
          </w14:textOutline>
          <w14:textFill>
            <w14:solidFill>
              <w14:srgbClr w14:val="0076BA"/>
            </w14:solidFill>
          </w14:textFill>
        </w:rPr>
        <w:instrText xml:space="preserve"> HYPERLINK "https://www.estyn.gov.wales/sites/www.estyn.gov.wales/files/documents/Leadership%20and%20primary%20improvement%20-%20new%20links_0.pdf"</w:instrText>
      </w:r>
      <w:r>
        <w:rPr>
          <w:rStyle w:val="Hyperlink.0"/>
          <w:rFonts w:ascii="Times" w:cs="Times" w:hAnsi="Times" w:eastAsia="Times"/>
          <w:outline w:val="0"/>
          <w:color w:val="0075b9"/>
          <w:sz w:val="24"/>
          <w:szCs w:val="24"/>
          <w:u w:val="single"/>
          <w:rtl w:val="0"/>
          <w14:textOutline w14:w="0" w14:cap="flat">
            <w14:solidFill>
              <w14:srgbClr w14:val="0000EE"/>
            </w14:solidFill>
            <w14:prstDash w14:val="solid"/>
            <w14:miter w14:lim="400000"/>
          </w14:textOutline>
          <w14:textFill>
            <w14:solidFill>
              <w14:srgbClr w14:val="0076BA"/>
            </w14:solidFill>
          </w14:textFill>
        </w:rPr>
        <w:fldChar w:fldCharType="separate" w:fldLock="0"/>
      </w:r>
      <w:r>
        <w:rPr>
          <w:rStyle w:val="Hyperlink.0"/>
          <w:rFonts w:ascii="Times" w:hAnsi="Times"/>
          <w:outline w:val="0"/>
          <w:color w:val="0075b9"/>
          <w:sz w:val="24"/>
          <w:szCs w:val="24"/>
          <w:u w:val="single"/>
          <w:rtl w:val="0"/>
          <w:lang w:val="en-US"/>
          <w14:textOutline w14:w="0" w14:cap="flat">
            <w14:solidFill>
              <w14:srgbClr w14:val="0000EE"/>
            </w14:solidFill>
            <w14:prstDash w14:val="solid"/>
            <w14:miter w14:lim="400000"/>
          </w14:textOutline>
          <w14:textFill>
            <w14:solidFill>
              <w14:srgbClr w14:val="0076BA"/>
            </w14:solidFill>
          </w14:textFill>
        </w:rPr>
        <w:t>https://www.estyn.gov.wales/sites/www.estyn.gov.wales/files/documents/Leadership%20and%20primary%20improvement%20-%20new%20links_0.pdf</w:t>
      </w:r>
      <w:r>
        <w:rPr>
          <w:rFonts w:ascii="Times" w:cs="Times" w:hAnsi="Times" w:eastAsia="Times"/>
          <w:outline w:val="0"/>
          <w:color w:val="0075b9"/>
          <w:sz w:val="24"/>
          <w:szCs w:val="24"/>
          <w:u w:val="single"/>
          <w:rtl w:val="0"/>
          <w14:textOutline w14:w="0" w14:cap="flat">
            <w14:solidFill>
              <w14:srgbClr w14:val="0000EE"/>
            </w14:solidFill>
            <w14:prstDash w14:val="solid"/>
            <w14:miter w14:lim="400000"/>
          </w14:textOutline>
          <w14:textFill>
            <w14:solidFill>
              <w14:srgbClr w14:val="0076BA"/>
            </w14:solidFill>
          </w14:textFill>
        </w:rPr>
        <w:fldChar w:fldCharType="end" w:fldLock="0"/>
      </w:r>
    </w:p>
    <w:p>
      <w:pPr>
        <w:pStyle w:val="Body"/>
        <w:bidi w:val="0"/>
        <w:ind w:left="0" w:right="0" w:firstLine="0"/>
        <w:jc w:val="left"/>
        <w:rPr>
          <w:rFonts w:ascii="Calibri" w:cs="Calibri" w:hAnsi="Calibri" w:eastAsia="Calibri"/>
          <w:sz w:val="24"/>
          <w:szCs w:val="24"/>
          <w:u w:color="000000"/>
          <w:rtl w:val="0"/>
        </w:rPr>
      </w:pPr>
      <w:bookmarkEnd w:id="0"/>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Fredricks, J.A., Blumenfeld, C. and Paris, A (2004): School Engagement: Potential of the Concept, State of the Evidence, Review of Educational Research 74(1): 59-109.</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PersonalisingEduc (2013) </w:t>
      </w:r>
      <w:r>
        <w:rPr>
          <w:rFonts w:ascii="Times New Roman" w:hAnsi="Times New Roman"/>
          <w:sz w:val="24"/>
          <w:szCs w:val="24"/>
          <w:rtl w:val="0"/>
          <w:lang w:val="en-US"/>
        </w:rPr>
        <w:t>Transitions - from primary school to secondary school and sixth form</w:t>
      </w:r>
      <w:r>
        <w:rPr>
          <w:rFonts w:ascii="Times New Roman" w:hAnsi="Times New Roman"/>
          <w:sz w:val="24"/>
          <w:szCs w:val="24"/>
          <w:rtl w:val="0"/>
          <w:lang w:val="en-US"/>
        </w:rPr>
        <w:t xml:space="preserve"> [video]. Available at: </w:t>
      </w:r>
      <w:r>
        <w:rPr>
          <w:rStyle w:val="Hyperlink.1"/>
          <w:rFonts w:ascii="Times New Roman" w:cs="Times New Roman" w:hAnsi="Times New Roman" w:eastAsia="Times New Roman"/>
          <w:sz w:val="24"/>
          <w:szCs w:val="24"/>
        </w:rPr>
        <w:fldChar w:fldCharType="begin" w:fldLock="0"/>
      </w:r>
      <w:r>
        <w:rPr>
          <w:rStyle w:val="Hyperlink.1"/>
          <w:rFonts w:ascii="Times New Roman" w:cs="Times New Roman" w:hAnsi="Times New Roman" w:eastAsia="Times New Roman"/>
          <w:sz w:val="24"/>
          <w:szCs w:val="24"/>
        </w:rPr>
        <w:instrText xml:space="preserve"> HYPERLINK "https://www.youtube.com/watch?v=LbyzwJVGQFg"</w:instrText>
      </w:r>
      <w:r>
        <w:rPr>
          <w:rStyle w:val="Hyperlink.1"/>
          <w:rFonts w:ascii="Times New Roman" w:cs="Times New Roman" w:hAnsi="Times New Roman" w:eastAsia="Times New Roman"/>
          <w:sz w:val="24"/>
          <w:szCs w:val="24"/>
        </w:rPr>
        <w:fldChar w:fldCharType="separate" w:fldLock="0"/>
      </w:r>
      <w:r>
        <w:rPr>
          <w:rStyle w:val="Hyperlink.1"/>
          <w:rFonts w:ascii="Times New Roman" w:hAnsi="Times New Roman"/>
          <w:sz w:val="24"/>
          <w:szCs w:val="24"/>
          <w:rtl w:val="0"/>
          <w:lang w:val="en-US"/>
        </w:rPr>
        <w:t>https://www.youtube.com/watch?v=LbyzwJVGQFg</w:t>
      </w:r>
      <w:r>
        <w:rPr>
          <w:rFonts w:ascii="Times New Roman" w:cs="Times New Roman" w:hAnsi="Times New Roman" w:eastAsia="Times New Roman"/>
          <w:sz w:val="24"/>
          <w:szCs w:val="24"/>
        </w:rPr>
        <w:fldChar w:fldCharType="end" w:fldLock="0"/>
      </w:r>
      <w:r>
        <w:rPr>
          <w:rFonts w:ascii="Times New Roman" w:hAnsi="Times New Roman"/>
          <w:outline w:val="0"/>
          <w:color w:val="0075b9"/>
          <w:sz w:val="24"/>
          <w:szCs w:val="24"/>
          <w:rtl w:val="0"/>
          <w:lang w:val="en-US"/>
          <w14:textFill>
            <w14:solidFill>
              <w14:srgbClr w14:val="0076BA"/>
            </w14:solidFill>
          </w14:textFill>
        </w:rPr>
        <w:t xml:space="preserve"> </w:t>
      </w:r>
      <w:r>
        <w:rPr>
          <w:rFonts w:ascii="Times New Roman" w:hAnsi="Times New Roman"/>
          <w:sz w:val="24"/>
          <w:szCs w:val="24"/>
          <w:rtl w:val="0"/>
          <w:lang w:val="en-US"/>
        </w:rPr>
        <w:t>(Accessed: 03 November 2019).</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Symonds, J (2015) Understanding School Transition: What Happens to Children and How to Help Them. Routledge Education</w:t>
      </w:r>
    </w:p>
    <w:p>
      <w:pPr>
        <w:pStyle w:val="Body"/>
        <w:spacing w:line="360" w:lineRule="auto"/>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UCL Psychology and Language Sciences</w:t>
      </w:r>
      <w:r>
        <w:rPr>
          <w:rFonts w:ascii="Times New Roman" w:hAnsi="Times New Roman"/>
          <w:sz w:val="24"/>
          <w:szCs w:val="24"/>
          <w:rtl w:val="0"/>
          <w:lang w:val="en-US"/>
        </w:rPr>
        <w:t xml:space="preserve"> (2016) </w:t>
      </w:r>
      <w:r>
        <w:rPr>
          <w:rFonts w:ascii="Times New Roman" w:hAnsi="Times New Roman"/>
          <w:sz w:val="24"/>
          <w:szCs w:val="24"/>
          <w:rtl w:val="0"/>
          <w:lang w:val="en-US"/>
        </w:rPr>
        <w:t>Identifying factors that predict successful and difficult transitions to secondary school</w:t>
      </w:r>
      <w:r>
        <w:rPr>
          <w:rFonts w:ascii="Times New Roman" w:hAnsi="Times New Roman"/>
          <w:sz w:val="24"/>
          <w:szCs w:val="24"/>
          <w:rtl w:val="0"/>
          <w:lang w:val="en-US"/>
        </w:rPr>
        <w:t>. UCL Copyright 2016.</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Unicef (1989) </w:t>
      </w:r>
      <w:r>
        <w:rPr>
          <w:rFonts w:ascii="Times New Roman" w:hAnsi="Times New Roman"/>
          <w:sz w:val="24"/>
          <w:szCs w:val="24"/>
          <w:rtl w:val="0"/>
          <w:lang w:val="en-US"/>
        </w:rPr>
        <w:t>The United Nations Convention on the Rights of the Child</w:t>
      </w:r>
      <w:r>
        <w:rPr>
          <w:rFonts w:ascii="Times New Roman" w:hAnsi="Times New Roman"/>
          <w:sz w:val="24"/>
          <w:szCs w:val="24"/>
          <w:rtl w:val="0"/>
          <w:lang w:val="en-US"/>
        </w:rPr>
        <w:t xml:space="preserve">.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Unicef (2011) E</w:t>
      </w:r>
      <w:r>
        <w:rPr>
          <w:rFonts w:ascii="Times New Roman" w:hAnsi="Times New Roman"/>
          <w:sz w:val="24"/>
          <w:szCs w:val="24"/>
          <w:rtl w:val="0"/>
          <w:lang w:val="en-US"/>
        </w:rPr>
        <w:t xml:space="preserve">very </w:t>
      </w:r>
      <w:r>
        <w:rPr>
          <w:rFonts w:ascii="Times New Roman" w:hAnsi="Times New Roman"/>
          <w:sz w:val="24"/>
          <w:szCs w:val="24"/>
          <w:rtl w:val="0"/>
          <w:lang w:val="en-US"/>
        </w:rPr>
        <w:t>C</w:t>
      </w:r>
      <w:r>
        <w:rPr>
          <w:rFonts w:ascii="Times New Roman" w:hAnsi="Times New Roman"/>
          <w:sz w:val="24"/>
          <w:szCs w:val="24"/>
          <w:rtl w:val="0"/>
          <w:lang w:val="en-US"/>
        </w:rPr>
        <w:t>hild</w:t>
      </w:r>
      <w:r>
        <w:rPr>
          <w:rFonts w:ascii="Times New Roman" w:hAnsi="Times New Roman" w:hint="default"/>
          <w:sz w:val="24"/>
          <w:szCs w:val="24"/>
          <w:rtl w:val="0"/>
        </w:rPr>
        <w:t>’</w:t>
      </w:r>
      <w:r>
        <w:rPr>
          <w:rFonts w:ascii="Times New Roman" w:hAnsi="Times New Roman"/>
          <w:sz w:val="24"/>
          <w:szCs w:val="24"/>
          <w:rtl w:val="0"/>
        </w:rPr>
        <w:t xml:space="preserve">s </w:t>
      </w:r>
      <w:r>
        <w:rPr>
          <w:rFonts w:ascii="Times New Roman" w:hAnsi="Times New Roman"/>
          <w:sz w:val="24"/>
          <w:szCs w:val="24"/>
          <w:rtl w:val="0"/>
          <w:lang w:val="en-US"/>
        </w:rPr>
        <w:t>R</w:t>
      </w:r>
      <w:r>
        <w:rPr>
          <w:rFonts w:ascii="Times New Roman" w:hAnsi="Times New Roman"/>
          <w:sz w:val="24"/>
          <w:szCs w:val="24"/>
          <w:rtl w:val="0"/>
          <w:lang w:val="en-US"/>
        </w:rPr>
        <w:t xml:space="preserve">ight to be </w:t>
      </w:r>
      <w:r>
        <w:rPr>
          <w:rFonts w:ascii="Times New Roman" w:hAnsi="Times New Roman"/>
          <w:sz w:val="24"/>
          <w:szCs w:val="24"/>
          <w:rtl w:val="0"/>
          <w:lang w:val="en-US"/>
        </w:rPr>
        <w:t>H</w:t>
      </w:r>
      <w:r>
        <w:rPr>
          <w:rFonts w:ascii="Times New Roman" w:hAnsi="Times New Roman"/>
          <w:sz w:val="24"/>
          <w:szCs w:val="24"/>
          <w:rtl w:val="0"/>
          <w:lang w:val="en-US"/>
        </w:rPr>
        <w:t>eard</w:t>
      </w:r>
      <w:r>
        <w:rPr>
          <w:rFonts w:ascii="Times New Roman" w:hAnsi="Times New Roman"/>
          <w:sz w:val="24"/>
          <w:szCs w:val="24"/>
          <w:rtl w:val="0"/>
          <w:lang w:val="en-US"/>
        </w:rPr>
        <w:t xml:space="preserve">. London: </w:t>
      </w:r>
      <w:r>
        <w:rPr>
          <w:rFonts w:ascii="Times New Roman" w:hAnsi="Times New Roman"/>
          <w:sz w:val="24"/>
          <w:szCs w:val="24"/>
          <w:rtl w:val="0"/>
          <w:lang w:val="en-US"/>
        </w:rPr>
        <w:t>The Save the Children Fund 2011</w:t>
      </w:r>
      <w:r>
        <w:rPr>
          <w:rFonts w:ascii="Times New Roman" w:hAnsi="Times New Roman"/>
          <w:sz w:val="24"/>
          <w:szCs w:val="24"/>
          <w:rtl w:val="0"/>
          <w:lang w:val="en-US"/>
        </w:rPr>
        <w: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(2005) </w:t>
      </w:r>
      <w:r>
        <w:rPr>
          <w:rFonts w:ascii="Times New Roman" w:hAnsi="Times New Roman"/>
          <w:sz w:val="24"/>
          <w:szCs w:val="24"/>
          <w:rtl w:val="0"/>
          <w:lang w:val="en-US"/>
        </w:rPr>
        <w:t>Transition from Primary</w:t>
      </w:r>
      <w:r>
        <w:rPr>
          <w:rFonts w:ascii="Times New Roman" w:hAnsi="Times New Roman"/>
          <w:sz w:val="24"/>
          <w:szCs w:val="24"/>
          <w:rtl w:val="0"/>
          <w:lang w:val="en-US"/>
        </w:rPr>
        <w:t xml:space="preserve"> </w:t>
      </w:r>
      <w:r>
        <w:rPr>
          <w:rFonts w:ascii="Times New Roman" w:hAnsi="Times New Roman"/>
          <w:sz w:val="24"/>
          <w:szCs w:val="24"/>
          <w:rtl w:val="0"/>
        </w:rPr>
        <w:t xml:space="preserve">To </w:t>
      </w:r>
      <w:r>
        <w:rPr>
          <w:rFonts w:ascii="Times New Roman" w:hAnsi="Times New Roman"/>
          <w:sz w:val="24"/>
          <w:szCs w:val="24"/>
          <w:rtl w:val="0"/>
          <w:lang w:val="en-US"/>
        </w:rPr>
        <w:t>S</w:t>
      </w:r>
      <w:r>
        <w:rPr>
          <w:rFonts w:ascii="Times New Roman" w:hAnsi="Times New Roman"/>
          <w:sz w:val="24"/>
          <w:szCs w:val="24"/>
          <w:rtl w:val="0"/>
          <w:lang w:val="en-US"/>
        </w:rPr>
        <w:t xml:space="preserve">econdary </w:t>
      </w:r>
      <w:r>
        <w:rPr>
          <w:rFonts w:ascii="Times New Roman" w:hAnsi="Times New Roman"/>
          <w:sz w:val="24"/>
          <w:szCs w:val="24"/>
          <w:rtl w:val="0"/>
          <w:lang w:val="en-US"/>
        </w:rPr>
        <w:t>S</w:t>
      </w:r>
      <w:r>
        <w:rPr>
          <w:rFonts w:ascii="Times New Roman" w:hAnsi="Times New Roman"/>
          <w:sz w:val="24"/>
          <w:szCs w:val="24"/>
          <w:rtl w:val="0"/>
          <w:lang w:val="en-US"/>
        </w:rPr>
        <w:t>chool</w:t>
      </w:r>
      <w:r>
        <w:rPr>
          <w:rFonts w:ascii="Times New Roman" w:hAnsi="Times New Roman"/>
          <w:sz w:val="24"/>
          <w:szCs w:val="24"/>
          <w:rtl w:val="0"/>
          <w:lang w:val="en-US"/>
        </w:rPr>
        <w:t xml:space="preserve"> </w:t>
      </w:r>
      <w:r>
        <w:rPr>
          <w:rFonts w:ascii="Times New Roman" w:hAnsi="Times New Roman"/>
          <w:sz w:val="24"/>
          <w:szCs w:val="24"/>
          <w:rtl w:val="0"/>
          <w:lang w:val="en-US"/>
        </w:rPr>
        <w:t>Summary of Consultation</w:t>
      </w:r>
      <w:r>
        <w:rPr>
          <w:rFonts w:ascii="Times New Roman" w:hAnsi="Times New Roman"/>
          <w:sz w:val="24"/>
          <w:szCs w:val="24"/>
          <w:rtl w:val="0"/>
          <w:lang w:val="en-US"/>
        </w:rPr>
        <w:t xml:space="preserve"> </w:t>
      </w:r>
      <w:r>
        <w:rPr>
          <w:rFonts w:ascii="Times New Roman" w:hAnsi="Times New Roman"/>
          <w:sz w:val="24"/>
          <w:szCs w:val="24"/>
          <w:rtl w:val="0"/>
          <w:lang w:val="en-US"/>
        </w:rPr>
        <w:t>Responses</w:t>
      </w:r>
      <w:r>
        <w:rPr>
          <w:rFonts w:ascii="Times New Roman" w:hAnsi="Times New Roman"/>
          <w:sz w:val="24"/>
          <w:szCs w:val="24"/>
          <w:rtl w:val="0"/>
          <w:lang w:val="en-US"/>
        </w:rPr>
        <w:t>. Cardiff: Crown Copyright 2005.</w:t>
      </w:r>
    </w:p>
    <w:p>
      <w:pPr>
        <w:pStyle w:val="Body"/>
        <w:spacing w:line="360" w:lineRule="auto"/>
        <w:jc w:val="left"/>
        <w:rPr>
          <w:rFonts w:ascii="Times New Roman" w:cs="Times New Roman" w:hAnsi="Times New Roman" w:eastAsia="Times New Roman"/>
          <w:sz w:val="24"/>
          <w:szCs w:val="24"/>
        </w:rPr>
      </w:pPr>
    </w:p>
    <w:p>
      <w:pPr>
        <w:pStyle w:val="Body"/>
        <w:bidi w:val="0"/>
        <w:ind w:left="0" w:right="0" w:firstLine="0"/>
        <w:jc w:val="left"/>
        <w:rPr>
          <w:rStyle w:val="Hyperlink.0"/>
          <w:rFonts w:ascii="Times" w:cs="Times" w:hAnsi="Times" w:eastAsia="Times"/>
          <w:outline w:val="0"/>
          <w:color w:val="004c7f"/>
          <w:sz w:val="24"/>
          <w:szCs w:val="24"/>
          <w:u w:color="0563c1"/>
          <w:rtl w:val="0"/>
          <w14:textFill>
            <w14:solidFill>
              <w14:srgbClr w14:val="004D80"/>
            </w14:solidFill>
          </w14:textFill>
        </w:rPr>
      </w:pPr>
      <w:bookmarkStart w:name="_Hlk24540071" w:id="1"/>
      <w:r>
        <w:rPr>
          <w:rStyle w:val="Hyperlink.0"/>
          <w:rFonts w:ascii="Times" w:cs="Calibri" w:hAnsi="Times" w:eastAsia="Calibri"/>
          <w:sz w:val="24"/>
          <w:szCs w:val="24"/>
          <w:u w:val="none" w:color="0563c1"/>
          <w:rtl w:val="0"/>
          <w:lang w:val="en-US"/>
        </w:rPr>
        <w:t>Welsh Government (2009)</w:t>
      </w:r>
      <w:bookmarkEnd w:id="1"/>
      <w:r>
        <w:rPr>
          <w:rStyle w:val="Hyperlink.0"/>
          <w:rFonts w:ascii="Times" w:cs="Calibri" w:hAnsi="Times" w:eastAsia="Calibri"/>
          <w:sz w:val="24"/>
          <w:szCs w:val="24"/>
          <w:u w:val="none" w:color="0563c1"/>
          <w:rtl w:val="0"/>
          <w:lang w:val="en-US"/>
        </w:rPr>
        <w:t xml:space="preserve">The Qualified Teacher Status Standards Wales 2009 (2009 No.25) Available at: </w:t>
      </w:r>
      <w:r>
        <w:rPr>
          <w:rStyle w:val="Hyperlink.2"/>
          <w:rFonts w:ascii="Times New Roman" w:cs="Times New Roman" w:hAnsi="Times New Roman" w:eastAsia="Times New Roman"/>
          <w:outline w:val="0"/>
          <w:color w:val="004c7f"/>
          <w:sz w:val="24"/>
          <w:szCs w:val="24"/>
          <w:u w:color="000000"/>
          <w:rtl w:val="0"/>
          <w14:textFill>
            <w14:solidFill>
              <w14:srgbClr w14:val="004D80"/>
            </w14:solidFill>
          </w14:textFill>
        </w:rPr>
        <w:fldChar w:fldCharType="begin" w:fldLock="0"/>
      </w:r>
      <w:r>
        <w:rPr>
          <w:rStyle w:val="Hyperlink.2"/>
          <w:rFonts w:ascii="Times New Roman" w:cs="Times New Roman" w:hAnsi="Times New Roman" w:eastAsia="Times New Roman"/>
          <w:outline w:val="0"/>
          <w:color w:val="004c7f"/>
          <w:sz w:val="24"/>
          <w:szCs w:val="24"/>
          <w:u w:color="000000"/>
          <w:rtl w:val="0"/>
          <w14:textFill>
            <w14:solidFill>
              <w14:srgbClr w14:val="004D80"/>
            </w14:solidFill>
          </w14:textFill>
        </w:rPr>
        <w:instrText xml:space="preserve"> HYPERLINK "https://www.discoverteaching.wales/media/2761/the-qualified-teacher-status-standards-wales-2009-english.pdf"</w:instrText>
      </w:r>
      <w:r>
        <w:rPr>
          <w:rStyle w:val="Hyperlink.2"/>
          <w:rFonts w:ascii="Times New Roman" w:cs="Times New Roman" w:hAnsi="Times New Roman" w:eastAsia="Times New Roman"/>
          <w:outline w:val="0"/>
          <w:color w:val="004c7f"/>
          <w:sz w:val="24"/>
          <w:szCs w:val="24"/>
          <w:u w:color="000000"/>
          <w:rtl w:val="0"/>
          <w14:textFill>
            <w14:solidFill>
              <w14:srgbClr w14:val="004D80"/>
            </w14:solidFill>
          </w14:textFill>
        </w:rPr>
        <w:fldChar w:fldCharType="separate" w:fldLock="0"/>
      </w:r>
      <w:r>
        <w:rPr>
          <w:rStyle w:val="Hyperlink.2"/>
          <w:rFonts w:ascii="Times New Roman" w:cs="Calibri" w:hAnsi="Times New Roman" w:eastAsia="Calibri"/>
          <w:outline w:val="0"/>
          <w:color w:val="004c7f"/>
          <w:sz w:val="24"/>
          <w:szCs w:val="24"/>
          <w:u w:color="000000"/>
          <w:rtl w:val="0"/>
          <w:lang w:val="en-US"/>
          <w14:textFill>
            <w14:solidFill>
              <w14:srgbClr w14:val="004D80"/>
            </w14:solidFill>
          </w14:textFill>
        </w:rPr>
        <w:t>https://www.discoverteaching.wales/media/2761/the-qualified-teacher-status-standards-wales-2009-english.pdf</w:t>
      </w:r>
      <w:r>
        <w:rPr>
          <w:rFonts w:ascii="Calibri" w:cs="Calibri" w:hAnsi="Calibri" w:eastAsia="Calibri"/>
          <w:sz w:val="24"/>
          <w:szCs w:val="24"/>
          <w:u w:color="000000"/>
          <w:rtl w:val="0"/>
        </w:rPr>
        <w:fldChar w:fldCharType="end" w:fldLock="0"/>
      </w:r>
      <w:r>
        <w:rPr>
          <w:rStyle w:val="Hyperlink.0"/>
          <w:rFonts w:ascii="Times New Roman" w:cs="Calibri" w:hAnsi="Times New Roman" w:eastAsia="Calibri"/>
          <w:outline w:val="0"/>
          <w:color w:val="004c7f"/>
          <w:sz w:val="24"/>
          <w:szCs w:val="24"/>
          <w:u w:color="0563c1"/>
          <w:rtl w:val="0"/>
          <w:lang w:val="en-US"/>
          <w14:textFill>
            <w14:solidFill>
              <w14:srgbClr w14:val="004D80"/>
            </w14:solidFill>
          </w14:textFill>
        </w:rPr>
        <w:t xml:space="preserve"> </w:t>
      </w:r>
    </w:p>
    <w:p>
      <w:pPr>
        <w:pStyle w:val="Body"/>
        <w:bidi w:val="0"/>
        <w:ind w:left="0" w:right="0" w:firstLine="0"/>
        <w:jc w:val="left"/>
        <w:rPr>
          <w:rFonts w:ascii="Calibri" w:cs="Calibri" w:hAnsi="Calibri" w:eastAsia="Calibri"/>
          <w:outline w:val="0"/>
          <w:color w:val="004c7f"/>
          <w:sz w:val="24"/>
          <w:szCs w:val="24"/>
          <w:u w:val="single" w:color="000000"/>
          <w:rtl w:val="0"/>
          <w14:textFill>
            <w14:solidFill>
              <w14:srgbClr w14:val="004D80"/>
            </w14:solidFill>
          </w14:textFill>
        </w:rPr>
      </w:pPr>
      <w:r>
        <w:rPr>
          <w:rStyle w:val="Hyperlink.0"/>
          <w:rFonts w:ascii="Times" w:cs="Calibri" w:hAnsi="Times" w:eastAsia="Calibri"/>
          <w:outline w:val="0"/>
          <w:color w:val="004c7f"/>
          <w:sz w:val="24"/>
          <w:szCs w:val="24"/>
          <w:u w:val="single" w:color="0563c1"/>
          <w:rtl w:val="0"/>
          <w:lang w:val="en-US"/>
          <w14:textFill>
            <w14:solidFill>
              <w14:srgbClr w14:val="004D80"/>
            </w14:solidFill>
          </w14:textFill>
        </w:rPr>
        <w:t xml:space="preserve"> </w:t>
      </w:r>
    </w:p>
    <w:p>
      <w:pPr>
        <w:pStyle w:val="Body"/>
        <w:spacing w:line="360" w:lineRule="auto"/>
        <w:jc w:val="left"/>
        <w:rPr>
          <w:rFonts w:ascii="Times New Roman" w:cs="Times New Roman" w:hAnsi="Times New Roman" w:eastAsia="Times New Roman"/>
          <w:sz w:val="24"/>
          <w:szCs w:val="24"/>
        </w:rPr>
      </w:pPr>
    </w:p>
    <w:p>
      <w:pPr>
        <w:pStyle w:val="Body"/>
        <w:bidi w:val="0"/>
        <w:ind w:left="0" w:right="0" w:firstLine="0"/>
        <w:jc w:val="left"/>
        <w:rPr>
          <w:rFonts w:ascii="Times" w:cs="Times" w:hAnsi="Times" w:eastAsia="Times"/>
          <w:sz w:val="24"/>
          <w:szCs w:val="24"/>
          <w:u w:color="000000"/>
          <w:rtl w:val="0"/>
        </w:rPr>
      </w:pPr>
      <w:r>
        <w:rPr>
          <w:rFonts w:ascii="Times" w:cs="Calibri" w:hAnsi="Times" w:eastAsia="Calibri"/>
          <w:sz w:val="24"/>
          <w:szCs w:val="24"/>
          <w:u w:color="000000"/>
          <w:rtl w:val="0"/>
          <w:lang w:val="en-US"/>
        </w:rPr>
        <w:t>Welsh Government (2014) Rewriting the future. Raising ambition and attainment in Welsh schools. Available at:</w:t>
      </w:r>
    </w:p>
    <w:p>
      <w:pPr>
        <w:pStyle w:val="Body"/>
        <w:bidi w:val="0"/>
        <w:ind w:left="0" w:right="0" w:firstLine="0"/>
        <w:jc w:val="left"/>
        <w:rPr>
          <w:rFonts w:ascii="Calibri" w:cs="Calibri" w:hAnsi="Calibri" w:eastAsia="Calibri"/>
          <w:outline w:val="0"/>
          <w:color w:val="004c7f"/>
          <w:sz w:val="24"/>
          <w:szCs w:val="24"/>
          <w:u w:color="000000"/>
          <w:rtl w:val="0"/>
          <w14:textFill>
            <w14:solidFill>
              <w14:srgbClr w14:val="004D80"/>
            </w14:solidFill>
          </w14:textFill>
        </w:rPr>
      </w:pPr>
      <w:r>
        <w:rPr>
          <w:rStyle w:val="Hyperlink.3"/>
          <w:rFonts w:ascii="Times" w:cs="Times" w:hAnsi="Times" w:eastAsia="Times"/>
          <w:outline w:val="0"/>
          <w:color w:val="004c7f"/>
          <w:sz w:val="24"/>
          <w:szCs w:val="24"/>
          <w:u w:color="0563c1"/>
          <w:rtl w:val="0"/>
          <w14:textFill>
            <w14:solidFill>
              <w14:srgbClr w14:val="004D80"/>
            </w14:solidFill>
          </w14:textFill>
        </w:rPr>
        <w:fldChar w:fldCharType="begin" w:fldLock="0"/>
      </w:r>
      <w:r>
        <w:rPr>
          <w:rStyle w:val="Hyperlink.3"/>
          <w:rFonts w:ascii="Times" w:cs="Times" w:hAnsi="Times" w:eastAsia="Times"/>
          <w:outline w:val="0"/>
          <w:color w:val="004c7f"/>
          <w:sz w:val="24"/>
          <w:szCs w:val="24"/>
          <w:u w:color="0563c1"/>
          <w:rtl w:val="0"/>
          <w14:textFill>
            <w14:solidFill>
              <w14:srgbClr w14:val="004D80"/>
            </w14:solidFill>
          </w14:textFill>
        </w:rPr>
        <w:instrText xml:space="preserve"> HYPERLINK "https://gov.wales/sites/default/files/publications/2018-03/rewriting-the-future-raising-ambition-and-attainment-in-welsh-schools.pdf"</w:instrText>
      </w:r>
      <w:r>
        <w:rPr>
          <w:rStyle w:val="Hyperlink.3"/>
          <w:rFonts w:ascii="Times" w:cs="Times" w:hAnsi="Times" w:eastAsia="Times"/>
          <w:outline w:val="0"/>
          <w:color w:val="004c7f"/>
          <w:sz w:val="24"/>
          <w:szCs w:val="24"/>
          <w:u w:color="0563c1"/>
          <w:rtl w:val="0"/>
          <w14:textFill>
            <w14:solidFill>
              <w14:srgbClr w14:val="004D80"/>
            </w14:solidFill>
          </w14:textFill>
        </w:rPr>
        <w:fldChar w:fldCharType="separate" w:fldLock="0"/>
      </w:r>
      <w:r>
        <w:rPr>
          <w:rStyle w:val="Hyperlink.3"/>
          <w:rFonts w:ascii="Times" w:cs="Calibri" w:hAnsi="Times" w:eastAsia="Calibri"/>
          <w:outline w:val="0"/>
          <w:color w:val="004c7f"/>
          <w:sz w:val="24"/>
          <w:szCs w:val="24"/>
          <w:u w:color="0563c1"/>
          <w:rtl w:val="0"/>
          <w:lang w:val="en-US"/>
          <w14:textFill>
            <w14:solidFill>
              <w14:srgbClr w14:val="004D80"/>
            </w14:solidFill>
          </w14:textFill>
        </w:rPr>
        <w:t>https://gov.wales/sites/default/files/publications/2018-03/rewriting-the-future-raising-ambition-and-attainment-in-welsh-schools.pdf</w:t>
      </w:r>
      <w:r>
        <w:rPr>
          <w:rFonts w:ascii="Calibri" w:cs="Calibri" w:hAnsi="Calibri" w:eastAsia="Calibri"/>
          <w:outline w:val="0"/>
          <w:color w:val="004c7f"/>
          <w:sz w:val="24"/>
          <w:szCs w:val="24"/>
          <w:u w:color="000000"/>
          <w:rtl w:val="0"/>
          <w14:textFill>
            <w14:solidFill>
              <w14:srgbClr w14:val="004D80"/>
            </w14:solidFill>
          </w14:textFill>
        </w:rPr>
        <w:fldChar w:fldCharType="end" w:fldLock="0"/>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(2015) </w:t>
      </w:r>
      <w:r>
        <w:rPr>
          <w:rFonts w:ascii="Times New Roman" w:hAnsi="Times New Roman"/>
          <w:sz w:val="24"/>
          <w:szCs w:val="24"/>
          <w:rtl w:val="0"/>
          <w:lang w:val="en-US"/>
        </w:rPr>
        <w:t>Well-being of Future Generations (Wales) Act 2015</w:t>
      </w:r>
      <w:r>
        <w:rPr>
          <w:rFonts w:ascii="Times New Roman" w:hAnsi="Times New Roman"/>
          <w:sz w:val="24"/>
          <w:szCs w:val="24"/>
          <w:rtl w:val="0"/>
          <w:lang w:val="en-US"/>
        </w:rPr>
        <w:t>. Available at:</w:t>
      </w:r>
      <w:r>
        <w:rPr>
          <w:rFonts w:ascii="Times New Roman" w:hAnsi="Times New Roman"/>
          <w:outline w:val="0"/>
          <w:color w:val="004c7f"/>
          <w:sz w:val="24"/>
          <w:szCs w:val="24"/>
          <w:rtl w:val="0"/>
          <w:lang w:val="en-US"/>
          <w14:textFill>
            <w14:solidFill>
              <w14:srgbClr w14:val="004D80"/>
            </w14:solidFill>
          </w14:textFill>
        </w:rPr>
        <w:t xml:space="preserve"> </w:t>
      </w:r>
      <w:r>
        <w:rPr>
          <w:rStyle w:val="Hyperlink.4"/>
          <w:rFonts w:ascii="Times New Roman" w:cs="Times New Roman" w:hAnsi="Times New Roman" w:eastAsia="Times New Roman"/>
          <w:sz w:val="24"/>
          <w:szCs w:val="24"/>
        </w:rPr>
        <w:fldChar w:fldCharType="begin" w:fldLock="0"/>
      </w:r>
      <w:r>
        <w:rPr>
          <w:rStyle w:val="Hyperlink.4"/>
          <w:rFonts w:ascii="Times New Roman" w:cs="Times New Roman" w:hAnsi="Times New Roman" w:eastAsia="Times New Roman"/>
          <w:sz w:val="24"/>
          <w:szCs w:val="24"/>
        </w:rPr>
        <w:instrText xml:space="preserve"> HYPERLINK "https://futuregenerations.wales/about-us/future-generations-act/"</w:instrText>
      </w:r>
      <w:r>
        <w:rPr>
          <w:rStyle w:val="Hyperlink.4"/>
          <w:rFonts w:ascii="Times New Roman" w:cs="Times New Roman" w:hAnsi="Times New Roman" w:eastAsia="Times New Roman"/>
          <w:sz w:val="24"/>
          <w:szCs w:val="24"/>
        </w:rPr>
        <w:fldChar w:fldCharType="separate" w:fldLock="0"/>
      </w:r>
      <w:r>
        <w:rPr>
          <w:rStyle w:val="Hyperlink.4"/>
          <w:rFonts w:ascii="Times New Roman" w:hAnsi="Times New Roman"/>
          <w:sz w:val="24"/>
          <w:szCs w:val="24"/>
          <w:rtl w:val="0"/>
          <w:lang w:val="en-US"/>
        </w:rPr>
        <w:t>https://futuregenerations.wales/about-us/future-generations-act/</w:t>
      </w:r>
      <w:r>
        <w:rPr>
          <w:rFonts w:ascii="Times New Roman" w:cs="Times New Roman" w:hAnsi="Times New Roman" w:eastAsia="Times New Roman"/>
          <w:sz w:val="24"/>
          <w:szCs w:val="24"/>
        </w:rPr>
        <w:fldChar w:fldCharType="end" w:fldLock="0"/>
      </w:r>
      <w:r>
        <w:rPr>
          <w:rFonts w:ascii="Times New Roman" w:hAnsi="Times New Roman"/>
          <w:outline w:val="0"/>
          <w:color w:val="004c7f"/>
          <w:sz w:val="24"/>
          <w:szCs w:val="24"/>
          <w:rtl w:val="0"/>
          <w:lang w:val="en-US"/>
          <w14:textFill>
            <w14:solidFill>
              <w14:srgbClr w14:val="004D80"/>
            </w14:solidFill>
          </w14:textFill>
        </w:rPr>
        <w:t xml:space="preserve">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Welsh Government (2016) </w:t>
      </w:r>
      <w:r>
        <w:rPr>
          <w:rFonts w:ascii="Times New Roman" w:hAnsi="Times New Roman"/>
          <w:sz w:val="24"/>
          <w:szCs w:val="24"/>
          <w:rtl w:val="0"/>
          <w:lang w:val="en-US"/>
        </w:rPr>
        <w:t>Programme of Study for English Key Stages 2</w:t>
      </w:r>
      <w:r>
        <w:rPr>
          <w:rFonts w:ascii="Times New Roman" w:hAnsi="Times New Roman" w:hint="default"/>
          <w:sz w:val="24"/>
          <w:szCs w:val="24"/>
          <w:rtl w:val="0"/>
        </w:rPr>
        <w:t>–</w:t>
      </w:r>
      <w:r>
        <w:rPr>
          <w:rFonts w:ascii="Times New Roman" w:hAnsi="Times New Roman"/>
          <w:sz w:val="24"/>
          <w:szCs w:val="24"/>
          <w:rtl w:val="0"/>
        </w:rPr>
        <w:t>4</w:t>
      </w:r>
      <w:r>
        <w:rPr>
          <w:rFonts w:ascii="Times New Roman" w:hAnsi="Times New Roman"/>
          <w:sz w:val="24"/>
          <w:szCs w:val="24"/>
          <w:rtl w:val="0"/>
          <w:lang w:val="en-US"/>
        </w:rPr>
        <w:t>. Cardiff: Crown Copyright 2016.</w:t>
      </w:r>
    </w:p>
    <w:p>
      <w:pPr>
        <w:pStyle w:val="Body"/>
        <w:spacing w:line="360" w:lineRule="auto"/>
        <w:jc w:val="left"/>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w:cs="Times" w:hAnsi="Times" w:eastAsia="Times"/>
          <w:sz w:val="24"/>
          <w:szCs w:val="24"/>
          <w:rtl w:val="0"/>
          <w14:textOutline w14:w="0" w14:cap="flat">
            <w14:solidFill>
              <w14:srgbClr w14:val="000000"/>
            </w14:solidFill>
            <w14:prstDash w14:val="solid"/>
            <w14:miter w14:lim="400000"/>
          </w14:textOutline>
        </w:rPr>
      </w:pPr>
      <w:r>
        <w:rPr>
          <w:rFonts w:ascii="Times" w:hAnsi="Times"/>
          <w:sz w:val="24"/>
          <w:szCs w:val="24"/>
          <w:rtl w:val="0"/>
          <w:lang w:val="en-US"/>
          <w14:textOutline w14:w="0" w14:cap="flat">
            <w14:solidFill>
              <w14:srgbClr w14:val="000000"/>
            </w14:solidFill>
            <w14:prstDash w14:val="solid"/>
            <w14:miter w14:lim="400000"/>
          </w14:textOutline>
        </w:rPr>
        <w:t>Welsh Government (2017a) Education in Wales: Our national mission. Cardiff: Crown Copyright 2017.</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r>
        <w:rPr>
          <w:rFonts w:ascii="Times New Roman" w:hAnsi="Times New Roman"/>
          <w:sz w:val="24"/>
          <w:szCs w:val="24"/>
          <w:rtl w:val="0"/>
          <w:lang w:val="en-US"/>
        </w:rPr>
        <w:t xml:space="preserve">Welsh Government (2017b) </w:t>
      </w:r>
      <w:r>
        <w:rPr>
          <w:rStyle w:val="Hyperlink.5"/>
          <w:rFonts w:ascii="Times New Roman" w:cs="Times New Roman" w:hAnsi="Times New Roman" w:eastAsia="Times New Roman"/>
          <w:sz w:val="24"/>
          <w:szCs w:val="24"/>
          <w:rtl w:val="0"/>
        </w:rPr>
        <w:fldChar w:fldCharType="begin" w:fldLock="0"/>
      </w:r>
      <w:r>
        <w:rPr>
          <w:rStyle w:val="Hyperlink.5"/>
          <w:rFonts w:ascii="Times New Roman" w:cs="Times New Roman" w:hAnsi="Times New Roman" w:eastAsia="Times New Roman"/>
          <w:sz w:val="24"/>
          <w:szCs w:val="24"/>
          <w:rtl w:val="0"/>
        </w:rPr>
        <w:instrText xml:space="preserve"> HYPERLINK "https://gov.wales/sites/default/files/publications/2017-10/prosperity-for-all-the-national-strategy.pdf"</w:instrText>
      </w:r>
      <w:r>
        <w:rPr>
          <w:rStyle w:val="Hyperlink.5"/>
          <w:rFonts w:ascii="Times New Roman" w:cs="Times New Roman" w:hAnsi="Times New Roman" w:eastAsia="Times New Roman"/>
          <w:sz w:val="24"/>
          <w:szCs w:val="24"/>
          <w:rtl w:val="0"/>
        </w:rPr>
        <w:fldChar w:fldCharType="separate" w:fldLock="0"/>
      </w:r>
      <w:r>
        <w:rPr>
          <w:rStyle w:val="Hyperlink.5"/>
          <w:rFonts w:ascii="Times New Roman" w:hAnsi="Times New Roman"/>
          <w:sz w:val="24"/>
          <w:szCs w:val="24"/>
          <w:rtl w:val="0"/>
          <w:lang w:val="en-US"/>
        </w:rPr>
        <w:t>Prosperity for All: the national strategy</w:t>
      </w:r>
      <w:r>
        <w:rPr>
          <w:rFonts w:ascii="Times New Roman" w:cs="Times New Roman" w:hAnsi="Times New Roman" w:eastAsia="Times New Roman"/>
          <w:sz w:val="24"/>
          <w:szCs w:val="24"/>
          <w:rtl w:val="0"/>
        </w:rPr>
        <w:fldChar w:fldCharType="end" w:fldLock="0"/>
      </w:r>
      <w:r>
        <w:rPr>
          <w:rFonts w:ascii="Times New Roman" w:hAnsi="Times New Roman"/>
          <w:outline w:val="0"/>
          <w:color w:val="1f1f1f"/>
          <w:sz w:val="24"/>
          <w:szCs w:val="24"/>
          <w:rtl w:val="0"/>
          <w:lang w:val="en-US"/>
          <w14:textOutline w14:w="0" w14:cap="flat">
            <w14:solidFill>
              <w14:srgbClr w14:val="1F1F1F"/>
            </w14:solidFill>
            <w14:prstDash w14:val="solid"/>
            <w14:miter w14:lim="400000"/>
          </w14:textOutline>
          <w14:textFill>
            <w14:solidFill>
              <w14:srgbClr w14:val="1F1F1F"/>
            </w14:solidFill>
          </w14:textFill>
        </w:rPr>
        <w:t>. Crown Copyright 2017.</w:t>
      </w:r>
    </w:p>
    <w:p>
      <w:pPr>
        <w:pStyle w:val="Table Style 2"/>
        <w:bidi w:val="0"/>
        <w:spacing w:line="360" w:lineRule="auto"/>
        <w:ind w:left="0" w:right="0" w:firstLine="0"/>
        <w:jc w:val="left"/>
        <w:rPr>
          <w:rFonts w:ascii="Times New Roman" w:cs="Times New Roman" w:hAnsi="Times New Roman" w:eastAsia="Times New Roman"/>
          <w:sz w:val="24"/>
          <w:szCs w:val="24"/>
          <w:rtl w:val="0"/>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r>
        <w:rPr>
          <w:rFonts w:ascii="Times New Roman" w:hAnsi="Times New Roman"/>
          <w:sz w:val="24"/>
          <w:szCs w:val="24"/>
          <w:rtl w:val="0"/>
          <w:lang w:val="en-US"/>
        </w:rPr>
        <w:t xml:space="preserve">Welsh Government (2017c)  </w:t>
      </w:r>
      <w:r>
        <w:rPr>
          <w:rStyle w:val="Hyperlink.5"/>
          <w:rFonts w:ascii="Times New Roman" w:cs="Times New Roman" w:hAnsi="Times New Roman" w:eastAsia="Times New Roman"/>
          <w:sz w:val="24"/>
          <w:szCs w:val="24"/>
          <w:rtl w:val="0"/>
        </w:rPr>
        <w:fldChar w:fldCharType="begin" w:fldLock="0"/>
      </w:r>
      <w:r>
        <w:rPr>
          <w:rStyle w:val="Hyperlink.5"/>
          <w:rFonts w:ascii="Times New Roman" w:cs="Times New Roman" w:hAnsi="Times New Roman" w:eastAsia="Times New Roman"/>
          <w:sz w:val="24"/>
          <w:szCs w:val="24"/>
          <w:rtl w:val="0"/>
        </w:rPr>
        <w:instrText xml:space="preserve"> HYPERLINK "https://gov.wales/sites/default/files/publications/2017-10/prosperity-for-all-the-national-strategy-strategic-integrated-appraisal.pdf"</w:instrText>
      </w:r>
      <w:r>
        <w:rPr>
          <w:rStyle w:val="Hyperlink.5"/>
          <w:rFonts w:ascii="Times New Roman" w:cs="Times New Roman" w:hAnsi="Times New Roman" w:eastAsia="Times New Roman"/>
          <w:sz w:val="24"/>
          <w:szCs w:val="24"/>
          <w:rtl w:val="0"/>
        </w:rPr>
        <w:fldChar w:fldCharType="separate" w:fldLock="0"/>
      </w:r>
      <w:r>
        <w:rPr>
          <w:rStyle w:val="Hyperlink.5"/>
          <w:rFonts w:ascii="Times New Roman" w:hAnsi="Times New Roman"/>
          <w:sz w:val="24"/>
          <w:szCs w:val="24"/>
          <w:rtl w:val="0"/>
          <w:lang w:val="en-US"/>
        </w:rPr>
        <w:t>Prosperity for All: the national strategy (strategic integrated appraisal)</w:t>
      </w:r>
      <w:r>
        <w:rPr>
          <w:rFonts w:ascii="Times New Roman" w:cs="Times New Roman" w:hAnsi="Times New Roman" w:eastAsia="Times New Roman"/>
          <w:sz w:val="24"/>
          <w:szCs w:val="24"/>
          <w:rtl w:val="0"/>
        </w:rPr>
        <w:fldChar w:fldCharType="end" w:fldLock="0"/>
      </w:r>
      <w:r>
        <w:rPr>
          <w:rFonts w:ascii="Times New Roman" w:hAnsi="Times New Roman"/>
          <w:outline w:val="0"/>
          <w:color w:val="1f1f1f"/>
          <w:sz w:val="24"/>
          <w:szCs w:val="24"/>
          <w:rtl w:val="0"/>
          <w:lang w:val="en-US"/>
          <w14:textOutline w14:w="0" w14:cap="flat">
            <w14:solidFill>
              <w14:srgbClr w14:val="1F1F1F"/>
            </w14:solidFill>
            <w14:prstDash w14:val="solid"/>
            <w14:miter w14:lim="400000"/>
          </w14:textOutline>
          <w14:textFill>
            <w14:solidFill>
              <w14:srgbClr w14:val="1F1F1F"/>
            </w14:solidFill>
          </w14:textFill>
        </w:rPr>
        <w:t>. Crown Copyright 2017.</w:t>
      </w:r>
    </w:p>
    <w:p>
      <w:pPr>
        <w:pStyle w:val="Body"/>
        <w:spacing w:line="360" w:lineRule="auto"/>
        <w:rPr>
          <w:rFonts w:ascii="Times New Roman" w:cs="Times New Roman" w:hAnsi="Times New Roman" w:eastAsia="Times New Roman"/>
          <w:outline w:val="0"/>
          <w:color w:val="1f1f1f"/>
          <w:sz w:val="24"/>
          <w:szCs w:val="24"/>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rPr>
          <w:rFonts w:ascii="Times New Roman" w:cs="Times New Roman" w:hAnsi="Times New Roman" w:eastAsia="Times New Roman"/>
          <w:outline w:val="0"/>
          <w:color w:val="1f1f1f"/>
          <w:sz w:val="24"/>
          <w:szCs w:val="24"/>
          <w14:textOutline w14:w="0" w14:cap="flat">
            <w14:solidFill>
              <w14:srgbClr w14:val="1F1F1F"/>
            </w14:solidFill>
            <w14:prstDash w14:val="solid"/>
            <w14:miter w14:lim="400000"/>
          </w14:textOutline>
          <w14:textFill>
            <w14:solidFill>
              <w14:srgbClr w14:val="1F1F1F"/>
            </w14:solidFill>
          </w14:textFill>
        </w:rPr>
      </w:pPr>
      <w:r>
        <w:rPr>
          <w:rFonts w:ascii="Times New Roman" w:hAnsi="Times New Roman"/>
          <w:sz w:val="24"/>
          <w:szCs w:val="24"/>
          <w:rtl w:val="0"/>
          <w:lang w:val="en-US"/>
          <w14:textOutline w14:w="0" w14:cap="flat">
            <w14:solidFill>
              <w14:srgbClr w14:val="1F1F1F"/>
            </w14:solidFill>
            <w14:prstDash w14:val="solid"/>
            <w14:miter w14:lim="400000"/>
          </w14:textOutline>
        </w:rPr>
        <w:t>Welsh Government (2019) My Local School. Crown Copyright 2019</w:t>
      </w:r>
    </w:p>
    <w:p>
      <w:pPr>
        <w:pStyle w:val="Body"/>
        <w:spacing w:line="360" w:lineRule="auto"/>
        <w:rPr>
          <w:outline w:val="0"/>
          <w:color w:val="1f1f1f"/>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r>
        <w:rPr>
          <w:rFonts w:ascii="Times New Roman" w:hAnsi="Times New Roman"/>
          <w:outline w:val="0"/>
          <w:color w:val="1f1f1f"/>
          <w:sz w:val="24"/>
          <w:szCs w:val="24"/>
          <w:rtl w:val="0"/>
          <w:lang w:val="en-US"/>
          <w14:textOutline w14:w="0" w14:cap="flat">
            <w14:solidFill>
              <w14:srgbClr w14:val="1F1F1F"/>
            </w14:solidFill>
            <w14:prstDash w14:val="solid"/>
            <w14:miter w14:lim="400000"/>
          </w14:textOutline>
          <w14:textFill>
            <w14:solidFill>
              <w14:srgbClr w14:val="1F1F1F"/>
            </w14:solidFill>
          </w14:textFill>
        </w:rPr>
        <w:t>West, P., Sweeting, H., &amp; Young, R. (2008) Transition matters: pupil</w:t>
      </w:r>
      <w:r>
        <w:rPr>
          <w:rFonts w:ascii="Times New Roman" w:hAnsi="Times New Roman" w:hint="default"/>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t>’</w:t>
      </w:r>
      <w:r>
        <w:rPr>
          <w:rFonts w:ascii="Times New Roman" w:hAnsi="Times New Roman"/>
          <w:outline w:val="0"/>
          <w:color w:val="1f1f1f"/>
          <w:sz w:val="24"/>
          <w:szCs w:val="24"/>
          <w:rtl w:val="0"/>
          <w:lang w:val="en-US"/>
          <w14:textOutline w14:w="0" w14:cap="flat">
            <w14:solidFill>
              <w14:srgbClr w14:val="1F1F1F"/>
            </w14:solidFill>
            <w14:prstDash w14:val="solid"/>
            <w14:miter w14:lim="400000"/>
          </w14:textOutline>
          <w14:textFill>
            <w14:solidFill>
              <w14:srgbClr w14:val="1F1F1F"/>
            </w14:solidFill>
          </w14:textFill>
        </w:rPr>
        <w:t>s expectations of the primary- secondary school transition in the West of Scotland and consequences for well-being and attainment. Research Papers in Education, 1-29.</w:t>
      </w: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Table Style 2"/>
        <w:bidi w:val="0"/>
        <w:spacing w:line="360" w:lineRule="auto"/>
        <w:ind w:left="0" w:right="0" w:firstLine="0"/>
        <w:jc w:val="left"/>
        <w:rPr>
          <w:rFonts w:ascii="Times New Roman" w:cs="Times New Roman" w:hAnsi="Times New Roman" w:eastAsia="Times New Roman"/>
          <w:outline w:val="0"/>
          <w:color w:val="1f1f1f"/>
          <w:sz w:val="24"/>
          <w:szCs w:val="24"/>
          <w:rtl w:val="0"/>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r>
        <w:rPr>
          <w:rFonts w:ascii="Times New Roman" w:hAnsi="Times New Roman"/>
          <w:b w:val="1"/>
          <w:bCs w:val="1"/>
          <w:outline w:val="0"/>
          <w:color w:val="1f1f1f"/>
          <w:sz w:val="28"/>
          <w:szCs w:val="28"/>
          <w:u w:val="single"/>
          <w:rtl w:val="0"/>
          <w:lang w:val="en-US"/>
          <w14:textOutline w14:w="0" w14:cap="flat">
            <w14:solidFill>
              <w14:srgbClr w14:val="1F1F1F"/>
            </w14:solidFill>
            <w14:prstDash w14:val="solid"/>
            <w14:miter w14:lim="400000"/>
          </w14:textOutline>
          <w14:textFill>
            <w14:solidFill>
              <w14:srgbClr w14:val="1F1F1F"/>
            </w14:solidFill>
          </w14:textFill>
        </w:rPr>
        <w:t>Appendix 2 - Script</w:t>
      </w:r>
    </w:p>
    <w:p>
      <w:pPr>
        <w:pStyle w:val="Body"/>
        <w:spacing w:line="360" w:lineRule="auto"/>
        <w:jc w:val="center"/>
        <w:rPr>
          <w:rFonts w:ascii="Times New Roman" w:cs="Times New Roman" w:hAnsi="Times New Roman" w:eastAsia="Times New Roman"/>
          <w:b w:val="1"/>
          <w:bCs w:val="1"/>
          <w:outline w:val="0"/>
          <w:color w:val="1f1f1f"/>
          <w:sz w:val="28"/>
          <w:szCs w:val="28"/>
          <w:u w:val="single"/>
          <w14:textOutline w14:w="0" w14:cap="flat">
            <w14:solidFill>
              <w14:srgbClr w14:val="1F1F1F"/>
            </w14:solidFill>
            <w14:prstDash w14:val="solid"/>
            <w14:miter w14:lim="400000"/>
          </w14:textOutline>
          <w14:textFill>
            <w14:solidFill>
              <w14:srgbClr w14:val="1F1F1F"/>
            </w14:solidFill>
          </w14:textFill>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Slide 1</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Good afternoon, thank you all for coming and giving me the opportunity to share my intervention with you. My name is Mr. Edwards, I am the Year 6 teacher for this academic year and I hope this presentation gives you a clear understanding of what I wish to achieve for improving the transition from Key Stage 2 to Key Stage 3.</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Slide 2</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As you all know, during our last ESTYN inspection in 2016 our overall performance as a school was rated as good, with the school prospects for improvement also rated as good. The document brings together the different aspects of literacy found in our school and on the whole, the results are positive. The pupil's reading skills in Key Stage 2 is described as making good progress. They are able to read accurately with understanding, with a majority of the older pupils reading aloud with good expression. It was also pointed out, that by the end of Key Stage 2 the children are developing a good standard of higher order-thinking skills such as skimming and scanning efficiently. The Key Stage 2 pupils also made progress in their writing skills that was described as suitable and because of this it was made one of the priorities in my intervention. Although, ESTYN also described the pupils as becoming confident in their choice of vocabulary and use of basic punctuation. However, there was said to be a minority of pupils that do not spell accurately and often neglect punctuation, I feel that the intervention will target these children and help to improve these skills in this minority. Pupils were also said to be able to use a wide range of strategies to help them plan their work but only a few actually reflect, edit and re-draft original work to make improvements. Within the initiative that will be presented to you today, there will be a section which targets pupils re-drafting their  work.</w:t>
      </w:r>
      <w:r>
        <w:rPr>
          <w:rFonts w:ascii="Arial Unicode MS" w:cs="Arial Unicode MS" w:hAnsi="Arial Unicode MS" w:eastAsia="Arial Unicode MS"/>
          <w:b w:val="0"/>
          <w:bCs w:val="0"/>
          <w:i w:val="0"/>
          <w:iCs w:val="0"/>
          <w:sz w:val="24"/>
          <w:szCs w:val="24"/>
        </w:rPr>
        <w:br w:type="textWrapping"/>
      </w: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In the most recent report, ESTYN made it clear that we have a very strong partnership with the local secondary school and that contributes to successful transitions for pupils. This led me to carry out some personal research and to work with the senior teaching staff at our school. I wanted to find out what type of work we carried out I was a school during there transition from Key Stage 2 to Key Stage 3 and see if we could improve it further. At the moment, our Year 6 cohort visit the secondary school twice as a whole year group with some children given the opportunity to visit with other groups within the school such as Orchestra. This is what gave me the idea to create the intervention so that the children get more opportunity to visit the secondary school in the hope of an ever smoother transition.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Slide 3</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As previously mentioned, the literacy skills of the Key Stage 2 pupils were generally positive, with some room for improvement. This brings me on to my intervention which has been created to help improve literacy standards further. The intervention has been created in line with ESTYN</w:t>
      </w:r>
      <w:r>
        <w:rPr>
          <w:rFonts w:ascii="Times New Roman" w:hAnsi="Times New Roman" w:hint="default"/>
          <w:sz w:val="24"/>
          <w:szCs w:val="24"/>
          <w:rtl w:val="0"/>
          <w:lang w:val="en-US"/>
        </w:rPr>
        <w:t>’</w:t>
      </w:r>
      <w:r>
        <w:rPr>
          <w:rFonts w:ascii="Times New Roman" w:hAnsi="Times New Roman"/>
          <w:sz w:val="24"/>
          <w:szCs w:val="24"/>
          <w:rtl w:val="0"/>
          <w:lang w:val="en-US"/>
        </w:rPr>
        <w:t>s recommendations which include: improving the standards of handwriting and presentation of work in Key Stage 2 and to develop the pupils</w:t>
      </w:r>
      <w:r>
        <w:rPr>
          <w:rFonts w:ascii="Times New Roman" w:hAnsi="Times New Roman" w:hint="default"/>
          <w:sz w:val="24"/>
          <w:szCs w:val="24"/>
          <w:rtl w:val="0"/>
          <w:lang w:val="en-US"/>
        </w:rPr>
        <w:t xml:space="preserve">’ </w:t>
      </w:r>
      <w:r>
        <w:rPr>
          <w:rFonts w:ascii="Times New Roman" w:hAnsi="Times New Roman"/>
          <w:sz w:val="24"/>
          <w:szCs w:val="24"/>
          <w:rtl w:val="0"/>
          <w:lang w:val="en-US"/>
        </w:rPr>
        <w:t>ability to review and improve their own writing.</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The intervention itself, will be a series of literacy WOW days based around the work of Roald Dahl and will take place in the local secondary school that we are in partnership with. This has been the chosen theme because there is so much scope and opportunity for the children to improve their literacy skills. As mentioned in the school development plan, I will organise with the Key Stage 3 head of year, for the Year 6 children to visit the school most Wednesdays after the second half term in the summer. Placing my intervention at this time of the year is so that it is still fresh in the pupils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minds when they move up in September so it is not as daunting for them. Two minibuses will be used to transport the Year 6 class from our school to the secondary school. One advantage of using minibuses as transport is that both schools own their own mini bus and have members of staff that are qualified to drive them which means it will be very cost effective as fuel will be the only cost. The cost of the fuel will be taken from the schools reserves.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As this is such a major transition in any child</w:t>
      </w:r>
      <w:r>
        <w:rPr>
          <w:rFonts w:ascii="Times New Roman" w:hAnsi="Times New Roman" w:hint="default"/>
          <w:sz w:val="24"/>
          <w:szCs w:val="24"/>
          <w:rtl w:val="0"/>
          <w:lang w:val="en-US"/>
        </w:rPr>
        <w:t>’</w:t>
      </w:r>
      <w:r>
        <w:rPr>
          <w:rFonts w:ascii="Times New Roman" w:hAnsi="Times New Roman"/>
          <w:sz w:val="24"/>
          <w:szCs w:val="24"/>
          <w:rtl w:val="0"/>
          <w:lang w:val="en-US"/>
        </w:rPr>
        <w:t>s life, the first visit to the secondary school will be more of a social visit for the pupils to feel comfortable in their new environment. During this visit the children will get the chance to meet Year 7 pupils that will help out with the intervention, so that the Year 6 pupils will have their first interaction with their future peers and create a buddy system referred to in the school development plan. UCL Psychology and Language Sciences, carried out a study on 2000 pupils regarding transition related concerns between Key Stage 2 and 3. It was found that the second highest concern was getting lost in the school. This is why, as part of the intervention the children will get a tour of the whole school whilst they are there. Th intervention not only targets literacy skills but also the well-being of the children.</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Slide 4</w:t>
      </w:r>
    </w:p>
    <w:p>
      <w:pPr>
        <w:pStyle w:val="Body"/>
        <w:spacing w:line="360" w:lineRule="auto"/>
        <w:jc w:val="left"/>
        <w:rPr>
          <w:rFonts w:ascii="Times New Roman" w:cs="Times New Roman" w:hAnsi="Times New Roman" w:eastAsia="Times New Roman"/>
          <w:sz w:val="24"/>
          <w:szCs w:val="24"/>
          <w:u w:val="single"/>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As the initiative aims to improve the standards of literacy in our Year 6 pupils, it is important to consider the English Programme of Study. When creating the intervention, I looked at different strands and skills found in the curriculum document that could link with the recommendations that ESTYN had mad for the school, in turn progressing the children</w:t>
      </w:r>
      <w:r>
        <w:rPr>
          <w:rFonts w:ascii="Times New Roman" w:hAnsi="Times New Roman" w:hint="default"/>
          <w:sz w:val="24"/>
          <w:szCs w:val="24"/>
          <w:rtl w:val="0"/>
          <w:lang w:val="en-US"/>
        </w:rPr>
        <w:t>’</w:t>
      </w:r>
      <w:r>
        <w:rPr>
          <w:rFonts w:ascii="Times New Roman" w:hAnsi="Times New Roman"/>
          <w:sz w:val="24"/>
          <w:szCs w:val="24"/>
          <w:rtl w:val="0"/>
          <w:lang w:val="en-US"/>
        </w:rPr>
        <w:t>s skills. I chose two skills from the Oracy strand that will aid in the pupils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progression which were: speaking clearly using varying expression, tone and volume </w:t>
      </w:r>
      <w:r>
        <w:rPr>
          <w:rFonts w:ascii="Times New Roman" w:hAnsi="Times New Roman"/>
          <w:b w:val="1"/>
          <w:bCs w:val="1"/>
          <w:sz w:val="24"/>
          <w:szCs w:val="24"/>
          <w:rtl w:val="0"/>
          <w:lang w:val="en-US"/>
        </w:rPr>
        <w:t xml:space="preserve">and </w:t>
      </w:r>
      <w:r>
        <w:rPr>
          <w:rFonts w:ascii="Times New Roman" w:hAnsi="Times New Roman"/>
          <w:sz w:val="24"/>
          <w:szCs w:val="24"/>
          <w:rtl w:val="0"/>
          <w:lang w:val="en-US"/>
        </w:rPr>
        <w:t xml:space="preserve">exploring challenging issues through role play. The progressions will be evident from the first visit to the last through activities carried out during the visits. The activity to help children develop these skills would be a role play activity where the children are able to interact with different roles played and different environments within the scene they have made.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This role play activity also draws on the writing strand in the programme of study which also links directly to the recommendations of ESTYN. Whilst writing the script the children will have the opportunity to proofread their work, reflect and redraft it to show progression. This skill hits both the recommendation and the skill from the curriculum.</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Hopefully in the future, we as a school, will be able to continue on a positive path of progression in terms of literacy and transition. We now there are many different strategies which can help with the transition between primary and secondary school. It is important that we allow the children the opportunity to engage with the Key Stage 3 environment as many times as possible before they make the transition so that it will be a better experience.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Another strategy that could help with this would be a visit from a member of staff from the secondary school, such as the Deputy Headteacher, to talk to the children. This could be in the form of a circle time that gives the children a chance to ask any questions they have about the transition.</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Appendix 3 - School</w:t>
      </w:r>
      <w:r>
        <mc:AlternateContent>
          <mc:Choice Requires="wps">
            <w:drawing>
              <wp:anchor distT="0" distB="0" distL="0" distR="0" simplePos="0" relativeHeight="251659264" behindDoc="0" locked="0" layoutInCell="1" allowOverlap="1">
                <wp:simplePos x="0" y="0"/>
                <wp:positionH relativeFrom="page">
                  <wp:posOffset>732699</wp:posOffset>
                </wp:positionH>
                <wp:positionV relativeFrom="page">
                  <wp:posOffset>1696711</wp:posOffset>
                </wp:positionV>
                <wp:extent cx="6110566" cy="6168281"/>
                <wp:effectExtent l="0" t="0" r="0" b="0"/>
                <wp:wrapTopAndBottom distT="0" distB="0"/>
                <wp:docPr id="1073741825" name="officeArt object"/>
                <wp:cNvGraphicFramePr/>
                <a:graphic xmlns:a="http://schemas.openxmlformats.org/drawingml/2006/main">
                  <a:graphicData uri="http://schemas.microsoft.com/office/word/2010/wordprocessingShape">
                    <wps:wsp>
                      <wps:cNvSpPr/>
                      <wps:spPr>
                        <a:xfrm>
                          <a:off x="0" y="0"/>
                          <a:ext cx="6110566" cy="6168281"/>
                        </a:xfrm>
                        <a:prstGeom prst="rect">
                          <a:avLst/>
                        </a:prstGeom>
                      </wps:spPr>
                      <wps:txbx>
                        <w:txbxContent>
                          <w:tbl>
                            <w:tblPr>
                              <w:tblW w:w="9617"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23"/>
                              <w:gridCol w:w="1924"/>
                              <w:gridCol w:w="1923"/>
                              <w:gridCol w:w="1924"/>
                              <w:gridCol w:w="1923"/>
                            </w:tblGrid>
                            <w:tr>
                              <w:tblPrEx>
                                <w:shd w:val="clear" w:color="auto" w:fill="auto"/>
                              </w:tblPrEx>
                              <w:trPr>
                                <w:trHeight w:val="607" w:hRule="atLeast"/>
                              </w:trPr>
                              <w:tc>
                                <w:tcPr>
                                  <w:tcW w:type="dxa" w:w="1923"/>
                                  <w:tcBorders>
                                    <w:top w:val="single" w:color="515151" w:sz="8"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Priority/Action</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Who?</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When?</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Cost</w:t>
                                  </w:r>
                                </w:p>
                              </w:tc>
                              <w:tc>
                                <w:tcPr>
                                  <w:tcW w:type="dxa" w:w="1923"/>
                                  <w:tcBorders>
                                    <w:top w:val="single" w:color="515151" w:sz="8"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Monitoring and Evaluation</w:t>
                                  </w:r>
                                </w:p>
                              </w:tc>
                            </w:tr>
                            <w:tr>
                              <w:tblPrEx>
                                <w:shd w:val="clear" w:color="auto" w:fill="auto"/>
                              </w:tblPrEx>
                              <w:trPr>
                                <w:trHeight w:val="21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a visit from the Deputy Headteacher of the secondary school to talk to the year 6 pupils.</w:t>
                                  </w:r>
                                </w:p>
                                <w:p>
                                  <w:pPr>
                                    <w:pStyle w:val="Table Style 2"/>
                                    <w:jc w:val="center"/>
                                  </w:pP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Key Stage 2 Lead</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p>
                                  <w:pPr>
                                    <w:pStyle w:val="Table Style 2"/>
                                    <w:jc w:val="center"/>
                                  </w:pPr>
                                </w:p>
                                <w:p>
                                  <w:pPr>
                                    <w:pStyle w:val="Table Style 2"/>
                                    <w:jc w:val="center"/>
                                  </w:pPr>
                                  <w:r>
                                    <w:rPr>
                                      <w:rFonts w:ascii="Times New Roman" w:hAnsi="Times New Roman"/>
                                      <w:sz w:val="24"/>
                                      <w:szCs w:val="24"/>
                                      <w:rtl w:val="0"/>
                                    </w:rPr>
                                    <w:t>Deputy Headteacher will visit School A</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N/A</w:t>
                                  </w:r>
                                </w:p>
                              </w:tc>
                            </w:tr>
                            <w:tr>
                              <w:tblPrEx>
                                <w:shd w:val="clear" w:color="auto" w:fill="auto"/>
                              </w:tblPrEx>
                              <w:trPr>
                                <w:trHeight w:val="15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Transfer the pupil profiles of the current year 6 pupils to the comprehensive.</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Office Staff </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Any information exchanged will be kept on record.</w:t>
                                  </w:r>
                                </w:p>
                              </w:tc>
                            </w:tr>
                            <w:tr>
                              <w:tblPrEx>
                                <w:shd w:val="clear" w:color="auto" w:fill="auto"/>
                              </w:tblPrEx>
                              <w:trPr>
                                <w:trHeight w:val="27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comprehensive school visits for the year 6 pupils.</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Key Stage 2 Lead</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Monday 1st June 2020</w:t>
                                  </w:r>
                                </w:p>
                                <w:p>
                                  <w:pPr>
                                    <w:pStyle w:val="Table Style 2"/>
                                    <w:jc w:val="center"/>
                                  </w:pPr>
                                  <w:r>
                                    <w:rPr>
                                      <w:rFonts w:ascii="Times New Roman" w:hAnsi="Times New Roman"/>
                                      <w:sz w:val="24"/>
                                      <w:szCs w:val="24"/>
                                      <w:rtl w:val="0"/>
                                    </w:rPr>
                                    <w:t>(Last half term)</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Both schools own mini buses to help with travel</w:t>
                                  </w:r>
                                </w:p>
                                <w:p>
                                  <w:pPr>
                                    <w:pStyle w:val="Table Style 2"/>
                                    <w:jc w:val="center"/>
                                  </w:pPr>
                                </w:p>
                                <w:p>
                                  <w:pPr>
                                    <w:pStyle w:val="Table Style 2"/>
                                    <w:jc w:val="center"/>
                                  </w:pPr>
                                  <w:r>
                                    <w:rPr>
                                      <w:rFonts w:ascii="Times New Roman" w:hAnsi="Times New Roman"/>
                                      <w:sz w:val="24"/>
                                      <w:szCs w:val="24"/>
                                      <w:rtl w:val="0"/>
                                    </w:rPr>
                                    <w:t>Fuel will be the only cost</w:t>
                                  </w:r>
                                </w:p>
                                <w:p>
                                  <w:pPr>
                                    <w:pStyle w:val="Table Style 2"/>
                                    <w:jc w:val="center"/>
                                  </w:pP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Educational visit permission letters will be needed.</w:t>
                                  </w:r>
                                </w:p>
                                <w:p>
                                  <w:pPr>
                                    <w:pStyle w:val="Table Style 2"/>
                                    <w:jc w:val="center"/>
                                  </w:pPr>
                                </w:p>
                                <w:p>
                                  <w:pPr>
                                    <w:pStyle w:val="Table Style 2"/>
                                    <w:jc w:val="center"/>
                                  </w:pPr>
                                  <w:r>
                                    <w:rPr>
                                      <w:rFonts w:ascii="Times New Roman" w:hAnsi="Times New Roman"/>
                                      <w:sz w:val="24"/>
                                      <w:szCs w:val="24"/>
                                      <w:rtl w:val="0"/>
                                    </w:rPr>
                                    <w:t xml:space="preserve">Any work will be stored electronically  or in a file. </w:t>
                                  </w:r>
                                </w:p>
                                <w:p>
                                  <w:pPr>
                                    <w:pStyle w:val="Table Style 2"/>
                                    <w:jc w:val="center"/>
                                  </w:pPr>
                                </w:p>
                              </w:tc>
                            </w:tr>
                            <w:tr>
                              <w:tblPrEx>
                                <w:shd w:val="clear" w:color="auto" w:fill="auto"/>
                              </w:tblPrEx>
                              <w:trPr>
                                <w:trHeight w:val="21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a guest reader (Volunteer) to visit the secondary school when the pupils are there.</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Mr. Edwards </w:t>
                                  </w:r>
                                </w:p>
                                <w:p>
                                  <w:pPr>
                                    <w:pStyle w:val="Table Style 2"/>
                                    <w:jc w:val="center"/>
                                  </w:pPr>
                                </w:p>
                                <w:p>
                                  <w:pPr>
                                    <w:pStyle w:val="Table Style 2"/>
                                    <w:jc w:val="center"/>
                                  </w:pPr>
                                  <w:r>
                                    <w:rPr>
                                      <w:rFonts w:ascii="Times New Roman" w:hAnsi="Times New Roman"/>
                                      <w:sz w:val="24"/>
                                      <w:szCs w:val="24"/>
                                      <w:rtl w:val="0"/>
                                    </w:rPr>
                                    <w:t>Office Staff</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Monday 1st June 2020</w:t>
                                  </w:r>
                                </w:p>
                                <w:p>
                                  <w:pPr>
                                    <w:pStyle w:val="Table Style 2"/>
                                    <w:jc w:val="center"/>
                                  </w:pPr>
                                  <w:r>
                                    <w:rPr>
                                      <w:rFonts w:ascii="Times New Roman" w:hAnsi="Times New Roman"/>
                                      <w:sz w:val="24"/>
                                      <w:szCs w:val="24"/>
                                      <w:rtl w:val="0"/>
                                    </w:rPr>
                                    <w:t>(Last half term)</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p>
                                  <w:pPr>
                                    <w:pStyle w:val="Table Style 2"/>
                                    <w:jc w:val="center"/>
                                  </w:pPr>
                                </w:p>
                                <w:p>
                                  <w:pPr>
                                    <w:pStyle w:val="Table Style 2"/>
                                    <w:jc w:val="center"/>
                                  </w:pPr>
                                  <w:r>
                                    <w:rPr>
                                      <w:rFonts w:ascii="Times New Roman" w:hAnsi="Times New Roman"/>
                                      <w:sz w:val="24"/>
                                      <w:szCs w:val="24"/>
                                      <w:rtl w:val="0"/>
                                    </w:rPr>
                                    <w:t>A worker from the local library will assist.</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Records kept by the Office Staff. </w:t>
                                  </w:r>
                                </w:p>
                              </w:tc>
                            </w:tr>
                            <w:tr>
                              <w:tblPrEx>
                                <w:shd w:val="clear" w:color="auto" w:fill="auto"/>
                              </w:tblPrEx>
                              <w:trPr>
                                <w:trHeight w:val="1507" w:hRule="atLeast"/>
                              </w:trPr>
                              <w:tc>
                                <w:tcPr>
                                  <w:tcW w:type="dxa" w:w="1923"/>
                                  <w:tcBorders>
                                    <w:top w:val="single" w:color="000000" w:sz="6" w:space="0" w:shadow="0" w:frame="0"/>
                                    <w:left w:val="single" w:color="515151" w:sz="8"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Set up a buddy system for the pupil</w:t>
                                  </w:r>
                                  <w:r>
                                    <w:rPr>
                                      <w:rFonts w:ascii="Times New Roman" w:hAnsi="Times New Roman" w:hint="default"/>
                                      <w:sz w:val="24"/>
                                      <w:szCs w:val="24"/>
                                      <w:rtl w:val="0"/>
                                    </w:rPr>
                                    <w:t>’</w:t>
                                  </w:r>
                                  <w:r>
                                    <w:rPr>
                                      <w:rFonts w:ascii="Times New Roman" w:hAnsi="Times New Roman"/>
                                      <w:sz w:val="24"/>
                                      <w:szCs w:val="24"/>
                                      <w:rtl w:val="0"/>
                                    </w:rPr>
                                    <w:t>s.</w:t>
                                  </w: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Head of Key Stage 3</w:t>
                                  </w:r>
                                </w:p>
                                <w:p>
                                  <w:pPr>
                                    <w:pStyle w:val="Table Style 2"/>
                                    <w:jc w:val="center"/>
                                  </w:pP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tc>
                              <w:tc>
                                <w:tcPr>
                                  <w:tcW w:type="dxa" w:w="1923"/>
                                  <w:tcBorders>
                                    <w:top w:val="single" w:color="000000" w:sz="6" w:space="0" w:shadow="0" w:frame="0"/>
                                    <w:left w:val="single" w:color="000000" w:sz="6" w:space="0" w:shadow="0" w:frame="0"/>
                                    <w:bottom w:val="single" w:color="515151" w:sz="8"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Records of names kept by Mr.Edwards.</w:t>
                                  </w:r>
                                </w:p>
                              </w:tc>
                            </w:tr>
                          </w:tbl>
                        </w:txbxContent>
                      </wps:txbx>
                      <wps:bodyPr lIns="0" tIns="0" rIns="0" bIns="0">
                        <a:spAutoFit/>
                      </wps:bodyPr>
                    </wps:wsp>
                  </a:graphicData>
                </a:graphic>
              </wp:anchor>
            </w:drawing>
          </mc:Choice>
          <mc:Fallback>
            <w:pict>
              <v:shape id="_x0000_s1026" type="#_x0000_t202" style="visibility:visible;position:absolute;margin-left:57.7pt;margin-top:133.6pt;width:481.1pt;height:485.7pt;z-index:251659264;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9617"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23"/>
                        <w:gridCol w:w="1924"/>
                        <w:gridCol w:w="1923"/>
                        <w:gridCol w:w="1924"/>
                        <w:gridCol w:w="1923"/>
                      </w:tblGrid>
                      <w:tr>
                        <w:tblPrEx>
                          <w:shd w:val="clear" w:color="auto" w:fill="auto"/>
                        </w:tblPrEx>
                        <w:trPr>
                          <w:trHeight w:val="607" w:hRule="atLeast"/>
                        </w:trPr>
                        <w:tc>
                          <w:tcPr>
                            <w:tcW w:type="dxa" w:w="1923"/>
                            <w:tcBorders>
                              <w:top w:val="single" w:color="515151" w:sz="8"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Priority/Action</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Who?</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When?</w:t>
                            </w:r>
                          </w:p>
                        </w:tc>
                        <w:tc>
                          <w:tcPr>
                            <w:tcW w:type="dxa" w:w="1923"/>
                            <w:tcBorders>
                              <w:top w:val="single" w:color="515151" w:sz="8"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Cost</w:t>
                            </w:r>
                          </w:p>
                        </w:tc>
                        <w:tc>
                          <w:tcPr>
                            <w:tcW w:type="dxa" w:w="1923"/>
                            <w:tcBorders>
                              <w:top w:val="single" w:color="515151" w:sz="8"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Monitoring and Evaluation</w:t>
                            </w:r>
                          </w:p>
                        </w:tc>
                      </w:tr>
                      <w:tr>
                        <w:tblPrEx>
                          <w:shd w:val="clear" w:color="auto" w:fill="auto"/>
                        </w:tblPrEx>
                        <w:trPr>
                          <w:trHeight w:val="21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a visit from the Deputy Headteacher of the secondary school to talk to the year 6 pupils.</w:t>
                            </w:r>
                          </w:p>
                          <w:p>
                            <w:pPr>
                              <w:pStyle w:val="Table Style 2"/>
                              <w:jc w:val="center"/>
                            </w:pP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Key Stage 2 Lead</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p>
                            <w:pPr>
                              <w:pStyle w:val="Table Style 2"/>
                              <w:jc w:val="center"/>
                            </w:pPr>
                          </w:p>
                          <w:p>
                            <w:pPr>
                              <w:pStyle w:val="Table Style 2"/>
                              <w:jc w:val="center"/>
                            </w:pPr>
                            <w:r>
                              <w:rPr>
                                <w:rFonts w:ascii="Times New Roman" w:hAnsi="Times New Roman"/>
                                <w:sz w:val="24"/>
                                <w:szCs w:val="24"/>
                                <w:rtl w:val="0"/>
                              </w:rPr>
                              <w:t>Deputy Headteacher will visit School A</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N/A</w:t>
                            </w:r>
                          </w:p>
                        </w:tc>
                      </w:tr>
                      <w:tr>
                        <w:tblPrEx>
                          <w:shd w:val="clear" w:color="auto" w:fill="auto"/>
                        </w:tblPrEx>
                        <w:trPr>
                          <w:trHeight w:val="15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Transfer the pupil profiles of the current year 6 pupils to the comprehensive.</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Office Staff </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Any information exchanged will be kept on record.</w:t>
                            </w:r>
                          </w:p>
                        </w:tc>
                      </w:tr>
                      <w:tr>
                        <w:tblPrEx>
                          <w:shd w:val="clear" w:color="auto" w:fill="auto"/>
                        </w:tblPrEx>
                        <w:trPr>
                          <w:trHeight w:val="27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comprehensive school visits for the year 6 pupils.</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Key Stage 2 Lead</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Monday 1st June 2020</w:t>
                            </w:r>
                          </w:p>
                          <w:p>
                            <w:pPr>
                              <w:pStyle w:val="Table Style 2"/>
                              <w:jc w:val="center"/>
                            </w:pPr>
                            <w:r>
                              <w:rPr>
                                <w:rFonts w:ascii="Times New Roman" w:hAnsi="Times New Roman"/>
                                <w:sz w:val="24"/>
                                <w:szCs w:val="24"/>
                                <w:rtl w:val="0"/>
                              </w:rPr>
                              <w:t>(Last half term)</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Both schools own mini buses to help with travel</w:t>
                            </w:r>
                          </w:p>
                          <w:p>
                            <w:pPr>
                              <w:pStyle w:val="Table Style 2"/>
                              <w:jc w:val="center"/>
                            </w:pPr>
                          </w:p>
                          <w:p>
                            <w:pPr>
                              <w:pStyle w:val="Table Style 2"/>
                              <w:jc w:val="center"/>
                            </w:pPr>
                            <w:r>
                              <w:rPr>
                                <w:rFonts w:ascii="Times New Roman" w:hAnsi="Times New Roman"/>
                                <w:sz w:val="24"/>
                                <w:szCs w:val="24"/>
                                <w:rtl w:val="0"/>
                              </w:rPr>
                              <w:t>Fuel will be the only cost</w:t>
                            </w:r>
                          </w:p>
                          <w:p>
                            <w:pPr>
                              <w:pStyle w:val="Table Style 2"/>
                              <w:jc w:val="center"/>
                            </w:pP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Educational visit permission letters will be needed.</w:t>
                            </w:r>
                          </w:p>
                          <w:p>
                            <w:pPr>
                              <w:pStyle w:val="Table Style 2"/>
                              <w:jc w:val="center"/>
                            </w:pPr>
                          </w:p>
                          <w:p>
                            <w:pPr>
                              <w:pStyle w:val="Table Style 2"/>
                              <w:jc w:val="center"/>
                            </w:pPr>
                            <w:r>
                              <w:rPr>
                                <w:rFonts w:ascii="Times New Roman" w:hAnsi="Times New Roman"/>
                                <w:sz w:val="24"/>
                                <w:szCs w:val="24"/>
                                <w:rtl w:val="0"/>
                              </w:rPr>
                              <w:t xml:space="preserve">Any work will be stored electronically  or in a file. </w:t>
                            </w:r>
                          </w:p>
                          <w:p>
                            <w:pPr>
                              <w:pStyle w:val="Table Style 2"/>
                              <w:jc w:val="center"/>
                            </w:pPr>
                          </w:p>
                        </w:tc>
                      </w:tr>
                      <w:tr>
                        <w:tblPrEx>
                          <w:shd w:val="clear" w:color="auto" w:fill="auto"/>
                        </w:tblPrEx>
                        <w:trPr>
                          <w:trHeight w:val="2105" w:hRule="atLeast"/>
                        </w:trPr>
                        <w:tc>
                          <w:tcPr>
                            <w:tcW w:type="dxa" w:w="1923"/>
                            <w:tcBorders>
                              <w:top w:val="single" w:color="000000" w:sz="6" w:space="0" w:shadow="0" w:frame="0"/>
                              <w:left w:val="single" w:color="515151" w:sz="8"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Organise a guest reader (Volunteer) to visit the secondary school when the pupils are there.</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Mr. Edwards </w:t>
                            </w:r>
                          </w:p>
                          <w:p>
                            <w:pPr>
                              <w:pStyle w:val="Table Style 2"/>
                              <w:jc w:val="center"/>
                            </w:pPr>
                          </w:p>
                          <w:p>
                            <w:pPr>
                              <w:pStyle w:val="Table Style 2"/>
                              <w:jc w:val="center"/>
                            </w:pPr>
                            <w:r>
                              <w:rPr>
                                <w:rFonts w:ascii="Times New Roman" w:hAnsi="Times New Roman"/>
                                <w:sz w:val="24"/>
                                <w:szCs w:val="24"/>
                                <w:rtl w:val="0"/>
                              </w:rPr>
                              <w:t>Office Staff</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Monday 1st June 2020</w:t>
                            </w:r>
                          </w:p>
                          <w:p>
                            <w:pPr>
                              <w:pStyle w:val="Table Style 2"/>
                              <w:jc w:val="center"/>
                            </w:pPr>
                            <w:r>
                              <w:rPr>
                                <w:rFonts w:ascii="Times New Roman" w:hAnsi="Times New Roman"/>
                                <w:sz w:val="24"/>
                                <w:szCs w:val="24"/>
                                <w:rtl w:val="0"/>
                              </w:rPr>
                              <w:t>(Last half term)</w:t>
                            </w:r>
                          </w:p>
                        </w:tc>
                        <w:tc>
                          <w:tcPr>
                            <w:tcW w:type="dxa" w:w="1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p>
                            <w:pPr>
                              <w:pStyle w:val="Table Style 2"/>
                              <w:jc w:val="center"/>
                            </w:pPr>
                          </w:p>
                          <w:p>
                            <w:pPr>
                              <w:pStyle w:val="Table Style 2"/>
                              <w:jc w:val="center"/>
                            </w:pPr>
                            <w:r>
                              <w:rPr>
                                <w:rFonts w:ascii="Times New Roman" w:hAnsi="Times New Roman"/>
                                <w:sz w:val="24"/>
                                <w:szCs w:val="24"/>
                                <w:rtl w:val="0"/>
                              </w:rPr>
                              <w:t>A worker from the local library will assist.</w:t>
                            </w:r>
                          </w:p>
                        </w:tc>
                        <w:tc>
                          <w:tcPr>
                            <w:tcW w:type="dxa" w:w="1923"/>
                            <w:tcBorders>
                              <w:top w:val="single" w:color="000000" w:sz="6" w:space="0" w:shadow="0" w:frame="0"/>
                              <w:left w:val="single" w:color="000000" w:sz="6" w:space="0" w:shadow="0" w:frame="0"/>
                              <w:bottom w:val="single" w:color="000000" w:sz="6"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 xml:space="preserve">Records kept by the Office Staff. </w:t>
                            </w:r>
                          </w:p>
                        </w:tc>
                      </w:tr>
                      <w:tr>
                        <w:tblPrEx>
                          <w:shd w:val="clear" w:color="auto" w:fill="auto"/>
                        </w:tblPrEx>
                        <w:trPr>
                          <w:trHeight w:val="1507" w:hRule="atLeast"/>
                        </w:trPr>
                        <w:tc>
                          <w:tcPr>
                            <w:tcW w:type="dxa" w:w="1923"/>
                            <w:tcBorders>
                              <w:top w:val="single" w:color="000000" w:sz="6" w:space="0" w:shadow="0" w:frame="0"/>
                              <w:left w:val="single" w:color="515151" w:sz="8"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Set up a buddy system for the pupil</w:t>
                            </w:r>
                            <w:r>
                              <w:rPr>
                                <w:rFonts w:ascii="Times New Roman" w:hAnsi="Times New Roman" w:hint="default"/>
                                <w:sz w:val="24"/>
                                <w:szCs w:val="24"/>
                                <w:rtl w:val="0"/>
                              </w:rPr>
                              <w:t>’</w:t>
                            </w:r>
                            <w:r>
                              <w:rPr>
                                <w:rFonts w:ascii="Times New Roman" w:hAnsi="Times New Roman"/>
                                <w:sz w:val="24"/>
                                <w:szCs w:val="24"/>
                                <w:rtl w:val="0"/>
                              </w:rPr>
                              <w:t>s.</w:t>
                            </w: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Mr. Edwards</w:t>
                            </w:r>
                          </w:p>
                          <w:p>
                            <w:pPr>
                              <w:pStyle w:val="Table Style 2"/>
                              <w:jc w:val="center"/>
                            </w:pPr>
                          </w:p>
                          <w:p>
                            <w:pPr>
                              <w:pStyle w:val="Table Style 2"/>
                              <w:jc w:val="center"/>
                            </w:pPr>
                            <w:r>
                              <w:rPr>
                                <w:rFonts w:ascii="Times New Roman" w:hAnsi="Times New Roman"/>
                                <w:sz w:val="24"/>
                                <w:szCs w:val="24"/>
                                <w:rtl w:val="0"/>
                              </w:rPr>
                              <w:t>Head of Key Stage 3</w:t>
                            </w:r>
                          </w:p>
                          <w:p>
                            <w:pPr>
                              <w:pStyle w:val="Table Style 2"/>
                              <w:jc w:val="center"/>
                            </w:pP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By the end of the 2019-2020 academic year.</w:t>
                            </w:r>
                          </w:p>
                        </w:tc>
                        <w:tc>
                          <w:tcPr>
                            <w:tcW w:type="dxa" w:w="1923"/>
                            <w:tcBorders>
                              <w:top w:val="single" w:color="000000" w:sz="6" w:space="0" w:shadow="0" w:frame="0"/>
                              <w:left w:val="single" w:color="000000" w:sz="6" w:space="0" w:shadow="0" w:frame="0"/>
                              <w:bottom w:val="single" w:color="515151" w:sz="8" w:space="0" w:shadow="0" w:frame="0"/>
                              <w:right w:val="single" w:color="000000" w:sz="6"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No cost</w:t>
                            </w:r>
                          </w:p>
                        </w:tc>
                        <w:tc>
                          <w:tcPr>
                            <w:tcW w:type="dxa" w:w="1923"/>
                            <w:tcBorders>
                              <w:top w:val="single" w:color="000000" w:sz="6" w:space="0" w:shadow="0" w:frame="0"/>
                              <w:left w:val="single" w:color="000000" w:sz="6" w:space="0" w:shadow="0" w:frame="0"/>
                              <w:bottom w:val="single" w:color="515151" w:sz="8" w:space="0" w:shadow="0" w:frame="0"/>
                              <w:right w:val="single" w:color="515151" w:sz="8" w:space="0" w:shadow="0" w:frame="0"/>
                            </w:tcBorders>
                            <w:shd w:val="clear" w:color="auto" w:fill="fefefe"/>
                            <w:tcMar>
                              <w:top w:type="dxa" w:w="80"/>
                              <w:left w:type="dxa" w:w="80"/>
                              <w:bottom w:type="dxa" w:w="80"/>
                              <w:right w:type="dxa" w:w="80"/>
                            </w:tcMar>
                            <w:vAlign w:val="top"/>
                          </w:tcPr>
                          <w:p>
                            <w:pPr>
                              <w:pStyle w:val="Table Style 2"/>
                              <w:jc w:val="center"/>
                            </w:pPr>
                            <w:r>
                              <w:rPr>
                                <w:rFonts w:ascii="Times New Roman" w:hAnsi="Times New Roman"/>
                                <w:sz w:val="24"/>
                                <w:szCs w:val="24"/>
                                <w:rtl w:val="0"/>
                              </w:rPr>
                              <w:t>Records of names kept by Mr.Edwards.</w:t>
                            </w:r>
                          </w:p>
                        </w:tc>
                      </w:tr>
                    </w:tbl>
                  </w:txbxContent>
                </v:textbox>
                <w10:wrap type="topAndBottom" side="bothSides" anchorx="page" anchory="page"/>
              </v:shape>
            </w:pict>
          </mc:Fallback>
        </mc:AlternateContent>
      </w:r>
      <w:r>
        <w:rPr>
          <w:rFonts w:ascii="Times New Roman" w:hAnsi="Times New Roman"/>
          <w:b w:val="1"/>
          <w:bCs w:val="1"/>
          <w:sz w:val="24"/>
          <w:szCs w:val="24"/>
          <w:u w:val="single"/>
          <w:rtl w:val="0"/>
          <w:lang w:val="en-US"/>
        </w:rPr>
        <w:t xml:space="preserve"> A Development Plan</w:t>
      </w:r>
    </w:p>
    <w:p>
      <w:pPr>
        <w:pStyle w:val="Body"/>
        <w:spacing w:line="360" w:lineRule="auto"/>
        <w:jc w:val="left"/>
      </w:pPr>
      <w:r>
        <w:rPr>
          <w:rFonts w:ascii="Times New Roman" w:cs="Times New Roman" w:hAnsi="Times New Roman" w:eastAsia="Times New Roman"/>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Pr>
      <w:tab/>
      <w:tab/>
    </w:r>
    <w:r>
      <w:rPr>
        <w:rFonts w:ascii="Times New Roman" w:hAnsi="Times New Roman"/>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1"/>
      <w:strike w:val="0"/>
      <w:dstrike w:val="0"/>
      <w:outline w:val="0"/>
      <w:color w:val="000000"/>
      <w:spacing w:val="0"/>
      <w:kern w:val="0"/>
      <w:position w:val="0"/>
      <w:sz w:val="20"/>
      <w:szCs w:val="20"/>
      <w:u w:val="none"/>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Hyperlink.1">
    <w:name w:val="Hyperlink.1"/>
    <w:basedOn w:val="Hyperlink.0"/>
    <w:next w:val="Hyperlink.1"/>
    <w:rPr>
      <w:outline w:val="0"/>
      <w:color w:val="0075b9"/>
      <w14:textFill>
        <w14:solidFill>
          <w14:srgbClr w14:val="0076BA"/>
        </w14:solidFill>
      </w14:textFill>
    </w:rPr>
  </w:style>
  <w:style w:type="character" w:styleId="Hyperlink.2">
    <w:name w:val="Hyperlink.2"/>
    <w:basedOn w:val="Hyperlink.0"/>
    <w:next w:val="Hyperlink.2"/>
    <w:rPr>
      <w:rFonts w:ascii="Times New Roman" w:cs="Times New Roman" w:hAnsi="Times New Roman" w:eastAsia="Times New Roman"/>
      <w:outline w:val="0"/>
      <w:color w:val="004c7f"/>
      <w14:textFill>
        <w14:solidFill>
          <w14:srgbClr w14:val="004D80"/>
        </w14:solidFill>
      </w14:textFill>
    </w:rPr>
  </w:style>
  <w:style w:type="character" w:styleId="Hyperlink.3">
    <w:name w:val="Hyperlink.3"/>
    <w:basedOn w:val="Hyperlink.0"/>
    <w:next w:val="Hyperlink.3"/>
    <w:rPr>
      <w:rFonts w:ascii="Times" w:cs="Times" w:hAnsi="Times" w:eastAsia="Times"/>
      <w:u w:color="0563c1"/>
    </w:rPr>
  </w:style>
  <w:style w:type="character" w:styleId="Hyperlink.4">
    <w:name w:val="Hyperlink.4"/>
    <w:basedOn w:val="Hyperlink.0"/>
    <w:next w:val="Hyperlink.4"/>
    <w:rPr>
      <w:outline w:val="0"/>
      <w:color w:val="004c7f"/>
      <w14:textFill>
        <w14:solidFill>
          <w14:srgbClr w14:val="004D80"/>
        </w14:solidFill>
      </w14:textFill>
    </w:rPr>
  </w:style>
  <w:style w:type="character" w:styleId="Hyperlink.5">
    <w:name w:val="Hyperlink.5"/>
    <w:basedOn w:val="Hyperlink.0"/>
    <w:next w:val="Hyperlink.5"/>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