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893EF" w14:textId="77777777" w:rsidR="003061BC" w:rsidRDefault="003061BC" w:rsidP="00363DD4">
      <w:pPr>
        <w:jc w:val="center"/>
        <w:rPr>
          <w:b/>
          <w:bCs/>
          <w:sz w:val="32"/>
          <w:szCs w:val="32"/>
        </w:rPr>
      </w:pPr>
    </w:p>
    <w:p w14:paraId="4F6583CF" w14:textId="77777777" w:rsidR="003061BC" w:rsidRDefault="003061BC" w:rsidP="00363DD4">
      <w:pPr>
        <w:jc w:val="center"/>
        <w:rPr>
          <w:b/>
          <w:bCs/>
          <w:sz w:val="32"/>
          <w:szCs w:val="32"/>
        </w:rPr>
      </w:pPr>
    </w:p>
    <w:p w14:paraId="051291D3" w14:textId="31AD7A0F" w:rsidR="003061BC" w:rsidRDefault="003061BC" w:rsidP="00363DD4">
      <w:pPr>
        <w:jc w:val="center"/>
        <w:rPr>
          <w:b/>
          <w:bCs/>
          <w:sz w:val="32"/>
          <w:szCs w:val="32"/>
        </w:rPr>
      </w:pPr>
      <w:r w:rsidRPr="003061BC">
        <w:rPr>
          <w:b/>
          <w:bCs/>
          <w:sz w:val="32"/>
          <w:szCs w:val="32"/>
        </w:rPr>
        <w:t>LCMB7023 HUMAN CAPITAL MANAGEMENT - Component 1</w:t>
      </w:r>
    </w:p>
    <w:p w14:paraId="6B12C806" w14:textId="77777777" w:rsidR="003061BC" w:rsidRDefault="003061BC" w:rsidP="00363DD4">
      <w:pPr>
        <w:jc w:val="center"/>
        <w:rPr>
          <w:b/>
          <w:bCs/>
          <w:sz w:val="32"/>
          <w:szCs w:val="32"/>
        </w:rPr>
      </w:pPr>
    </w:p>
    <w:p w14:paraId="00E4AFCD" w14:textId="3470EBCC" w:rsidR="00363DD4" w:rsidRDefault="00363DD4" w:rsidP="00363DD4">
      <w:pPr>
        <w:jc w:val="center"/>
        <w:rPr>
          <w:b/>
          <w:bCs/>
          <w:sz w:val="32"/>
          <w:szCs w:val="32"/>
        </w:rPr>
      </w:pPr>
      <w:r>
        <w:rPr>
          <w:b/>
          <w:bCs/>
          <w:sz w:val="32"/>
          <w:szCs w:val="32"/>
        </w:rPr>
        <w:t>DESIGNING A HUMAN CAPITAL ARCHITECTURE FOR STRATEGIC RENEWAL HELIOS URBAN MOBILITY (HUM)</w:t>
      </w:r>
    </w:p>
    <w:p w14:paraId="6C9E2065" w14:textId="77777777" w:rsidR="003061BC" w:rsidRDefault="003061BC" w:rsidP="00363DD4">
      <w:pPr>
        <w:jc w:val="center"/>
        <w:rPr>
          <w:sz w:val="40"/>
          <w:szCs w:val="40"/>
        </w:rPr>
      </w:pPr>
    </w:p>
    <w:p w14:paraId="078279A2" w14:textId="77777777" w:rsidR="003061BC" w:rsidRDefault="003061BC" w:rsidP="00363DD4">
      <w:pPr>
        <w:jc w:val="center"/>
        <w:rPr>
          <w:sz w:val="40"/>
          <w:szCs w:val="40"/>
        </w:rPr>
      </w:pPr>
    </w:p>
    <w:p w14:paraId="7E117D14" w14:textId="616C2986" w:rsidR="00363DD4" w:rsidRPr="003061BC" w:rsidRDefault="00363DD4" w:rsidP="00363DD4">
      <w:pPr>
        <w:jc w:val="center"/>
        <w:rPr>
          <w:b/>
          <w:bCs/>
          <w:sz w:val="32"/>
          <w:szCs w:val="32"/>
        </w:rPr>
      </w:pPr>
      <w:r w:rsidRPr="003061BC">
        <w:rPr>
          <w:b/>
          <w:bCs/>
          <w:sz w:val="32"/>
          <w:szCs w:val="32"/>
        </w:rPr>
        <w:t xml:space="preserve">Name: Dimple </w:t>
      </w:r>
      <w:r w:rsidR="00951DB3">
        <w:rPr>
          <w:b/>
          <w:bCs/>
          <w:sz w:val="32"/>
          <w:szCs w:val="32"/>
        </w:rPr>
        <w:t>T</w:t>
      </w:r>
      <w:r w:rsidRPr="003061BC">
        <w:rPr>
          <w:b/>
          <w:bCs/>
          <w:sz w:val="32"/>
          <w:szCs w:val="32"/>
        </w:rPr>
        <w:t xml:space="preserve">hakar </w:t>
      </w:r>
    </w:p>
    <w:p w14:paraId="742ED5AB" w14:textId="7FF8676A" w:rsidR="00363DD4" w:rsidRPr="003061BC" w:rsidRDefault="00363DD4" w:rsidP="00363DD4">
      <w:pPr>
        <w:jc w:val="center"/>
        <w:rPr>
          <w:b/>
          <w:bCs/>
          <w:sz w:val="40"/>
          <w:szCs w:val="40"/>
        </w:rPr>
      </w:pPr>
      <w:r w:rsidRPr="003061BC">
        <w:rPr>
          <w:b/>
          <w:bCs/>
          <w:sz w:val="32"/>
          <w:szCs w:val="32"/>
        </w:rPr>
        <w:t>Student ID: 2509581</w:t>
      </w:r>
      <w:r w:rsidRPr="003061BC">
        <w:rPr>
          <w:b/>
          <w:bCs/>
          <w:sz w:val="32"/>
          <w:szCs w:val="32"/>
        </w:rPr>
        <w:br w:type="page"/>
      </w:r>
    </w:p>
    <w:p w14:paraId="1DDB4A17" w14:textId="77777777" w:rsidR="00363DD4" w:rsidRDefault="00363DD4" w:rsidP="00363DD4">
      <w:pPr>
        <w:jc w:val="center"/>
        <w:rPr>
          <w:b/>
          <w:bCs/>
          <w:sz w:val="28"/>
          <w:szCs w:val="28"/>
        </w:rPr>
      </w:pPr>
    </w:p>
    <w:p w14:paraId="68020043" w14:textId="77777777" w:rsidR="00363DD4" w:rsidRDefault="00363DD4" w:rsidP="00363DD4">
      <w:pPr>
        <w:jc w:val="center"/>
        <w:rPr>
          <w:b/>
          <w:bCs/>
          <w:sz w:val="28"/>
          <w:szCs w:val="28"/>
        </w:rPr>
      </w:pPr>
    </w:p>
    <w:p w14:paraId="00000006" w14:textId="77A45726" w:rsidR="00817E45" w:rsidRDefault="00000000" w:rsidP="00363DD4">
      <w:pPr>
        <w:jc w:val="center"/>
        <w:rPr>
          <w:b/>
          <w:bCs/>
          <w:sz w:val="28"/>
          <w:szCs w:val="28"/>
        </w:rPr>
      </w:pPr>
      <w:r>
        <w:rPr>
          <w:b/>
          <w:bCs/>
          <w:sz w:val="28"/>
          <w:szCs w:val="28"/>
        </w:rPr>
        <w:t>Table of Contents</w:t>
      </w:r>
    </w:p>
    <w:sdt>
      <w:sdtPr>
        <w:id w:val="1512955267"/>
        <w:docPartObj>
          <w:docPartGallery w:val="Table of Contents"/>
          <w:docPartUnique/>
        </w:docPartObj>
      </w:sdtPr>
      <w:sdtContent>
        <w:p w14:paraId="383F9536" w14:textId="07AE9AAA" w:rsidR="00D069BD" w:rsidRDefault="00817E45">
          <w:pPr>
            <w:pStyle w:val="TOC1"/>
            <w:tabs>
              <w:tab w:val="right" w:leader="dot" w:pos="9350"/>
            </w:tabs>
            <w:rPr>
              <w:noProof/>
            </w:rPr>
          </w:pPr>
          <w:r>
            <w:fldChar w:fldCharType="begin"/>
          </w:r>
          <w:r>
            <w:instrText xml:space="preserve"> TOC \h \u \z \t "Heading 1,1,Heading 2,2,Heading 3,3,Heading 4,4,Heading 5,5,Heading 6,6,"</w:instrText>
          </w:r>
          <w:r>
            <w:fldChar w:fldCharType="separate"/>
          </w:r>
          <w:hyperlink w:anchor="_Toc234669311" w:history="1">
            <w:r w:rsidR="00D069BD" w:rsidRPr="00741613">
              <w:rPr>
                <w:rStyle w:val="Hyperlink"/>
                <w:noProof/>
              </w:rPr>
              <w:t>TASK A: Socialisation, Identity &amp; Business Activism</w:t>
            </w:r>
            <w:r w:rsidR="00D069BD">
              <w:rPr>
                <w:noProof/>
                <w:webHidden/>
              </w:rPr>
              <w:tab/>
            </w:r>
            <w:r w:rsidR="00D069BD">
              <w:rPr>
                <w:noProof/>
                <w:webHidden/>
              </w:rPr>
              <w:fldChar w:fldCharType="begin"/>
            </w:r>
            <w:r w:rsidR="00D069BD">
              <w:rPr>
                <w:noProof/>
                <w:webHidden/>
              </w:rPr>
              <w:instrText xml:space="preserve"> PAGEREF _Toc234669311 \h </w:instrText>
            </w:r>
            <w:r w:rsidR="00D069BD">
              <w:rPr>
                <w:noProof/>
                <w:webHidden/>
              </w:rPr>
            </w:r>
            <w:r w:rsidR="00D069BD">
              <w:rPr>
                <w:noProof/>
                <w:webHidden/>
              </w:rPr>
              <w:fldChar w:fldCharType="separate"/>
            </w:r>
            <w:r w:rsidR="00D069BD">
              <w:rPr>
                <w:noProof/>
                <w:webHidden/>
              </w:rPr>
              <w:t>3</w:t>
            </w:r>
            <w:r w:rsidR="00D069BD">
              <w:rPr>
                <w:noProof/>
                <w:webHidden/>
              </w:rPr>
              <w:fldChar w:fldCharType="end"/>
            </w:r>
          </w:hyperlink>
        </w:p>
        <w:p w14:paraId="7A4C0929" w14:textId="7693A7AD" w:rsidR="00D069BD" w:rsidRDefault="00D069BD">
          <w:pPr>
            <w:pStyle w:val="TOC2"/>
            <w:tabs>
              <w:tab w:val="right" w:leader="dot" w:pos="9350"/>
            </w:tabs>
            <w:rPr>
              <w:noProof/>
            </w:rPr>
          </w:pPr>
          <w:hyperlink w:anchor="_Toc234669312" w:history="1">
            <w:r w:rsidRPr="00741613">
              <w:rPr>
                <w:rStyle w:val="Hyperlink"/>
                <w:noProof/>
              </w:rPr>
              <w:t>1.1 From Transactional Onboarding to Strategic Socialisation</w:t>
            </w:r>
            <w:r>
              <w:rPr>
                <w:noProof/>
                <w:webHidden/>
              </w:rPr>
              <w:tab/>
            </w:r>
            <w:r>
              <w:rPr>
                <w:noProof/>
                <w:webHidden/>
              </w:rPr>
              <w:fldChar w:fldCharType="begin"/>
            </w:r>
            <w:r>
              <w:rPr>
                <w:noProof/>
                <w:webHidden/>
              </w:rPr>
              <w:instrText xml:space="preserve"> PAGEREF _Toc234669312 \h </w:instrText>
            </w:r>
            <w:r>
              <w:rPr>
                <w:noProof/>
                <w:webHidden/>
              </w:rPr>
            </w:r>
            <w:r>
              <w:rPr>
                <w:noProof/>
                <w:webHidden/>
              </w:rPr>
              <w:fldChar w:fldCharType="separate"/>
            </w:r>
            <w:r>
              <w:rPr>
                <w:noProof/>
                <w:webHidden/>
              </w:rPr>
              <w:t>3</w:t>
            </w:r>
            <w:r>
              <w:rPr>
                <w:noProof/>
                <w:webHidden/>
              </w:rPr>
              <w:fldChar w:fldCharType="end"/>
            </w:r>
          </w:hyperlink>
        </w:p>
        <w:p w14:paraId="52087436" w14:textId="72555697" w:rsidR="00D069BD" w:rsidRDefault="00D069BD">
          <w:pPr>
            <w:pStyle w:val="TOC2"/>
            <w:tabs>
              <w:tab w:val="right" w:leader="dot" w:pos="9350"/>
            </w:tabs>
            <w:rPr>
              <w:noProof/>
            </w:rPr>
          </w:pPr>
          <w:hyperlink w:anchor="_Toc234669313" w:history="1">
            <w:r w:rsidRPr="00741613">
              <w:rPr>
                <w:rStyle w:val="Hyperlink"/>
                <w:noProof/>
              </w:rPr>
              <w:t>1.2 A Structured Socialisation Framework for Helios</w:t>
            </w:r>
            <w:r>
              <w:rPr>
                <w:noProof/>
                <w:webHidden/>
              </w:rPr>
              <w:tab/>
            </w:r>
            <w:r>
              <w:rPr>
                <w:noProof/>
                <w:webHidden/>
              </w:rPr>
              <w:fldChar w:fldCharType="begin"/>
            </w:r>
            <w:r>
              <w:rPr>
                <w:noProof/>
                <w:webHidden/>
              </w:rPr>
              <w:instrText xml:space="preserve"> PAGEREF _Toc234669313 \h </w:instrText>
            </w:r>
            <w:r>
              <w:rPr>
                <w:noProof/>
                <w:webHidden/>
              </w:rPr>
            </w:r>
            <w:r>
              <w:rPr>
                <w:noProof/>
                <w:webHidden/>
              </w:rPr>
              <w:fldChar w:fldCharType="separate"/>
            </w:r>
            <w:r>
              <w:rPr>
                <w:noProof/>
                <w:webHidden/>
              </w:rPr>
              <w:t>4</w:t>
            </w:r>
            <w:r>
              <w:rPr>
                <w:noProof/>
                <w:webHidden/>
              </w:rPr>
              <w:fldChar w:fldCharType="end"/>
            </w:r>
          </w:hyperlink>
        </w:p>
        <w:p w14:paraId="295F2172" w14:textId="2FA47CCA" w:rsidR="00D069BD" w:rsidRDefault="00D069BD">
          <w:pPr>
            <w:pStyle w:val="TOC2"/>
            <w:tabs>
              <w:tab w:val="right" w:leader="dot" w:pos="9350"/>
            </w:tabs>
            <w:rPr>
              <w:noProof/>
            </w:rPr>
          </w:pPr>
          <w:hyperlink w:anchor="_Toc234669314" w:history="1">
            <w:r w:rsidRPr="00741613">
              <w:rPr>
                <w:rStyle w:val="Hyperlink"/>
                <w:noProof/>
              </w:rPr>
              <w:t>1.3 Mechanisms for Identity, Ethics and Activism</w:t>
            </w:r>
            <w:r>
              <w:rPr>
                <w:noProof/>
                <w:webHidden/>
              </w:rPr>
              <w:tab/>
            </w:r>
            <w:r>
              <w:rPr>
                <w:noProof/>
                <w:webHidden/>
              </w:rPr>
              <w:fldChar w:fldCharType="begin"/>
            </w:r>
            <w:r>
              <w:rPr>
                <w:noProof/>
                <w:webHidden/>
              </w:rPr>
              <w:instrText xml:space="preserve"> PAGEREF _Toc234669314 \h </w:instrText>
            </w:r>
            <w:r>
              <w:rPr>
                <w:noProof/>
                <w:webHidden/>
              </w:rPr>
            </w:r>
            <w:r>
              <w:rPr>
                <w:noProof/>
                <w:webHidden/>
              </w:rPr>
              <w:fldChar w:fldCharType="separate"/>
            </w:r>
            <w:r>
              <w:rPr>
                <w:noProof/>
                <w:webHidden/>
              </w:rPr>
              <w:t>6</w:t>
            </w:r>
            <w:r>
              <w:rPr>
                <w:noProof/>
                <w:webHidden/>
              </w:rPr>
              <w:fldChar w:fldCharType="end"/>
            </w:r>
          </w:hyperlink>
        </w:p>
        <w:p w14:paraId="4192E67C" w14:textId="375C514F" w:rsidR="00D069BD" w:rsidRDefault="00D069BD">
          <w:pPr>
            <w:pStyle w:val="TOC1"/>
            <w:tabs>
              <w:tab w:val="right" w:leader="dot" w:pos="9350"/>
            </w:tabs>
            <w:rPr>
              <w:noProof/>
            </w:rPr>
          </w:pPr>
          <w:hyperlink w:anchor="_Toc234669315" w:history="1">
            <w:r w:rsidRPr="00741613">
              <w:rPr>
                <w:rStyle w:val="Hyperlink"/>
                <w:noProof/>
              </w:rPr>
              <w:t>TASK B: Job Design</w:t>
            </w:r>
            <w:r>
              <w:rPr>
                <w:noProof/>
                <w:webHidden/>
              </w:rPr>
              <w:tab/>
            </w:r>
            <w:r>
              <w:rPr>
                <w:noProof/>
                <w:webHidden/>
              </w:rPr>
              <w:fldChar w:fldCharType="begin"/>
            </w:r>
            <w:r>
              <w:rPr>
                <w:noProof/>
                <w:webHidden/>
              </w:rPr>
              <w:instrText xml:space="preserve"> PAGEREF _Toc234669315 \h </w:instrText>
            </w:r>
            <w:r>
              <w:rPr>
                <w:noProof/>
                <w:webHidden/>
              </w:rPr>
            </w:r>
            <w:r>
              <w:rPr>
                <w:noProof/>
                <w:webHidden/>
              </w:rPr>
              <w:fldChar w:fldCharType="separate"/>
            </w:r>
            <w:r>
              <w:rPr>
                <w:noProof/>
                <w:webHidden/>
              </w:rPr>
              <w:t>9</w:t>
            </w:r>
            <w:r>
              <w:rPr>
                <w:noProof/>
                <w:webHidden/>
              </w:rPr>
              <w:fldChar w:fldCharType="end"/>
            </w:r>
          </w:hyperlink>
        </w:p>
        <w:p w14:paraId="3BA0F53E" w14:textId="2A42F729" w:rsidR="00D069BD" w:rsidRDefault="00D069BD">
          <w:pPr>
            <w:pStyle w:val="TOC2"/>
            <w:tabs>
              <w:tab w:val="right" w:leader="dot" w:pos="9350"/>
            </w:tabs>
            <w:rPr>
              <w:noProof/>
            </w:rPr>
          </w:pPr>
          <w:hyperlink w:anchor="_Toc234669316" w:history="1">
            <w:r w:rsidRPr="00741613">
              <w:rPr>
                <w:rStyle w:val="Hyperlink"/>
                <w:noProof/>
              </w:rPr>
              <w:t>2.1 A Motivational, Skills-Based Job Architecture</w:t>
            </w:r>
            <w:r>
              <w:rPr>
                <w:noProof/>
                <w:webHidden/>
              </w:rPr>
              <w:tab/>
            </w:r>
            <w:r>
              <w:rPr>
                <w:noProof/>
                <w:webHidden/>
              </w:rPr>
              <w:fldChar w:fldCharType="begin"/>
            </w:r>
            <w:r>
              <w:rPr>
                <w:noProof/>
                <w:webHidden/>
              </w:rPr>
              <w:instrText xml:space="preserve"> PAGEREF _Toc234669316 \h </w:instrText>
            </w:r>
            <w:r>
              <w:rPr>
                <w:noProof/>
                <w:webHidden/>
              </w:rPr>
            </w:r>
            <w:r>
              <w:rPr>
                <w:noProof/>
                <w:webHidden/>
              </w:rPr>
              <w:fldChar w:fldCharType="separate"/>
            </w:r>
            <w:r>
              <w:rPr>
                <w:noProof/>
                <w:webHidden/>
              </w:rPr>
              <w:t>9</w:t>
            </w:r>
            <w:r>
              <w:rPr>
                <w:noProof/>
                <w:webHidden/>
              </w:rPr>
              <w:fldChar w:fldCharType="end"/>
            </w:r>
          </w:hyperlink>
        </w:p>
        <w:p w14:paraId="28ED2F54" w14:textId="2A33B8A9" w:rsidR="00D069BD" w:rsidRDefault="00D069BD">
          <w:pPr>
            <w:pStyle w:val="TOC2"/>
            <w:tabs>
              <w:tab w:val="right" w:leader="dot" w:pos="9350"/>
            </w:tabs>
            <w:rPr>
              <w:noProof/>
            </w:rPr>
          </w:pPr>
          <w:hyperlink w:anchor="_Toc234669317" w:history="1">
            <w:r w:rsidRPr="00741613">
              <w:rPr>
                <w:rStyle w:val="Hyperlink"/>
                <w:noProof/>
              </w:rPr>
              <w:t>2.2 Stimulating Intrinsic Motivation and Innovation</w:t>
            </w:r>
            <w:r>
              <w:rPr>
                <w:noProof/>
                <w:webHidden/>
              </w:rPr>
              <w:tab/>
            </w:r>
            <w:r>
              <w:rPr>
                <w:noProof/>
                <w:webHidden/>
              </w:rPr>
              <w:fldChar w:fldCharType="begin"/>
            </w:r>
            <w:r>
              <w:rPr>
                <w:noProof/>
                <w:webHidden/>
              </w:rPr>
              <w:instrText xml:space="preserve"> PAGEREF _Toc234669317 \h </w:instrText>
            </w:r>
            <w:r>
              <w:rPr>
                <w:noProof/>
                <w:webHidden/>
              </w:rPr>
            </w:r>
            <w:r>
              <w:rPr>
                <w:noProof/>
                <w:webHidden/>
              </w:rPr>
              <w:fldChar w:fldCharType="separate"/>
            </w:r>
            <w:r>
              <w:rPr>
                <w:noProof/>
                <w:webHidden/>
              </w:rPr>
              <w:t>11</w:t>
            </w:r>
            <w:r>
              <w:rPr>
                <w:noProof/>
                <w:webHidden/>
              </w:rPr>
              <w:fldChar w:fldCharType="end"/>
            </w:r>
          </w:hyperlink>
        </w:p>
        <w:p w14:paraId="2E3D8142" w14:textId="3A71F35A" w:rsidR="00D069BD" w:rsidRDefault="00D069BD">
          <w:pPr>
            <w:pStyle w:val="TOC1"/>
            <w:tabs>
              <w:tab w:val="right" w:leader="dot" w:pos="9350"/>
            </w:tabs>
            <w:rPr>
              <w:noProof/>
            </w:rPr>
          </w:pPr>
          <w:hyperlink w:anchor="_Toc234669318" w:history="1">
            <w:r w:rsidRPr="00741613">
              <w:rPr>
                <w:rStyle w:val="Hyperlink"/>
                <w:noProof/>
              </w:rPr>
              <w:t>TASK C: Reflective Report</w:t>
            </w:r>
            <w:r>
              <w:rPr>
                <w:noProof/>
                <w:webHidden/>
              </w:rPr>
              <w:tab/>
            </w:r>
            <w:r>
              <w:rPr>
                <w:noProof/>
                <w:webHidden/>
              </w:rPr>
              <w:fldChar w:fldCharType="begin"/>
            </w:r>
            <w:r>
              <w:rPr>
                <w:noProof/>
                <w:webHidden/>
              </w:rPr>
              <w:instrText xml:space="preserve"> PAGEREF _Toc234669318 \h </w:instrText>
            </w:r>
            <w:r>
              <w:rPr>
                <w:noProof/>
                <w:webHidden/>
              </w:rPr>
            </w:r>
            <w:r>
              <w:rPr>
                <w:noProof/>
                <w:webHidden/>
              </w:rPr>
              <w:fldChar w:fldCharType="separate"/>
            </w:r>
            <w:r>
              <w:rPr>
                <w:noProof/>
                <w:webHidden/>
              </w:rPr>
              <w:t>13</w:t>
            </w:r>
            <w:r>
              <w:rPr>
                <w:noProof/>
                <w:webHidden/>
              </w:rPr>
              <w:fldChar w:fldCharType="end"/>
            </w:r>
          </w:hyperlink>
        </w:p>
        <w:p w14:paraId="08948F5B" w14:textId="2B72782B" w:rsidR="00D069BD" w:rsidRDefault="00D069BD">
          <w:pPr>
            <w:pStyle w:val="TOC1"/>
            <w:tabs>
              <w:tab w:val="right" w:leader="dot" w:pos="9350"/>
            </w:tabs>
            <w:rPr>
              <w:noProof/>
            </w:rPr>
          </w:pPr>
          <w:hyperlink w:anchor="_Toc234669319" w:history="1">
            <w:r w:rsidRPr="00741613">
              <w:rPr>
                <w:rStyle w:val="Hyperlink"/>
                <w:noProof/>
              </w:rPr>
              <w:t>Reference List</w:t>
            </w:r>
            <w:r>
              <w:rPr>
                <w:noProof/>
                <w:webHidden/>
              </w:rPr>
              <w:tab/>
            </w:r>
            <w:r>
              <w:rPr>
                <w:noProof/>
                <w:webHidden/>
              </w:rPr>
              <w:fldChar w:fldCharType="begin"/>
            </w:r>
            <w:r>
              <w:rPr>
                <w:noProof/>
                <w:webHidden/>
              </w:rPr>
              <w:instrText xml:space="preserve"> PAGEREF _Toc234669319 \h </w:instrText>
            </w:r>
            <w:r>
              <w:rPr>
                <w:noProof/>
                <w:webHidden/>
              </w:rPr>
            </w:r>
            <w:r>
              <w:rPr>
                <w:noProof/>
                <w:webHidden/>
              </w:rPr>
              <w:fldChar w:fldCharType="separate"/>
            </w:r>
            <w:r>
              <w:rPr>
                <w:noProof/>
                <w:webHidden/>
              </w:rPr>
              <w:t>16</w:t>
            </w:r>
            <w:r>
              <w:rPr>
                <w:noProof/>
                <w:webHidden/>
              </w:rPr>
              <w:fldChar w:fldCharType="end"/>
            </w:r>
          </w:hyperlink>
        </w:p>
        <w:p w14:paraId="00000011" w14:textId="464C4962" w:rsidR="00817E45" w:rsidRDefault="00817E45">
          <w:pPr>
            <w:widowControl w:val="0"/>
            <w:tabs>
              <w:tab w:val="right" w:leader="dot" w:pos="9360"/>
            </w:tabs>
            <w:spacing w:before="60" w:after="0"/>
            <w:jc w:val="left"/>
            <w:rPr>
              <w:b/>
              <w:bCs/>
              <w:color w:val="000000"/>
            </w:rPr>
          </w:pPr>
          <w:r>
            <w:fldChar w:fldCharType="end"/>
          </w:r>
        </w:p>
      </w:sdtContent>
    </w:sdt>
    <w:p w14:paraId="00000012" w14:textId="77777777" w:rsidR="00817E45" w:rsidRDefault="00000000">
      <w:pPr>
        <w:jc w:val="center"/>
      </w:pPr>
      <w:r>
        <w:br w:type="page"/>
      </w:r>
    </w:p>
    <w:p w14:paraId="00000013" w14:textId="77777777" w:rsidR="00817E45" w:rsidRDefault="00000000">
      <w:pPr>
        <w:pStyle w:val="Heading1"/>
        <w:spacing w:before="240" w:after="240"/>
      </w:pPr>
      <w:bookmarkStart w:id="0" w:name="_Toc234669311"/>
      <w:r>
        <w:lastRenderedPageBreak/>
        <w:t xml:space="preserve">TASK A: </w:t>
      </w:r>
      <w:proofErr w:type="spellStart"/>
      <w:r>
        <w:t>Socialisation</w:t>
      </w:r>
      <w:proofErr w:type="spellEnd"/>
      <w:r>
        <w:t>, Identity &amp; Business Activism</w:t>
      </w:r>
      <w:bookmarkEnd w:id="0"/>
    </w:p>
    <w:p w14:paraId="00000014" w14:textId="77777777" w:rsidR="00817E45" w:rsidRDefault="00000000">
      <w:pPr>
        <w:pStyle w:val="Heading2"/>
        <w:spacing w:before="240" w:after="240"/>
      </w:pPr>
      <w:bookmarkStart w:id="1" w:name="_Toc234669312"/>
      <w:r>
        <w:t xml:space="preserve">1.1 From Transactional Onboarding to Strategic </w:t>
      </w:r>
      <w:proofErr w:type="spellStart"/>
      <w:r>
        <w:t>Socialisation</w:t>
      </w:r>
      <w:bookmarkEnd w:id="1"/>
      <w:proofErr w:type="spellEnd"/>
      <w:r>
        <w:t xml:space="preserve">  </w:t>
      </w:r>
    </w:p>
    <w:p w14:paraId="00000015" w14:textId="77777777" w:rsidR="00817E45" w:rsidRDefault="00000000">
      <w:pPr>
        <w:spacing w:before="240" w:after="240"/>
        <w:rPr>
          <w:b/>
          <w:bCs/>
        </w:rPr>
      </w:pPr>
      <w:r>
        <w:rPr>
          <w:b/>
          <w:bCs/>
        </w:rPr>
        <w:t>Van Maanen and Schein's tactical framework</w:t>
      </w:r>
    </w:p>
    <w:p w14:paraId="04C726AC" w14:textId="03A82ED4" w:rsidR="00F011BB" w:rsidRDefault="00F011BB" w:rsidP="00F011BB">
      <w:pPr>
        <w:spacing w:before="240" w:after="240"/>
        <w:jc w:val="center"/>
        <w:rPr>
          <w:b/>
          <w:bCs/>
        </w:rPr>
      </w:pPr>
      <w:r>
        <w:rPr>
          <w:noProof/>
        </w:rPr>
        <w:drawing>
          <wp:inline distT="0" distB="0" distL="0" distR="0" wp14:anchorId="05DCA4AE" wp14:editId="4467DD8F">
            <wp:extent cx="5943600" cy="2070735"/>
            <wp:effectExtent l="19050" t="19050" r="19050" b="24765"/>
            <wp:docPr id="1040293920" name="Picture 1" descr="Six socialisation tactics (Van Maanen &amp; Schein 1979) | Download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socialisation tactics (Van Maanen &amp; Schein 1979) | Download Table"/>
                    <pic:cNvPicPr>
                      <a:picLocks noChangeAspect="1" noChangeArrowheads="1"/>
                    </pic:cNvPicPr>
                  </pic:nvPicPr>
                  <pic:blipFill>
                    <a:blip r:embed="rId6">
                      <a:extLst>
                        <a:ext uri="{BEBA8EAE-BF5A-486C-A8C5-ECC9F3942E4B}">
                          <a14:imgProps xmlns:a14="http://schemas.microsoft.com/office/drawing/2010/main">
                            <a14:imgLayer r:embed="rId7">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2070735"/>
                    </a:xfrm>
                    <a:prstGeom prst="rect">
                      <a:avLst/>
                    </a:prstGeom>
                    <a:noFill/>
                    <a:ln w="19050">
                      <a:solidFill>
                        <a:schemeClr val="tx1"/>
                      </a:solidFill>
                    </a:ln>
                  </pic:spPr>
                </pic:pic>
              </a:graphicData>
            </a:graphic>
          </wp:inline>
        </w:drawing>
      </w:r>
    </w:p>
    <w:p w14:paraId="55655577" w14:textId="4117A798" w:rsidR="00F011BB" w:rsidRDefault="00F011BB" w:rsidP="00F011BB">
      <w:pPr>
        <w:spacing w:before="240" w:after="240"/>
        <w:jc w:val="center"/>
        <w:rPr>
          <w:b/>
          <w:bCs/>
        </w:rPr>
      </w:pPr>
      <w:r>
        <w:rPr>
          <w:b/>
          <w:bCs/>
        </w:rPr>
        <w:t xml:space="preserve">Figure 1: </w:t>
      </w:r>
      <w:r w:rsidRPr="00F011BB">
        <w:rPr>
          <w:b/>
          <w:bCs/>
        </w:rPr>
        <w:t>Van Maanen and Schein's tactical framework</w:t>
      </w:r>
    </w:p>
    <w:p w14:paraId="0B3A61C8" w14:textId="6B63F6B2" w:rsidR="00F011BB" w:rsidRPr="00F011BB" w:rsidRDefault="00F011BB" w:rsidP="00F011BB">
      <w:pPr>
        <w:spacing w:before="240" w:after="240"/>
        <w:jc w:val="center"/>
      </w:pPr>
      <w:r w:rsidRPr="00F011BB">
        <w:t>(</w:t>
      </w:r>
      <w:r>
        <w:t xml:space="preserve">Source: </w:t>
      </w:r>
      <w:r w:rsidRPr="00F011BB">
        <w:t>Houghton 2014)</w:t>
      </w:r>
    </w:p>
    <w:p w14:paraId="00000016" w14:textId="77777777" w:rsidR="00817E45" w:rsidRDefault="00000000">
      <w:pPr>
        <w:spacing w:before="240" w:after="240"/>
      </w:pPr>
      <w:r>
        <w:t xml:space="preserve">Van Maanen and Schein (1979) identify six </w:t>
      </w:r>
      <w:proofErr w:type="spellStart"/>
      <w:r>
        <w:t>socialisation</w:t>
      </w:r>
      <w:proofErr w:type="spellEnd"/>
      <w:r>
        <w:t xml:space="preserve"> tactics (arranged into a continuum) that are </w:t>
      </w:r>
      <w:proofErr w:type="spellStart"/>
      <w:r>
        <w:t>institutionalised</w:t>
      </w:r>
      <w:proofErr w:type="spellEnd"/>
      <w:r>
        <w:t xml:space="preserve"> and </w:t>
      </w:r>
      <w:proofErr w:type="spellStart"/>
      <w:r>
        <w:t>individualised</w:t>
      </w:r>
      <w:proofErr w:type="spellEnd"/>
      <w:r>
        <w:t xml:space="preserve">. Formal, Collective, sequential, fixed, serial and investiture strategies </w:t>
      </w:r>
      <w:proofErr w:type="spellStart"/>
      <w:r>
        <w:t>minimise</w:t>
      </w:r>
      <w:proofErr w:type="spellEnd"/>
      <w:r>
        <w:t xml:space="preserve"> ambiguity and foster custodial role reactions which is what Helios must do in </w:t>
      </w:r>
      <w:proofErr w:type="spellStart"/>
      <w:r>
        <w:t>minimising</w:t>
      </w:r>
      <w:proofErr w:type="spellEnd"/>
      <w:r>
        <w:t xml:space="preserve"> ramp-up and </w:t>
      </w:r>
      <w:proofErr w:type="spellStart"/>
      <w:r>
        <w:t>stabilising</w:t>
      </w:r>
      <w:proofErr w:type="spellEnd"/>
      <w:r>
        <w:t xml:space="preserve"> performance in 3 geographically spaced hubs. Instead, </w:t>
      </w:r>
      <w:proofErr w:type="spellStart"/>
      <w:r>
        <w:t>individualised</w:t>
      </w:r>
      <w:proofErr w:type="spellEnd"/>
      <w:r>
        <w:t xml:space="preserve"> tactics speed up innovation at the expense of </w:t>
      </w:r>
      <w:proofErr w:type="gramStart"/>
      <w:r>
        <w:t>coherence</w:t>
      </w:r>
      <w:proofErr w:type="gramEnd"/>
      <w:r>
        <w:t xml:space="preserve"> and a disjointed start-up typically does not require greater variance (Dwivedi et al. 2021).</w:t>
      </w:r>
    </w:p>
    <w:p w14:paraId="00000017" w14:textId="77777777" w:rsidR="00817E45" w:rsidRDefault="00000000">
      <w:pPr>
        <w:spacing w:before="240" w:after="240"/>
      </w:pPr>
      <w:r>
        <w:rPr>
          <w:b/>
          <w:bCs/>
        </w:rPr>
        <w:t>Psychological contract theory</w:t>
      </w:r>
      <w:r>
        <w:t xml:space="preserve"> </w:t>
      </w:r>
    </w:p>
    <w:p w14:paraId="7A8904B6" w14:textId="0452C378" w:rsidR="00F011BB" w:rsidRDefault="00F011BB" w:rsidP="00F011BB">
      <w:pPr>
        <w:spacing w:before="240" w:after="240"/>
        <w:jc w:val="center"/>
      </w:pPr>
      <w:r>
        <w:rPr>
          <w:noProof/>
        </w:rPr>
        <w:lastRenderedPageBreak/>
        <w:drawing>
          <wp:inline distT="0" distB="0" distL="0" distR="0" wp14:anchorId="6C339A77" wp14:editId="44473568">
            <wp:extent cx="3383280" cy="2387815"/>
            <wp:effectExtent l="19050" t="19050" r="26670" b="12700"/>
            <wp:docPr id="1540225513" name="Picture 2" descr="The Psychological Contract – Scouting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sychological Contract – Scouting Matt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5408" cy="2389317"/>
                    </a:xfrm>
                    <a:prstGeom prst="rect">
                      <a:avLst/>
                    </a:prstGeom>
                    <a:noFill/>
                    <a:ln w="19050">
                      <a:solidFill>
                        <a:schemeClr val="tx1"/>
                      </a:solidFill>
                    </a:ln>
                  </pic:spPr>
                </pic:pic>
              </a:graphicData>
            </a:graphic>
          </wp:inline>
        </w:drawing>
      </w:r>
    </w:p>
    <w:p w14:paraId="640E2BAD" w14:textId="7FECCE60" w:rsidR="00F011BB" w:rsidRDefault="00F011BB" w:rsidP="00F011BB">
      <w:pPr>
        <w:spacing w:before="240" w:after="240"/>
        <w:jc w:val="center"/>
        <w:rPr>
          <w:b/>
          <w:bCs/>
        </w:rPr>
      </w:pPr>
      <w:r>
        <w:rPr>
          <w:b/>
          <w:bCs/>
        </w:rPr>
        <w:t xml:space="preserve">Figure 2: </w:t>
      </w:r>
      <w:r w:rsidRPr="00F011BB">
        <w:rPr>
          <w:b/>
          <w:bCs/>
        </w:rPr>
        <w:t>Psychological contract theory</w:t>
      </w:r>
    </w:p>
    <w:p w14:paraId="25DE10D2" w14:textId="580DF126" w:rsidR="00F011BB" w:rsidRPr="00F011BB" w:rsidRDefault="00F011BB" w:rsidP="00F011BB">
      <w:pPr>
        <w:spacing w:before="240" w:after="240"/>
        <w:jc w:val="center"/>
        <w:rPr>
          <w:lang w:val="en-IN"/>
        </w:rPr>
      </w:pPr>
      <w:r w:rsidRPr="00F011BB">
        <w:rPr>
          <w:lang w:val="en-IN"/>
        </w:rPr>
        <w:t>(</w:t>
      </w:r>
      <w:r>
        <w:rPr>
          <w:lang w:val="en-IN"/>
        </w:rPr>
        <w:t xml:space="preserve">Source: </w:t>
      </w:r>
      <w:r w:rsidRPr="00F011BB">
        <w:rPr>
          <w:lang w:val="en-IN"/>
        </w:rPr>
        <w:t>Scouting Matters 2021)</w:t>
      </w:r>
    </w:p>
    <w:p w14:paraId="00000018" w14:textId="77777777" w:rsidR="00817E45" w:rsidRDefault="00000000">
      <w:pPr>
        <w:spacing w:before="240" w:after="240"/>
      </w:pPr>
      <w:r>
        <w:t xml:space="preserve">The theory of psychological contract suggested by Rousseau (1989) illustrates that even during the early years, unwritten expectations that pertain to effort, reciprocity and fairness are </w:t>
      </w:r>
      <w:proofErr w:type="spellStart"/>
      <w:r>
        <w:t>crystallised</w:t>
      </w:r>
      <w:proofErr w:type="spellEnd"/>
      <w:r>
        <w:t xml:space="preserve">. In the event of violation of these expectations in the initial weeks, breach is closely followed by disengagement, thus plausibly understanding the 54 per cent engagement score. Each insinuation of any recruiter undertaking, indicator of workload and the reply of the manager on this indicator leads to either binding or scaring away the </w:t>
      </w:r>
      <w:proofErr w:type="gramStart"/>
      <w:r>
        <w:t>new recruit</w:t>
      </w:r>
      <w:proofErr w:type="gramEnd"/>
      <w:r>
        <w:t>.</w:t>
      </w:r>
    </w:p>
    <w:p w14:paraId="00000019" w14:textId="77777777" w:rsidR="00817E45" w:rsidRDefault="00000000">
      <w:pPr>
        <w:spacing w:before="240" w:after="240"/>
        <w:rPr>
          <w:b/>
          <w:bCs/>
        </w:rPr>
      </w:pPr>
      <w:r>
        <w:rPr>
          <w:b/>
          <w:bCs/>
        </w:rPr>
        <w:t>Identity construction in high-growth contexts</w:t>
      </w:r>
    </w:p>
    <w:p w14:paraId="0000001A" w14:textId="77777777" w:rsidR="00817E45" w:rsidRDefault="00000000">
      <w:pPr>
        <w:spacing w:before="240" w:after="240"/>
      </w:pPr>
      <w:r>
        <w:t xml:space="preserve">Novices do not simply get acquainted with the </w:t>
      </w:r>
      <w:proofErr w:type="gramStart"/>
      <w:r>
        <w:t>tasks, but</w:t>
      </w:r>
      <w:proofErr w:type="gramEnd"/>
      <w:r>
        <w:t xml:space="preserve"> negotiate whom they are turning into within the firm. The social identity lens by Ashforth and Mael (1989) reveals that effort, advocacy and citizenship are the results that follow self-defining </w:t>
      </w:r>
      <w:proofErr w:type="spellStart"/>
      <w:r>
        <w:t>organisational</w:t>
      </w:r>
      <w:proofErr w:type="spellEnd"/>
      <w:r>
        <w:t xml:space="preserve"> membership. Strategic </w:t>
      </w:r>
      <w:proofErr w:type="spellStart"/>
      <w:r>
        <w:t>socialisation</w:t>
      </w:r>
      <w:proofErr w:type="spellEnd"/>
      <w:r>
        <w:t xml:space="preserve"> thus makes strategies, tactic, contract and identity all parts of the same design task in that entry is the basis of retention instead of a </w:t>
      </w:r>
      <w:proofErr w:type="spellStart"/>
      <w:proofErr w:type="gramStart"/>
      <w:r>
        <w:t>pre:formal</w:t>
      </w:r>
      <w:proofErr w:type="spellEnd"/>
      <w:proofErr w:type="gramEnd"/>
      <w:r>
        <w:t xml:space="preserve"> step before the actual work.</w:t>
      </w:r>
    </w:p>
    <w:p w14:paraId="0000001B" w14:textId="77777777" w:rsidR="00817E45" w:rsidRDefault="00000000">
      <w:pPr>
        <w:pStyle w:val="Heading2"/>
        <w:spacing w:before="240" w:after="240"/>
      </w:pPr>
      <w:bookmarkStart w:id="2" w:name="_Toc234669313"/>
      <w:r>
        <w:t xml:space="preserve">1.2 A Structured </w:t>
      </w:r>
      <w:proofErr w:type="spellStart"/>
      <w:r>
        <w:t>Socialisation</w:t>
      </w:r>
      <w:proofErr w:type="spellEnd"/>
      <w:r>
        <w:t xml:space="preserve"> Framework for Helios</w:t>
      </w:r>
      <w:bookmarkEnd w:id="2"/>
      <w:r>
        <w:t xml:space="preserve">  </w:t>
      </w:r>
    </w:p>
    <w:p w14:paraId="0000001C" w14:textId="77777777" w:rsidR="00817E45" w:rsidRDefault="00000000">
      <w:pPr>
        <w:spacing w:before="240" w:after="240"/>
      </w:pPr>
      <w:r>
        <w:t xml:space="preserve">The suggested framework is multiphase and uses </w:t>
      </w:r>
      <w:proofErr w:type="spellStart"/>
      <w:r>
        <w:t>institutionalised</w:t>
      </w:r>
      <w:proofErr w:type="spellEnd"/>
      <w:r>
        <w:t xml:space="preserve"> tactics strategically as the state requires coherence prior to creativity as in the case of Helios.</w:t>
      </w:r>
    </w:p>
    <w:p w14:paraId="0000001D" w14:textId="77777777" w:rsidR="00817E45" w:rsidRDefault="00000000">
      <w:pPr>
        <w:spacing w:before="240" w:after="240"/>
        <w:rPr>
          <w:b/>
          <w:bCs/>
        </w:rPr>
      </w:pPr>
      <w:r>
        <w:rPr>
          <w:b/>
          <w:bCs/>
        </w:rPr>
        <w:lastRenderedPageBreak/>
        <w:t>Pre-boarding (offer acceptance to day one)</w:t>
      </w:r>
    </w:p>
    <w:p w14:paraId="0000001E" w14:textId="77777777" w:rsidR="00817E45" w:rsidRDefault="00000000">
      <w:pPr>
        <w:spacing w:before="240" w:after="240"/>
      </w:pPr>
      <w:r>
        <w:t xml:space="preserve">The signed offer to the first working day gap is now being wasted at Helios. In the updated version, the uncertainty is minimized </w:t>
      </w:r>
      <w:proofErr w:type="gramStart"/>
      <w:r>
        <w:t>by the use of</w:t>
      </w:r>
      <w:proofErr w:type="gramEnd"/>
      <w:r>
        <w:t xml:space="preserve"> this window </w:t>
      </w:r>
      <w:proofErr w:type="gramStart"/>
      <w:r>
        <w:t>in order to</w:t>
      </w:r>
      <w:proofErr w:type="gramEnd"/>
      <w:r>
        <w:t xml:space="preserve"> start the formation of psychological contracts. The recruits are provided with an edited online portal with realistic job previews, recorded team videos, a welcome video from the site manager, and pre-read about the mobility industry (Powers 2023). A named buddy comes in contact in less than seventy-two hours. This therapy transforms fear into expecting an anticipated outcome and helps the individual to realize that the employer is interested in her or him prior to the initiation of the payroll.</w:t>
      </w:r>
    </w:p>
    <w:p w14:paraId="0000001F" w14:textId="77777777" w:rsidR="00817E45" w:rsidRDefault="00000000">
      <w:pPr>
        <w:spacing w:before="240" w:after="240"/>
        <w:rPr>
          <w:b/>
          <w:bCs/>
        </w:rPr>
      </w:pPr>
      <w:r>
        <w:rPr>
          <w:b/>
          <w:bCs/>
        </w:rPr>
        <w:t>The first ninety days</w:t>
      </w:r>
    </w:p>
    <w:p w14:paraId="00000020" w14:textId="77777777" w:rsidR="00817E45" w:rsidRDefault="00000000">
      <w:pPr>
        <w:spacing w:before="240" w:after="240"/>
      </w:pPr>
      <w:r>
        <w:t xml:space="preserve">This stage puts into action in its entirety the </w:t>
      </w:r>
      <w:proofErr w:type="spellStart"/>
      <w:r>
        <w:t>institutionalised</w:t>
      </w:r>
      <w:proofErr w:type="spellEnd"/>
      <w:r>
        <w:t xml:space="preserve"> bundle provided by Van Maanen and Schein. The cohorts enter on set start dates and are mentored in series and have a sequence of milestones that are completed in equal stages, including technical skills, stakeholder mapping and exposure to city-government clients. Investiture is directed in terms of the ceremony of proclaiming the previous expertise of the newcomer as opposed to its dismantling (</w:t>
      </w:r>
      <w:proofErr w:type="spellStart"/>
      <w:r>
        <w:t>Ehwi</w:t>
      </w:r>
      <w:proofErr w:type="spellEnd"/>
      <w:r>
        <w:t xml:space="preserve"> et al. 2023). The scheduled feedback during appointment number thirty, sixty and ninety enables early revision of the psychological contract when expectations regarding the </w:t>
      </w:r>
      <w:proofErr w:type="spellStart"/>
      <w:r>
        <w:t>behaviour</w:t>
      </w:r>
      <w:proofErr w:type="spellEnd"/>
      <w:r>
        <w:t xml:space="preserve"> are still being established. The design addresses head-on the eight-month ramp-up issue by loading the role clarity, network density and confidence up front (</w:t>
      </w:r>
      <w:proofErr w:type="spellStart"/>
      <w:r>
        <w:t>Frögéli</w:t>
      </w:r>
      <w:proofErr w:type="spellEnd"/>
      <w:r>
        <w:t xml:space="preserve"> et al. 2023).</w:t>
      </w:r>
    </w:p>
    <w:p w14:paraId="00000021" w14:textId="77777777" w:rsidR="00817E45" w:rsidRDefault="00000000">
      <w:pPr>
        <w:spacing w:before="240" w:after="240"/>
      </w:pPr>
      <w:r>
        <w:rPr>
          <w:b/>
          <w:bCs/>
        </w:rPr>
        <w:t>Year one</w:t>
      </w:r>
    </w:p>
    <w:p w14:paraId="00000022" w14:textId="77777777" w:rsidR="00817E45" w:rsidRDefault="00000000">
      <w:pPr>
        <w:spacing w:before="240" w:after="240"/>
      </w:pPr>
      <w:r>
        <w:t xml:space="preserve">In the fourth month, the absorptive focus is replaced by contribution. New members complete cross-city rotations in London, Berlin and Singapore, work on a client project as a delivery member and a </w:t>
      </w:r>
      <w:proofErr w:type="spellStart"/>
      <w:r>
        <w:t>socialisation</w:t>
      </w:r>
      <w:proofErr w:type="spellEnd"/>
      <w:r>
        <w:t xml:space="preserve"> review, turning them into the next group buddies, at the end of twelve months. The cycle is created with reciprocity: who received, became who gave.</w:t>
      </w:r>
    </w:p>
    <w:p w14:paraId="00000023" w14:textId="77777777" w:rsidR="00817E45" w:rsidRDefault="00000000">
      <w:pPr>
        <w:spacing w:before="240" w:after="240"/>
      </w:pPr>
      <w:r>
        <w:t>The hypothesis is justifiable in that it takes into account all three of the presenting problems at the same time: slow ramp-up occurring under structure, disengaging happening under the psychological contract fulfilment and the graduate attrition happening under identity anchoring at the point where quit decisions are most frequently made (</w:t>
      </w:r>
      <w:proofErr w:type="spellStart"/>
      <w:r>
        <w:t>Gunnesch</w:t>
      </w:r>
      <w:proofErr w:type="spellEnd"/>
      <w:r>
        <w:t>-Luca 2025).</w:t>
      </w:r>
    </w:p>
    <w:p w14:paraId="00000024" w14:textId="77777777" w:rsidR="00817E45" w:rsidRDefault="00000000">
      <w:pPr>
        <w:pStyle w:val="Heading2"/>
        <w:spacing w:before="240" w:after="240"/>
      </w:pPr>
      <w:bookmarkStart w:id="3" w:name="_Toc234669314"/>
      <w:r>
        <w:lastRenderedPageBreak/>
        <w:t>1.3 Mechanisms for Identity, Ethics and Activism</w:t>
      </w:r>
      <w:bookmarkEnd w:id="3"/>
      <w:r>
        <w:t xml:space="preserve"> </w:t>
      </w:r>
    </w:p>
    <w:p w14:paraId="00000025" w14:textId="77777777" w:rsidR="00817E45" w:rsidRDefault="00000000">
      <w:pPr>
        <w:spacing w:before="240" w:after="240"/>
        <w:rPr>
          <w:b/>
          <w:bCs/>
        </w:rPr>
      </w:pPr>
      <w:proofErr w:type="spellStart"/>
      <w:r>
        <w:rPr>
          <w:b/>
          <w:bCs/>
        </w:rPr>
        <w:t>Organisational</w:t>
      </w:r>
      <w:proofErr w:type="spellEnd"/>
      <w:r>
        <w:rPr>
          <w:b/>
          <w:bCs/>
        </w:rPr>
        <w:t xml:space="preserve"> identification</w:t>
      </w:r>
    </w:p>
    <w:p w14:paraId="05DF0E97" w14:textId="07B49FB5" w:rsidR="00186201" w:rsidRDefault="00186201" w:rsidP="00186201">
      <w:pPr>
        <w:spacing w:before="240" w:after="240"/>
        <w:jc w:val="center"/>
        <w:rPr>
          <w:b/>
          <w:bCs/>
        </w:rPr>
      </w:pPr>
      <w:r>
        <w:rPr>
          <w:noProof/>
        </w:rPr>
        <w:drawing>
          <wp:inline distT="0" distB="0" distL="0" distR="0" wp14:anchorId="32D6D197" wp14:editId="5F2DA6C8">
            <wp:extent cx="5943600" cy="2741930"/>
            <wp:effectExtent l="19050" t="19050" r="19050" b="20320"/>
            <wp:docPr id="797591735" name="Picture 3" descr="The Nexus between Organisational Identification and Employees' Behavioural  Outcomes: Evidence from Ecotourism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Nexus between Organisational Identification and Employees' Behavioural  Outcomes: Evidence from Ecotourism Busines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741930"/>
                    </a:xfrm>
                    <a:prstGeom prst="rect">
                      <a:avLst/>
                    </a:prstGeom>
                    <a:noFill/>
                    <a:ln w="19050">
                      <a:solidFill>
                        <a:schemeClr val="tx1"/>
                      </a:solidFill>
                    </a:ln>
                  </pic:spPr>
                </pic:pic>
              </a:graphicData>
            </a:graphic>
          </wp:inline>
        </w:drawing>
      </w:r>
    </w:p>
    <w:p w14:paraId="203BCBDB" w14:textId="49D75FEA" w:rsidR="00186201" w:rsidRDefault="00186201" w:rsidP="00186201">
      <w:pPr>
        <w:spacing w:before="240" w:after="240"/>
        <w:jc w:val="center"/>
        <w:rPr>
          <w:b/>
          <w:bCs/>
        </w:rPr>
      </w:pPr>
      <w:r>
        <w:rPr>
          <w:b/>
          <w:bCs/>
        </w:rPr>
        <w:t xml:space="preserve">Figure 3: </w:t>
      </w:r>
      <w:proofErr w:type="spellStart"/>
      <w:r w:rsidRPr="00186201">
        <w:rPr>
          <w:b/>
          <w:bCs/>
        </w:rPr>
        <w:t>Organisational</w:t>
      </w:r>
      <w:proofErr w:type="spellEnd"/>
      <w:r w:rsidRPr="00186201">
        <w:rPr>
          <w:b/>
          <w:bCs/>
        </w:rPr>
        <w:t xml:space="preserve"> identification</w:t>
      </w:r>
    </w:p>
    <w:p w14:paraId="19778F36" w14:textId="58E96041" w:rsidR="00186201" w:rsidRPr="00186201" w:rsidRDefault="00186201" w:rsidP="00186201">
      <w:pPr>
        <w:spacing w:before="240" w:after="240"/>
        <w:jc w:val="center"/>
      </w:pPr>
      <w:r w:rsidRPr="00186201">
        <w:t>(</w:t>
      </w:r>
      <w:r>
        <w:t xml:space="preserve">Source: </w:t>
      </w:r>
      <w:r w:rsidRPr="00186201">
        <w:t xml:space="preserve">Tayo </w:t>
      </w:r>
      <w:proofErr w:type="spellStart"/>
      <w:r w:rsidRPr="00186201">
        <w:t>Onijigin</w:t>
      </w:r>
      <w:proofErr w:type="spellEnd"/>
      <w:r w:rsidRPr="00186201">
        <w:t xml:space="preserve"> et al. 2023)</w:t>
      </w:r>
    </w:p>
    <w:p w14:paraId="00000026" w14:textId="77777777" w:rsidR="00817E45" w:rsidRDefault="00000000">
      <w:pPr>
        <w:spacing w:before="240" w:after="240"/>
      </w:pPr>
      <w:r>
        <w:t xml:space="preserve">According to Ashforth and Mael (1989) identification grows stronger when membership is associated with distinctiveness, inter-group contrast, prestige and inter-group contrast. Helios </w:t>
      </w:r>
      <w:proofErr w:type="gramStart"/>
      <w:r>
        <w:t>is able to</w:t>
      </w:r>
      <w:proofErr w:type="gramEnd"/>
      <w:r>
        <w:t xml:space="preserve"> design these conditions and not wait until they happen. It has a common story that is created through the aim of </w:t>
      </w:r>
      <w:proofErr w:type="spellStart"/>
      <w:r>
        <w:t>decarbonising</w:t>
      </w:r>
      <w:proofErr w:type="spellEnd"/>
      <w:r>
        <w:t xml:space="preserve"> urban movement, making it unique. Cities partnerships are visible and provide prestige. Cross-site rituals (quarterly all-hands, shared design sprints, common visual language of internal artefacts) give the impression of an at least semblance of a coherent community even though space and time are torn apart (Soares et al. 2025). Once recognition schemes are, there is the rewarding of citizenship </w:t>
      </w:r>
      <w:proofErr w:type="spellStart"/>
      <w:r>
        <w:t>behaviours</w:t>
      </w:r>
      <w:proofErr w:type="spellEnd"/>
      <w:r>
        <w:t xml:space="preserve"> as well as delivery, which signals the desired </w:t>
      </w:r>
      <w:proofErr w:type="spellStart"/>
      <w:r>
        <w:t>behaviour</w:t>
      </w:r>
      <w:proofErr w:type="spellEnd"/>
      <w:r>
        <w:t xml:space="preserve"> that is truly valued by the </w:t>
      </w:r>
      <w:proofErr w:type="spellStart"/>
      <w:r>
        <w:t>organisation</w:t>
      </w:r>
      <w:proofErr w:type="spellEnd"/>
      <w:r>
        <w:t>.</w:t>
      </w:r>
    </w:p>
    <w:p w14:paraId="00000027" w14:textId="77777777" w:rsidR="00817E45" w:rsidRDefault="00000000">
      <w:pPr>
        <w:spacing w:before="240" w:after="240"/>
        <w:rPr>
          <w:b/>
          <w:bCs/>
        </w:rPr>
      </w:pPr>
      <w:r>
        <w:rPr>
          <w:b/>
          <w:bCs/>
        </w:rPr>
        <w:t>Ethical professionalism</w:t>
      </w:r>
    </w:p>
    <w:p w14:paraId="00000028" w14:textId="77777777" w:rsidR="00817E45" w:rsidRDefault="00000000">
      <w:pPr>
        <w:spacing w:before="240" w:after="240"/>
      </w:pPr>
      <w:r>
        <w:t xml:space="preserve">Since Helios is the processing of data of citizens and the public infrastructure, </w:t>
      </w:r>
      <w:proofErr w:type="gramStart"/>
      <w:r>
        <w:t>the ethics</w:t>
      </w:r>
      <w:proofErr w:type="gramEnd"/>
      <w:r>
        <w:t xml:space="preserve"> cannot be assigned to a compliance role. All engineers, analysts and front office managers are expected to </w:t>
      </w:r>
      <w:r>
        <w:lastRenderedPageBreak/>
        <w:t>make ethical decisions as a part of their work. Introduction of a code of professional behavior occurs within the first ninety days, which is repurposed on a regular basis using rehearsals of dilemmas by use of cases akin to medical and legal training (Reale et al. 2023). The performance criteria, decisions on promotions are ethically reasoned so that an aspect of professionalism is made to cost to career advancement rather than a choice of virtue.</w:t>
      </w:r>
    </w:p>
    <w:p w14:paraId="00000029" w14:textId="77777777" w:rsidR="00817E45" w:rsidRDefault="00000000">
      <w:pPr>
        <w:spacing w:before="240" w:after="240"/>
        <w:rPr>
          <w:b/>
          <w:bCs/>
        </w:rPr>
      </w:pPr>
      <w:r>
        <w:rPr>
          <w:b/>
          <w:bCs/>
        </w:rPr>
        <w:t>The business-activist mindset</w:t>
      </w:r>
    </w:p>
    <w:p w14:paraId="3AFE292E" w14:textId="71D5807D" w:rsidR="00186201" w:rsidRDefault="00186201" w:rsidP="00186201">
      <w:pPr>
        <w:spacing w:before="240" w:after="240"/>
        <w:jc w:val="center"/>
        <w:rPr>
          <w:b/>
          <w:bCs/>
        </w:rPr>
      </w:pPr>
      <w:r>
        <w:rPr>
          <w:noProof/>
        </w:rPr>
        <w:drawing>
          <wp:inline distT="0" distB="0" distL="0" distR="0" wp14:anchorId="342CDEE5" wp14:editId="1CCCA0FD">
            <wp:extent cx="3550920" cy="3469640"/>
            <wp:effectExtent l="0" t="0" r="0" b="0"/>
            <wp:docPr id="408947593" name="Picture 4" descr="HR role model by Dave Ulrich (Ulrich 1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R role model by Dave Ulrich (Ulrich 1997)"/>
                    <pic:cNvPicPr>
                      <a:picLocks noChangeAspect="1" noChangeArrowheads="1"/>
                    </pic:cNvPicPr>
                  </pic:nvPicPr>
                  <pic:blipFill rotWithShape="1">
                    <a:blip r:embed="rId10">
                      <a:extLst>
                        <a:ext uri="{28A0092B-C50C-407E-A947-70E740481C1C}">
                          <a14:useLocalDpi xmlns:a14="http://schemas.microsoft.com/office/drawing/2010/main" val="0"/>
                        </a:ext>
                      </a:extLst>
                    </a:blip>
                    <a:srcRect l="20385" r="19872"/>
                    <a:stretch>
                      <a:fillRect/>
                    </a:stretch>
                  </pic:blipFill>
                  <pic:spPr bwMode="auto">
                    <a:xfrm>
                      <a:off x="0" y="0"/>
                      <a:ext cx="3550920" cy="3469640"/>
                    </a:xfrm>
                    <a:prstGeom prst="rect">
                      <a:avLst/>
                    </a:prstGeom>
                    <a:noFill/>
                    <a:ln>
                      <a:noFill/>
                    </a:ln>
                    <a:extLst>
                      <a:ext uri="{53640926-AAD7-44D8-BBD7-CCE9431645EC}">
                        <a14:shadowObscured xmlns:a14="http://schemas.microsoft.com/office/drawing/2010/main"/>
                      </a:ext>
                    </a:extLst>
                  </pic:spPr>
                </pic:pic>
              </a:graphicData>
            </a:graphic>
          </wp:inline>
        </w:drawing>
      </w:r>
    </w:p>
    <w:p w14:paraId="0F9BE4DF" w14:textId="1425965A" w:rsidR="00186201" w:rsidRDefault="00186201" w:rsidP="00186201">
      <w:pPr>
        <w:spacing w:before="240" w:after="240"/>
        <w:jc w:val="center"/>
        <w:rPr>
          <w:b/>
          <w:bCs/>
        </w:rPr>
      </w:pPr>
      <w:r>
        <w:rPr>
          <w:b/>
          <w:bCs/>
        </w:rPr>
        <w:t>Figure 4: HR role by Ulrich</w:t>
      </w:r>
    </w:p>
    <w:p w14:paraId="5184A4D4" w14:textId="1B78FA86" w:rsidR="00186201" w:rsidRPr="00186201" w:rsidRDefault="00186201" w:rsidP="00186201">
      <w:pPr>
        <w:spacing w:before="240" w:after="240"/>
        <w:jc w:val="center"/>
      </w:pPr>
      <w:r w:rsidRPr="00186201">
        <w:t>(</w:t>
      </w:r>
      <w:r>
        <w:t xml:space="preserve">Source: </w:t>
      </w:r>
      <w:r w:rsidRPr="00186201">
        <w:t>Long 2023)</w:t>
      </w:r>
    </w:p>
    <w:p w14:paraId="0000002A" w14:textId="77777777" w:rsidR="00817E45" w:rsidRDefault="00000000">
      <w:pPr>
        <w:spacing w:before="240" w:after="240"/>
        <w:rPr>
          <w:sz w:val="23"/>
          <w:szCs w:val="23"/>
        </w:rPr>
      </w:pPr>
      <w:r>
        <w:rPr>
          <w:sz w:val="23"/>
          <w:szCs w:val="23"/>
        </w:rPr>
        <w:t xml:space="preserve">The progressive development of the HR role, as proposed by Ulrich (1997) into a strategic and, more recently, an activist should serve as an example to the rest of the workforce. Some employees are supposed to be critical, not just </w:t>
      </w:r>
      <w:proofErr w:type="gramStart"/>
      <w:r>
        <w:rPr>
          <w:sz w:val="23"/>
          <w:szCs w:val="23"/>
        </w:rPr>
        <w:t>to obey</w:t>
      </w:r>
      <w:proofErr w:type="gramEnd"/>
      <w:r>
        <w:rPr>
          <w:sz w:val="23"/>
          <w:szCs w:val="23"/>
        </w:rPr>
        <w:t xml:space="preserve">. The culture is developed in an organized module of stakeholder-capitalism, in the first year, which includes the clients of the city, citizens, regulators, investors and communities. Novices are given a stakeholder-mapping game whereby they spot an outcome in an ongoing project and suggest a </w:t>
      </w:r>
      <w:proofErr w:type="spellStart"/>
      <w:r>
        <w:rPr>
          <w:sz w:val="23"/>
          <w:szCs w:val="23"/>
        </w:rPr>
        <w:t>caseable</w:t>
      </w:r>
      <w:proofErr w:type="spellEnd"/>
      <w:r>
        <w:rPr>
          <w:sz w:val="23"/>
          <w:szCs w:val="23"/>
        </w:rPr>
        <w:t xml:space="preserve"> stand. Speaking up is handled as a skill and psychological security is secured by using clear norms and training of managers (Silva et al. 2025). </w:t>
      </w:r>
    </w:p>
    <w:p w14:paraId="0000002B" w14:textId="77777777" w:rsidR="00817E45" w:rsidRDefault="00000000">
      <w:pPr>
        <w:spacing w:before="240" w:after="240"/>
        <w:rPr>
          <w:sz w:val="23"/>
          <w:szCs w:val="23"/>
        </w:rPr>
      </w:pPr>
      <w:r>
        <w:rPr>
          <w:sz w:val="23"/>
          <w:szCs w:val="23"/>
        </w:rPr>
        <w:lastRenderedPageBreak/>
        <w:t xml:space="preserve">Combined, belonging, ethics disciplines drive conduct, and activism outward energy. The three processes </w:t>
      </w:r>
      <w:proofErr w:type="gramStart"/>
      <w:r>
        <w:rPr>
          <w:sz w:val="23"/>
          <w:szCs w:val="23"/>
        </w:rPr>
        <w:t>transformation of</w:t>
      </w:r>
      <w:proofErr w:type="gramEnd"/>
      <w:r>
        <w:rPr>
          <w:sz w:val="23"/>
          <w:szCs w:val="23"/>
        </w:rPr>
        <w:t xml:space="preserve"> the </w:t>
      </w:r>
      <w:proofErr w:type="spellStart"/>
      <w:r>
        <w:rPr>
          <w:sz w:val="23"/>
          <w:szCs w:val="23"/>
        </w:rPr>
        <w:t>socialised</w:t>
      </w:r>
      <w:proofErr w:type="spellEnd"/>
      <w:r>
        <w:rPr>
          <w:sz w:val="23"/>
          <w:szCs w:val="23"/>
        </w:rPr>
        <w:t xml:space="preserve"> </w:t>
      </w:r>
      <w:proofErr w:type="gramStart"/>
      <w:r>
        <w:rPr>
          <w:sz w:val="23"/>
          <w:szCs w:val="23"/>
        </w:rPr>
        <w:t>newcomers,</w:t>
      </w:r>
      <w:proofErr w:type="gramEnd"/>
      <w:r>
        <w:rPr>
          <w:sz w:val="23"/>
          <w:szCs w:val="23"/>
        </w:rPr>
        <w:t xml:space="preserve"> into committed citizens who can represent Helios, and not just work there.</w:t>
      </w:r>
    </w:p>
    <w:p w14:paraId="2209EB8B" w14:textId="77777777" w:rsidR="001A19A7" w:rsidRDefault="001A19A7">
      <w:pPr>
        <w:rPr>
          <w:b/>
          <w:bCs/>
          <w:sz w:val="28"/>
          <w:szCs w:val="28"/>
        </w:rPr>
      </w:pPr>
      <w:r>
        <w:br w:type="page"/>
      </w:r>
    </w:p>
    <w:p w14:paraId="0000002C" w14:textId="1F29CF7F" w:rsidR="00817E45" w:rsidRDefault="00000000">
      <w:pPr>
        <w:pStyle w:val="Heading1"/>
        <w:spacing w:before="240" w:after="240"/>
      </w:pPr>
      <w:bookmarkStart w:id="4" w:name="_Toc234669315"/>
      <w:r>
        <w:lastRenderedPageBreak/>
        <w:t>TASK B: Job Design</w:t>
      </w:r>
      <w:bookmarkEnd w:id="4"/>
    </w:p>
    <w:p w14:paraId="0000002D" w14:textId="77777777" w:rsidR="00817E45" w:rsidRDefault="00000000">
      <w:pPr>
        <w:pStyle w:val="Heading2"/>
        <w:spacing w:before="240" w:after="240"/>
      </w:pPr>
      <w:bookmarkStart w:id="5" w:name="_Toc234669316"/>
      <w:r>
        <w:t>2.1 A Motivational, Skills-Based Job Architecture</w:t>
      </w:r>
      <w:bookmarkEnd w:id="5"/>
    </w:p>
    <w:p w14:paraId="0000002E" w14:textId="2E83A309" w:rsidR="00817E45" w:rsidRDefault="00000000">
      <w:pPr>
        <w:spacing w:before="240" w:after="240"/>
      </w:pPr>
      <w:r>
        <w:rPr>
          <w:b/>
          <w:bCs/>
        </w:rPr>
        <w:t>The Job Characteristics Model.</w:t>
      </w:r>
    </w:p>
    <w:p w14:paraId="5AC5B9A1" w14:textId="1F8251CB" w:rsidR="00202C1A" w:rsidRDefault="00202C1A" w:rsidP="00202C1A">
      <w:pPr>
        <w:spacing w:before="240" w:after="240"/>
        <w:jc w:val="center"/>
      </w:pPr>
      <w:r>
        <w:rPr>
          <w:noProof/>
        </w:rPr>
        <w:drawing>
          <wp:inline distT="0" distB="0" distL="0" distR="0" wp14:anchorId="6DF8D6B5" wp14:editId="53DDDA36">
            <wp:extent cx="3852897" cy="2796540"/>
            <wp:effectExtent l="0" t="0" r="0" b="3810"/>
            <wp:docPr id="786720380" name="Picture 6" descr="Hackman &amp; Oldham's Job Characteristic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ackman &amp; Oldham's Job Characteristics model"/>
                    <pic:cNvPicPr>
                      <a:picLocks noChangeAspect="1" noChangeArrowheads="1"/>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855142" cy="2798170"/>
                    </a:xfrm>
                    <a:prstGeom prst="rect">
                      <a:avLst/>
                    </a:prstGeom>
                    <a:noFill/>
                    <a:ln>
                      <a:noFill/>
                    </a:ln>
                  </pic:spPr>
                </pic:pic>
              </a:graphicData>
            </a:graphic>
          </wp:inline>
        </w:drawing>
      </w:r>
    </w:p>
    <w:p w14:paraId="077B2FE9" w14:textId="4BC540CD" w:rsidR="00202C1A" w:rsidRDefault="00202C1A" w:rsidP="00202C1A">
      <w:pPr>
        <w:spacing w:before="240" w:after="240"/>
        <w:jc w:val="center"/>
        <w:rPr>
          <w:b/>
          <w:bCs/>
        </w:rPr>
      </w:pPr>
      <w:r>
        <w:rPr>
          <w:b/>
          <w:bCs/>
        </w:rPr>
        <w:t xml:space="preserve">Figure 5: </w:t>
      </w:r>
      <w:r w:rsidRPr="00202C1A">
        <w:rPr>
          <w:b/>
          <w:bCs/>
        </w:rPr>
        <w:t>The Job Characteristics Model.</w:t>
      </w:r>
    </w:p>
    <w:p w14:paraId="5A062A1E" w14:textId="0D64D377" w:rsidR="00202C1A" w:rsidRPr="00202C1A" w:rsidRDefault="00202C1A" w:rsidP="00202C1A">
      <w:pPr>
        <w:spacing w:before="240" w:after="240"/>
        <w:jc w:val="center"/>
      </w:pPr>
      <w:r w:rsidRPr="00202C1A">
        <w:t>(</w:t>
      </w:r>
      <w:r>
        <w:t xml:space="preserve">Source: </w:t>
      </w:r>
      <w:r w:rsidRPr="00202C1A">
        <w:t>Zanini 2020)</w:t>
      </w:r>
    </w:p>
    <w:p w14:paraId="0000002F" w14:textId="77777777" w:rsidR="00817E45" w:rsidRDefault="00000000">
      <w:pPr>
        <w:spacing w:before="240" w:after="240"/>
      </w:pPr>
      <w:r>
        <w:t xml:space="preserve">The five dimensions are distinguished by Hackman and Oldham (1976) as skill variety, task identity, task significance, autonomy and feedback, which form a combination to create experienced meaningfulness, a sense of responsibility and awareness of results. The </w:t>
      </w:r>
      <w:proofErr w:type="gramStart"/>
      <w:r>
        <w:t>cores</w:t>
      </w:r>
      <w:proofErr w:type="gramEnd"/>
      <w:r>
        <w:t xml:space="preserve"> of the Helios positions are assessed </w:t>
      </w:r>
      <w:proofErr w:type="gramStart"/>
      <w:r>
        <w:t>on</w:t>
      </w:r>
      <w:proofErr w:type="gramEnd"/>
      <w:r>
        <w:t xml:space="preserve"> these dimensions and reconstructed where scores were low. Workers that work on isolated pieces of a city dashboard, such as rework, are rearranged as small cells with </w:t>
      </w:r>
      <w:proofErr w:type="gramStart"/>
      <w:r>
        <w:t>its</w:t>
      </w:r>
      <w:proofErr w:type="gramEnd"/>
      <w:r>
        <w:t xml:space="preserve"> own end-to-end product to a named client, which regains task identity and importance in a unified action. The autonomy is expanded through a change of micro-scheduled sprints towards team-level outcome-based work agreements. The feedback is also incorporated in the form of client demonstrations once in a set time as opposed to having annual performance reviews (Hadi El-Farr 2023). The variety of skills is safeguarded by discouragement of excessive </w:t>
      </w:r>
      <w:proofErr w:type="spellStart"/>
      <w:r>
        <w:t>specialisation</w:t>
      </w:r>
      <w:proofErr w:type="spellEnd"/>
      <w:r>
        <w:t xml:space="preserve"> within the initial three-year tenure. The redesign is no single touch show, but a restructuring of what employees go through every week.</w:t>
      </w:r>
    </w:p>
    <w:p w14:paraId="00000030" w14:textId="77777777" w:rsidR="00817E45" w:rsidRDefault="00000000">
      <w:pPr>
        <w:spacing w:before="240" w:after="240"/>
        <w:rPr>
          <w:b/>
          <w:bCs/>
        </w:rPr>
      </w:pPr>
      <w:r>
        <w:rPr>
          <w:b/>
          <w:bCs/>
        </w:rPr>
        <w:lastRenderedPageBreak/>
        <w:t>Job crafting</w:t>
      </w:r>
    </w:p>
    <w:p w14:paraId="00000031" w14:textId="77777777" w:rsidR="00817E45" w:rsidRDefault="00000000">
      <w:pPr>
        <w:spacing w:before="240" w:after="240"/>
      </w:pPr>
      <w:proofErr w:type="spellStart"/>
      <w:r>
        <w:t>Wrzesniewski</w:t>
      </w:r>
      <w:proofErr w:type="spellEnd"/>
      <w:r>
        <w:t xml:space="preserve"> and Dutton (2001) explain that employees would redefine task, relational, and cognitive boundaries in ways that would give them best fit in work, based on strengths and identities. Job crafting is a bottom-up complement to a top-down redesign used where the Job Characteristics Model can be used. Helios justifies creating by having one-to-one conversations with the employee every quarter, where the employee suggests small changes - a new task to the to-do list, a new relationship to build, a reshaping of purpose - that would increase their level of engagement but not affect delivery. This is done through managers being trained to accept or deny such proposals openly (</w:t>
      </w:r>
      <w:proofErr w:type="spellStart"/>
      <w:r>
        <w:t>Roczniewska</w:t>
      </w:r>
      <w:proofErr w:type="spellEnd"/>
      <w:r>
        <w:t xml:space="preserve"> et al. 2023). Crafting transforms job description into a living arrangement rather than a contract and individual initiative is transformed into the engagement instead of the exit.</w:t>
      </w:r>
    </w:p>
    <w:p w14:paraId="00000032" w14:textId="77777777" w:rsidR="00817E45" w:rsidRDefault="00000000">
      <w:pPr>
        <w:spacing w:before="240" w:after="240"/>
        <w:rPr>
          <w:b/>
          <w:bCs/>
        </w:rPr>
      </w:pPr>
      <w:r>
        <w:rPr>
          <w:b/>
          <w:bCs/>
        </w:rPr>
        <w:t>Skills-based architecture and the internal talent marketplace</w:t>
      </w:r>
    </w:p>
    <w:p w14:paraId="00000033" w14:textId="77777777" w:rsidR="00817E45" w:rsidRDefault="00000000">
      <w:pPr>
        <w:spacing w:before="240" w:after="240"/>
      </w:pPr>
      <w:r>
        <w:t xml:space="preserve">The third layer is the structural. Helios defines work rather than categorizing people according to their fixed job titles by the ways they are packages of skills and outcomes. The skills profiles of employees are visible within the organization and short assignments, stretch projects and gigs will appear on an internal exchange that will be available across the three locations (Betty et al. 2026). Somewhere in Berlin a data scientist can contribute 20 per cent of their time to a Singapore urban-planning bid; somewhere in London, a graduate can prototype a Berlin infrastructure project. This mobility breaks down those walls that now confine the graduates with high potential to the same job, first level positions, even the ones that Helios is losing. It also establishes a system of capability development without a delay of a formal internal move, and it enables the </w:t>
      </w:r>
      <w:proofErr w:type="spellStart"/>
      <w:r>
        <w:t>organisation</w:t>
      </w:r>
      <w:proofErr w:type="spellEnd"/>
      <w:r>
        <w:t xml:space="preserve"> to have the ability to redeploy limited skills to the priorities of the strategy free of the political effects of a permanent redesign (Christou and Piller 2024).</w:t>
      </w:r>
    </w:p>
    <w:p w14:paraId="00000034" w14:textId="77777777" w:rsidR="00817E45" w:rsidRDefault="00000000">
      <w:pPr>
        <w:spacing w:before="240" w:after="240"/>
      </w:pPr>
      <w:r>
        <w:t xml:space="preserve">The three layers are not competing on completing each other. The Job Characteristics Model mends the body parts of individual </w:t>
      </w:r>
      <w:proofErr w:type="gramStart"/>
      <w:r>
        <w:t>jobs,</w:t>
      </w:r>
      <w:proofErr w:type="gramEnd"/>
      <w:r>
        <w:t xml:space="preserve"> job crafting </w:t>
      </w:r>
      <w:proofErr w:type="spellStart"/>
      <w:r>
        <w:t>personalises</w:t>
      </w:r>
      <w:proofErr w:type="spellEnd"/>
      <w:r>
        <w:t xml:space="preserve"> them and the skills-based marketplace multiplies lines of development. Together they substitute a strict structure which sends off bold talent to a more liberal structure which retains it and develops it.</w:t>
      </w:r>
    </w:p>
    <w:p w14:paraId="00000035" w14:textId="77777777" w:rsidR="00817E45" w:rsidRDefault="00000000">
      <w:pPr>
        <w:pStyle w:val="Heading2"/>
        <w:spacing w:before="240" w:after="240"/>
      </w:pPr>
      <w:bookmarkStart w:id="6" w:name="_Toc234669317"/>
      <w:r>
        <w:lastRenderedPageBreak/>
        <w:t>2.2 Stimulating Intrinsic Motivation and Innovation</w:t>
      </w:r>
      <w:bookmarkEnd w:id="6"/>
    </w:p>
    <w:p w14:paraId="00000036" w14:textId="77777777" w:rsidR="00817E45" w:rsidRDefault="00000000">
      <w:pPr>
        <w:spacing w:before="240" w:after="240"/>
        <w:rPr>
          <w:b/>
          <w:bCs/>
        </w:rPr>
      </w:pPr>
      <w:r>
        <w:rPr>
          <w:b/>
          <w:bCs/>
        </w:rPr>
        <w:t>Motivation</w:t>
      </w:r>
    </w:p>
    <w:p w14:paraId="00000037" w14:textId="77777777" w:rsidR="00817E45" w:rsidRDefault="00000000">
      <w:pPr>
        <w:spacing w:before="240" w:after="240"/>
      </w:pPr>
      <w:r>
        <w:t xml:space="preserve">The suggested architecture is tuned to the self-determination theory proposed by Deci and Ryan (2000) that hypothesizes that a highly intrinsic motivation thrives when three psychological needs are fulfilled: autonomy, competence and relatedness. Autonomy is provided through work agreements that are based on outcomes and the right to design tasks within the limits of agreement. Employees decide on how, when and </w:t>
      </w:r>
      <w:proofErr w:type="gramStart"/>
      <w:r>
        <w:t>more and more</w:t>
      </w:r>
      <w:proofErr w:type="gramEnd"/>
      <w:r>
        <w:t xml:space="preserve"> with whom they provide on condition that the outcome and quality criteria </w:t>
      </w:r>
      <w:proofErr w:type="gramStart"/>
      <w:r>
        <w:t>is</w:t>
      </w:r>
      <w:proofErr w:type="gramEnd"/>
      <w:r>
        <w:t xml:space="preserve"> met. </w:t>
      </w:r>
      <w:proofErr w:type="gramStart"/>
      <w:r>
        <w:t>The competence</w:t>
      </w:r>
      <w:proofErr w:type="gramEnd"/>
      <w:r>
        <w:t xml:space="preserve"> is fostered by skills-based marketplace that reveals stretch opportunities in accordance with the stated development objectives and the built-in feedback loops of design restructuring in the Job Characteristics. Employees are also aware of their competence growing in real-time and not anticipating an annual assessment to ratify their competence. Coherence is contrived based on the </w:t>
      </w:r>
      <w:proofErr w:type="gramStart"/>
      <w:r>
        <w:t>cohort based</w:t>
      </w:r>
      <w:proofErr w:type="gramEnd"/>
      <w:r>
        <w:t xml:space="preserve"> </w:t>
      </w:r>
      <w:proofErr w:type="spellStart"/>
      <w:r>
        <w:t>socialisation</w:t>
      </w:r>
      <w:proofErr w:type="spellEnd"/>
      <w:r>
        <w:t xml:space="preserve">, cross-site rotations and small delivery cells that have constant membership. Belonging is not an incidental </w:t>
      </w:r>
      <w:proofErr w:type="gramStart"/>
      <w:r>
        <w:t>factor,</w:t>
      </w:r>
      <w:proofErr w:type="gramEnd"/>
      <w:r>
        <w:t xml:space="preserve"> it is the outcome of work </w:t>
      </w:r>
      <w:proofErr w:type="spellStart"/>
      <w:r>
        <w:t>organisation</w:t>
      </w:r>
      <w:proofErr w:type="spellEnd"/>
      <w:r>
        <w:t xml:space="preserve"> (Singh 2025).</w:t>
      </w:r>
    </w:p>
    <w:p w14:paraId="00000038" w14:textId="77777777" w:rsidR="00817E45" w:rsidRDefault="00000000">
      <w:pPr>
        <w:spacing w:before="240" w:after="240"/>
      </w:pPr>
      <w:r>
        <w:t xml:space="preserve">Extrinsic levers do not get dropped but are put aside. Pay scales are kept competitive and the skills-based promotion enables compensation to </w:t>
      </w:r>
      <w:proofErr w:type="spellStart"/>
      <w:r>
        <w:t>recognise</w:t>
      </w:r>
      <w:proofErr w:type="spellEnd"/>
      <w:r>
        <w:t xml:space="preserve"> growth in ability as opposed to title growth. Output volume is no longer </w:t>
      </w:r>
      <w:proofErr w:type="spellStart"/>
      <w:r>
        <w:t>recognised</w:t>
      </w:r>
      <w:proofErr w:type="spellEnd"/>
      <w:r>
        <w:t xml:space="preserve"> as an energy source but citizenship, ethical thinking and knowledge sharing, which further strengthens the processes of </w:t>
      </w:r>
      <w:proofErr w:type="spellStart"/>
      <w:r>
        <w:t>socialisation</w:t>
      </w:r>
      <w:proofErr w:type="spellEnd"/>
      <w:r>
        <w:t xml:space="preserve"> mentioned in Task A (Al-Suwaidi et al. 2025). The net result is a unified motivational system, as opposed to a hodgepodge of engagement initiatives overlayed onto a fractured framework. The target primary beneficiary is high-potential graduates who are most responsive to autonomy, and growth signs.</w:t>
      </w:r>
    </w:p>
    <w:p w14:paraId="00000039" w14:textId="77777777" w:rsidR="00817E45" w:rsidRDefault="00000000">
      <w:pPr>
        <w:spacing w:before="240" w:after="240"/>
      </w:pPr>
      <w:r>
        <w:rPr>
          <w:b/>
          <w:bCs/>
        </w:rPr>
        <w:t>Innovation</w:t>
      </w:r>
      <w:r>
        <w:t xml:space="preserve"> </w:t>
      </w:r>
    </w:p>
    <w:p w14:paraId="0000003A" w14:textId="33CEC9BF" w:rsidR="00817E45" w:rsidRDefault="00000000">
      <w:r>
        <w:t xml:space="preserve">The process of innovation does not necessitate a separate </w:t>
      </w:r>
      <w:proofErr w:type="spellStart"/>
      <w:r>
        <w:t>programme</w:t>
      </w:r>
      <w:proofErr w:type="spellEnd"/>
      <w:r>
        <w:t xml:space="preserve"> at Helios, but rather emerges out of the same architecture, under two conditions, however. Originally, it was important to uphold psychological safety. Managers are </w:t>
      </w:r>
      <w:proofErr w:type="gramStart"/>
      <w:r>
        <w:t>practiced</w:t>
      </w:r>
      <w:proofErr w:type="gramEnd"/>
      <w:r>
        <w:t xml:space="preserve"> </w:t>
      </w:r>
      <w:proofErr w:type="gramStart"/>
      <w:r>
        <w:t>to be</w:t>
      </w:r>
      <w:proofErr w:type="gramEnd"/>
      <w:r>
        <w:t xml:space="preserve"> generous to well-grounded dissent, to discard systems of low-quality failure and to eliminate blame and post-mortem (Fernandes 2021). In the absence of this, autonomy will turn into a trap where employees are free to do but fearful of talking. Secondly, cushions </w:t>
      </w:r>
      <w:proofErr w:type="gramStart"/>
      <w:r>
        <w:t>have to</w:t>
      </w:r>
      <w:proofErr w:type="gramEnd"/>
      <w:r>
        <w:t xml:space="preserve"> be created in the workload. A small percentage of guarded time is </w:t>
      </w:r>
      <w:r>
        <w:lastRenderedPageBreak/>
        <w:t xml:space="preserve">devoted to experimentation - a Berlin engineer trying out a new sensor-fusion scheme, a London analyst trying out a new </w:t>
      </w:r>
      <w:proofErr w:type="spellStart"/>
      <w:r>
        <w:t>visualisation</w:t>
      </w:r>
      <w:proofErr w:type="spellEnd"/>
      <w:r>
        <w:t xml:space="preserve"> on a client, a Singapore group trying out an assumption in the existing model. </w:t>
      </w:r>
      <w:r w:rsidR="001A19A7">
        <w:t xml:space="preserve"> </w:t>
      </w:r>
    </w:p>
    <w:p w14:paraId="0000003B" w14:textId="53A6D9A0" w:rsidR="00817E45" w:rsidRDefault="00000000">
      <w:r>
        <w:t xml:space="preserve">The marketplace of internal talents throws the accelerated innovation of discovering more combinations. Ideas accompany people as they fluidly move between projects and disciplines. The use of a traffic-modelling method to explore London gets an unforeseen test in Singapore; a client-engagement pattern that was </w:t>
      </w:r>
      <w:proofErr w:type="gramStart"/>
      <w:r>
        <w:t>honed in</w:t>
      </w:r>
      <w:proofErr w:type="gramEnd"/>
      <w:r>
        <w:t xml:space="preserve"> Berlin to win cases in other locations (</w:t>
      </w:r>
      <w:proofErr w:type="spellStart"/>
      <w:r>
        <w:t>Faqihi</w:t>
      </w:r>
      <w:proofErr w:type="spellEnd"/>
      <w:r>
        <w:t xml:space="preserve"> and Miah 2023). </w:t>
      </w:r>
      <w:r w:rsidR="001A19A7">
        <w:t xml:space="preserve"> </w:t>
      </w:r>
    </w:p>
    <w:p w14:paraId="6DE91F3E" w14:textId="77777777" w:rsidR="001A19A7" w:rsidRDefault="001A19A7">
      <w:pPr>
        <w:rPr>
          <w:b/>
          <w:bCs/>
          <w:sz w:val="28"/>
          <w:szCs w:val="28"/>
        </w:rPr>
      </w:pPr>
      <w:r>
        <w:br w:type="page"/>
      </w:r>
    </w:p>
    <w:p w14:paraId="00000048" w14:textId="7A4BD995" w:rsidR="00817E45" w:rsidRDefault="00000000" w:rsidP="004B2B2D">
      <w:pPr>
        <w:pStyle w:val="Heading1"/>
        <w:spacing w:before="240" w:after="240"/>
      </w:pPr>
      <w:bookmarkStart w:id="7" w:name="_Toc234669318"/>
      <w:r>
        <w:lastRenderedPageBreak/>
        <w:t>TASK C: Reflective Report</w:t>
      </w:r>
      <w:bookmarkEnd w:id="7"/>
    </w:p>
    <w:p w14:paraId="44F2CC2C" w14:textId="4DDBB956" w:rsidR="004B2B2D" w:rsidRDefault="004B2B2D" w:rsidP="004B2B2D">
      <w:pPr>
        <w:jc w:val="center"/>
      </w:pPr>
      <w:r>
        <w:rPr>
          <w:noProof/>
        </w:rPr>
        <w:drawing>
          <wp:inline distT="0" distB="0" distL="0" distR="0" wp14:anchorId="40F70306" wp14:editId="224F4176">
            <wp:extent cx="4000500" cy="3329903"/>
            <wp:effectExtent l="0" t="0" r="0" b="4445"/>
            <wp:docPr id="1506654836" name="Picture 1" descr="Experiential learning cycle (Kolb, 198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iential learning cycle (Kolb, 1984). | Download Scientific Diagram"/>
                    <pic:cNvPicPr>
                      <a:picLocks noChangeAspect="1" noChangeArrowheads="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004493" cy="3333227"/>
                    </a:xfrm>
                    <a:prstGeom prst="rect">
                      <a:avLst/>
                    </a:prstGeom>
                    <a:noFill/>
                    <a:ln>
                      <a:noFill/>
                    </a:ln>
                  </pic:spPr>
                </pic:pic>
              </a:graphicData>
            </a:graphic>
          </wp:inline>
        </w:drawing>
      </w:r>
    </w:p>
    <w:p w14:paraId="4076C3ED" w14:textId="00469D55" w:rsidR="004B2B2D" w:rsidRDefault="004B2B2D" w:rsidP="004B2B2D">
      <w:pPr>
        <w:jc w:val="center"/>
        <w:rPr>
          <w:b/>
          <w:bCs/>
        </w:rPr>
      </w:pPr>
      <w:r>
        <w:rPr>
          <w:b/>
          <w:bCs/>
        </w:rPr>
        <w:t xml:space="preserve">Figure 6: </w:t>
      </w:r>
      <w:r w:rsidRPr="004B2B2D">
        <w:rPr>
          <w:b/>
          <w:bCs/>
        </w:rPr>
        <w:t>Experiential learning cycle</w:t>
      </w:r>
      <w:r>
        <w:rPr>
          <w:b/>
          <w:bCs/>
        </w:rPr>
        <w:t xml:space="preserve"> </w:t>
      </w:r>
      <w:r w:rsidR="00C73858">
        <w:rPr>
          <w:b/>
          <w:bCs/>
        </w:rPr>
        <w:t xml:space="preserve">by </w:t>
      </w:r>
      <w:r>
        <w:rPr>
          <w:b/>
          <w:bCs/>
        </w:rPr>
        <w:t>Kolbe</w:t>
      </w:r>
    </w:p>
    <w:p w14:paraId="5A79F90B" w14:textId="15414A3F" w:rsidR="004B2B2D" w:rsidRPr="004B2B2D" w:rsidRDefault="004B2B2D" w:rsidP="004B2B2D">
      <w:pPr>
        <w:jc w:val="center"/>
        <w:rPr>
          <w:lang w:val="en-IN"/>
        </w:rPr>
      </w:pPr>
      <w:r w:rsidRPr="004B2B2D">
        <w:rPr>
          <w:lang w:val="en-IN"/>
        </w:rPr>
        <w:t>(</w:t>
      </w:r>
      <w:r>
        <w:rPr>
          <w:lang w:val="en-IN"/>
        </w:rPr>
        <w:t xml:space="preserve">Source: </w:t>
      </w:r>
      <w:r w:rsidRPr="004B2B2D">
        <w:rPr>
          <w:lang w:val="en-IN"/>
        </w:rPr>
        <w:t>Kang and Martin 2018)</w:t>
      </w:r>
    </w:p>
    <w:p w14:paraId="2763744F" w14:textId="77777777" w:rsidR="004B2B2D" w:rsidRPr="004B2B2D" w:rsidRDefault="004B2B2D" w:rsidP="004B2B2D">
      <w:pPr>
        <w:rPr>
          <w:lang w:val="en-IN"/>
        </w:rPr>
      </w:pPr>
      <w:r w:rsidRPr="004B2B2D">
        <w:rPr>
          <w:b/>
          <w:bCs/>
          <w:lang w:val="en-IN"/>
        </w:rPr>
        <w:t>Concrete Experience</w:t>
      </w:r>
    </w:p>
    <w:p w14:paraId="2D71D032" w14:textId="6EB1A4AD" w:rsidR="004B2B2D" w:rsidRPr="004B2B2D" w:rsidRDefault="004B2B2D" w:rsidP="004B2B2D">
      <w:pPr>
        <w:rPr>
          <w:lang w:val="en-IN"/>
        </w:rPr>
      </w:pPr>
      <w:r w:rsidRPr="004B2B2D">
        <w:t xml:space="preserve">By examining the case of Helios and the existing literature on the use of artificial intelligence to assist with human resource management, I came to understand better how artificial intelligence may be applied to, not eliminate, strategic human-capital decision-making. The experiment showed that AI proves very useful in the processing of vast data sets to find trends like employee attrition risks, talent deficiency, job applicant applicability, and employee capability trend. Within the Helios scenario, AI would be used to perform early signs of disengagement of the newcomers, pair the employees with the internal career opportunities and anticipate the gaps in the capabilities before the </w:t>
      </w:r>
      <w:proofErr w:type="spellStart"/>
      <w:r w:rsidRPr="004B2B2D">
        <w:t>organisational</w:t>
      </w:r>
      <w:proofErr w:type="spellEnd"/>
      <w:r w:rsidRPr="004B2B2D">
        <w:t xml:space="preserve"> strategies change (Rodgers et al., 2022).</w:t>
      </w:r>
    </w:p>
    <w:p w14:paraId="024CCB4F" w14:textId="77777777" w:rsidR="004B2B2D" w:rsidRPr="004B2B2D" w:rsidRDefault="004B2B2D" w:rsidP="004B2B2D">
      <w:pPr>
        <w:rPr>
          <w:lang w:val="en-IN"/>
        </w:rPr>
      </w:pPr>
      <w:r w:rsidRPr="004B2B2D">
        <w:rPr>
          <w:b/>
          <w:bCs/>
          <w:lang w:val="en-IN"/>
        </w:rPr>
        <w:t>Reflective Observation</w:t>
      </w:r>
    </w:p>
    <w:p w14:paraId="57205191" w14:textId="37AA8D96" w:rsidR="004B2B2D" w:rsidRPr="004B2B2D" w:rsidRDefault="004B2B2D" w:rsidP="004B2B2D">
      <w:pPr>
        <w:rPr>
          <w:lang w:val="en-IN"/>
        </w:rPr>
      </w:pPr>
      <w:r w:rsidRPr="004B2B2D">
        <w:lastRenderedPageBreak/>
        <w:t xml:space="preserve">Thinking about this experience, I came to understand that AI might be a valuable information source in terms of analysis, but it is unable to understand the human aspects of employment decisions. Quantitative models only consider quantifiable variables and do not take into consideration environmental factors like personal situations, </w:t>
      </w:r>
      <w:proofErr w:type="spellStart"/>
      <w:r w:rsidRPr="004B2B2D">
        <w:t>organisational</w:t>
      </w:r>
      <w:proofErr w:type="spellEnd"/>
      <w:r w:rsidRPr="004B2B2D">
        <w:t xml:space="preserve"> culture, equity and respect. As an illustration, an AI model can see that a great graduate has a high risk of dropping out of the </w:t>
      </w:r>
      <w:proofErr w:type="spellStart"/>
      <w:r w:rsidRPr="004B2B2D">
        <w:t>organisation</w:t>
      </w:r>
      <w:proofErr w:type="spellEnd"/>
      <w:r w:rsidRPr="004B2B2D">
        <w:t xml:space="preserve"> but only the manager who knows his/her motivations and background can help to decide whether they should drop out. This reflection solidified my original assumption that excessive dependence on algorithm-based suggestions can constrain the managers with their judgement and promote the chances of automation bias (Jiang et al., 2023).</w:t>
      </w:r>
    </w:p>
    <w:p w14:paraId="0DE6068A" w14:textId="77777777" w:rsidR="004B2B2D" w:rsidRPr="004B2B2D" w:rsidRDefault="004B2B2D" w:rsidP="004B2B2D">
      <w:pPr>
        <w:rPr>
          <w:lang w:val="en-IN"/>
        </w:rPr>
      </w:pPr>
      <w:r w:rsidRPr="004B2B2D">
        <w:rPr>
          <w:b/>
          <w:bCs/>
          <w:lang w:val="en-IN"/>
        </w:rPr>
        <w:t>Abstract Conceptualisation</w:t>
      </w:r>
    </w:p>
    <w:p w14:paraId="4C95A4F6" w14:textId="5DFD9D6D" w:rsidR="004B2B2D" w:rsidRPr="004B2B2D" w:rsidRDefault="004B2B2D" w:rsidP="004B2B2D">
      <w:pPr>
        <w:rPr>
          <w:lang w:val="en-IN"/>
        </w:rPr>
      </w:pPr>
      <w:r w:rsidRPr="004B2B2D">
        <w:t xml:space="preserve">This has reinforced in my mind that future HR professionals must possess both technological ability and critical reasoning. To stay relevant, I will have to embrace higher levels of data literacy by studying people analytics, statistical reasoning, and data </w:t>
      </w:r>
      <w:proofErr w:type="spellStart"/>
      <w:r w:rsidRPr="004B2B2D">
        <w:t>visualisation</w:t>
      </w:r>
      <w:proofErr w:type="spellEnd"/>
      <w:r w:rsidRPr="004B2B2D">
        <w:t xml:space="preserve"> </w:t>
      </w:r>
      <w:proofErr w:type="gramStart"/>
      <w:r w:rsidRPr="004B2B2D">
        <w:t>in order to</w:t>
      </w:r>
      <w:proofErr w:type="gramEnd"/>
      <w:r w:rsidRPr="004B2B2D">
        <w:t xml:space="preserve"> be open to </w:t>
      </w:r>
      <w:proofErr w:type="gramStart"/>
      <w:r w:rsidRPr="004B2B2D">
        <w:t>understand</w:t>
      </w:r>
      <w:proofErr w:type="gramEnd"/>
      <w:r w:rsidRPr="004B2B2D">
        <w:t xml:space="preserve"> AI outputs critically and not to take them unrefined (Catherine, 2026). The formation of real-world insight into AI-powered recruitment, workforce planning, and learning solutions and ethical concerns, including algorithmic bias, transparency, and regulatory compliance, are also important. I further </w:t>
      </w:r>
      <w:proofErr w:type="spellStart"/>
      <w:r w:rsidRPr="004B2B2D">
        <w:t>realised</w:t>
      </w:r>
      <w:proofErr w:type="spellEnd"/>
      <w:r w:rsidRPr="004B2B2D">
        <w:t xml:space="preserve"> that strategic influence requires effective communication and negotiation competencies, making HR professionals able to question the recommendations and influence executive decisions instead of simply reporting the findings of an analytical study (Indeed Editorial Team, 2026).</w:t>
      </w:r>
    </w:p>
    <w:p w14:paraId="23E6607D" w14:textId="77777777" w:rsidR="004B2B2D" w:rsidRPr="004B2B2D" w:rsidRDefault="004B2B2D" w:rsidP="004B2B2D">
      <w:pPr>
        <w:rPr>
          <w:lang w:val="en-IN"/>
        </w:rPr>
      </w:pPr>
      <w:r w:rsidRPr="004B2B2D">
        <w:rPr>
          <w:b/>
          <w:bCs/>
          <w:lang w:val="en-IN"/>
        </w:rPr>
        <w:t>Active Experimentation</w:t>
      </w:r>
    </w:p>
    <w:p w14:paraId="06E26F51" w14:textId="77777777" w:rsidR="004B2B2D" w:rsidRPr="004B2B2D" w:rsidRDefault="004B2B2D" w:rsidP="004B2B2D">
      <w:pPr>
        <w:rPr>
          <w:lang w:val="en-IN"/>
        </w:rPr>
      </w:pPr>
      <w:r w:rsidRPr="004B2B2D">
        <w:rPr>
          <w:lang w:val="en-IN"/>
        </w:rPr>
        <w:t xml:space="preserve">In the future, I will put in place a disciplined personal development program. I will complete an established people analytics certification, get practical experience in analysing actual HR data, and become skilled in visualisation solutions. I will also strive to engage with AI-assisted HR technologies and reinforce my understanding of ethical governance and new employment rules. Lastly, I will enhance my strategic abilities to influence by mentoring, training on negotiation, and involvement in senior stakeholder conversations as I work to gain international project experience to enhance cross-cultural competence and global mobility awareness. These steps will also help </w:t>
      </w:r>
      <w:r w:rsidRPr="004B2B2D">
        <w:rPr>
          <w:lang w:val="en-IN"/>
        </w:rPr>
        <w:lastRenderedPageBreak/>
        <w:t>me to integrate analytical competence with responsible human judgement in human resource leadership positions in the future.</w:t>
      </w:r>
    </w:p>
    <w:p w14:paraId="58105D32" w14:textId="2AEBA5E6" w:rsidR="004B2B2D" w:rsidRPr="004B2B2D" w:rsidRDefault="004B2B2D" w:rsidP="004B2B2D">
      <w:pPr>
        <w:rPr>
          <w:lang w:val="en-IN"/>
        </w:rPr>
      </w:pPr>
    </w:p>
    <w:p w14:paraId="1FF5E164" w14:textId="77777777" w:rsidR="004B2B2D" w:rsidRPr="004B2B2D" w:rsidRDefault="004B2B2D" w:rsidP="004B2B2D"/>
    <w:p w14:paraId="16C08458" w14:textId="77777777" w:rsidR="004B2B2D" w:rsidRDefault="004B2B2D">
      <w:pPr>
        <w:rPr>
          <w:b/>
          <w:bCs/>
          <w:sz w:val="28"/>
          <w:szCs w:val="28"/>
        </w:rPr>
      </w:pPr>
      <w:r>
        <w:br w:type="page"/>
      </w:r>
    </w:p>
    <w:p w14:paraId="00000049" w14:textId="19B6D971" w:rsidR="00817E45" w:rsidRDefault="00000000">
      <w:pPr>
        <w:pStyle w:val="Heading1"/>
        <w:spacing w:before="240" w:after="240"/>
      </w:pPr>
      <w:bookmarkStart w:id="8" w:name="_Toc234669319"/>
      <w:r>
        <w:lastRenderedPageBreak/>
        <w:t>Reference List</w:t>
      </w:r>
      <w:bookmarkEnd w:id="8"/>
    </w:p>
    <w:p w14:paraId="0000004A" w14:textId="77777777" w:rsidR="00817E45" w:rsidRDefault="00000000">
      <w:pPr>
        <w:spacing w:after="240"/>
      </w:pPr>
      <w:r>
        <w:t xml:space="preserve">Al-Suwaidi, K., </w:t>
      </w:r>
      <w:proofErr w:type="spellStart"/>
      <w:r>
        <w:t>Alsyouf</w:t>
      </w:r>
      <w:proofErr w:type="spellEnd"/>
      <w:r>
        <w:t xml:space="preserve">, I., </w:t>
      </w:r>
      <w:proofErr w:type="spellStart"/>
      <w:r>
        <w:t>Tahboub</w:t>
      </w:r>
      <w:proofErr w:type="spellEnd"/>
      <w:r>
        <w:t xml:space="preserve">, Z., Alsaad, A. and </w:t>
      </w:r>
      <w:proofErr w:type="spellStart"/>
      <w:r>
        <w:t>Alsyouf</w:t>
      </w:r>
      <w:proofErr w:type="spellEnd"/>
      <w:r>
        <w:t xml:space="preserve">, A. (2025). Factors impacting employee productivity in the UAE public sector embracing the Fourth Industrial Revolution. </w:t>
      </w:r>
      <w:r>
        <w:rPr>
          <w:i/>
          <w:iCs/>
        </w:rPr>
        <w:t>Social Sciences &amp;amp; Humanities Open</w:t>
      </w:r>
      <w:r>
        <w:t xml:space="preserve">, 12, p.101706. Available from: </w:t>
      </w:r>
      <w:hyperlink r:id="rId15">
        <w:r w:rsidR="00817E45">
          <w:rPr>
            <w:color w:val="1155CC"/>
            <w:u w:val="single"/>
          </w:rPr>
          <w:t>https://www.sciencedirect.com/science/article/pii/S2590291125004346</w:t>
        </w:r>
      </w:hyperlink>
      <w:r>
        <w:t xml:space="preserve">. </w:t>
      </w:r>
    </w:p>
    <w:p w14:paraId="0000004B" w14:textId="77777777" w:rsidR="00817E45" w:rsidRDefault="00000000">
      <w:pPr>
        <w:spacing w:after="240"/>
      </w:pPr>
      <w:r>
        <w:t xml:space="preserve">Alge, B. (1997). Human resource champions, by David Ulrich. (1996). Boston: Harvard Business School Press. 281 pp., $29.95. </w:t>
      </w:r>
      <w:r>
        <w:rPr>
          <w:i/>
          <w:iCs/>
        </w:rPr>
        <w:t>Human Resource Development Quarterly</w:t>
      </w:r>
      <w:r>
        <w:t xml:space="preserve">, 8(2), pp.186–190. </w:t>
      </w:r>
    </w:p>
    <w:p w14:paraId="0000004C" w14:textId="77777777" w:rsidR="00817E45" w:rsidRDefault="00000000">
      <w:pPr>
        <w:spacing w:after="240"/>
      </w:pPr>
      <w:r>
        <w:t xml:space="preserve">Ashforth, B.E. and Mael, F. (1989). Social Identity Theory and </w:t>
      </w:r>
      <w:proofErr w:type="gramStart"/>
      <w:r>
        <w:t>the Organization</w:t>
      </w:r>
      <w:proofErr w:type="gramEnd"/>
      <w:r>
        <w:t xml:space="preserve">. </w:t>
      </w:r>
      <w:r>
        <w:rPr>
          <w:i/>
          <w:iCs/>
        </w:rPr>
        <w:t>Academy of Management Review</w:t>
      </w:r>
      <w:r>
        <w:t xml:space="preserve">, 14(1), pp.20–39. Available from: </w:t>
      </w:r>
      <w:hyperlink r:id="rId16">
        <w:r w:rsidR="00817E45">
          <w:rPr>
            <w:color w:val="1155CC"/>
            <w:u w:val="single"/>
          </w:rPr>
          <w:t>https://journals.aom.org/doi/abs/10.5465/amr.1989.4278999</w:t>
        </w:r>
      </w:hyperlink>
      <w:r>
        <w:t xml:space="preserve">. </w:t>
      </w:r>
    </w:p>
    <w:p w14:paraId="0000004D" w14:textId="77777777" w:rsidR="00817E45" w:rsidRDefault="00000000">
      <w:pPr>
        <w:spacing w:after="240"/>
      </w:pPr>
      <w:r>
        <w:t xml:space="preserve">Betty, M., Gracious Ariyo, </w:t>
      </w:r>
      <w:proofErr w:type="spellStart"/>
      <w:r>
        <w:t>Kazaara</w:t>
      </w:r>
      <w:proofErr w:type="spellEnd"/>
      <w:r>
        <w:t xml:space="preserve"> and Avance International University Research Repository Extension. (2026). Real-Time Skills Visibility and Talent Management: Accelerating Internal Workforce Mobility</w:t>
      </w:r>
      <w:proofErr w:type="gramStart"/>
      <w:r>
        <w:t>. ,</w:t>
      </w:r>
      <w:proofErr w:type="gramEnd"/>
      <w:r>
        <w:t xml:space="preserve"> 2(5), pp.339–346. Available from: </w:t>
      </w:r>
      <w:hyperlink r:id="rId17">
        <w:r w:rsidR="00817E45">
          <w:rPr>
            <w:color w:val="1155CC"/>
            <w:u w:val="single"/>
          </w:rPr>
          <w:t>https://www.researchgate.net/publication/405933837_real-time_skills_visibility_and_talent_management_accelerating_internal_workforce_mobility</w:t>
        </w:r>
      </w:hyperlink>
      <w:r>
        <w:t xml:space="preserve">. </w:t>
      </w:r>
    </w:p>
    <w:p w14:paraId="0000004E" w14:textId="77777777" w:rsidR="00817E45" w:rsidRDefault="00000000">
      <w:pPr>
        <w:spacing w:after="240"/>
      </w:pPr>
      <w:r>
        <w:t xml:space="preserve">Catherine. (2026). </w:t>
      </w:r>
      <w:r>
        <w:rPr>
          <w:i/>
          <w:iCs/>
        </w:rPr>
        <w:t>Is a People Analytics Certification Worth It?</w:t>
      </w:r>
      <w:r>
        <w:t xml:space="preserve"> [online]. </w:t>
      </w:r>
      <w:r>
        <w:rPr>
          <w:i/>
          <w:iCs/>
        </w:rPr>
        <w:t>AIHR</w:t>
      </w:r>
      <w:r>
        <w:t xml:space="preserve"> [online]. Available from: </w:t>
      </w:r>
      <w:hyperlink r:id="rId18">
        <w:r w:rsidR="00817E45">
          <w:rPr>
            <w:color w:val="1155CC"/>
            <w:u w:val="single"/>
          </w:rPr>
          <w:t>https://www.aihr.com/blog/is-people-analytics-certification-worth-it/</w:t>
        </w:r>
      </w:hyperlink>
      <w:r>
        <w:t xml:space="preserve"> </w:t>
      </w:r>
    </w:p>
    <w:p w14:paraId="0000004F" w14:textId="77777777" w:rsidR="00817E45" w:rsidRDefault="00000000">
      <w:pPr>
        <w:spacing w:after="240"/>
      </w:pPr>
      <w:r>
        <w:t xml:space="preserve">Christou, E. and Piller, F. (2024). Organizational Transformation: A Management Research Perspective. </w:t>
      </w:r>
      <w:r>
        <w:rPr>
          <w:i/>
          <w:iCs/>
        </w:rPr>
        <w:t>Springer eBooks</w:t>
      </w:r>
      <w:r>
        <w:t xml:space="preserve">, 1 January 2024, pp.303–330. Available from: </w:t>
      </w:r>
      <w:hyperlink r:id="rId19">
        <w:r w:rsidR="00817E45">
          <w:rPr>
            <w:color w:val="1155CC"/>
            <w:u w:val="single"/>
          </w:rPr>
          <w:t>https://link.springer.com/chapter/10.1007/978-3-031-54700-3_11</w:t>
        </w:r>
      </w:hyperlink>
      <w:r>
        <w:t xml:space="preserve">. </w:t>
      </w:r>
    </w:p>
    <w:p w14:paraId="00000050" w14:textId="77777777" w:rsidR="00817E45" w:rsidRDefault="00000000">
      <w:pPr>
        <w:spacing w:after="240"/>
      </w:pPr>
      <w:r>
        <w:t xml:space="preserve">Dwivedi, Y.K., </w:t>
      </w:r>
      <w:proofErr w:type="spellStart"/>
      <w:r>
        <w:t>Ismagilova</w:t>
      </w:r>
      <w:proofErr w:type="spellEnd"/>
      <w:r>
        <w:t xml:space="preserve">, E., Hughes, D.L. and Carlson, J. (2021). Setting the future of digital and social media marketing research: Perspectives and research propositions. </w:t>
      </w:r>
      <w:r>
        <w:rPr>
          <w:i/>
          <w:iCs/>
        </w:rPr>
        <w:t>International Journal of Information Management</w:t>
      </w:r>
      <w:r>
        <w:t xml:space="preserve">, 59(1), pp.1–37. Available from: </w:t>
      </w:r>
      <w:hyperlink r:id="rId20">
        <w:r w:rsidR="00817E45">
          <w:rPr>
            <w:color w:val="1155CC"/>
            <w:u w:val="single"/>
          </w:rPr>
          <w:t>https://www.sciencedirect.com/science/article/pii/S0268401220308082</w:t>
        </w:r>
      </w:hyperlink>
      <w:r>
        <w:t xml:space="preserve">. </w:t>
      </w:r>
    </w:p>
    <w:p w14:paraId="00000051" w14:textId="77777777" w:rsidR="00817E45" w:rsidRDefault="00000000">
      <w:pPr>
        <w:spacing w:after="240"/>
      </w:pPr>
      <w:proofErr w:type="spellStart"/>
      <w:r>
        <w:lastRenderedPageBreak/>
        <w:t>Ehwi</w:t>
      </w:r>
      <w:proofErr w:type="spellEnd"/>
      <w:r>
        <w:t xml:space="preserve">, R.J., Holmes, H., Maslova, S. and Burgess, G. (2023). Towards a co-creative stakeholder engagement in Smart City projects: A life-cycle approach. </w:t>
      </w:r>
      <w:r>
        <w:rPr>
          <w:i/>
          <w:iCs/>
        </w:rPr>
        <w:t xml:space="preserve">Innovation: The European Journal </w:t>
      </w:r>
      <w:proofErr w:type="gramStart"/>
      <w:r>
        <w:rPr>
          <w:i/>
          <w:iCs/>
        </w:rPr>
        <w:t>Of</w:t>
      </w:r>
      <w:proofErr w:type="gramEnd"/>
      <w:r>
        <w:rPr>
          <w:i/>
          <w:iCs/>
        </w:rPr>
        <w:t xml:space="preserve"> Social Science Research</w:t>
      </w:r>
      <w:r>
        <w:t>, 12 October 2023, pp.1–26.</w:t>
      </w:r>
    </w:p>
    <w:p w14:paraId="00000052" w14:textId="77777777" w:rsidR="00817E45" w:rsidRDefault="00000000">
      <w:pPr>
        <w:spacing w:after="240"/>
      </w:pPr>
      <w:proofErr w:type="spellStart"/>
      <w:r>
        <w:t>Faqihi</w:t>
      </w:r>
      <w:proofErr w:type="spellEnd"/>
      <w:r>
        <w:t xml:space="preserve">, A. and Miah, S.J. (2023). Artificial Intelligence-Driven Talent Management System: Exploring the Risks and Options for Constructing a Theoretical Foundation. </w:t>
      </w:r>
      <w:r>
        <w:rPr>
          <w:i/>
          <w:iCs/>
        </w:rPr>
        <w:t>Journal of Risk and Financial Management</w:t>
      </w:r>
      <w:r>
        <w:t xml:space="preserve">, 16(1), p.31. Available from: </w:t>
      </w:r>
      <w:hyperlink r:id="rId21">
        <w:r w:rsidR="00817E45">
          <w:rPr>
            <w:color w:val="1155CC"/>
            <w:u w:val="single"/>
          </w:rPr>
          <w:t>https://www.mdpi.com/1911-8074/16/1/31</w:t>
        </w:r>
      </w:hyperlink>
      <w:r>
        <w:t xml:space="preserve">. </w:t>
      </w:r>
    </w:p>
    <w:p w14:paraId="00000053" w14:textId="77777777" w:rsidR="00817E45" w:rsidRDefault="00000000">
      <w:pPr>
        <w:spacing w:after="240"/>
      </w:pPr>
      <w:r>
        <w:t xml:space="preserve">Fernandes, R. (2021). </w:t>
      </w:r>
      <w:r>
        <w:rPr>
          <w:i/>
          <w:iCs/>
        </w:rPr>
        <w:t>Psychological Safety &amp; Innovation | Agile Leadership Journey</w:t>
      </w:r>
      <w:r>
        <w:t xml:space="preserve"> [online]. </w:t>
      </w:r>
      <w:r>
        <w:rPr>
          <w:i/>
          <w:iCs/>
        </w:rPr>
        <w:t>Agileleadershipjourney.com</w:t>
      </w:r>
      <w:r>
        <w:t xml:space="preserve"> [online]. Available from: </w:t>
      </w:r>
      <w:hyperlink r:id="rId22">
        <w:r w:rsidR="00817E45">
          <w:rPr>
            <w:color w:val="1155CC"/>
            <w:u w:val="single"/>
          </w:rPr>
          <w:t>https://www.agileleadershipjourney.com/blog/whats-the-connection-between-psychological-safety-and-innovation</w:t>
        </w:r>
      </w:hyperlink>
      <w:r>
        <w:t xml:space="preserve"> </w:t>
      </w:r>
    </w:p>
    <w:p w14:paraId="00000054" w14:textId="77777777" w:rsidR="00817E45" w:rsidRDefault="00000000">
      <w:pPr>
        <w:spacing w:after="240"/>
      </w:pPr>
      <w:proofErr w:type="spellStart"/>
      <w:r>
        <w:t>Frögéli</w:t>
      </w:r>
      <w:proofErr w:type="spellEnd"/>
      <w:r>
        <w:t xml:space="preserve">, E., Jenner, B. and Gustavsson, P. (2023). Effectiveness of formal onboarding for facilitating organizational socialization: A systematic review. Wut, T. M., ed. </w:t>
      </w:r>
      <w:r>
        <w:rPr>
          <w:i/>
          <w:iCs/>
        </w:rPr>
        <w:t>PLOS ONE</w:t>
      </w:r>
      <w:r>
        <w:t xml:space="preserve">, 18(2). Available from: </w:t>
      </w:r>
      <w:hyperlink r:id="rId23">
        <w:r w:rsidR="00817E45">
          <w:rPr>
            <w:color w:val="1155CC"/>
            <w:u w:val="single"/>
          </w:rPr>
          <w:t>https://pmc.ncbi.nlm.nih.gov/articles/PMC9934447/</w:t>
        </w:r>
      </w:hyperlink>
      <w:r>
        <w:t xml:space="preserve">. </w:t>
      </w:r>
    </w:p>
    <w:p w14:paraId="00000055" w14:textId="77777777" w:rsidR="00817E45" w:rsidRDefault="00000000">
      <w:pPr>
        <w:spacing w:after="240"/>
      </w:pPr>
      <w:proofErr w:type="spellStart"/>
      <w:r>
        <w:t>Gunnesch</w:t>
      </w:r>
      <w:proofErr w:type="spellEnd"/>
      <w:r>
        <w:t xml:space="preserve">-Luca, G. (2025). Employee Onboarding: Best Practices, and Challenges. </w:t>
      </w:r>
      <w:proofErr w:type="spellStart"/>
      <w:r>
        <w:rPr>
          <w:i/>
          <w:iCs/>
        </w:rPr>
        <w:t>Psihologia</w:t>
      </w:r>
      <w:proofErr w:type="spellEnd"/>
      <w:r>
        <w:rPr>
          <w:i/>
          <w:iCs/>
        </w:rPr>
        <w:t xml:space="preserve"> </w:t>
      </w:r>
      <w:proofErr w:type="spellStart"/>
      <w:r>
        <w:rPr>
          <w:i/>
          <w:iCs/>
        </w:rPr>
        <w:t>Resurselor</w:t>
      </w:r>
      <w:proofErr w:type="spellEnd"/>
      <w:r>
        <w:rPr>
          <w:i/>
          <w:iCs/>
        </w:rPr>
        <w:t xml:space="preserve"> </w:t>
      </w:r>
      <w:proofErr w:type="spellStart"/>
      <w:r>
        <w:rPr>
          <w:i/>
          <w:iCs/>
        </w:rPr>
        <w:t>Umane</w:t>
      </w:r>
      <w:proofErr w:type="spellEnd"/>
      <w:r>
        <w:t xml:space="preserve">, 23(1). Available from: </w:t>
      </w:r>
      <w:hyperlink r:id="rId24">
        <w:r w:rsidR="00817E45">
          <w:rPr>
            <w:color w:val="1155CC"/>
            <w:u w:val="single"/>
          </w:rPr>
          <w:t>https://doi.org/10.24837/pru.v23i1.591</w:t>
        </w:r>
      </w:hyperlink>
      <w:r>
        <w:t xml:space="preserve">. </w:t>
      </w:r>
    </w:p>
    <w:p w14:paraId="00000056" w14:textId="77777777" w:rsidR="00817E45" w:rsidRDefault="00000000">
      <w:pPr>
        <w:spacing w:after="240"/>
      </w:pPr>
      <w:r>
        <w:t xml:space="preserve">Hackman, J.R. and Oldham, G.R. (1976). Motivation through the Design of </w:t>
      </w:r>
      <w:proofErr w:type="gramStart"/>
      <w:r>
        <w:t>work</w:t>
      </w:r>
      <w:proofErr w:type="gramEnd"/>
      <w:r>
        <w:t xml:space="preserve">: Test of a Theory. </w:t>
      </w:r>
      <w:r>
        <w:rPr>
          <w:i/>
          <w:iCs/>
        </w:rPr>
        <w:t>Organizational Behavior and Human Performance</w:t>
      </w:r>
      <w:r>
        <w:t xml:space="preserve">, 16(2), pp.250–279. </w:t>
      </w:r>
    </w:p>
    <w:p w14:paraId="00000057" w14:textId="77777777" w:rsidR="00817E45" w:rsidRDefault="00000000">
      <w:pPr>
        <w:spacing w:after="240"/>
      </w:pPr>
      <w:r>
        <w:t xml:space="preserve">Hadi El-Farr. (2023). </w:t>
      </w:r>
      <w:r>
        <w:rPr>
          <w:i/>
          <w:iCs/>
        </w:rPr>
        <w:t>Job Characteristics Theory</w:t>
      </w:r>
      <w:r>
        <w:t xml:space="preserve">. SAGE Publishing. Available from: </w:t>
      </w:r>
      <w:hyperlink r:id="rId25">
        <w:r w:rsidR="00817E45">
          <w:rPr>
            <w:color w:val="1155CC"/>
            <w:u w:val="single"/>
          </w:rPr>
          <w:t>https://doi.org/10.4135/9781071923528</w:t>
        </w:r>
      </w:hyperlink>
      <w:r>
        <w:t xml:space="preserve">. </w:t>
      </w:r>
    </w:p>
    <w:p w14:paraId="00000058" w14:textId="77777777" w:rsidR="00817E45" w:rsidRDefault="00000000">
      <w:pPr>
        <w:spacing w:after="240"/>
      </w:pPr>
      <w:proofErr w:type="gramStart"/>
      <w:r>
        <w:t>Indeed</w:t>
      </w:r>
      <w:proofErr w:type="gramEnd"/>
      <w:r>
        <w:t xml:space="preserve"> Editorial Team. (2026). </w:t>
      </w:r>
      <w:r>
        <w:rPr>
          <w:i/>
          <w:iCs/>
        </w:rPr>
        <w:t>The Ulrich model and how it applies to the HR role</w:t>
      </w:r>
      <w:r>
        <w:t xml:space="preserve"> [online]. </w:t>
      </w:r>
      <w:proofErr w:type="gramStart"/>
      <w:r>
        <w:rPr>
          <w:i/>
          <w:iCs/>
        </w:rPr>
        <w:t>Indeed</w:t>
      </w:r>
      <w:proofErr w:type="gramEnd"/>
      <w:r>
        <w:rPr>
          <w:i/>
          <w:iCs/>
        </w:rPr>
        <w:t xml:space="preserve"> Career Guide</w:t>
      </w:r>
      <w:r>
        <w:t xml:space="preserve"> [online]. Available from: </w:t>
      </w:r>
      <w:hyperlink r:id="rId26">
        <w:r w:rsidR="00817E45">
          <w:rPr>
            <w:color w:val="1155CC"/>
            <w:u w:val="single"/>
          </w:rPr>
          <w:t>https://uk.indeed.com/career-advice/career-development/ulrich-model</w:t>
        </w:r>
      </w:hyperlink>
      <w:r>
        <w:t xml:space="preserve"> </w:t>
      </w:r>
    </w:p>
    <w:p w14:paraId="00000059" w14:textId="77777777" w:rsidR="00817E45" w:rsidRDefault="00000000">
      <w:pPr>
        <w:spacing w:after="240"/>
      </w:pPr>
      <w:r>
        <w:t xml:space="preserve">Jiang, L., Qin, X.S., Kai Chi Yam, Dong, X., Liao, W. and Chen, C. (2023). Who should be first? How and when AI-human order influences procedural justice in a multistage decision-making process. </w:t>
      </w:r>
      <w:r>
        <w:rPr>
          <w:i/>
          <w:iCs/>
        </w:rPr>
        <w:t>PLOS ONE</w:t>
      </w:r>
      <w:r>
        <w:t xml:space="preserve">, 18(7), </w:t>
      </w:r>
      <w:proofErr w:type="gramStart"/>
      <w:r>
        <w:t>pp.e</w:t>
      </w:r>
      <w:proofErr w:type="gramEnd"/>
      <w:r>
        <w:t xml:space="preserve">0284840-e0284840. </w:t>
      </w:r>
    </w:p>
    <w:p w14:paraId="2A743E50" w14:textId="40B138B5" w:rsidR="00795834" w:rsidRPr="00795834" w:rsidRDefault="00795834">
      <w:pPr>
        <w:spacing w:after="240"/>
        <w:rPr>
          <w:lang w:val="en-IN"/>
        </w:rPr>
      </w:pPr>
      <w:r w:rsidRPr="00795834">
        <w:rPr>
          <w:lang w:val="en-IN"/>
        </w:rPr>
        <w:lastRenderedPageBreak/>
        <w:t xml:space="preserve">Kang, Da Y. and Martin, S.N. (2018). Improving learning opportunities for special education needs (SEN) students by engaging pre-service science teachers in an informal experiential learning course. </w:t>
      </w:r>
      <w:r w:rsidRPr="00795834">
        <w:rPr>
          <w:i/>
          <w:iCs/>
          <w:lang w:val="en-IN"/>
        </w:rPr>
        <w:t>Asia Pacific Journal of Education</w:t>
      </w:r>
      <w:r w:rsidRPr="00795834">
        <w:rPr>
          <w:lang w:val="en-IN"/>
        </w:rPr>
        <w:t xml:space="preserve">, 38(3), pp.1–29. Available from: </w:t>
      </w:r>
      <w:hyperlink r:id="rId27" w:history="1">
        <w:r w:rsidRPr="002D5269">
          <w:rPr>
            <w:rStyle w:val="Hyperlink"/>
            <w:lang w:val="en-IN"/>
          </w:rPr>
          <w:t>https://doi.org/10.1080/02188791.2018.1505599</w:t>
        </w:r>
      </w:hyperlink>
      <w:r w:rsidRPr="00795834">
        <w:rPr>
          <w:lang w:val="en-IN"/>
        </w:rPr>
        <w:t>.</w:t>
      </w:r>
      <w:r>
        <w:rPr>
          <w:lang w:val="en-IN"/>
        </w:rPr>
        <w:t xml:space="preserve"> </w:t>
      </w:r>
    </w:p>
    <w:p w14:paraId="0000005A" w14:textId="77777777" w:rsidR="00817E45" w:rsidRDefault="00000000">
      <w:pPr>
        <w:spacing w:after="240"/>
      </w:pPr>
      <w:r>
        <w:t xml:space="preserve">Powers, D.H. (2023). </w:t>
      </w:r>
      <w:r>
        <w:rPr>
          <w:i/>
          <w:iCs/>
        </w:rPr>
        <w:t>Human Resources Onboarding Strategies Influence on Psychological Contract Fulfillment, Trust, and Commitment for Contingent Workers - ProQuest</w:t>
      </w:r>
      <w:r>
        <w:t xml:space="preserve"> [online]. </w:t>
      </w:r>
      <w:r>
        <w:rPr>
          <w:i/>
          <w:iCs/>
        </w:rPr>
        <w:t>Proquest.com</w:t>
      </w:r>
      <w:r>
        <w:t xml:space="preserve"> [online]. Available from: </w:t>
      </w:r>
      <w:hyperlink r:id="rId28">
        <w:r w:rsidR="00817E45">
          <w:rPr>
            <w:color w:val="1155CC"/>
            <w:u w:val="single"/>
          </w:rPr>
          <w:t>https://www.proquest.com/openview/aff4285641492f7278b78d4866ef2e3b/1?pq-origsite=gscholar&amp;cbl=18750&amp;diss=y</w:t>
        </w:r>
      </w:hyperlink>
      <w:r>
        <w:t xml:space="preserve"> </w:t>
      </w:r>
    </w:p>
    <w:p w14:paraId="0000005B" w14:textId="77777777" w:rsidR="00817E45" w:rsidRDefault="00000000">
      <w:pPr>
        <w:spacing w:after="240"/>
      </w:pPr>
      <w:r>
        <w:t xml:space="preserve">Reale, C., Salwei, M.E., Militello, L.G., Weinger, M.B., Burden, A., </w:t>
      </w:r>
      <w:proofErr w:type="spellStart"/>
      <w:r>
        <w:t>Sushereba</w:t>
      </w:r>
      <w:proofErr w:type="spellEnd"/>
      <w:r>
        <w:t xml:space="preserve">, C., </w:t>
      </w:r>
      <w:proofErr w:type="spellStart"/>
      <w:r>
        <w:t>Torsher</w:t>
      </w:r>
      <w:proofErr w:type="spellEnd"/>
      <w:r>
        <w:t xml:space="preserve">, L.C., Andreae, M.H., Gaba, D.M., McIvor, W.R., Banerjee, A., Slagle, J. and Anders, S. (2023). Decision-Making During High-Risk Events: A Systematic Literature Review. </w:t>
      </w:r>
      <w:r>
        <w:rPr>
          <w:i/>
          <w:iCs/>
        </w:rPr>
        <w:t>Journal of Cognitive Engineering and Decision Making</w:t>
      </w:r>
      <w:r>
        <w:t xml:space="preserve">, 17(2), p.155534342211474. Available from: </w:t>
      </w:r>
      <w:hyperlink r:id="rId29">
        <w:r w:rsidR="00817E45">
          <w:rPr>
            <w:color w:val="1155CC"/>
            <w:u w:val="single"/>
          </w:rPr>
          <w:t>https://pmc.ncbi.nlm.nih.gov/articles/PMC10564111/</w:t>
        </w:r>
      </w:hyperlink>
      <w:r>
        <w:t xml:space="preserve">. </w:t>
      </w:r>
    </w:p>
    <w:p w14:paraId="0000005C" w14:textId="77777777" w:rsidR="00817E45" w:rsidRDefault="00000000">
      <w:pPr>
        <w:spacing w:after="240"/>
      </w:pPr>
      <w:proofErr w:type="spellStart"/>
      <w:r>
        <w:t>Roczniewska</w:t>
      </w:r>
      <w:proofErr w:type="spellEnd"/>
      <w:r>
        <w:t xml:space="preserve">, M., Rogala, A., Marszałek, M., Hasson, H., Bakker, A.B. and von Thiele Schwarz, U. (2023). Job crafting interventions: What works, for whom, why, and in which </w:t>
      </w:r>
      <w:proofErr w:type="gramStart"/>
      <w:r>
        <w:t>contexts</w:t>
      </w:r>
      <w:proofErr w:type="gramEnd"/>
      <w:r>
        <w:t xml:space="preserve">? Research protocol for a systematic review with coincidence analysis. </w:t>
      </w:r>
      <w:r>
        <w:rPr>
          <w:i/>
          <w:iCs/>
        </w:rPr>
        <w:t>Systematic Reviews</w:t>
      </w:r>
      <w:r>
        <w:t xml:space="preserve">, 12(1). </w:t>
      </w:r>
    </w:p>
    <w:p w14:paraId="0000005D" w14:textId="77777777" w:rsidR="00817E45" w:rsidRDefault="00000000">
      <w:pPr>
        <w:spacing w:after="240"/>
      </w:pPr>
      <w:r>
        <w:t xml:space="preserve">Rodgers, W., Murray, J.M., Stefanidis, A., </w:t>
      </w:r>
      <w:proofErr w:type="spellStart"/>
      <w:r>
        <w:t>Degbey</w:t>
      </w:r>
      <w:proofErr w:type="spellEnd"/>
      <w:r>
        <w:t xml:space="preserve">, W.Y. and </w:t>
      </w:r>
      <w:proofErr w:type="spellStart"/>
      <w:r>
        <w:t>Tarba</w:t>
      </w:r>
      <w:proofErr w:type="spellEnd"/>
      <w:r>
        <w:t xml:space="preserve">, S.Y. (2022). An Artificial Intelligence Algorithmic Approach to Ethical decision-making in Human Resource Management Processes. </w:t>
      </w:r>
      <w:r>
        <w:rPr>
          <w:i/>
          <w:iCs/>
        </w:rPr>
        <w:t>Human Resource Management Review</w:t>
      </w:r>
      <w:r>
        <w:t xml:space="preserve">, 33(1), pp.1–19. </w:t>
      </w:r>
    </w:p>
    <w:p w14:paraId="0000005E" w14:textId="77777777" w:rsidR="00817E45" w:rsidRDefault="00000000">
      <w:pPr>
        <w:spacing w:after="240"/>
      </w:pPr>
      <w:r>
        <w:t xml:space="preserve">Rousseau, D. (1989). Psychological and Implied Contracts in Organizations. </w:t>
      </w:r>
      <w:r>
        <w:rPr>
          <w:i/>
          <w:iCs/>
        </w:rPr>
        <w:t>Employee Responsibilities and Rights Journal</w:t>
      </w:r>
      <w:r>
        <w:t xml:space="preserve">, 2(2), pp.121–139. Available from: </w:t>
      </w:r>
      <w:hyperlink r:id="rId30">
        <w:r w:rsidR="00817E45">
          <w:rPr>
            <w:color w:val="1155CC"/>
            <w:u w:val="single"/>
          </w:rPr>
          <w:t>https://link.springer.com/article/10.1007/BF01384942</w:t>
        </w:r>
      </w:hyperlink>
      <w:r>
        <w:t xml:space="preserve">. </w:t>
      </w:r>
    </w:p>
    <w:p w14:paraId="0000005F" w14:textId="77777777" w:rsidR="00817E45" w:rsidRDefault="00000000">
      <w:pPr>
        <w:spacing w:after="240"/>
      </w:pPr>
      <w:r>
        <w:t xml:space="preserve">Ryan, R.M. and Deci, E.L. (2000). Self-determination theory and the facilitation of intrinsic motivation, social development, and well-being. </w:t>
      </w:r>
      <w:r>
        <w:rPr>
          <w:i/>
          <w:iCs/>
        </w:rPr>
        <w:t>American Psychologist</w:t>
      </w:r>
      <w:r>
        <w:t xml:space="preserve">, 55(1), pp.68–78. Available from: </w:t>
      </w:r>
      <w:hyperlink r:id="rId31">
        <w:r w:rsidR="00817E45">
          <w:rPr>
            <w:color w:val="1155CC"/>
            <w:u w:val="single"/>
          </w:rPr>
          <w:t>https://selfdeterminationtheory.org/SDT/documents/2000_RyanDeci_SDT.pdf</w:t>
        </w:r>
      </w:hyperlink>
      <w:r>
        <w:t xml:space="preserve">. </w:t>
      </w:r>
    </w:p>
    <w:p w14:paraId="00000060" w14:textId="77777777" w:rsidR="00817E45" w:rsidRDefault="00000000">
      <w:pPr>
        <w:spacing w:after="240"/>
      </w:pPr>
      <w:r>
        <w:lastRenderedPageBreak/>
        <w:t xml:space="preserve">Silva, B., Henricksen, J., Larsen, G., Talbot, K. and Stewart, C. (2025). “Just” Speaking Up Requires Increasing Psychological Safety. </w:t>
      </w:r>
      <w:r>
        <w:rPr>
          <w:i/>
          <w:iCs/>
        </w:rPr>
        <w:t>Pediatric Quality and Safety</w:t>
      </w:r>
      <w:r>
        <w:t xml:space="preserve">, 10(S1), </w:t>
      </w:r>
      <w:proofErr w:type="gramStart"/>
      <w:r>
        <w:t>pp.e</w:t>
      </w:r>
      <w:proofErr w:type="gramEnd"/>
      <w:r>
        <w:t xml:space="preserve">834-e834. Available from: </w:t>
      </w:r>
      <w:hyperlink r:id="rId32">
        <w:r w:rsidR="00817E45">
          <w:rPr>
            <w:color w:val="1155CC"/>
            <w:u w:val="single"/>
          </w:rPr>
          <w:t>https://journals.lww.com/pqs/fulltext/2025/08001/_just__speaking_up_requires_increasing.8.aspx</w:t>
        </w:r>
      </w:hyperlink>
      <w:r>
        <w:t xml:space="preserve">. </w:t>
      </w:r>
    </w:p>
    <w:p w14:paraId="00000061" w14:textId="77777777" w:rsidR="00817E45" w:rsidRDefault="00000000">
      <w:pPr>
        <w:spacing w:after="240"/>
      </w:pPr>
      <w:r>
        <w:t xml:space="preserve">Singh, S. (2025). </w:t>
      </w:r>
      <w:r>
        <w:rPr>
          <w:i/>
          <w:iCs/>
        </w:rPr>
        <w:t>Boost Employee Evaluation System: Impact on Company Culture</w:t>
      </w:r>
      <w:r>
        <w:t xml:space="preserve"> [online]. </w:t>
      </w:r>
      <w:r>
        <w:rPr>
          <w:i/>
          <w:iCs/>
        </w:rPr>
        <w:t>Apps 365</w:t>
      </w:r>
      <w:r>
        <w:t xml:space="preserve"> [online]. Available from: </w:t>
      </w:r>
      <w:hyperlink r:id="rId33">
        <w:r w:rsidR="00817E45">
          <w:rPr>
            <w:color w:val="1155CC"/>
            <w:u w:val="single"/>
          </w:rPr>
          <w:t>https://www.apps365.com/blog/employee-evaluation-system/</w:t>
        </w:r>
      </w:hyperlink>
      <w:r>
        <w:t xml:space="preserve"> </w:t>
      </w:r>
    </w:p>
    <w:p w14:paraId="00000062" w14:textId="77777777" w:rsidR="00817E45" w:rsidRDefault="00000000">
      <w:pPr>
        <w:spacing w:after="240"/>
      </w:pPr>
      <w:r>
        <w:t xml:space="preserve">Soares, F., Silva, M.C. and Azevedo, I. (2025). Urban decarbonization policies and strategies: A sectoral review. </w:t>
      </w:r>
      <w:r>
        <w:rPr>
          <w:i/>
          <w:iCs/>
        </w:rPr>
        <w:t>Renewable and Sustainable Energy Reviews</w:t>
      </w:r>
      <w:r>
        <w:t xml:space="preserve">, 215, p.115617. Available from: </w:t>
      </w:r>
      <w:hyperlink r:id="rId34">
        <w:r w:rsidR="00817E45">
          <w:rPr>
            <w:color w:val="1155CC"/>
            <w:u w:val="single"/>
          </w:rPr>
          <w:t>https://www.sciencedirect.com/science/article/abs/pii/S1364032125002904</w:t>
        </w:r>
      </w:hyperlink>
      <w:r>
        <w:t xml:space="preserve">. </w:t>
      </w:r>
    </w:p>
    <w:p w14:paraId="00000063" w14:textId="77777777" w:rsidR="00817E45" w:rsidRDefault="00000000">
      <w:pPr>
        <w:spacing w:after="240"/>
      </w:pPr>
      <w:r>
        <w:t xml:space="preserve">Van Maanen, J. and Schein, E.H. (1977). Toward a Theory of Organized Socialization. </w:t>
      </w:r>
      <w:r>
        <w:rPr>
          <w:i/>
          <w:iCs/>
        </w:rPr>
        <w:t>Research in Organizational Behavior</w:t>
      </w:r>
      <w:r>
        <w:t xml:space="preserve">, 1(960–77.). Available from: </w:t>
      </w:r>
      <w:hyperlink r:id="rId35">
        <w:r w:rsidR="00817E45">
          <w:rPr>
            <w:color w:val="1155CC"/>
            <w:u w:val="single"/>
          </w:rPr>
          <w:t>https://www.researchgate.net/publication/5175507_Toward_a_Theory_of_Organized_Socialization</w:t>
        </w:r>
      </w:hyperlink>
      <w:r>
        <w:t xml:space="preserve">. </w:t>
      </w:r>
    </w:p>
    <w:p w14:paraId="00000064" w14:textId="77777777" w:rsidR="00817E45" w:rsidRDefault="00000000">
      <w:pPr>
        <w:spacing w:after="240"/>
      </w:pPr>
      <w:r>
        <w:t xml:space="preserve">Wrzesniewski, A. and Dutton, J.E. (2001). Crafting a Job: Revisioning Employees as Active Crafters of Their Work. </w:t>
      </w:r>
      <w:r>
        <w:rPr>
          <w:i/>
          <w:iCs/>
        </w:rPr>
        <w:t>The Academy of Management Review</w:t>
      </w:r>
      <w:r>
        <w:t xml:space="preserve">, 26(2), pp.179–201. Available from: </w:t>
      </w:r>
      <w:hyperlink r:id="rId36">
        <w:r w:rsidR="00817E45">
          <w:rPr>
            <w:color w:val="1155CC"/>
            <w:u w:val="single"/>
          </w:rPr>
          <w:t>https://doi.org/10.2307/259118</w:t>
        </w:r>
      </w:hyperlink>
      <w:r>
        <w:t xml:space="preserve">. </w:t>
      </w:r>
    </w:p>
    <w:p w14:paraId="27664D75" w14:textId="035C3B49" w:rsidR="00202C1A" w:rsidRPr="00202C1A" w:rsidRDefault="00202C1A" w:rsidP="00202C1A">
      <w:pPr>
        <w:spacing w:after="240"/>
        <w:rPr>
          <w:lang w:val="en-IN"/>
        </w:rPr>
      </w:pPr>
      <w:r w:rsidRPr="00202C1A">
        <w:rPr>
          <w:lang w:val="en-IN"/>
        </w:rPr>
        <w:t xml:space="preserve">Houghton, C.E. (2014). ‘Newcomer adaptation’: A lens through which to understand how nursing students fit in with the real world of practice. </w:t>
      </w:r>
      <w:r w:rsidRPr="00202C1A">
        <w:rPr>
          <w:i/>
          <w:iCs/>
          <w:lang w:val="en-IN"/>
        </w:rPr>
        <w:t>Journal of Clinical Nursing</w:t>
      </w:r>
      <w:r w:rsidRPr="00202C1A">
        <w:rPr>
          <w:lang w:val="en-IN"/>
        </w:rPr>
        <w:t xml:space="preserve"> [online], 23(15–16), pp.2367–2375. Available from: </w:t>
      </w:r>
      <w:hyperlink r:id="rId37" w:history="1">
        <w:r w:rsidRPr="00A734CE">
          <w:rPr>
            <w:rStyle w:val="Hyperlink"/>
            <w:lang w:val="en-IN"/>
          </w:rPr>
          <w:t>https://www.ncbi.nlm.nih.gov/pmc/articles/PMC4263159/</w:t>
        </w:r>
      </w:hyperlink>
      <w:r>
        <w:rPr>
          <w:lang w:val="en-IN"/>
        </w:rPr>
        <w:t xml:space="preserve"> </w:t>
      </w:r>
    </w:p>
    <w:p w14:paraId="1AB64338" w14:textId="15F13450" w:rsidR="00202C1A" w:rsidRPr="00202C1A" w:rsidRDefault="00202C1A" w:rsidP="00202C1A">
      <w:pPr>
        <w:spacing w:after="240"/>
        <w:rPr>
          <w:lang w:val="en-IN"/>
        </w:rPr>
      </w:pPr>
      <w:r w:rsidRPr="00202C1A">
        <w:rPr>
          <w:lang w:val="en-IN"/>
        </w:rPr>
        <w:t xml:space="preserve">Long, C.S. (2023). </w:t>
      </w:r>
      <w:r w:rsidRPr="00202C1A">
        <w:rPr>
          <w:i/>
          <w:iCs/>
          <w:lang w:val="en-IN"/>
        </w:rPr>
        <w:t>The Vital Roles of Human Resource Professional: A Study on the Manufacturing Companies in Malaysia</w:t>
      </w:r>
      <w:r w:rsidRPr="00202C1A">
        <w:rPr>
          <w:lang w:val="en-IN"/>
        </w:rPr>
        <w:t xml:space="preserve"> [online]. Available from: </w:t>
      </w:r>
      <w:hyperlink r:id="rId38" w:history="1">
        <w:r w:rsidRPr="00A734CE">
          <w:rPr>
            <w:rStyle w:val="Hyperlink"/>
            <w:lang w:val="en-IN"/>
          </w:rPr>
          <w:t>https://www.researchgate.net/publication/237739967_The_Vital_Roles_of_Human_Resource_Professional_A_Study_on_the_Manufacturing_Companies_in_Malaysia</w:t>
        </w:r>
      </w:hyperlink>
      <w:r>
        <w:rPr>
          <w:lang w:val="en-IN"/>
        </w:rPr>
        <w:t xml:space="preserve"> </w:t>
      </w:r>
    </w:p>
    <w:p w14:paraId="5D3D7A48" w14:textId="796AF4DF" w:rsidR="00202C1A" w:rsidRPr="00202C1A" w:rsidRDefault="00202C1A" w:rsidP="00202C1A">
      <w:pPr>
        <w:spacing w:after="240"/>
        <w:rPr>
          <w:lang w:val="en-IN"/>
        </w:rPr>
      </w:pPr>
      <w:r w:rsidRPr="00202C1A">
        <w:rPr>
          <w:lang w:val="en-IN"/>
        </w:rPr>
        <w:t xml:space="preserve">Scouting Matters. (2021). </w:t>
      </w:r>
      <w:r w:rsidRPr="00202C1A">
        <w:rPr>
          <w:i/>
          <w:iCs/>
          <w:lang w:val="en-IN"/>
        </w:rPr>
        <w:t>The Psychological Contract – Scouting Matters</w:t>
      </w:r>
      <w:r w:rsidRPr="00202C1A">
        <w:rPr>
          <w:lang w:val="en-IN"/>
        </w:rPr>
        <w:t xml:space="preserve"> [online]. </w:t>
      </w:r>
      <w:r w:rsidRPr="00202C1A">
        <w:rPr>
          <w:i/>
          <w:iCs/>
          <w:lang w:val="en-IN"/>
        </w:rPr>
        <w:t>Scoutingmatters.ie</w:t>
      </w:r>
      <w:r w:rsidRPr="00202C1A">
        <w:rPr>
          <w:lang w:val="en-IN"/>
        </w:rPr>
        <w:t xml:space="preserve"> [online]. Available from: </w:t>
      </w:r>
      <w:hyperlink r:id="rId39" w:history="1">
        <w:r w:rsidRPr="00A734CE">
          <w:rPr>
            <w:rStyle w:val="Hyperlink"/>
            <w:lang w:val="en-IN"/>
          </w:rPr>
          <w:t>https://scoutingmatters.ie/2021/04/17/the-psychological-contract/</w:t>
        </w:r>
      </w:hyperlink>
      <w:r>
        <w:rPr>
          <w:lang w:val="en-IN"/>
        </w:rPr>
        <w:t xml:space="preserve"> </w:t>
      </w:r>
    </w:p>
    <w:p w14:paraId="1A890C2D" w14:textId="770CF244" w:rsidR="00202C1A" w:rsidRPr="00202C1A" w:rsidRDefault="00202C1A" w:rsidP="00202C1A">
      <w:pPr>
        <w:spacing w:after="240"/>
        <w:rPr>
          <w:lang w:val="en-IN"/>
        </w:rPr>
      </w:pPr>
      <w:r w:rsidRPr="00202C1A">
        <w:rPr>
          <w:lang w:val="en-IN"/>
        </w:rPr>
        <w:lastRenderedPageBreak/>
        <w:t xml:space="preserve">Tayo </w:t>
      </w:r>
      <w:proofErr w:type="spellStart"/>
      <w:r w:rsidRPr="00202C1A">
        <w:rPr>
          <w:lang w:val="en-IN"/>
        </w:rPr>
        <w:t>Onijigin</w:t>
      </w:r>
      <w:proofErr w:type="spellEnd"/>
      <w:r w:rsidRPr="00202C1A">
        <w:rPr>
          <w:lang w:val="en-IN"/>
        </w:rPr>
        <w:t xml:space="preserve">, Hale </w:t>
      </w:r>
      <w:proofErr w:type="spellStart"/>
      <w:r w:rsidRPr="00202C1A">
        <w:rPr>
          <w:lang w:val="en-IN"/>
        </w:rPr>
        <w:t>Özgit</w:t>
      </w:r>
      <w:proofErr w:type="spellEnd"/>
      <w:r w:rsidRPr="00202C1A">
        <w:rPr>
          <w:lang w:val="en-IN"/>
        </w:rPr>
        <w:t xml:space="preserve"> and Shiva Ilkhanizadeh. (2023). The Nexus between Organisational Identification and Employees’ Behavioural Outcomes: Evidence from Ecotourism Businesses. </w:t>
      </w:r>
      <w:r w:rsidRPr="00202C1A">
        <w:rPr>
          <w:i/>
          <w:iCs/>
          <w:lang w:val="en-IN"/>
        </w:rPr>
        <w:t>Sustainability</w:t>
      </w:r>
      <w:r w:rsidRPr="00202C1A">
        <w:rPr>
          <w:lang w:val="en-IN"/>
        </w:rPr>
        <w:t xml:space="preserve">, 15(11), pp.8565–8565. Available from: </w:t>
      </w:r>
      <w:hyperlink r:id="rId40" w:history="1">
        <w:r w:rsidRPr="00A734CE">
          <w:rPr>
            <w:rStyle w:val="Hyperlink"/>
            <w:lang w:val="en-IN"/>
          </w:rPr>
          <w:t>https://doi.org/10.3390/su15118565</w:t>
        </w:r>
      </w:hyperlink>
      <w:r w:rsidRPr="00202C1A">
        <w:rPr>
          <w:lang w:val="en-IN"/>
        </w:rPr>
        <w:t>.</w:t>
      </w:r>
      <w:r>
        <w:rPr>
          <w:lang w:val="en-IN"/>
        </w:rPr>
        <w:t xml:space="preserve">  </w:t>
      </w:r>
    </w:p>
    <w:p w14:paraId="16A4E308" w14:textId="5CF834AC" w:rsidR="00202C1A" w:rsidRPr="00202C1A" w:rsidRDefault="00202C1A" w:rsidP="00202C1A">
      <w:pPr>
        <w:spacing w:after="240"/>
        <w:rPr>
          <w:lang w:val="en-IN"/>
        </w:rPr>
      </w:pPr>
      <w:r w:rsidRPr="00202C1A">
        <w:rPr>
          <w:lang w:val="en-IN"/>
        </w:rPr>
        <w:t xml:space="preserve">Zanini, M. (2020). </w:t>
      </w:r>
      <w:r w:rsidRPr="00202C1A">
        <w:rPr>
          <w:i/>
          <w:iCs/>
          <w:lang w:val="en-IN"/>
        </w:rPr>
        <w:t>Hackman &amp; Oldham’s Job Characteristics model</w:t>
      </w:r>
      <w:r w:rsidRPr="00202C1A">
        <w:rPr>
          <w:lang w:val="en-IN"/>
        </w:rPr>
        <w:t xml:space="preserve"> [online]. </w:t>
      </w:r>
      <w:r w:rsidRPr="00202C1A">
        <w:rPr>
          <w:i/>
          <w:iCs/>
          <w:lang w:val="en-IN"/>
        </w:rPr>
        <w:t>Michele Zanini</w:t>
      </w:r>
      <w:r w:rsidRPr="00202C1A">
        <w:rPr>
          <w:lang w:val="en-IN"/>
        </w:rPr>
        <w:t xml:space="preserve"> [online]. Available from: </w:t>
      </w:r>
      <w:hyperlink r:id="rId41" w:history="1">
        <w:r w:rsidRPr="00A734CE">
          <w:rPr>
            <w:rStyle w:val="Hyperlink"/>
            <w:lang w:val="en-IN"/>
          </w:rPr>
          <w:t>https://www.michelezanini.com/hackman-oldhams-job-characteristics-model/</w:t>
        </w:r>
      </w:hyperlink>
      <w:r>
        <w:rPr>
          <w:lang w:val="en-IN"/>
        </w:rPr>
        <w:t xml:space="preserve"> </w:t>
      </w:r>
    </w:p>
    <w:p w14:paraId="5FE6F2D6" w14:textId="77777777" w:rsidR="00202C1A" w:rsidRDefault="00202C1A">
      <w:pPr>
        <w:spacing w:after="240"/>
      </w:pPr>
    </w:p>
    <w:p w14:paraId="00000065" w14:textId="77777777" w:rsidR="00817E45" w:rsidRDefault="00817E45"/>
    <w:p w14:paraId="00000066" w14:textId="77777777" w:rsidR="00817E45" w:rsidRDefault="00817E45">
      <w:pPr>
        <w:spacing w:before="240" w:after="240"/>
      </w:pPr>
    </w:p>
    <w:p w14:paraId="00000067" w14:textId="77777777" w:rsidR="00817E45" w:rsidRDefault="00817E45">
      <w:pPr>
        <w:spacing w:before="240" w:after="240"/>
      </w:pPr>
    </w:p>
    <w:p w14:paraId="00000068" w14:textId="77777777" w:rsidR="00817E45" w:rsidRDefault="00817E45"/>
    <w:p w14:paraId="00000069" w14:textId="77777777" w:rsidR="00817E45" w:rsidRDefault="00817E45"/>
    <w:sectPr w:rsidR="00817E45" w:rsidSect="001A19A7">
      <w:footerReference w:type="default" r:id="rId42"/>
      <w:headerReference w:type="first" r:id="rId43"/>
      <w:footerReference w:type="first" r:id="rId44"/>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44EAC" w14:textId="77777777" w:rsidR="00182B0F" w:rsidRDefault="00182B0F">
      <w:pPr>
        <w:spacing w:after="0" w:line="240" w:lineRule="auto"/>
      </w:pPr>
      <w:r>
        <w:separator/>
      </w:r>
    </w:p>
  </w:endnote>
  <w:endnote w:type="continuationSeparator" w:id="0">
    <w:p w14:paraId="3C73224D" w14:textId="77777777" w:rsidR="00182B0F" w:rsidRDefault="00182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5DB46D2-14ED-40B3-A3DB-E6AA82FA1B09}"/>
  </w:font>
  <w:font w:name="Shruti">
    <w:panose1 w:val="02000500000000000000"/>
    <w:charset w:val="00"/>
    <w:family w:val="swiss"/>
    <w:pitch w:val="variable"/>
    <w:sig w:usb0="00040003" w:usb1="00000000" w:usb2="00000000" w:usb3="00000000" w:csb0="00000001" w:csb1="00000000"/>
    <w:embedRegular r:id="rId2" w:fontKey="{A54C6D38-BA31-47F0-B301-3F38F4193461}"/>
  </w:font>
  <w:font w:name="Cambria">
    <w:panose1 w:val="02040503050406030204"/>
    <w:charset w:val="00"/>
    <w:family w:val="roman"/>
    <w:pitch w:val="variable"/>
    <w:sig w:usb0="E00006FF" w:usb1="420024FF" w:usb2="02000000" w:usb3="00000000" w:csb0="0000019F" w:csb1="00000000"/>
    <w:embedRegular r:id="rId3" w:fontKey="{13D92918-EBA6-46F8-9116-AA2ED8091E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A" w14:textId="584F24E3" w:rsidR="00817E45" w:rsidRDefault="00000000">
    <w:pPr>
      <w:jc w:val="right"/>
    </w:pPr>
    <w:r>
      <w:fldChar w:fldCharType="begin"/>
    </w:r>
    <w:r>
      <w:instrText>PAGE</w:instrText>
    </w:r>
    <w:r>
      <w:fldChar w:fldCharType="separate"/>
    </w:r>
    <w:r w:rsidR="001A19A7">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C" w14:textId="77777777" w:rsidR="00817E45" w:rsidRDefault="00817E4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38373" w14:textId="77777777" w:rsidR="00182B0F" w:rsidRDefault="00182B0F">
      <w:pPr>
        <w:spacing w:after="0" w:line="240" w:lineRule="auto"/>
      </w:pPr>
      <w:r>
        <w:separator/>
      </w:r>
    </w:p>
  </w:footnote>
  <w:footnote w:type="continuationSeparator" w:id="0">
    <w:p w14:paraId="7829CA37" w14:textId="77777777" w:rsidR="00182B0F" w:rsidRDefault="00182B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B" w14:textId="77777777" w:rsidR="00817E45" w:rsidRDefault="00817E4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7E45"/>
    <w:rsid w:val="0004515D"/>
    <w:rsid w:val="00182B0F"/>
    <w:rsid w:val="00186201"/>
    <w:rsid w:val="001A19A7"/>
    <w:rsid w:val="00202C1A"/>
    <w:rsid w:val="003061BC"/>
    <w:rsid w:val="00363DD4"/>
    <w:rsid w:val="00390F19"/>
    <w:rsid w:val="00452E60"/>
    <w:rsid w:val="004B2B2D"/>
    <w:rsid w:val="00695E86"/>
    <w:rsid w:val="006B1244"/>
    <w:rsid w:val="00795834"/>
    <w:rsid w:val="00817E45"/>
    <w:rsid w:val="008316C6"/>
    <w:rsid w:val="008F3475"/>
    <w:rsid w:val="00951DB3"/>
    <w:rsid w:val="00C73858"/>
    <w:rsid w:val="00D069BD"/>
    <w:rsid w:val="00E551B8"/>
    <w:rsid w:val="00F011B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F7338"/>
  <w15:docId w15:val="{955DE429-2A2B-4F92-8162-DC49A6C1E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202C1A"/>
    <w:rPr>
      <w:color w:val="0000FF" w:themeColor="hyperlink"/>
      <w:u w:val="single"/>
    </w:rPr>
  </w:style>
  <w:style w:type="character" w:styleId="UnresolvedMention">
    <w:name w:val="Unresolved Mention"/>
    <w:basedOn w:val="DefaultParagraphFont"/>
    <w:uiPriority w:val="99"/>
    <w:semiHidden/>
    <w:unhideWhenUsed/>
    <w:rsid w:val="00202C1A"/>
    <w:rPr>
      <w:color w:val="605E5C"/>
      <w:shd w:val="clear" w:color="auto" w:fill="E1DFDD"/>
    </w:rPr>
  </w:style>
  <w:style w:type="paragraph" w:styleId="TOC1">
    <w:name w:val="toc 1"/>
    <w:basedOn w:val="Normal"/>
    <w:next w:val="Normal"/>
    <w:autoRedefine/>
    <w:uiPriority w:val="39"/>
    <w:unhideWhenUsed/>
    <w:rsid w:val="00D069BD"/>
    <w:pPr>
      <w:spacing w:after="100"/>
    </w:pPr>
  </w:style>
  <w:style w:type="paragraph" w:styleId="TOC2">
    <w:name w:val="toc 2"/>
    <w:basedOn w:val="Normal"/>
    <w:next w:val="Normal"/>
    <w:autoRedefine/>
    <w:uiPriority w:val="39"/>
    <w:unhideWhenUsed/>
    <w:rsid w:val="00D069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ihr.com/blog/is-people-analytics-certification-worth-it/" TargetMode="External"/><Relationship Id="rId26" Type="http://schemas.openxmlformats.org/officeDocument/2006/relationships/hyperlink" Target="https://uk.indeed.com/career-advice/career-development/ulrich-model" TargetMode="External"/><Relationship Id="rId39" Type="http://schemas.openxmlformats.org/officeDocument/2006/relationships/hyperlink" Target="https://scoutingmatters.ie/2021/04/17/the-psychological-contract/" TargetMode="External"/><Relationship Id="rId21" Type="http://schemas.openxmlformats.org/officeDocument/2006/relationships/hyperlink" Target="https://www.mdpi.com/1911-8074/16/1/31" TargetMode="External"/><Relationship Id="rId34" Type="http://schemas.openxmlformats.org/officeDocument/2006/relationships/hyperlink" Target="https://www.sciencedirect.com/science/article/abs/pii/S1364032125002904" TargetMode="External"/><Relationship Id="rId42" Type="http://schemas.openxmlformats.org/officeDocument/2006/relationships/footer" Target="footer1.xml"/><Relationship Id="rId7" Type="http://schemas.microsoft.com/office/2007/relationships/hdphoto" Target="media/hdphoto1.wdp"/><Relationship Id="rId2" Type="http://schemas.openxmlformats.org/officeDocument/2006/relationships/settings" Target="settings.xml"/><Relationship Id="rId16" Type="http://schemas.openxmlformats.org/officeDocument/2006/relationships/hyperlink" Target="https://journals.aom.org/doi/abs/10.5465/amr.1989.4278999" TargetMode="External"/><Relationship Id="rId29" Type="http://schemas.openxmlformats.org/officeDocument/2006/relationships/hyperlink" Target="https://pmc.ncbi.nlm.nih.gov/articles/PMC1056411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doi.org/10.24837/pru.v23i1.591" TargetMode="External"/><Relationship Id="rId32" Type="http://schemas.openxmlformats.org/officeDocument/2006/relationships/hyperlink" Target="https://journals.lww.com/pqs/fulltext/2025/08001/_just__speaking_up_requires_increasing.8.aspx" TargetMode="External"/><Relationship Id="rId37" Type="http://schemas.openxmlformats.org/officeDocument/2006/relationships/hyperlink" Target="https://www.ncbi.nlm.nih.gov/pmc/articles/PMC4263159/" TargetMode="External"/><Relationship Id="rId40" Type="http://schemas.openxmlformats.org/officeDocument/2006/relationships/hyperlink" Target="https://doi.org/10.3390/su15118565"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encedirect.com/science/article/pii/S2590291125004346" TargetMode="External"/><Relationship Id="rId23" Type="http://schemas.openxmlformats.org/officeDocument/2006/relationships/hyperlink" Target="https://pmc.ncbi.nlm.nih.gov/articles/PMC9934447/" TargetMode="External"/><Relationship Id="rId28" Type="http://schemas.openxmlformats.org/officeDocument/2006/relationships/hyperlink" Target="https://www.proquest.com/openview/aff4285641492f7278b78d4866ef2e3b/1?pq-origsite=gscholar&amp;cbl=18750&amp;diss=y" TargetMode="External"/><Relationship Id="rId36" Type="http://schemas.openxmlformats.org/officeDocument/2006/relationships/hyperlink" Target="https://doi.org/10.2307/259118" TargetMode="External"/><Relationship Id="rId10" Type="http://schemas.openxmlformats.org/officeDocument/2006/relationships/image" Target="media/image4.png"/><Relationship Id="rId19" Type="http://schemas.openxmlformats.org/officeDocument/2006/relationships/hyperlink" Target="https://link.springer.com/chapter/10.1007/978-3-031-54700-3_11" TargetMode="External"/><Relationship Id="rId31" Type="http://schemas.openxmlformats.org/officeDocument/2006/relationships/hyperlink" Target="https://selfdeterminationtheory.org/SDT/documents/2000_RyanDeci_SDT.pdf" TargetMode="External"/><Relationship Id="rId4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3.png"/><Relationship Id="rId14" Type="http://schemas.microsoft.com/office/2007/relationships/hdphoto" Target="media/hdphoto3.wdp"/><Relationship Id="rId22" Type="http://schemas.openxmlformats.org/officeDocument/2006/relationships/hyperlink" Target="https://www.agileleadershipjourney.com/blog/whats-the-connection-between-psychological-safety-and-innovation" TargetMode="External"/><Relationship Id="rId27" Type="http://schemas.openxmlformats.org/officeDocument/2006/relationships/hyperlink" Target="https://doi.org/10.1080/02188791.2018.1505599" TargetMode="External"/><Relationship Id="rId30" Type="http://schemas.openxmlformats.org/officeDocument/2006/relationships/hyperlink" Target="https://link.springer.com/article/10.1007/BF01384942" TargetMode="External"/><Relationship Id="rId35" Type="http://schemas.openxmlformats.org/officeDocument/2006/relationships/hyperlink" Target="https://www.researchgate.net/publication/5175507_Toward_a_Theory_of_Organized_Socialization" TargetMode="External"/><Relationship Id="rId43"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webSettings" Target="webSettings.xml"/><Relationship Id="rId12" Type="http://schemas.microsoft.com/office/2007/relationships/hdphoto" Target="media/hdphoto2.wdp"/><Relationship Id="rId17" Type="http://schemas.openxmlformats.org/officeDocument/2006/relationships/hyperlink" Target="https://www.researchgate.net/publication/405933837_real-time_skills_visibility_and_talent_management_accelerating_internal_workforce_mobility" TargetMode="External"/><Relationship Id="rId25" Type="http://schemas.openxmlformats.org/officeDocument/2006/relationships/hyperlink" Target="https://doi.org/10.4135/9781071923528" TargetMode="External"/><Relationship Id="rId33" Type="http://schemas.openxmlformats.org/officeDocument/2006/relationships/hyperlink" Target="https://www.apps365.com/blog/employee-evaluation-system/" TargetMode="External"/><Relationship Id="rId38" Type="http://schemas.openxmlformats.org/officeDocument/2006/relationships/hyperlink" Target="https://www.researchgate.net/publication/237739967_The_Vital_Roles_of_Human_Resource_Professional_A_Study_on_the_Manufacturing_Companies_in_Malaysia" TargetMode="External"/><Relationship Id="rId46" Type="http://schemas.openxmlformats.org/officeDocument/2006/relationships/theme" Target="theme/theme1.xml"/><Relationship Id="rId20" Type="http://schemas.openxmlformats.org/officeDocument/2006/relationships/hyperlink" Target="https://www.sciencedirect.com/science/article/pii/S0268401220308082" TargetMode="External"/><Relationship Id="rId41" Type="http://schemas.openxmlformats.org/officeDocument/2006/relationships/hyperlink" Target="https://www.michelezanini.com/hackman-oldhams-job-characteristics-mode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20</Pages>
  <Words>3967</Words>
  <Characters>25196</Characters>
  <Application>Microsoft Office Word</Application>
  <DocSecurity>0</DocSecurity>
  <Lines>399</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Bending Moments</cp:lastModifiedBy>
  <cp:revision>13</cp:revision>
  <dcterms:created xsi:type="dcterms:W3CDTF">2026-07-06T10:53:00Z</dcterms:created>
  <dcterms:modified xsi:type="dcterms:W3CDTF">2026-07-11T08:04:00Z</dcterms:modified>
</cp:coreProperties>
</file>