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DE62D7" w:rsidRPr="008D3AC0" w:rsidRDefault="00F2379E" w:rsidP="008D3AC0">
      <w:pPr>
        <w:spacing w:line="480" w:lineRule="auto"/>
        <w:jc w:val="center"/>
        <w:rPr>
          <w:rFonts w:ascii="Times New Roman" w:hAnsi="Times New Roman" w:cs="Times New Roman"/>
          <w:i/>
          <w:sz w:val="24"/>
          <w:szCs w:val="24"/>
        </w:rPr>
      </w:pPr>
      <w:r w:rsidRPr="008D3AC0">
        <w:rPr>
          <w:rFonts w:ascii="Times New Roman" w:hAnsi="Times New Roman" w:cs="Times New Roman"/>
          <w:sz w:val="24"/>
          <w:szCs w:val="24"/>
        </w:rPr>
        <w:t xml:space="preserve">Forms of Law in Classical Athens: An Exploration of Sophocles’ </w:t>
      </w:r>
      <w:r w:rsidRPr="008D3AC0">
        <w:rPr>
          <w:rFonts w:ascii="Times New Roman" w:hAnsi="Times New Roman" w:cs="Times New Roman"/>
          <w:i/>
          <w:sz w:val="24"/>
          <w:szCs w:val="24"/>
        </w:rPr>
        <w:t>Antigone</w:t>
      </w:r>
    </w:p>
    <w:p w14:paraId="00000002" w14:textId="77777777" w:rsidR="00DE62D7" w:rsidRPr="008D3AC0" w:rsidRDefault="00DE62D7" w:rsidP="008D3AC0">
      <w:pPr>
        <w:spacing w:line="480" w:lineRule="auto"/>
        <w:rPr>
          <w:rFonts w:ascii="Times New Roman" w:hAnsi="Times New Roman" w:cs="Times New Roman"/>
          <w:sz w:val="24"/>
          <w:szCs w:val="24"/>
        </w:rPr>
      </w:pPr>
    </w:p>
    <w:p w14:paraId="00000003" w14:textId="474F3C7D" w:rsidR="00DE62D7" w:rsidRPr="008D3AC0" w:rsidRDefault="00F2379E" w:rsidP="008D3AC0">
      <w:pPr>
        <w:spacing w:line="480" w:lineRule="auto"/>
        <w:rPr>
          <w:rFonts w:ascii="Times New Roman" w:hAnsi="Times New Roman" w:cs="Times New Roman"/>
          <w:sz w:val="24"/>
          <w:szCs w:val="24"/>
        </w:rPr>
      </w:pPr>
      <w:r w:rsidRPr="008D3AC0">
        <w:rPr>
          <w:rFonts w:ascii="Times New Roman" w:hAnsi="Times New Roman" w:cs="Times New Roman"/>
          <w:sz w:val="24"/>
          <w:szCs w:val="24"/>
        </w:rPr>
        <w:t xml:space="preserve">Ancient Greek law in the democratic sense is unique in that it varied by </w:t>
      </w:r>
      <w:r w:rsidRPr="008D3AC0">
        <w:rPr>
          <w:rFonts w:ascii="Times New Roman" w:hAnsi="Times New Roman" w:cs="Times New Roman"/>
          <w:i/>
          <w:sz w:val="24"/>
          <w:szCs w:val="24"/>
        </w:rPr>
        <w:t>polis</w:t>
      </w:r>
      <w:r w:rsidRPr="008D3AC0">
        <w:rPr>
          <w:rFonts w:ascii="Times New Roman" w:hAnsi="Times New Roman" w:cs="Times New Roman"/>
          <w:sz w:val="24"/>
          <w:szCs w:val="24"/>
        </w:rPr>
        <w:t xml:space="preserve">, there were however certain factors that determined each legal system; these include what </w:t>
      </w:r>
      <w:r w:rsidRPr="008D3AC0">
        <w:rPr>
          <w:rFonts w:ascii="Times New Roman" w:hAnsi="Times New Roman" w:cs="Times New Roman"/>
          <w:i/>
          <w:sz w:val="24"/>
          <w:szCs w:val="24"/>
        </w:rPr>
        <w:t>polis</w:t>
      </w:r>
      <w:r w:rsidRPr="008D3AC0">
        <w:rPr>
          <w:rFonts w:ascii="Times New Roman" w:hAnsi="Times New Roman" w:cs="Times New Roman"/>
          <w:sz w:val="24"/>
          <w:szCs w:val="24"/>
        </w:rPr>
        <w:t xml:space="preserve"> you resided in and the written laws and administration guidelines.</w:t>
      </w:r>
      <w:r w:rsidR="00B70118" w:rsidRPr="008D3AC0">
        <w:rPr>
          <w:rStyle w:val="FootnoteReference"/>
          <w:rFonts w:ascii="Times New Roman" w:hAnsi="Times New Roman" w:cs="Times New Roman"/>
          <w:sz w:val="24"/>
          <w:szCs w:val="24"/>
        </w:rPr>
        <w:footnoteReference w:id="1"/>
      </w:r>
      <w:r w:rsidRPr="008D3AC0">
        <w:rPr>
          <w:rFonts w:ascii="Times New Roman" w:hAnsi="Times New Roman" w:cs="Times New Roman"/>
          <w:sz w:val="24"/>
          <w:szCs w:val="24"/>
        </w:rPr>
        <w:t xml:space="preserve"> These two factors meant that generally jurors stuck to the literal meaning of the </w:t>
      </w:r>
      <w:r w:rsidRPr="008D3AC0">
        <w:rPr>
          <w:rFonts w:ascii="Times New Roman" w:hAnsi="Times New Roman" w:cs="Times New Roman"/>
          <w:i/>
          <w:sz w:val="24"/>
          <w:szCs w:val="24"/>
        </w:rPr>
        <w:t>nomoi</w:t>
      </w:r>
      <w:r w:rsidRPr="008D3AC0">
        <w:rPr>
          <w:rFonts w:ascii="Times New Roman" w:hAnsi="Times New Roman" w:cs="Times New Roman"/>
          <w:sz w:val="24"/>
          <w:szCs w:val="24"/>
        </w:rPr>
        <w:t xml:space="preserve"> of their </w:t>
      </w:r>
      <w:r w:rsidRPr="008D3AC0">
        <w:rPr>
          <w:rFonts w:ascii="Times New Roman" w:hAnsi="Times New Roman" w:cs="Times New Roman"/>
          <w:i/>
          <w:sz w:val="24"/>
          <w:szCs w:val="24"/>
        </w:rPr>
        <w:t xml:space="preserve">polis, </w:t>
      </w:r>
      <w:r w:rsidRPr="008D3AC0">
        <w:rPr>
          <w:rFonts w:ascii="Times New Roman" w:hAnsi="Times New Roman" w:cs="Times New Roman"/>
          <w:sz w:val="24"/>
          <w:szCs w:val="24"/>
        </w:rPr>
        <w:t xml:space="preserve">that is the written statues of law for the </w:t>
      </w:r>
      <w:r w:rsidRPr="008D3AC0">
        <w:rPr>
          <w:rFonts w:ascii="Times New Roman" w:hAnsi="Times New Roman" w:cs="Times New Roman"/>
          <w:i/>
          <w:sz w:val="24"/>
          <w:szCs w:val="24"/>
        </w:rPr>
        <w:t>polis</w:t>
      </w:r>
      <w:r w:rsidRPr="008D3AC0">
        <w:rPr>
          <w:rFonts w:ascii="Times New Roman" w:hAnsi="Times New Roman" w:cs="Times New Roman"/>
          <w:sz w:val="24"/>
          <w:szCs w:val="24"/>
        </w:rPr>
        <w:t xml:space="preserve">. Another factor that determined legal life was how orators argued legal cases. Greek law differs from Roman law in that the orators aimed to convince the masses of their argument regardless of whether it was applicable to the </w:t>
      </w:r>
      <w:r w:rsidRPr="008D3AC0">
        <w:rPr>
          <w:rFonts w:ascii="Times New Roman" w:hAnsi="Times New Roman" w:cs="Times New Roman"/>
          <w:i/>
          <w:sz w:val="24"/>
          <w:szCs w:val="24"/>
        </w:rPr>
        <w:t>nomoi</w:t>
      </w:r>
      <w:r w:rsidRPr="008D3AC0">
        <w:rPr>
          <w:rFonts w:ascii="Times New Roman" w:hAnsi="Times New Roman" w:cs="Times New Roman"/>
          <w:sz w:val="24"/>
          <w:szCs w:val="24"/>
        </w:rPr>
        <w:t xml:space="preserve">. </w:t>
      </w:r>
    </w:p>
    <w:p w14:paraId="45D05350" w14:textId="77777777" w:rsidR="00B70118" w:rsidRPr="008D3AC0" w:rsidRDefault="00B70118" w:rsidP="008D3AC0">
      <w:pPr>
        <w:spacing w:line="480" w:lineRule="auto"/>
        <w:rPr>
          <w:rFonts w:ascii="Times New Roman" w:hAnsi="Times New Roman" w:cs="Times New Roman"/>
          <w:sz w:val="24"/>
          <w:szCs w:val="24"/>
        </w:rPr>
      </w:pPr>
    </w:p>
    <w:p w14:paraId="00000004" w14:textId="2CF9F289" w:rsidR="00DE62D7" w:rsidRPr="008D3AC0" w:rsidRDefault="00F2379E" w:rsidP="008D3AC0">
      <w:pPr>
        <w:spacing w:line="480" w:lineRule="auto"/>
        <w:rPr>
          <w:rFonts w:ascii="Times New Roman" w:hAnsi="Times New Roman" w:cs="Times New Roman"/>
          <w:sz w:val="24"/>
          <w:szCs w:val="24"/>
        </w:rPr>
      </w:pPr>
      <w:r w:rsidRPr="008D3AC0">
        <w:rPr>
          <w:rFonts w:ascii="Times New Roman" w:hAnsi="Times New Roman" w:cs="Times New Roman"/>
          <w:sz w:val="24"/>
          <w:szCs w:val="24"/>
        </w:rPr>
        <w:t xml:space="preserve">Athenian democracy did not emerge all at once fully complete and functional, the ruling of Athens changed slowly over centuries from aristocracy to oligarchy and finally to democracy. </w:t>
      </w:r>
      <w:r w:rsidR="00B70118" w:rsidRPr="008D3AC0">
        <w:rPr>
          <w:rFonts w:ascii="Times New Roman" w:hAnsi="Times New Roman" w:cs="Times New Roman"/>
          <w:sz w:val="24"/>
          <w:szCs w:val="24"/>
        </w:rPr>
        <w:t>Athenian</w:t>
      </w:r>
      <w:r w:rsidRPr="008D3AC0">
        <w:rPr>
          <w:rFonts w:ascii="Times New Roman" w:hAnsi="Times New Roman" w:cs="Times New Roman"/>
          <w:sz w:val="24"/>
          <w:szCs w:val="24"/>
        </w:rPr>
        <w:t xml:space="preserve"> democracy as it is typically thought of did not emerge until c. 470 BC and lasted until c. 317 when Demetrius of Phalem </w:t>
      </w:r>
      <w:r w:rsidR="00AA5D9D" w:rsidRPr="008D3AC0">
        <w:rPr>
          <w:rFonts w:ascii="Times New Roman" w:hAnsi="Times New Roman" w:cs="Times New Roman"/>
          <w:sz w:val="24"/>
          <w:szCs w:val="24"/>
        </w:rPr>
        <w:t>reimposes</w:t>
      </w:r>
      <w:r w:rsidR="00B70118" w:rsidRPr="008D3AC0">
        <w:rPr>
          <w:rFonts w:ascii="Times New Roman" w:hAnsi="Times New Roman" w:cs="Times New Roman"/>
          <w:sz w:val="24"/>
          <w:szCs w:val="24"/>
        </w:rPr>
        <w:t xml:space="preserve"> </w:t>
      </w:r>
      <w:r w:rsidRPr="008D3AC0">
        <w:rPr>
          <w:rFonts w:ascii="Times New Roman" w:hAnsi="Times New Roman" w:cs="Times New Roman"/>
          <w:sz w:val="24"/>
          <w:szCs w:val="24"/>
        </w:rPr>
        <w:t xml:space="preserve">oligarchy. </w:t>
      </w:r>
    </w:p>
    <w:p w14:paraId="2DB3412D" w14:textId="77777777" w:rsidR="00B70118" w:rsidRPr="008D3AC0" w:rsidRDefault="00B70118" w:rsidP="008D3AC0">
      <w:pPr>
        <w:spacing w:line="480" w:lineRule="auto"/>
        <w:rPr>
          <w:rFonts w:ascii="Times New Roman" w:hAnsi="Times New Roman" w:cs="Times New Roman"/>
          <w:sz w:val="24"/>
          <w:szCs w:val="24"/>
        </w:rPr>
      </w:pPr>
    </w:p>
    <w:p w14:paraId="00000005" w14:textId="77777777" w:rsidR="00DE62D7" w:rsidRPr="008D3AC0" w:rsidRDefault="00F2379E" w:rsidP="008D3AC0">
      <w:pPr>
        <w:spacing w:line="480" w:lineRule="auto"/>
        <w:rPr>
          <w:rFonts w:ascii="Times New Roman" w:hAnsi="Times New Roman" w:cs="Times New Roman"/>
          <w:sz w:val="24"/>
          <w:szCs w:val="24"/>
        </w:rPr>
      </w:pPr>
      <w:r w:rsidRPr="008D3AC0">
        <w:rPr>
          <w:rFonts w:ascii="Times New Roman" w:hAnsi="Times New Roman" w:cs="Times New Roman"/>
          <w:sz w:val="24"/>
          <w:szCs w:val="24"/>
        </w:rPr>
        <w:t xml:space="preserve">Most of our knowledge of the Greek legal systems comes from Athens where there were different types of courts and various roles that Athenian citizens played in these courts. Unlike in modern democracy the state did not take people to court, in Classical Athens it was down to an individual to take somebody to court for breaking a law. </w:t>
      </w:r>
    </w:p>
    <w:p w14:paraId="00000006" w14:textId="77777777" w:rsidR="00DE62D7" w:rsidRPr="008D3AC0" w:rsidRDefault="00DE62D7" w:rsidP="008D3AC0">
      <w:pPr>
        <w:spacing w:line="480" w:lineRule="auto"/>
        <w:rPr>
          <w:rFonts w:ascii="Times New Roman" w:hAnsi="Times New Roman" w:cs="Times New Roman"/>
          <w:sz w:val="24"/>
          <w:szCs w:val="24"/>
        </w:rPr>
      </w:pPr>
    </w:p>
    <w:p w14:paraId="00000007" w14:textId="2A043AE4" w:rsidR="00DE62D7" w:rsidRPr="008D3AC0" w:rsidRDefault="00F2379E" w:rsidP="008D3AC0">
      <w:pPr>
        <w:spacing w:line="480" w:lineRule="auto"/>
        <w:rPr>
          <w:rFonts w:ascii="Times New Roman" w:hAnsi="Times New Roman" w:cs="Times New Roman"/>
          <w:sz w:val="24"/>
          <w:szCs w:val="24"/>
        </w:rPr>
      </w:pPr>
      <w:r w:rsidRPr="008D3AC0">
        <w:rPr>
          <w:rFonts w:ascii="Times New Roman" w:hAnsi="Times New Roman" w:cs="Times New Roman"/>
          <w:sz w:val="24"/>
          <w:szCs w:val="24"/>
        </w:rPr>
        <w:t xml:space="preserve">For the ancient Greeks this was not the only ‘legal system’ that they had to navigate. </w:t>
      </w:r>
      <w:r w:rsidR="00B70118" w:rsidRPr="008D3AC0">
        <w:rPr>
          <w:rFonts w:ascii="Times New Roman" w:hAnsi="Times New Roman" w:cs="Times New Roman"/>
          <w:sz w:val="24"/>
          <w:szCs w:val="24"/>
        </w:rPr>
        <w:t>Classicists</w:t>
      </w:r>
      <w:r w:rsidRPr="008D3AC0">
        <w:rPr>
          <w:rFonts w:ascii="Times New Roman" w:hAnsi="Times New Roman" w:cs="Times New Roman"/>
          <w:sz w:val="24"/>
          <w:szCs w:val="24"/>
        </w:rPr>
        <w:t xml:space="preserve"> have identified multiple types of law. There were divine laws, laid out by the gods and also </w:t>
      </w:r>
      <w:r w:rsidRPr="008D3AC0">
        <w:rPr>
          <w:rFonts w:ascii="Times New Roman" w:hAnsi="Times New Roman" w:cs="Times New Roman"/>
          <w:sz w:val="24"/>
          <w:szCs w:val="24"/>
        </w:rPr>
        <w:lastRenderedPageBreak/>
        <w:t xml:space="preserve">natural law which can be understood as laws dictated by nature and discussed in Greek philosophy. These laws did not always align with each other, those of man did not necessarily agree with the laws of the gods, natural law sometimes conflicted with state law. </w:t>
      </w:r>
    </w:p>
    <w:p w14:paraId="73099D91" w14:textId="77777777" w:rsidR="00B70118" w:rsidRPr="008D3AC0" w:rsidRDefault="00B70118" w:rsidP="008D3AC0">
      <w:pPr>
        <w:spacing w:line="480" w:lineRule="auto"/>
        <w:rPr>
          <w:rFonts w:ascii="Times New Roman" w:hAnsi="Times New Roman" w:cs="Times New Roman"/>
          <w:sz w:val="24"/>
          <w:szCs w:val="24"/>
        </w:rPr>
      </w:pPr>
    </w:p>
    <w:p w14:paraId="00000008" w14:textId="09D2B22A" w:rsidR="00DE62D7" w:rsidRPr="008D3AC0" w:rsidRDefault="00F2379E" w:rsidP="008D3AC0">
      <w:pPr>
        <w:spacing w:line="480" w:lineRule="auto"/>
        <w:rPr>
          <w:rFonts w:ascii="Times New Roman" w:hAnsi="Times New Roman" w:cs="Times New Roman"/>
          <w:i/>
          <w:sz w:val="24"/>
          <w:szCs w:val="24"/>
        </w:rPr>
      </w:pPr>
      <w:r w:rsidRPr="008D3AC0">
        <w:rPr>
          <w:rFonts w:ascii="Times New Roman" w:hAnsi="Times New Roman" w:cs="Times New Roman"/>
          <w:sz w:val="24"/>
          <w:szCs w:val="24"/>
        </w:rPr>
        <w:t xml:space="preserve">Athenians had to attempt to navigate these laws and behave in accordance with them, this sometimes presented them with a dilemma or problematic situation. These dilemmas and situations can be seen in the popular culture of the time, Greek theatre. Sophocles was writing in classical Athens and explored some of these themes in his plays. His </w:t>
      </w:r>
      <w:r w:rsidRPr="008D3AC0">
        <w:rPr>
          <w:rFonts w:ascii="Times New Roman" w:hAnsi="Times New Roman" w:cs="Times New Roman"/>
          <w:i/>
          <w:sz w:val="24"/>
          <w:szCs w:val="24"/>
        </w:rPr>
        <w:t>Antigone</w:t>
      </w:r>
      <w:r w:rsidRPr="008D3AC0">
        <w:rPr>
          <w:rFonts w:ascii="Times New Roman" w:hAnsi="Times New Roman" w:cs="Times New Roman"/>
          <w:sz w:val="24"/>
          <w:szCs w:val="24"/>
        </w:rPr>
        <w:t xml:space="preserve"> demonstrates the precarious nature of these conflicting laws on the lives of the Greeks. </w:t>
      </w:r>
    </w:p>
    <w:p w14:paraId="00000009" w14:textId="77777777" w:rsidR="00DE62D7" w:rsidRPr="008D3AC0" w:rsidRDefault="00DE62D7" w:rsidP="008D3AC0">
      <w:pPr>
        <w:spacing w:line="480" w:lineRule="auto"/>
        <w:rPr>
          <w:rFonts w:ascii="Times New Roman" w:hAnsi="Times New Roman" w:cs="Times New Roman"/>
          <w:sz w:val="24"/>
          <w:szCs w:val="24"/>
        </w:rPr>
      </w:pPr>
    </w:p>
    <w:p w14:paraId="0000000A" w14:textId="5713A631" w:rsidR="00DE62D7" w:rsidRPr="008D3AC0" w:rsidRDefault="00F2379E" w:rsidP="008D3AC0">
      <w:pPr>
        <w:spacing w:line="480" w:lineRule="auto"/>
        <w:rPr>
          <w:rFonts w:ascii="Times New Roman" w:hAnsi="Times New Roman" w:cs="Times New Roman"/>
          <w:sz w:val="24"/>
          <w:szCs w:val="24"/>
        </w:rPr>
      </w:pPr>
      <w:r w:rsidRPr="008D3AC0">
        <w:rPr>
          <w:rFonts w:ascii="Times New Roman" w:hAnsi="Times New Roman" w:cs="Times New Roman"/>
          <w:sz w:val="24"/>
          <w:szCs w:val="24"/>
        </w:rPr>
        <w:t xml:space="preserve">The state laws of Athens were agreed upon by the citizens; they were presented to the </w:t>
      </w:r>
      <w:r w:rsidRPr="008D3AC0">
        <w:rPr>
          <w:rFonts w:ascii="Times New Roman" w:hAnsi="Times New Roman" w:cs="Times New Roman"/>
          <w:i/>
          <w:sz w:val="24"/>
          <w:szCs w:val="24"/>
        </w:rPr>
        <w:t xml:space="preserve">ekklesia </w:t>
      </w:r>
      <w:r w:rsidRPr="008D3AC0">
        <w:rPr>
          <w:rFonts w:ascii="Times New Roman" w:hAnsi="Times New Roman" w:cs="Times New Roman"/>
          <w:sz w:val="24"/>
          <w:szCs w:val="24"/>
        </w:rPr>
        <w:t xml:space="preserve">by the </w:t>
      </w:r>
      <w:r w:rsidRPr="008D3AC0">
        <w:rPr>
          <w:rFonts w:ascii="Times New Roman" w:hAnsi="Times New Roman" w:cs="Times New Roman"/>
          <w:i/>
          <w:sz w:val="24"/>
          <w:szCs w:val="24"/>
        </w:rPr>
        <w:t>boule</w:t>
      </w:r>
      <w:r w:rsidRPr="008D3AC0">
        <w:rPr>
          <w:rFonts w:ascii="Times New Roman" w:hAnsi="Times New Roman" w:cs="Times New Roman"/>
          <w:sz w:val="24"/>
          <w:szCs w:val="24"/>
        </w:rPr>
        <w:t xml:space="preserve"> and could be changed at any time due to the nature of Athenian democracy through voting. Athenian laws covered everything from taxes to marriage and war and dictated what behaviours should be considered illegal and their punishments. </w:t>
      </w:r>
    </w:p>
    <w:p w14:paraId="0000000B" w14:textId="77777777" w:rsidR="00DE62D7" w:rsidRPr="008D3AC0" w:rsidRDefault="00DE62D7" w:rsidP="008D3AC0">
      <w:pPr>
        <w:spacing w:line="480" w:lineRule="auto"/>
        <w:rPr>
          <w:rFonts w:ascii="Times New Roman" w:hAnsi="Times New Roman" w:cs="Times New Roman"/>
          <w:sz w:val="24"/>
          <w:szCs w:val="24"/>
        </w:rPr>
      </w:pPr>
    </w:p>
    <w:p w14:paraId="0000000C" w14:textId="1EC3E9AC" w:rsidR="00DE62D7" w:rsidRPr="008D3AC0" w:rsidRDefault="00F2379E" w:rsidP="008D3AC0">
      <w:pPr>
        <w:spacing w:line="480" w:lineRule="auto"/>
        <w:rPr>
          <w:rFonts w:ascii="Times New Roman" w:hAnsi="Times New Roman" w:cs="Times New Roman"/>
          <w:sz w:val="24"/>
          <w:szCs w:val="24"/>
        </w:rPr>
      </w:pPr>
      <w:r w:rsidRPr="008D3AC0">
        <w:rPr>
          <w:rFonts w:ascii="Times New Roman" w:hAnsi="Times New Roman" w:cs="Times New Roman"/>
          <w:sz w:val="24"/>
          <w:szCs w:val="24"/>
        </w:rPr>
        <w:t xml:space="preserve">Natural law can be difficult to define as it comes from nature and finds itself largely in philosophy. This makes natural law ever evolving as different philosophers may have different interpretations of the natural order of life and what that means for people. The domain of natural law includes natural phenomena as well as human nature. It governs for instance the natural desire a mother has to protect her child. </w:t>
      </w:r>
    </w:p>
    <w:p w14:paraId="0000000D" w14:textId="77777777" w:rsidR="00DE62D7" w:rsidRPr="008D3AC0" w:rsidRDefault="00DE62D7" w:rsidP="008D3AC0">
      <w:pPr>
        <w:spacing w:line="480" w:lineRule="auto"/>
        <w:rPr>
          <w:rFonts w:ascii="Times New Roman" w:hAnsi="Times New Roman" w:cs="Times New Roman"/>
          <w:sz w:val="24"/>
          <w:szCs w:val="24"/>
        </w:rPr>
      </w:pPr>
    </w:p>
    <w:p w14:paraId="0000000E" w14:textId="4E37CC80" w:rsidR="00DE62D7" w:rsidRPr="008D3AC0" w:rsidRDefault="00F2379E" w:rsidP="008D3AC0">
      <w:pPr>
        <w:spacing w:line="480" w:lineRule="auto"/>
        <w:rPr>
          <w:rFonts w:ascii="Times New Roman" w:hAnsi="Times New Roman" w:cs="Times New Roman"/>
          <w:sz w:val="24"/>
          <w:szCs w:val="24"/>
        </w:rPr>
      </w:pPr>
      <w:r w:rsidRPr="008D3AC0">
        <w:rPr>
          <w:rFonts w:ascii="Times New Roman" w:hAnsi="Times New Roman" w:cs="Times New Roman"/>
          <w:sz w:val="24"/>
          <w:szCs w:val="24"/>
        </w:rPr>
        <w:t xml:space="preserve">Divine law was an integral part of Greek life, it can be thought that their belief in their gods were one of the things that made them civilised. Divine law was not written down in any form of rule </w:t>
      </w:r>
      <w:r w:rsidRPr="008D3AC0">
        <w:rPr>
          <w:rFonts w:ascii="Times New Roman" w:hAnsi="Times New Roman" w:cs="Times New Roman"/>
          <w:sz w:val="24"/>
          <w:szCs w:val="24"/>
        </w:rPr>
        <w:lastRenderedPageBreak/>
        <w:t>book however, it was an important code of behaviour that governed practices of worship such as sacrifices and aspects of day to day life.</w:t>
      </w:r>
      <w:r w:rsidR="00B70118" w:rsidRPr="008D3AC0">
        <w:rPr>
          <w:rStyle w:val="FootnoteReference"/>
          <w:rFonts w:ascii="Times New Roman" w:hAnsi="Times New Roman" w:cs="Times New Roman"/>
          <w:sz w:val="24"/>
          <w:szCs w:val="24"/>
        </w:rPr>
        <w:footnoteReference w:id="2"/>
      </w:r>
      <w:r w:rsidRPr="008D3AC0">
        <w:rPr>
          <w:rFonts w:ascii="Times New Roman" w:hAnsi="Times New Roman" w:cs="Times New Roman"/>
          <w:sz w:val="24"/>
          <w:szCs w:val="24"/>
        </w:rPr>
        <w:t xml:space="preserve"> Athenians and other Greeks believed that there were consequences for individuals and their families if they did not conform to the correct behaviours dictated by the gods. An example of this is to perform </w:t>
      </w:r>
      <w:r w:rsidRPr="008D3AC0">
        <w:rPr>
          <w:rFonts w:ascii="Times New Roman" w:hAnsi="Times New Roman" w:cs="Times New Roman"/>
          <w:i/>
          <w:sz w:val="24"/>
          <w:szCs w:val="24"/>
        </w:rPr>
        <w:t xml:space="preserve">xenia </w:t>
      </w:r>
      <w:r w:rsidRPr="008D3AC0">
        <w:rPr>
          <w:rFonts w:ascii="Times New Roman" w:hAnsi="Times New Roman" w:cs="Times New Roman"/>
          <w:sz w:val="24"/>
          <w:szCs w:val="24"/>
        </w:rPr>
        <w:t>which is commonly defined as guest-friendship.</w:t>
      </w:r>
      <w:r w:rsidR="00B70118" w:rsidRPr="008D3AC0">
        <w:rPr>
          <w:rStyle w:val="FootnoteReference"/>
          <w:rFonts w:ascii="Times New Roman" w:hAnsi="Times New Roman" w:cs="Times New Roman"/>
          <w:sz w:val="24"/>
          <w:szCs w:val="24"/>
        </w:rPr>
        <w:footnoteReference w:id="3"/>
      </w:r>
      <w:r w:rsidRPr="008D3AC0">
        <w:rPr>
          <w:rFonts w:ascii="Times New Roman" w:hAnsi="Times New Roman" w:cs="Times New Roman"/>
          <w:sz w:val="24"/>
          <w:szCs w:val="24"/>
        </w:rPr>
        <w:t xml:space="preserve"> According to Vandiver </w:t>
      </w:r>
      <w:r w:rsidRPr="008D3AC0">
        <w:rPr>
          <w:rFonts w:ascii="Times New Roman" w:hAnsi="Times New Roman" w:cs="Times New Roman"/>
          <w:i/>
          <w:sz w:val="24"/>
          <w:szCs w:val="24"/>
        </w:rPr>
        <w:t>xenia</w:t>
      </w:r>
      <w:r w:rsidRPr="008D3AC0">
        <w:rPr>
          <w:rFonts w:ascii="Times New Roman" w:hAnsi="Times New Roman" w:cs="Times New Roman"/>
          <w:sz w:val="24"/>
          <w:szCs w:val="24"/>
        </w:rPr>
        <w:t xml:space="preserve"> was an important part of social etiquette and in </w:t>
      </w:r>
      <w:r w:rsidRPr="008D3AC0">
        <w:rPr>
          <w:rFonts w:ascii="Times New Roman" w:hAnsi="Times New Roman" w:cs="Times New Roman"/>
          <w:i/>
          <w:sz w:val="24"/>
          <w:szCs w:val="24"/>
        </w:rPr>
        <w:t xml:space="preserve">The Odyssey </w:t>
      </w:r>
      <w:r w:rsidRPr="008D3AC0">
        <w:rPr>
          <w:rFonts w:ascii="Times New Roman" w:hAnsi="Times New Roman" w:cs="Times New Roman"/>
          <w:sz w:val="24"/>
          <w:szCs w:val="24"/>
        </w:rPr>
        <w:t xml:space="preserve">“every stranger and beggar comes from Zeus” (14.65) and by mistreating them you would be mistreating </w:t>
      </w:r>
      <w:r w:rsidR="00AA5D9D" w:rsidRPr="008D3AC0">
        <w:rPr>
          <w:rFonts w:ascii="Times New Roman" w:hAnsi="Times New Roman" w:cs="Times New Roman"/>
          <w:sz w:val="24"/>
          <w:szCs w:val="24"/>
        </w:rPr>
        <w:t>Zeus</w:t>
      </w:r>
      <w:r w:rsidRPr="008D3AC0">
        <w:rPr>
          <w:rFonts w:ascii="Times New Roman" w:hAnsi="Times New Roman" w:cs="Times New Roman"/>
          <w:sz w:val="24"/>
          <w:szCs w:val="24"/>
        </w:rPr>
        <w:t>.</w:t>
      </w:r>
      <w:r w:rsidR="00B70118" w:rsidRPr="008D3AC0">
        <w:rPr>
          <w:rStyle w:val="FootnoteReference"/>
          <w:rFonts w:ascii="Times New Roman" w:hAnsi="Times New Roman" w:cs="Times New Roman"/>
          <w:sz w:val="24"/>
          <w:szCs w:val="24"/>
        </w:rPr>
        <w:footnoteReference w:id="4"/>
      </w:r>
      <w:r w:rsidRPr="008D3AC0">
        <w:rPr>
          <w:rFonts w:ascii="Times New Roman" w:hAnsi="Times New Roman" w:cs="Times New Roman"/>
          <w:sz w:val="24"/>
          <w:szCs w:val="24"/>
        </w:rPr>
        <w:t xml:space="preserve">  </w:t>
      </w:r>
    </w:p>
    <w:p w14:paraId="0000000F" w14:textId="77777777" w:rsidR="00DE62D7" w:rsidRPr="008D3AC0" w:rsidRDefault="00DE62D7" w:rsidP="008D3AC0">
      <w:pPr>
        <w:spacing w:line="480" w:lineRule="auto"/>
        <w:rPr>
          <w:rFonts w:ascii="Times New Roman" w:hAnsi="Times New Roman" w:cs="Times New Roman"/>
          <w:sz w:val="24"/>
          <w:szCs w:val="24"/>
        </w:rPr>
      </w:pPr>
    </w:p>
    <w:p w14:paraId="00000010" w14:textId="65F84E5A" w:rsidR="00DE62D7" w:rsidRPr="008D3AC0" w:rsidRDefault="00F2379E" w:rsidP="008D3AC0">
      <w:pPr>
        <w:spacing w:line="480" w:lineRule="auto"/>
        <w:rPr>
          <w:rFonts w:ascii="Times New Roman" w:hAnsi="Times New Roman" w:cs="Times New Roman"/>
          <w:sz w:val="24"/>
          <w:szCs w:val="24"/>
        </w:rPr>
      </w:pPr>
      <w:r w:rsidRPr="008D3AC0">
        <w:rPr>
          <w:rFonts w:ascii="Times New Roman" w:hAnsi="Times New Roman" w:cs="Times New Roman"/>
          <w:sz w:val="24"/>
          <w:szCs w:val="24"/>
        </w:rPr>
        <w:t>Sophocles was an Athenian playwright in the 5th Century BC. He died in 405 BC and according to Scodel “Sophocles has stood for moderation, neither too archaic nor too innovative”.</w:t>
      </w:r>
      <w:r w:rsidR="00B70118" w:rsidRPr="008D3AC0">
        <w:rPr>
          <w:rStyle w:val="FootnoteReference"/>
          <w:rFonts w:ascii="Times New Roman" w:hAnsi="Times New Roman" w:cs="Times New Roman"/>
          <w:sz w:val="24"/>
          <w:szCs w:val="24"/>
        </w:rPr>
        <w:footnoteReference w:id="5"/>
      </w:r>
      <w:r w:rsidRPr="008D3AC0">
        <w:rPr>
          <w:rFonts w:ascii="Times New Roman" w:hAnsi="Times New Roman" w:cs="Times New Roman"/>
          <w:sz w:val="24"/>
          <w:szCs w:val="24"/>
        </w:rPr>
        <w:t xml:space="preserve"> According to Scodel Sophocles has his own specific style of writing in verse which has been labelled as ‘Sophoclean enjambment’; where one verse leads into the next without a break.</w:t>
      </w:r>
      <w:r w:rsidR="00B70118" w:rsidRPr="008D3AC0">
        <w:rPr>
          <w:rStyle w:val="FootnoteReference"/>
          <w:rFonts w:ascii="Times New Roman" w:hAnsi="Times New Roman" w:cs="Times New Roman"/>
          <w:sz w:val="24"/>
          <w:szCs w:val="24"/>
        </w:rPr>
        <w:footnoteReference w:id="6"/>
      </w:r>
      <w:r w:rsidRPr="008D3AC0">
        <w:rPr>
          <w:rFonts w:ascii="Times New Roman" w:hAnsi="Times New Roman" w:cs="Times New Roman"/>
          <w:sz w:val="24"/>
          <w:szCs w:val="24"/>
        </w:rPr>
        <w:t xml:space="preserve"> </w:t>
      </w:r>
    </w:p>
    <w:p w14:paraId="79D04E0D" w14:textId="77777777" w:rsidR="00B70118" w:rsidRPr="008D3AC0" w:rsidRDefault="00B70118" w:rsidP="008D3AC0">
      <w:pPr>
        <w:spacing w:line="480" w:lineRule="auto"/>
        <w:rPr>
          <w:rFonts w:ascii="Times New Roman" w:hAnsi="Times New Roman" w:cs="Times New Roman"/>
          <w:sz w:val="24"/>
          <w:szCs w:val="24"/>
        </w:rPr>
      </w:pPr>
    </w:p>
    <w:p w14:paraId="00000011" w14:textId="326ED48C" w:rsidR="00DE62D7" w:rsidRPr="008D3AC0" w:rsidRDefault="00F2379E" w:rsidP="008D3AC0">
      <w:pPr>
        <w:spacing w:line="480" w:lineRule="auto"/>
        <w:rPr>
          <w:rFonts w:ascii="Times New Roman" w:hAnsi="Times New Roman" w:cs="Times New Roman"/>
          <w:sz w:val="24"/>
          <w:szCs w:val="24"/>
        </w:rPr>
      </w:pPr>
      <w:r w:rsidRPr="008D3AC0">
        <w:rPr>
          <w:rFonts w:ascii="Times New Roman" w:hAnsi="Times New Roman" w:cs="Times New Roman"/>
          <w:sz w:val="24"/>
          <w:szCs w:val="24"/>
        </w:rPr>
        <w:t>Scodel states that tragedies are based on tales and many versions of the lives of characters exist.</w:t>
      </w:r>
      <w:r w:rsidR="001E354B" w:rsidRPr="008D3AC0">
        <w:rPr>
          <w:rStyle w:val="FootnoteReference"/>
          <w:rFonts w:ascii="Times New Roman" w:hAnsi="Times New Roman" w:cs="Times New Roman"/>
          <w:sz w:val="24"/>
          <w:szCs w:val="24"/>
        </w:rPr>
        <w:footnoteReference w:id="7"/>
      </w:r>
      <w:r w:rsidRPr="008D3AC0">
        <w:rPr>
          <w:rFonts w:ascii="Times New Roman" w:hAnsi="Times New Roman" w:cs="Times New Roman"/>
          <w:sz w:val="24"/>
          <w:szCs w:val="24"/>
        </w:rPr>
        <w:t xml:space="preserve"> As stated by Scodel, a version existed in which Haemon was killed by the sphinx before Antigone was born and Ismene was the lover of an attacker of Thebes.</w:t>
      </w:r>
      <w:r w:rsidR="001E354B" w:rsidRPr="008D3AC0">
        <w:rPr>
          <w:rStyle w:val="FootnoteReference"/>
          <w:rFonts w:ascii="Times New Roman" w:hAnsi="Times New Roman" w:cs="Times New Roman"/>
          <w:sz w:val="24"/>
          <w:szCs w:val="24"/>
        </w:rPr>
        <w:footnoteReference w:id="8"/>
      </w:r>
      <w:r w:rsidRPr="008D3AC0">
        <w:rPr>
          <w:rFonts w:ascii="Times New Roman" w:hAnsi="Times New Roman" w:cs="Times New Roman"/>
          <w:sz w:val="24"/>
          <w:szCs w:val="24"/>
        </w:rPr>
        <w:t xml:space="preserve"> Ion, who was writing at the same time as Sophocles, wrote that Antigone and Ismene were burnt in the Temple of Hera by the son of Eteocles.</w:t>
      </w:r>
      <w:r w:rsidR="001E354B" w:rsidRPr="008D3AC0">
        <w:rPr>
          <w:rStyle w:val="FootnoteReference"/>
          <w:rFonts w:ascii="Times New Roman" w:hAnsi="Times New Roman" w:cs="Times New Roman"/>
          <w:sz w:val="24"/>
          <w:szCs w:val="24"/>
        </w:rPr>
        <w:footnoteReference w:id="9"/>
      </w:r>
      <w:r w:rsidRPr="008D3AC0">
        <w:rPr>
          <w:rFonts w:ascii="Times New Roman" w:hAnsi="Times New Roman" w:cs="Times New Roman"/>
          <w:sz w:val="24"/>
          <w:szCs w:val="24"/>
        </w:rPr>
        <w:t xml:space="preserve"> </w:t>
      </w:r>
    </w:p>
    <w:p w14:paraId="60DCE031" w14:textId="77777777" w:rsidR="002102E3" w:rsidRPr="008D3AC0" w:rsidRDefault="002102E3" w:rsidP="008D3AC0">
      <w:pPr>
        <w:spacing w:line="480" w:lineRule="auto"/>
        <w:rPr>
          <w:rFonts w:ascii="Times New Roman" w:hAnsi="Times New Roman" w:cs="Times New Roman"/>
          <w:sz w:val="24"/>
          <w:szCs w:val="24"/>
        </w:rPr>
      </w:pPr>
    </w:p>
    <w:p w14:paraId="00000012" w14:textId="2C7DE350" w:rsidR="00DE62D7" w:rsidRPr="008D3AC0" w:rsidRDefault="00F2379E" w:rsidP="008D3AC0">
      <w:pPr>
        <w:spacing w:line="480" w:lineRule="auto"/>
        <w:rPr>
          <w:rFonts w:ascii="Times New Roman" w:hAnsi="Times New Roman" w:cs="Times New Roman"/>
          <w:sz w:val="24"/>
          <w:szCs w:val="24"/>
        </w:rPr>
      </w:pPr>
      <w:r w:rsidRPr="008D3AC0">
        <w:rPr>
          <w:rFonts w:ascii="Times New Roman" w:hAnsi="Times New Roman" w:cs="Times New Roman"/>
          <w:sz w:val="24"/>
          <w:szCs w:val="24"/>
        </w:rPr>
        <w:lastRenderedPageBreak/>
        <w:t xml:space="preserve">Modern translations of Sophocles often put </w:t>
      </w:r>
      <w:r w:rsidRPr="008D3AC0">
        <w:rPr>
          <w:rFonts w:ascii="Times New Roman" w:hAnsi="Times New Roman" w:cs="Times New Roman"/>
          <w:i/>
          <w:sz w:val="24"/>
          <w:szCs w:val="24"/>
        </w:rPr>
        <w:t xml:space="preserve">Antigone, </w:t>
      </w:r>
      <w:r w:rsidR="00AA5D9D" w:rsidRPr="008D3AC0">
        <w:rPr>
          <w:rFonts w:ascii="Times New Roman" w:hAnsi="Times New Roman" w:cs="Times New Roman"/>
          <w:i/>
          <w:sz w:val="24"/>
          <w:szCs w:val="24"/>
        </w:rPr>
        <w:t>Oedipus</w:t>
      </w:r>
      <w:r w:rsidRPr="008D3AC0">
        <w:rPr>
          <w:rFonts w:ascii="Times New Roman" w:hAnsi="Times New Roman" w:cs="Times New Roman"/>
          <w:i/>
          <w:sz w:val="24"/>
          <w:szCs w:val="24"/>
        </w:rPr>
        <w:t xml:space="preserve"> Rex </w:t>
      </w:r>
      <w:r w:rsidRPr="008D3AC0">
        <w:rPr>
          <w:rFonts w:ascii="Times New Roman" w:hAnsi="Times New Roman" w:cs="Times New Roman"/>
          <w:sz w:val="24"/>
          <w:szCs w:val="24"/>
        </w:rPr>
        <w:t xml:space="preserve">and </w:t>
      </w:r>
      <w:r w:rsidRPr="008D3AC0">
        <w:rPr>
          <w:rFonts w:ascii="Times New Roman" w:hAnsi="Times New Roman" w:cs="Times New Roman"/>
          <w:i/>
          <w:sz w:val="24"/>
          <w:szCs w:val="24"/>
        </w:rPr>
        <w:t>Oedipus at Colonus</w:t>
      </w:r>
      <w:r w:rsidRPr="008D3AC0">
        <w:rPr>
          <w:rFonts w:ascii="Times New Roman" w:hAnsi="Times New Roman" w:cs="Times New Roman"/>
          <w:sz w:val="24"/>
          <w:szCs w:val="24"/>
        </w:rPr>
        <w:t xml:space="preserve"> together as the ‘Theban plays’ although they were not a trilogy and Scodel suggests that they were written across a forty year period.</w:t>
      </w:r>
      <w:r w:rsidR="001E354B" w:rsidRPr="008D3AC0">
        <w:rPr>
          <w:rStyle w:val="FootnoteReference"/>
          <w:rFonts w:ascii="Times New Roman" w:hAnsi="Times New Roman" w:cs="Times New Roman"/>
          <w:sz w:val="24"/>
          <w:szCs w:val="24"/>
        </w:rPr>
        <w:footnoteReference w:id="10"/>
      </w:r>
      <w:r w:rsidRPr="008D3AC0">
        <w:rPr>
          <w:rFonts w:ascii="Times New Roman" w:hAnsi="Times New Roman" w:cs="Times New Roman"/>
          <w:sz w:val="24"/>
          <w:szCs w:val="24"/>
        </w:rPr>
        <w:t xml:space="preserve"> Sophocles was not the only playwright to write an </w:t>
      </w:r>
      <w:r w:rsidRPr="008D3AC0">
        <w:rPr>
          <w:rFonts w:ascii="Times New Roman" w:hAnsi="Times New Roman" w:cs="Times New Roman"/>
          <w:i/>
          <w:sz w:val="24"/>
          <w:szCs w:val="24"/>
        </w:rPr>
        <w:t>Antigone</w:t>
      </w:r>
      <w:r w:rsidRPr="008D3AC0">
        <w:rPr>
          <w:rFonts w:ascii="Times New Roman" w:hAnsi="Times New Roman" w:cs="Times New Roman"/>
          <w:sz w:val="24"/>
          <w:szCs w:val="24"/>
        </w:rPr>
        <w:t xml:space="preserve"> as </w:t>
      </w:r>
      <w:r w:rsidR="00AA5D9D" w:rsidRPr="008D3AC0">
        <w:rPr>
          <w:rFonts w:ascii="Times New Roman" w:hAnsi="Times New Roman" w:cs="Times New Roman"/>
          <w:sz w:val="24"/>
          <w:szCs w:val="24"/>
        </w:rPr>
        <w:t>Euripides</w:t>
      </w:r>
      <w:r w:rsidRPr="008D3AC0">
        <w:rPr>
          <w:rFonts w:ascii="Times New Roman" w:hAnsi="Times New Roman" w:cs="Times New Roman"/>
          <w:sz w:val="24"/>
          <w:szCs w:val="24"/>
        </w:rPr>
        <w:t xml:space="preserve"> also wrote his own version.</w:t>
      </w:r>
      <w:r w:rsidR="001E354B" w:rsidRPr="008D3AC0">
        <w:rPr>
          <w:rStyle w:val="FootnoteReference"/>
          <w:rFonts w:ascii="Times New Roman" w:hAnsi="Times New Roman" w:cs="Times New Roman"/>
          <w:sz w:val="24"/>
          <w:szCs w:val="24"/>
        </w:rPr>
        <w:footnoteReference w:id="11"/>
      </w:r>
      <w:r w:rsidRPr="008D3AC0">
        <w:rPr>
          <w:rFonts w:ascii="Times New Roman" w:hAnsi="Times New Roman" w:cs="Times New Roman"/>
          <w:sz w:val="24"/>
          <w:szCs w:val="24"/>
        </w:rPr>
        <w:t xml:space="preserve"> In his </w:t>
      </w:r>
      <w:r w:rsidRPr="008D3AC0">
        <w:rPr>
          <w:rFonts w:ascii="Times New Roman" w:hAnsi="Times New Roman" w:cs="Times New Roman"/>
          <w:i/>
          <w:sz w:val="24"/>
          <w:szCs w:val="24"/>
        </w:rPr>
        <w:t>Antigone</w:t>
      </w:r>
      <w:r w:rsidRPr="008D3AC0">
        <w:rPr>
          <w:rFonts w:ascii="Times New Roman" w:hAnsi="Times New Roman" w:cs="Times New Roman"/>
          <w:sz w:val="24"/>
          <w:szCs w:val="24"/>
        </w:rPr>
        <w:t xml:space="preserve"> Sophocles chose to explore a human drama rather than concerning himself with tragedy of the gods and mythology. Sorum categorises </w:t>
      </w:r>
      <w:r w:rsidRPr="008D3AC0">
        <w:rPr>
          <w:rFonts w:ascii="Times New Roman" w:hAnsi="Times New Roman" w:cs="Times New Roman"/>
          <w:i/>
          <w:sz w:val="24"/>
          <w:szCs w:val="24"/>
        </w:rPr>
        <w:t>Antigone</w:t>
      </w:r>
      <w:r w:rsidRPr="008D3AC0">
        <w:rPr>
          <w:rFonts w:ascii="Times New Roman" w:hAnsi="Times New Roman" w:cs="Times New Roman"/>
          <w:sz w:val="24"/>
          <w:szCs w:val="24"/>
        </w:rPr>
        <w:t xml:space="preserve"> along with </w:t>
      </w:r>
      <w:r w:rsidRPr="008D3AC0">
        <w:rPr>
          <w:rFonts w:ascii="Times New Roman" w:hAnsi="Times New Roman" w:cs="Times New Roman"/>
          <w:i/>
          <w:sz w:val="24"/>
          <w:szCs w:val="24"/>
        </w:rPr>
        <w:t xml:space="preserve">Ajax </w:t>
      </w:r>
      <w:r w:rsidRPr="008D3AC0">
        <w:rPr>
          <w:rFonts w:ascii="Times New Roman" w:hAnsi="Times New Roman" w:cs="Times New Roman"/>
          <w:sz w:val="24"/>
          <w:szCs w:val="24"/>
        </w:rPr>
        <w:t xml:space="preserve">and </w:t>
      </w:r>
      <w:r w:rsidRPr="008D3AC0">
        <w:rPr>
          <w:rFonts w:ascii="Times New Roman" w:hAnsi="Times New Roman" w:cs="Times New Roman"/>
          <w:i/>
          <w:sz w:val="24"/>
          <w:szCs w:val="24"/>
        </w:rPr>
        <w:t>Electra</w:t>
      </w:r>
      <w:r w:rsidRPr="008D3AC0">
        <w:rPr>
          <w:rFonts w:ascii="Times New Roman" w:hAnsi="Times New Roman" w:cs="Times New Roman"/>
          <w:sz w:val="24"/>
          <w:szCs w:val="24"/>
        </w:rPr>
        <w:t xml:space="preserve"> as plays which concern themselves with the opposition between present and deceased family members. Sorum also notes the </w:t>
      </w:r>
      <w:r w:rsidRPr="008D3AC0">
        <w:rPr>
          <w:rFonts w:ascii="Times New Roman" w:hAnsi="Times New Roman" w:cs="Times New Roman"/>
          <w:i/>
          <w:sz w:val="24"/>
          <w:szCs w:val="24"/>
        </w:rPr>
        <w:t xml:space="preserve">Oedipus Rex </w:t>
      </w:r>
      <w:r w:rsidRPr="008D3AC0">
        <w:rPr>
          <w:rFonts w:ascii="Times New Roman" w:hAnsi="Times New Roman" w:cs="Times New Roman"/>
          <w:sz w:val="24"/>
          <w:szCs w:val="24"/>
        </w:rPr>
        <w:t xml:space="preserve">and </w:t>
      </w:r>
      <w:r w:rsidR="00AA5D9D" w:rsidRPr="008D3AC0">
        <w:rPr>
          <w:rFonts w:ascii="Times New Roman" w:hAnsi="Times New Roman" w:cs="Times New Roman"/>
          <w:i/>
          <w:sz w:val="24"/>
          <w:szCs w:val="24"/>
        </w:rPr>
        <w:t>Oedipus</w:t>
      </w:r>
      <w:r w:rsidRPr="008D3AC0">
        <w:rPr>
          <w:rFonts w:ascii="Times New Roman" w:hAnsi="Times New Roman" w:cs="Times New Roman"/>
          <w:i/>
          <w:sz w:val="24"/>
          <w:szCs w:val="24"/>
        </w:rPr>
        <w:t xml:space="preserve"> at Colonus</w:t>
      </w:r>
      <w:r w:rsidRPr="008D3AC0">
        <w:rPr>
          <w:rFonts w:ascii="Times New Roman" w:hAnsi="Times New Roman" w:cs="Times New Roman"/>
          <w:sz w:val="24"/>
          <w:szCs w:val="24"/>
        </w:rPr>
        <w:t xml:space="preserve"> are concerned with familial connections causing destruction.</w:t>
      </w:r>
      <w:r w:rsidR="00AA5D9D" w:rsidRPr="008D3AC0">
        <w:rPr>
          <w:rStyle w:val="FootnoteReference"/>
          <w:rFonts w:ascii="Times New Roman" w:hAnsi="Times New Roman" w:cs="Times New Roman"/>
          <w:sz w:val="24"/>
          <w:szCs w:val="24"/>
        </w:rPr>
        <w:footnoteReference w:id="12"/>
      </w:r>
      <w:r w:rsidRPr="008D3AC0">
        <w:rPr>
          <w:rFonts w:ascii="Times New Roman" w:hAnsi="Times New Roman" w:cs="Times New Roman"/>
          <w:sz w:val="24"/>
          <w:szCs w:val="24"/>
        </w:rPr>
        <w:t xml:space="preserve"> This is an interesting analysis as Sophocles’ plays </w:t>
      </w:r>
      <w:r w:rsidRPr="008D3AC0">
        <w:rPr>
          <w:rFonts w:ascii="Times New Roman" w:hAnsi="Times New Roman" w:cs="Times New Roman"/>
          <w:i/>
          <w:sz w:val="24"/>
          <w:szCs w:val="24"/>
        </w:rPr>
        <w:t>Antigone, Oedipus Rex and Oedipus at Colonus</w:t>
      </w:r>
      <w:r w:rsidRPr="008D3AC0">
        <w:rPr>
          <w:rFonts w:ascii="Times New Roman" w:hAnsi="Times New Roman" w:cs="Times New Roman"/>
          <w:sz w:val="24"/>
          <w:szCs w:val="24"/>
        </w:rPr>
        <w:t xml:space="preserve"> are typically thought of as a trilogy as they follow the fortunes of the same family and their issues. True to form the play </w:t>
      </w:r>
      <w:r w:rsidRPr="008D3AC0">
        <w:rPr>
          <w:rFonts w:ascii="Times New Roman" w:hAnsi="Times New Roman" w:cs="Times New Roman"/>
          <w:i/>
          <w:sz w:val="24"/>
          <w:szCs w:val="24"/>
        </w:rPr>
        <w:t>Antigone</w:t>
      </w:r>
      <w:r w:rsidRPr="008D3AC0">
        <w:rPr>
          <w:rFonts w:ascii="Times New Roman" w:hAnsi="Times New Roman" w:cs="Times New Roman"/>
          <w:sz w:val="24"/>
          <w:szCs w:val="24"/>
        </w:rPr>
        <w:t xml:space="preserve"> contains the typical elements of tragedy; </w:t>
      </w:r>
      <w:r w:rsidR="00AA5D9D" w:rsidRPr="008D3AC0">
        <w:rPr>
          <w:rFonts w:ascii="Times New Roman" w:hAnsi="Times New Roman" w:cs="Times New Roman"/>
          <w:i/>
          <w:sz w:val="24"/>
          <w:szCs w:val="24"/>
        </w:rPr>
        <w:t>hubris</w:t>
      </w:r>
      <w:r w:rsidRPr="008D3AC0">
        <w:rPr>
          <w:rFonts w:ascii="Times New Roman" w:hAnsi="Times New Roman" w:cs="Times New Roman"/>
          <w:i/>
          <w:sz w:val="24"/>
          <w:szCs w:val="24"/>
        </w:rPr>
        <w:t>, peithio</w:t>
      </w:r>
      <w:r w:rsidRPr="008D3AC0">
        <w:rPr>
          <w:rFonts w:ascii="Times New Roman" w:hAnsi="Times New Roman" w:cs="Times New Roman"/>
          <w:sz w:val="24"/>
          <w:szCs w:val="24"/>
        </w:rPr>
        <w:t xml:space="preserve"> and punishment which in turn provides a form of catharsis for the audience. Antigone is not only a tale of </w:t>
      </w:r>
      <w:r w:rsidR="00AA5D9D" w:rsidRPr="008D3AC0">
        <w:rPr>
          <w:rFonts w:ascii="Times New Roman" w:hAnsi="Times New Roman" w:cs="Times New Roman"/>
          <w:i/>
          <w:sz w:val="24"/>
          <w:szCs w:val="24"/>
        </w:rPr>
        <w:t>hubris</w:t>
      </w:r>
      <w:r w:rsidRPr="008D3AC0">
        <w:rPr>
          <w:rFonts w:ascii="Times New Roman" w:hAnsi="Times New Roman" w:cs="Times New Roman"/>
          <w:sz w:val="24"/>
          <w:szCs w:val="24"/>
        </w:rPr>
        <w:t xml:space="preserve"> but also one of continuous conflict and opposition according to Sorum.</w:t>
      </w:r>
      <w:r w:rsidR="00AA5D9D" w:rsidRPr="008D3AC0">
        <w:rPr>
          <w:rStyle w:val="FootnoteReference"/>
          <w:rFonts w:ascii="Times New Roman" w:hAnsi="Times New Roman" w:cs="Times New Roman"/>
          <w:sz w:val="24"/>
          <w:szCs w:val="24"/>
        </w:rPr>
        <w:footnoteReference w:id="13"/>
      </w:r>
      <w:r w:rsidRPr="008D3AC0">
        <w:rPr>
          <w:rFonts w:ascii="Times New Roman" w:hAnsi="Times New Roman" w:cs="Times New Roman"/>
          <w:sz w:val="24"/>
          <w:szCs w:val="24"/>
        </w:rPr>
        <w:t xml:space="preserve"> An important aspect of the opposition within this play is the ideas of family and state. According to Sorum these two concepts are linked through patriarchy and obedience to the authority figure.</w:t>
      </w:r>
      <w:r w:rsidR="00AA5D9D" w:rsidRPr="008D3AC0">
        <w:rPr>
          <w:rStyle w:val="FootnoteReference"/>
          <w:rFonts w:ascii="Times New Roman" w:hAnsi="Times New Roman" w:cs="Times New Roman"/>
          <w:sz w:val="24"/>
          <w:szCs w:val="24"/>
        </w:rPr>
        <w:footnoteReference w:id="14"/>
      </w:r>
      <w:r w:rsidRPr="008D3AC0">
        <w:rPr>
          <w:rFonts w:ascii="Times New Roman" w:hAnsi="Times New Roman" w:cs="Times New Roman"/>
          <w:sz w:val="24"/>
          <w:szCs w:val="24"/>
        </w:rPr>
        <w:t xml:space="preserve"> </w:t>
      </w:r>
    </w:p>
    <w:p w14:paraId="00000013" w14:textId="1443A7C7" w:rsidR="00DE62D7" w:rsidRPr="008D3AC0" w:rsidRDefault="00F2379E" w:rsidP="008D3AC0">
      <w:pPr>
        <w:shd w:val="clear" w:color="auto" w:fill="FFFFFF"/>
        <w:spacing w:line="480" w:lineRule="auto"/>
        <w:rPr>
          <w:rFonts w:ascii="Times New Roman" w:hAnsi="Times New Roman" w:cs="Times New Roman"/>
          <w:sz w:val="24"/>
          <w:szCs w:val="24"/>
        </w:rPr>
      </w:pPr>
      <w:r w:rsidRPr="008D3AC0">
        <w:rPr>
          <w:rFonts w:ascii="Times New Roman" w:hAnsi="Times New Roman" w:cs="Times New Roman"/>
          <w:sz w:val="24"/>
          <w:szCs w:val="24"/>
        </w:rPr>
        <w:t>In the play Sophocles effectively addresses a range of significant issues that the audience themselves may have faced and sheds light on important moral obligations in Athenian Society. According to Fletcher, Athenian law was often seen in tragedy and the language used in the performances reflected that which took place in law courts.</w:t>
      </w:r>
      <w:r w:rsidR="001E354B" w:rsidRPr="008D3AC0">
        <w:rPr>
          <w:rStyle w:val="FootnoteReference"/>
          <w:rFonts w:ascii="Times New Roman" w:hAnsi="Times New Roman" w:cs="Times New Roman"/>
          <w:sz w:val="24"/>
          <w:szCs w:val="24"/>
        </w:rPr>
        <w:footnoteReference w:id="15"/>
      </w:r>
      <w:r w:rsidRPr="008D3AC0">
        <w:rPr>
          <w:rFonts w:ascii="Times New Roman" w:hAnsi="Times New Roman" w:cs="Times New Roman"/>
          <w:sz w:val="24"/>
          <w:szCs w:val="24"/>
        </w:rPr>
        <w:t xml:space="preserve"> The position of Creon and his views on the importance of state is clearly stated in the first episode when he makes his address. </w:t>
      </w:r>
    </w:p>
    <w:p w14:paraId="00000014" w14:textId="77777777" w:rsidR="00DE62D7" w:rsidRPr="008D3AC0" w:rsidRDefault="00DE62D7" w:rsidP="008D3AC0">
      <w:pPr>
        <w:shd w:val="clear" w:color="auto" w:fill="FFFFFF"/>
        <w:spacing w:line="480" w:lineRule="auto"/>
        <w:rPr>
          <w:rFonts w:ascii="Times New Roman" w:hAnsi="Times New Roman" w:cs="Times New Roman"/>
          <w:sz w:val="24"/>
          <w:szCs w:val="24"/>
        </w:rPr>
      </w:pPr>
    </w:p>
    <w:p w14:paraId="00000015" w14:textId="77777777" w:rsidR="00DE62D7" w:rsidRPr="008D3AC0" w:rsidRDefault="00F2379E" w:rsidP="008D3AC0">
      <w:pPr>
        <w:shd w:val="clear" w:color="auto" w:fill="FFFFFF"/>
        <w:spacing w:line="480" w:lineRule="auto"/>
        <w:ind w:left="720" w:right="1139"/>
        <w:rPr>
          <w:rFonts w:ascii="Times New Roman" w:hAnsi="Times New Roman" w:cs="Times New Roman"/>
          <w:sz w:val="24"/>
          <w:szCs w:val="24"/>
        </w:rPr>
      </w:pPr>
      <w:r w:rsidRPr="008D3AC0">
        <w:rPr>
          <w:rFonts w:ascii="Times New Roman" w:hAnsi="Times New Roman" w:cs="Times New Roman"/>
          <w:sz w:val="24"/>
          <w:szCs w:val="24"/>
        </w:rPr>
        <w:t xml:space="preserve">Remember this: our country </w:t>
      </w:r>
      <w:r w:rsidRPr="008D3AC0">
        <w:rPr>
          <w:rFonts w:ascii="Times New Roman" w:hAnsi="Times New Roman" w:cs="Times New Roman"/>
          <w:i/>
          <w:sz w:val="24"/>
          <w:szCs w:val="24"/>
        </w:rPr>
        <w:t>is</w:t>
      </w:r>
      <w:r w:rsidRPr="008D3AC0">
        <w:rPr>
          <w:rFonts w:ascii="Times New Roman" w:hAnsi="Times New Roman" w:cs="Times New Roman"/>
          <w:sz w:val="24"/>
          <w:szCs w:val="24"/>
        </w:rPr>
        <w:t xml:space="preserve"> our safety. Only while she voyages true on course, can we establish friendships, truer than blood itself. Such are my standards. They make our city great.” (lines 210-215)</w:t>
      </w:r>
    </w:p>
    <w:p w14:paraId="00000016" w14:textId="77777777" w:rsidR="00DE62D7" w:rsidRPr="008D3AC0" w:rsidRDefault="00DE62D7" w:rsidP="008D3AC0">
      <w:pPr>
        <w:shd w:val="clear" w:color="auto" w:fill="FFFFFF"/>
        <w:spacing w:line="480" w:lineRule="auto"/>
        <w:rPr>
          <w:rFonts w:ascii="Times New Roman" w:hAnsi="Times New Roman" w:cs="Times New Roman"/>
          <w:sz w:val="24"/>
          <w:szCs w:val="24"/>
        </w:rPr>
      </w:pPr>
    </w:p>
    <w:p w14:paraId="00000017" w14:textId="14918FC5" w:rsidR="00DE62D7" w:rsidRPr="008D3AC0" w:rsidRDefault="00F2379E" w:rsidP="008D3AC0">
      <w:pPr>
        <w:shd w:val="clear" w:color="auto" w:fill="FFFFFF"/>
        <w:spacing w:line="480" w:lineRule="auto"/>
        <w:rPr>
          <w:rFonts w:ascii="Times New Roman" w:hAnsi="Times New Roman" w:cs="Times New Roman"/>
          <w:sz w:val="24"/>
          <w:szCs w:val="24"/>
        </w:rPr>
      </w:pPr>
      <w:r w:rsidRPr="008D3AC0">
        <w:rPr>
          <w:rFonts w:ascii="Times New Roman" w:hAnsi="Times New Roman" w:cs="Times New Roman"/>
          <w:sz w:val="24"/>
          <w:szCs w:val="24"/>
        </w:rPr>
        <w:t xml:space="preserve">Here he talks about the bonds to his country as the bonds of friendship and he places these over familial relations when he states they are “truer than blood”.  This follows the theme of the rest of the monologue. Creon is clear and consistent with the idea that the success and survival of the city of Thebes is highly important and that state law </w:t>
      </w:r>
      <w:r w:rsidRPr="008D3AC0">
        <w:rPr>
          <w:rFonts w:ascii="Times New Roman" w:hAnsi="Times New Roman" w:cs="Times New Roman"/>
          <w:i/>
          <w:sz w:val="24"/>
          <w:szCs w:val="24"/>
        </w:rPr>
        <w:t xml:space="preserve">must </w:t>
      </w:r>
      <w:r w:rsidRPr="008D3AC0">
        <w:rPr>
          <w:rFonts w:ascii="Times New Roman" w:hAnsi="Times New Roman" w:cs="Times New Roman"/>
          <w:sz w:val="24"/>
          <w:szCs w:val="24"/>
        </w:rPr>
        <w:t xml:space="preserve">be followed for Thebes to continue. Does this mean that Creon thinks himself above the gods and that he can disregard divine law without repercussions from the </w:t>
      </w:r>
      <w:r w:rsidR="00AA5D9D" w:rsidRPr="008D3AC0">
        <w:rPr>
          <w:rFonts w:ascii="Times New Roman" w:hAnsi="Times New Roman" w:cs="Times New Roman"/>
          <w:sz w:val="24"/>
          <w:szCs w:val="24"/>
        </w:rPr>
        <w:t>gods?</w:t>
      </w:r>
      <w:r w:rsidRPr="008D3AC0">
        <w:rPr>
          <w:rFonts w:ascii="Times New Roman" w:hAnsi="Times New Roman" w:cs="Times New Roman"/>
          <w:sz w:val="24"/>
          <w:szCs w:val="24"/>
        </w:rPr>
        <w:t xml:space="preserve"> If </w:t>
      </w:r>
      <w:r w:rsidR="00AA5D9D" w:rsidRPr="008D3AC0">
        <w:rPr>
          <w:rFonts w:ascii="Times New Roman" w:hAnsi="Times New Roman" w:cs="Times New Roman"/>
          <w:sz w:val="24"/>
          <w:szCs w:val="24"/>
        </w:rPr>
        <w:t>so,</w:t>
      </w:r>
      <w:r w:rsidRPr="008D3AC0">
        <w:rPr>
          <w:rFonts w:ascii="Times New Roman" w:hAnsi="Times New Roman" w:cs="Times New Roman"/>
          <w:sz w:val="24"/>
          <w:szCs w:val="24"/>
        </w:rPr>
        <w:t xml:space="preserve"> he is ultimately very wrong as the gods take </w:t>
      </w:r>
      <w:proofErr w:type="gramStart"/>
      <w:r w:rsidRPr="008D3AC0">
        <w:rPr>
          <w:rFonts w:ascii="Times New Roman" w:hAnsi="Times New Roman" w:cs="Times New Roman"/>
          <w:sz w:val="24"/>
          <w:szCs w:val="24"/>
        </w:rPr>
        <w:t>everything</w:t>
      </w:r>
      <w:proofErr w:type="gramEnd"/>
      <w:r w:rsidRPr="008D3AC0">
        <w:rPr>
          <w:rFonts w:ascii="Times New Roman" w:hAnsi="Times New Roman" w:cs="Times New Roman"/>
          <w:sz w:val="24"/>
          <w:szCs w:val="24"/>
        </w:rPr>
        <w:t xml:space="preserve"> he loves from him. </w:t>
      </w:r>
    </w:p>
    <w:p w14:paraId="2F45357C" w14:textId="77777777" w:rsidR="002102E3" w:rsidRPr="008D3AC0" w:rsidRDefault="002102E3" w:rsidP="008D3AC0">
      <w:pPr>
        <w:shd w:val="clear" w:color="auto" w:fill="FFFFFF"/>
        <w:spacing w:line="480" w:lineRule="auto"/>
        <w:rPr>
          <w:rFonts w:ascii="Times New Roman" w:hAnsi="Times New Roman" w:cs="Times New Roman"/>
          <w:color w:val="0000FF"/>
          <w:sz w:val="24"/>
          <w:szCs w:val="24"/>
        </w:rPr>
      </w:pPr>
    </w:p>
    <w:p w14:paraId="00000018" w14:textId="77777777" w:rsidR="00DE62D7" w:rsidRPr="008D3AC0" w:rsidRDefault="00F2379E" w:rsidP="008D3AC0">
      <w:pPr>
        <w:shd w:val="clear" w:color="auto" w:fill="FFFFFF"/>
        <w:spacing w:line="480" w:lineRule="auto"/>
        <w:rPr>
          <w:rFonts w:ascii="Times New Roman" w:hAnsi="Times New Roman" w:cs="Times New Roman"/>
          <w:sz w:val="24"/>
          <w:szCs w:val="24"/>
        </w:rPr>
      </w:pPr>
      <w:r w:rsidRPr="008D3AC0">
        <w:rPr>
          <w:rFonts w:ascii="Times New Roman" w:hAnsi="Times New Roman" w:cs="Times New Roman"/>
          <w:sz w:val="24"/>
          <w:szCs w:val="24"/>
        </w:rPr>
        <w:t xml:space="preserve">It is Creon’s public duty to punish Antigone because she has broken the law in attempting to bury her brother and as the new king Creon cannot afford to be seen as being weak. It is Antigone’s private and familial duty to perform the burial rites for her brother. This causes further conflict as they both believe themselves to be right, these events are exacerbated by their own personal relationship as Antigone is Creon’s niece and engaged to his own son Haemon. This would suggest that they should have a duty to each other and raises the question on whether this is a state matter, because she is breaking the law, or if it is a family matter, as she is Creon’s niece.  </w:t>
      </w:r>
    </w:p>
    <w:p w14:paraId="00000019" w14:textId="77777777" w:rsidR="00DE62D7" w:rsidRPr="008D3AC0" w:rsidRDefault="00DE62D7" w:rsidP="008D3AC0">
      <w:pPr>
        <w:shd w:val="clear" w:color="auto" w:fill="FFFFFF"/>
        <w:spacing w:line="480" w:lineRule="auto"/>
        <w:rPr>
          <w:rFonts w:ascii="Times New Roman" w:hAnsi="Times New Roman" w:cs="Times New Roman"/>
          <w:sz w:val="24"/>
          <w:szCs w:val="24"/>
        </w:rPr>
      </w:pPr>
    </w:p>
    <w:p w14:paraId="0000001B" w14:textId="4463334F" w:rsidR="00DE62D7" w:rsidRPr="008D3AC0" w:rsidRDefault="00F2379E" w:rsidP="008D3AC0">
      <w:pPr>
        <w:shd w:val="clear" w:color="auto" w:fill="FFFFFF"/>
        <w:spacing w:line="480" w:lineRule="auto"/>
        <w:rPr>
          <w:rFonts w:ascii="Times New Roman" w:hAnsi="Times New Roman" w:cs="Times New Roman"/>
          <w:sz w:val="24"/>
          <w:szCs w:val="24"/>
        </w:rPr>
      </w:pPr>
      <w:r w:rsidRPr="008D3AC0">
        <w:rPr>
          <w:rFonts w:ascii="Times New Roman" w:hAnsi="Times New Roman" w:cs="Times New Roman"/>
          <w:sz w:val="24"/>
          <w:szCs w:val="24"/>
        </w:rPr>
        <w:lastRenderedPageBreak/>
        <w:t xml:space="preserve">There is also a conflict of gender within the play. Antigone is a powerful and stubborn woman who is arguing against Creon, her uncle and king.  The tragic fate of Antigone could be a warning to Athenian women to submit to the authority of their male relatives. </w:t>
      </w:r>
      <w:r w:rsidR="00FC364C" w:rsidRPr="008D3AC0">
        <w:rPr>
          <w:rFonts w:ascii="Times New Roman" w:hAnsi="Times New Roman" w:cs="Times New Roman"/>
          <w:sz w:val="24"/>
          <w:szCs w:val="24"/>
        </w:rPr>
        <w:t xml:space="preserve">It </w:t>
      </w:r>
      <w:proofErr w:type="gramStart"/>
      <w:r w:rsidR="00FC364C" w:rsidRPr="008D3AC0">
        <w:rPr>
          <w:rFonts w:ascii="Times New Roman" w:hAnsi="Times New Roman" w:cs="Times New Roman"/>
          <w:sz w:val="24"/>
          <w:szCs w:val="24"/>
        </w:rPr>
        <w:t>was seen as</w:t>
      </w:r>
      <w:proofErr w:type="gramEnd"/>
      <w:r w:rsidR="00FC364C" w:rsidRPr="008D3AC0">
        <w:rPr>
          <w:rFonts w:ascii="Times New Roman" w:hAnsi="Times New Roman" w:cs="Times New Roman"/>
          <w:sz w:val="24"/>
          <w:szCs w:val="24"/>
        </w:rPr>
        <w:t xml:space="preserve"> natural and right for men to dominate over women in Athenian culture at that time, Antigone’s insubordination to her future father in law and king is clearly a challenge to the natural order of the Athenian world. </w:t>
      </w:r>
      <w:r w:rsidRPr="008D3AC0">
        <w:rPr>
          <w:rFonts w:ascii="Times New Roman" w:hAnsi="Times New Roman" w:cs="Times New Roman"/>
          <w:sz w:val="24"/>
          <w:szCs w:val="24"/>
        </w:rPr>
        <w:t xml:space="preserve">The relative positions that Antigone and Creon take in the play reflect the spheres in which women and men in Athens </w:t>
      </w:r>
      <w:r w:rsidR="00AA5D9D" w:rsidRPr="008D3AC0">
        <w:rPr>
          <w:rFonts w:ascii="Times New Roman" w:hAnsi="Times New Roman" w:cs="Times New Roman"/>
          <w:sz w:val="24"/>
          <w:szCs w:val="24"/>
        </w:rPr>
        <w:t>operated,</w:t>
      </w:r>
      <w:r w:rsidRPr="008D3AC0">
        <w:rPr>
          <w:rFonts w:ascii="Times New Roman" w:hAnsi="Times New Roman" w:cs="Times New Roman"/>
          <w:sz w:val="24"/>
          <w:szCs w:val="24"/>
        </w:rPr>
        <w:t xml:space="preserve"> women in the private domestic sphere and men in the public political sphere. “I am not the man, not now: she is the man” (Creon, 541)</w:t>
      </w:r>
      <w:r w:rsidR="002102E3" w:rsidRPr="008D3AC0">
        <w:rPr>
          <w:rFonts w:ascii="Times New Roman" w:hAnsi="Times New Roman" w:cs="Times New Roman"/>
          <w:sz w:val="24"/>
          <w:szCs w:val="24"/>
        </w:rPr>
        <w:t xml:space="preserve">. </w:t>
      </w:r>
      <w:r w:rsidRPr="008D3AC0">
        <w:rPr>
          <w:rFonts w:ascii="Times New Roman" w:hAnsi="Times New Roman" w:cs="Times New Roman"/>
          <w:sz w:val="24"/>
          <w:szCs w:val="24"/>
        </w:rPr>
        <w:t>Creon recognises the will and power of Antigone and by calling her a man makes her his equal in their conflict of will and law. Creon calling Antigone a man also contradicts Ismene's statement in the prologue that Antigone is a woman and should not try to compete with men. This juxtaposition on descriptions of Antigone's character is highly important to the changing attitudes Sophocles portrays through the play.</w:t>
      </w:r>
      <w:r w:rsidR="00FC364C" w:rsidRPr="008D3AC0">
        <w:rPr>
          <w:rFonts w:ascii="Times New Roman" w:hAnsi="Times New Roman" w:cs="Times New Roman"/>
          <w:sz w:val="24"/>
          <w:szCs w:val="24"/>
        </w:rPr>
        <w:t xml:space="preserve"> </w:t>
      </w:r>
    </w:p>
    <w:p w14:paraId="0000001E" w14:textId="77777777" w:rsidR="00DE62D7" w:rsidRPr="008D3AC0" w:rsidRDefault="00DE62D7" w:rsidP="008D3AC0">
      <w:pPr>
        <w:spacing w:line="480" w:lineRule="auto"/>
        <w:rPr>
          <w:rFonts w:ascii="Times New Roman" w:hAnsi="Times New Roman" w:cs="Times New Roman"/>
          <w:sz w:val="24"/>
          <w:szCs w:val="24"/>
        </w:rPr>
      </w:pPr>
    </w:p>
    <w:p w14:paraId="0000001F" w14:textId="65BCB1A4" w:rsidR="00DE62D7" w:rsidRPr="008D3AC0" w:rsidRDefault="00F2379E" w:rsidP="008D3AC0">
      <w:pPr>
        <w:shd w:val="clear" w:color="auto" w:fill="FFFFFF"/>
        <w:spacing w:line="480" w:lineRule="auto"/>
        <w:rPr>
          <w:rFonts w:ascii="Times New Roman" w:hAnsi="Times New Roman" w:cs="Times New Roman"/>
          <w:sz w:val="24"/>
          <w:szCs w:val="24"/>
        </w:rPr>
      </w:pPr>
      <w:r w:rsidRPr="008D3AC0">
        <w:rPr>
          <w:rFonts w:ascii="Times New Roman" w:hAnsi="Times New Roman" w:cs="Times New Roman"/>
          <w:sz w:val="24"/>
          <w:szCs w:val="24"/>
        </w:rPr>
        <w:t>Fletcher calls Antigone “the voice of democratic law” as she opens the play with a monologue on the steps of the royal palace where she tells the audience that Creon “forbids anyone to bury him” (line 34).</w:t>
      </w:r>
      <w:r w:rsidR="001E354B" w:rsidRPr="008D3AC0">
        <w:rPr>
          <w:rStyle w:val="FootnoteReference"/>
          <w:rFonts w:ascii="Times New Roman" w:hAnsi="Times New Roman" w:cs="Times New Roman"/>
          <w:sz w:val="24"/>
          <w:szCs w:val="24"/>
        </w:rPr>
        <w:footnoteReference w:id="16"/>
      </w:r>
      <w:r w:rsidRPr="008D3AC0">
        <w:rPr>
          <w:rFonts w:ascii="Times New Roman" w:hAnsi="Times New Roman" w:cs="Times New Roman"/>
          <w:sz w:val="24"/>
          <w:szCs w:val="24"/>
        </w:rPr>
        <w:t xml:space="preserve"> Creon has announced a law that forbids the burial of Polynices as he is considered a traitor to the city of Thebes. Fletcher notes that Antigone and Ismene hear of the law not by any formal decree but through rumour from the people of Thebes.</w:t>
      </w:r>
      <w:r w:rsidR="001E354B" w:rsidRPr="008D3AC0">
        <w:rPr>
          <w:rStyle w:val="FootnoteReference"/>
          <w:rFonts w:ascii="Times New Roman" w:hAnsi="Times New Roman" w:cs="Times New Roman"/>
          <w:sz w:val="24"/>
          <w:szCs w:val="24"/>
        </w:rPr>
        <w:footnoteReference w:id="17"/>
      </w:r>
      <w:r w:rsidRPr="008D3AC0">
        <w:rPr>
          <w:rFonts w:ascii="Times New Roman" w:hAnsi="Times New Roman" w:cs="Times New Roman"/>
          <w:sz w:val="24"/>
          <w:szCs w:val="24"/>
        </w:rPr>
        <w:t xml:space="preserve"> This then asks the question of whether </w:t>
      </w:r>
      <w:r w:rsidR="001E354B" w:rsidRPr="008D3AC0">
        <w:rPr>
          <w:rFonts w:ascii="Times New Roman" w:hAnsi="Times New Roman" w:cs="Times New Roman"/>
          <w:sz w:val="24"/>
          <w:szCs w:val="24"/>
        </w:rPr>
        <w:t>Athenians</w:t>
      </w:r>
      <w:r w:rsidRPr="008D3AC0">
        <w:rPr>
          <w:rFonts w:ascii="Times New Roman" w:hAnsi="Times New Roman" w:cs="Times New Roman"/>
          <w:sz w:val="24"/>
          <w:szCs w:val="24"/>
        </w:rPr>
        <w:t xml:space="preserve"> would consider Creon’s laws to be actual laws as they are a democracy and not governed by monarchy or tyranny in this time period. Fletcher has suggested that by setting the play in Thebes it says to the Athenian audience that with democracy they no </w:t>
      </w:r>
      <w:r w:rsidRPr="008D3AC0">
        <w:rPr>
          <w:rFonts w:ascii="Times New Roman" w:hAnsi="Times New Roman" w:cs="Times New Roman"/>
          <w:sz w:val="24"/>
          <w:szCs w:val="24"/>
        </w:rPr>
        <w:lastRenderedPageBreak/>
        <w:t>longer live under tyranny and law is decided by the citizen body.</w:t>
      </w:r>
      <w:r w:rsidR="001E354B" w:rsidRPr="008D3AC0">
        <w:rPr>
          <w:rStyle w:val="FootnoteReference"/>
          <w:rFonts w:ascii="Times New Roman" w:hAnsi="Times New Roman" w:cs="Times New Roman"/>
          <w:sz w:val="24"/>
          <w:szCs w:val="24"/>
        </w:rPr>
        <w:footnoteReference w:id="18"/>
      </w:r>
      <w:r w:rsidRPr="008D3AC0">
        <w:rPr>
          <w:rFonts w:ascii="Times New Roman" w:hAnsi="Times New Roman" w:cs="Times New Roman"/>
          <w:sz w:val="24"/>
          <w:szCs w:val="24"/>
        </w:rPr>
        <w:t xml:space="preserve"> Fletcher also states that within Athenian democracy gossip and rumour were important aspects of politics that allowed for conversation to flow between citizens.</w:t>
      </w:r>
      <w:r w:rsidR="00AA5D9D" w:rsidRPr="008D3AC0">
        <w:rPr>
          <w:rStyle w:val="FootnoteReference"/>
          <w:rFonts w:ascii="Times New Roman" w:hAnsi="Times New Roman" w:cs="Times New Roman"/>
          <w:sz w:val="24"/>
          <w:szCs w:val="24"/>
        </w:rPr>
        <w:footnoteReference w:id="19"/>
      </w:r>
    </w:p>
    <w:p w14:paraId="12F7C07E" w14:textId="77777777" w:rsidR="002102E3" w:rsidRPr="008D3AC0" w:rsidRDefault="002102E3" w:rsidP="008D3AC0">
      <w:pPr>
        <w:shd w:val="clear" w:color="auto" w:fill="FFFFFF"/>
        <w:spacing w:line="480" w:lineRule="auto"/>
        <w:rPr>
          <w:rFonts w:ascii="Times New Roman" w:hAnsi="Times New Roman" w:cs="Times New Roman"/>
          <w:sz w:val="24"/>
          <w:szCs w:val="24"/>
        </w:rPr>
      </w:pPr>
    </w:p>
    <w:p w14:paraId="00000020" w14:textId="1AD16548" w:rsidR="00DE62D7" w:rsidRPr="008D3AC0" w:rsidRDefault="00F2379E" w:rsidP="008D3AC0">
      <w:pPr>
        <w:shd w:val="clear" w:color="auto" w:fill="FFFFFF"/>
        <w:spacing w:line="480" w:lineRule="auto"/>
        <w:rPr>
          <w:rFonts w:ascii="Times New Roman" w:hAnsi="Times New Roman" w:cs="Times New Roman"/>
          <w:sz w:val="24"/>
          <w:szCs w:val="24"/>
        </w:rPr>
      </w:pPr>
      <w:r w:rsidRPr="008D3AC0">
        <w:rPr>
          <w:rFonts w:ascii="Times New Roman" w:hAnsi="Times New Roman" w:cs="Times New Roman"/>
          <w:sz w:val="24"/>
          <w:szCs w:val="24"/>
        </w:rPr>
        <w:t>Sophocles makes the differences between Antigone and her sister Ismene clear is the prologue as Ismene states “I must obey the ones who stand in power”. This makes a statement that the sisters do not always follow the same laws and that Ismene values state law above divine law. According to Fletcher Antigone has symbolic status due to the fact that she is a virgin, for Athenians this would be highly important.</w:t>
      </w:r>
      <w:r w:rsidR="001E354B" w:rsidRPr="008D3AC0">
        <w:rPr>
          <w:rStyle w:val="FootnoteReference"/>
          <w:rFonts w:ascii="Times New Roman" w:hAnsi="Times New Roman" w:cs="Times New Roman"/>
          <w:sz w:val="24"/>
          <w:szCs w:val="24"/>
        </w:rPr>
        <w:footnoteReference w:id="20"/>
      </w:r>
      <w:r w:rsidRPr="008D3AC0">
        <w:rPr>
          <w:rFonts w:ascii="Times New Roman" w:hAnsi="Times New Roman" w:cs="Times New Roman"/>
          <w:sz w:val="24"/>
          <w:szCs w:val="24"/>
        </w:rPr>
        <w:t xml:space="preserve"> Athenians worship the virgin goddess Athena and similarly </w:t>
      </w:r>
      <w:r w:rsidRPr="008D3AC0">
        <w:rPr>
          <w:rFonts w:ascii="Times New Roman" w:hAnsi="Times New Roman" w:cs="Times New Roman"/>
          <w:i/>
          <w:sz w:val="24"/>
          <w:szCs w:val="24"/>
        </w:rPr>
        <w:t xml:space="preserve">dike </w:t>
      </w:r>
      <w:r w:rsidRPr="008D3AC0">
        <w:rPr>
          <w:rFonts w:ascii="Times New Roman" w:hAnsi="Times New Roman" w:cs="Times New Roman"/>
          <w:sz w:val="24"/>
          <w:szCs w:val="24"/>
        </w:rPr>
        <w:t>(justice) is thought of as being a virgin.</w:t>
      </w:r>
      <w:r w:rsidR="001E354B" w:rsidRPr="008D3AC0">
        <w:rPr>
          <w:rStyle w:val="FootnoteReference"/>
          <w:rFonts w:ascii="Times New Roman" w:hAnsi="Times New Roman" w:cs="Times New Roman"/>
          <w:sz w:val="24"/>
          <w:szCs w:val="24"/>
        </w:rPr>
        <w:footnoteReference w:id="21"/>
      </w:r>
      <w:r w:rsidRPr="008D3AC0">
        <w:rPr>
          <w:rFonts w:ascii="Times New Roman" w:hAnsi="Times New Roman" w:cs="Times New Roman"/>
          <w:sz w:val="24"/>
          <w:szCs w:val="24"/>
        </w:rPr>
        <w:t xml:space="preserve"> The chorus later creates a comparison between Antigone and Aphrodite, the goddess of love (lines 893-894). Antigone is destined to die unmarried and unconquered just as Aphrodite remains in the same state, this can also be paralleled with the chorus’ notion that Antigone is not mortal (lines 912-914</w:t>
      </w:r>
      <w:r w:rsidR="00AA5D9D" w:rsidRPr="008D3AC0">
        <w:rPr>
          <w:rFonts w:ascii="Times New Roman" w:hAnsi="Times New Roman" w:cs="Times New Roman"/>
          <w:sz w:val="24"/>
          <w:szCs w:val="24"/>
        </w:rPr>
        <w:t>)</w:t>
      </w:r>
      <w:r w:rsidRPr="008D3AC0">
        <w:rPr>
          <w:rFonts w:ascii="Times New Roman" w:hAnsi="Times New Roman" w:cs="Times New Roman"/>
          <w:sz w:val="24"/>
          <w:szCs w:val="24"/>
        </w:rPr>
        <w:t xml:space="preserve">. </w:t>
      </w:r>
    </w:p>
    <w:p w14:paraId="00000021" w14:textId="77777777" w:rsidR="00DE62D7" w:rsidRPr="008D3AC0" w:rsidRDefault="00F2379E" w:rsidP="008D3AC0">
      <w:pPr>
        <w:shd w:val="clear" w:color="auto" w:fill="FFFFFF"/>
        <w:spacing w:line="480" w:lineRule="auto"/>
        <w:rPr>
          <w:rFonts w:ascii="Times New Roman" w:hAnsi="Times New Roman" w:cs="Times New Roman"/>
          <w:sz w:val="24"/>
          <w:szCs w:val="24"/>
        </w:rPr>
      </w:pPr>
      <w:r w:rsidRPr="008D3AC0">
        <w:rPr>
          <w:rFonts w:ascii="Times New Roman" w:hAnsi="Times New Roman" w:cs="Times New Roman"/>
          <w:sz w:val="24"/>
          <w:szCs w:val="24"/>
        </w:rPr>
        <w:t xml:space="preserve"> </w:t>
      </w:r>
    </w:p>
    <w:p w14:paraId="00000022" w14:textId="630BD354" w:rsidR="00DE62D7" w:rsidRPr="008D3AC0" w:rsidRDefault="00F2379E" w:rsidP="008D3AC0">
      <w:pPr>
        <w:shd w:val="clear" w:color="auto" w:fill="FFFFFF"/>
        <w:spacing w:line="480" w:lineRule="auto"/>
        <w:rPr>
          <w:rFonts w:ascii="Times New Roman" w:hAnsi="Times New Roman" w:cs="Times New Roman"/>
          <w:sz w:val="24"/>
          <w:szCs w:val="24"/>
        </w:rPr>
      </w:pPr>
      <w:r w:rsidRPr="008D3AC0">
        <w:rPr>
          <w:rFonts w:ascii="Times New Roman" w:hAnsi="Times New Roman" w:cs="Times New Roman"/>
          <w:sz w:val="24"/>
          <w:szCs w:val="24"/>
        </w:rPr>
        <w:t>Sophocles highlights the views of a polis by incorporating different views of the character Antigone, Fletcher states that it represents the various views and debates present in a democratic society</w:t>
      </w:r>
      <w:r w:rsidR="001E354B" w:rsidRPr="008D3AC0">
        <w:rPr>
          <w:rFonts w:ascii="Times New Roman" w:hAnsi="Times New Roman" w:cs="Times New Roman"/>
          <w:sz w:val="24"/>
          <w:szCs w:val="24"/>
        </w:rPr>
        <w:t>.</w:t>
      </w:r>
      <w:r w:rsidR="001E354B" w:rsidRPr="008D3AC0">
        <w:rPr>
          <w:rStyle w:val="FootnoteReference"/>
          <w:rFonts w:ascii="Times New Roman" w:hAnsi="Times New Roman" w:cs="Times New Roman"/>
          <w:sz w:val="24"/>
          <w:szCs w:val="24"/>
        </w:rPr>
        <w:footnoteReference w:id="22"/>
      </w:r>
      <w:r w:rsidR="001E354B" w:rsidRPr="008D3AC0">
        <w:rPr>
          <w:rFonts w:ascii="Times New Roman" w:hAnsi="Times New Roman" w:cs="Times New Roman"/>
          <w:sz w:val="24"/>
          <w:szCs w:val="24"/>
        </w:rPr>
        <w:t xml:space="preserve"> </w:t>
      </w:r>
      <w:r w:rsidRPr="008D3AC0">
        <w:rPr>
          <w:rFonts w:ascii="Times New Roman" w:hAnsi="Times New Roman" w:cs="Times New Roman"/>
          <w:sz w:val="24"/>
          <w:szCs w:val="24"/>
        </w:rPr>
        <w:t xml:space="preserve">Athenian democracy allows for every Athenian citizen to have their own views and debate those views, however this does not exist within the sphere of </w:t>
      </w:r>
      <w:r w:rsidRPr="008D3AC0">
        <w:rPr>
          <w:rFonts w:ascii="Times New Roman" w:hAnsi="Times New Roman" w:cs="Times New Roman"/>
          <w:i/>
          <w:sz w:val="24"/>
          <w:szCs w:val="24"/>
        </w:rPr>
        <w:t>Antigone</w:t>
      </w:r>
      <w:r w:rsidRPr="008D3AC0">
        <w:rPr>
          <w:rFonts w:ascii="Times New Roman" w:hAnsi="Times New Roman" w:cs="Times New Roman"/>
          <w:sz w:val="24"/>
          <w:szCs w:val="24"/>
        </w:rPr>
        <w:t>.</w:t>
      </w:r>
      <w:r w:rsidR="001E354B" w:rsidRPr="008D3AC0">
        <w:rPr>
          <w:rStyle w:val="FootnoteReference"/>
          <w:rFonts w:ascii="Times New Roman" w:hAnsi="Times New Roman" w:cs="Times New Roman"/>
          <w:sz w:val="24"/>
          <w:szCs w:val="24"/>
        </w:rPr>
        <w:footnoteReference w:id="23"/>
      </w:r>
      <w:r w:rsidRPr="008D3AC0">
        <w:rPr>
          <w:rFonts w:ascii="Times New Roman" w:hAnsi="Times New Roman" w:cs="Times New Roman"/>
          <w:sz w:val="24"/>
          <w:szCs w:val="24"/>
        </w:rPr>
        <w:t xml:space="preserve"> Creon states his decree as law although, to the Athenian audience this would not be recognised as </w:t>
      </w:r>
      <w:r w:rsidRPr="008D3AC0">
        <w:rPr>
          <w:rFonts w:ascii="Times New Roman" w:hAnsi="Times New Roman" w:cs="Times New Roman"/>
          <w:i/>
          <w:sz w:val="24"/>
          <w:szCs w:val="24"/>
        </w:rPr>
        <w:t>nomos</w:t>
      </w:r>
      <w:r w:rsidRPr="008D3AC0">
        <w:rPr>
          <w:rFonts w:ascii="Times New Roman" w:hAnsi="Times New Roman" w:cs="Times New Roman"/>
          <w:sz w:val="24"/>
          <w:szCs w:val="24"/>
        </w:rPr>
        <w:t xml:space="preserve"> as it is merely one man's wish that has not been agreed by the citizens.</w:t>
      </w:r>
      <w:r w:rsidR="001E354B" w:rsidRPr="008D3AC0">
        <w:rPr>
          <w:rStyle w:val="FootnoteReference"/>
          <w:rFonts w:ascii="Times New Roman" w:hAnsi="Times New Roman" w:cs="Times New Roman"/>
          <w:sz w:val="24"/>
          <w:szCs w:val="24"/>
        </w:rPr>
        <w:footnoteReference w:id="24"/>
      </w:r>
      <w:r w:rsidRPr="008D3AC0">
        <w:rPr>
          <w:rFonts w:ascii="Times New Roman" w:hAnsi="Times New Roman" w:cs="Times New Roman"/>
          <w:sz w:val="24"/>
          <w:szCs w:val="24"/>
        </w:rPr>
        <w:t xml:space="preserve"> </w:t>
      </w:r>
    </w:p>
    <w:p w14:paraId="00000023" w14:textId="42F8EB4E" w:rsidR="00DE62D7" w:rsidRPr="008D3AC0" w:rsidRDefault="00F2379E" w:rsidP="008D3AC0">
      <w:pPr>
        <w:shd w:val="clear" w:color="auto" w:fill="FFFFFF"/>
        <w:spacing w:line="480" w:lineRule="auto"/>
        <w:rPr>
          <w:rFonts w:ascii="Times New Roman" w:hAnsi="Times New Roman" w:cs="Times New Roman"/>
          <w:sz w:val="24"/>
          <w:szCs w:val="24"/>
        </w:rPr>
      </w:pPr>
      <w:r w:rsidRPr="008D3AC0">
        <w:rPr>
          <w:rFonts w:ascii="Times New Roman" w:hAnsi="Times New Roman" w:cs="Times New Roman"/>
          <w:sz w:val="24"/>
          <w:szCs w:val="24"/>
        </w:rPr>
        <w:lastRenderedPageBreak/>
        <w:t xml:space="preserve">According to Fletcher the Greek understanding of law is not the same as our modern understanding whereby we separate state and religion, for the Greeks </w:t>
      </w:r>
      <w:r w:rsidRPr="008D3AC0">
        <w:rPr>
          <w:rFonts w:ascii="Times New Roman" w:hAnsi="Times New Roman" w:cs="Times New Roman"/>
          <w:i/>
          <w:sz w:val="24"/>
          <w:szCs w:val="24"/>
        </w:rPr>
        <w:t>nomos</w:t>
      </w:r>
      <w:r w:rsidRPr="008D3AC0">
        <w:rPr>
          <w:rFonts w:ascii="Times New Roman" w:hAnsi="Times New Roman" w:cs="Times New Roman"/>
          <w:sz w:val="24"/>
          <w:szCs w:val="24"/>
        </w:rPr>
        <w:t xml:space="preserve"> is the true law sanctioned by the gods, not any form of law created by man.</w:t>
      </w:r>
      <w:r w:rsidR="001E354B" w:rsidRPr="008D3AC0">
        <w:rPr>
          <w:rStyle w:val="FootnoteReference"/>
          <w:rFonts w:ascii="Times New Roman" w:hAnsi="Times New Roman" w:cs="Times New Roman"/>
          <w:sz w:val="24"/>
          <w:szCs w:val="24"/>
        </w:rPr>
        <w:footnoteReference w:id="25"/>
      </w:r>
      <w:r w:rsidRPr="008D3AC0">
        <w:rPr>
          <w:rFonts w:ascii="Times New Roman" w:hAnsi="Times New Roman" w:cs="Times New Roman"/>
          <w:sz w:val="24"/>
          <w:szCs w:val="24"/>
        </w:rPr>
        <w:t xml:space="preserve"> </w:t>
      </w:r>
    </w:p>
    <w:p w14:paraId="00000024" w14:textId="45A05912" w:rsidR="00DE62D7" w:rsidRPr="008D3AC0" w:rsidRDefault="00F2379E" w:rsidP="008D3AC0">
      <w:pPr>
        <w:shd w:val="clear" w:color="auto" w:fill="FFFFFF"/>
        <w:spacing w:line="480" w:lineRule="auto"/>
        <w:rPr>
          <w:rFonts w:ascii="Times New Roman" w:hAnsi="Times New Roman" w:cs="Times New Roman"/>
          <w:sz w:val="24"/>
          <w:szCs w:val="24"/>
        </w:rPr>
      </w:pPr>
      <w:r w:rsidRPr="008D3AC0">
        <w:rPr>
          <w:rFonts w:ascii="Times New Roman" w:hAnsi="Times New Roman" w:cs="Times New Roman"/>
          <w:sz w:val="24"/>
          <w:szCs w:val="24"/>
        </w:rPr>
        <w:t>It is noted by Fletcher that laws of man were often written down and by that notion could be changed and rewritten, this juxtaposes that of divine law which is not written down and cannot be changed.</w:t>
      </w:r>
      <w:r w:rsidR="001E354B" w:rsidRPr="008D3AC0">
        <w:rPr>
          <w:rStyle w:val="FootnoteReference"/>
          <w:rFonts w:ascii="Times New Roman" w:hAnsi="Times New Roman" w:cs="Times New Roman"/>
          <w:sz w:val="24"/>
          <w:szCs w:val="24"/>
        </w:rPr>
        <w:footnoteReference w:id="26"/>
      </w:r>
      <w:r w:rsidRPr="008D3AC0">
        <w:rPr>
          <w:rFonts w:ascii="Times New Roman" w:hAnsi="Times New Roman" w:cs="Times New Roman"/>
          <w:sz w:val="24"/>
          <w:szCs w:val="24"/>
        </w:rPr>
        <w:t xml:space="preserve"> </w:t>
      </w:r>
    </w:p>
    <w:p w14:paraId="3385E354" w14:textId="77777777" w:rsidR="002102E3" w:rsidRPr="008D3AC0" w:rsidRDefault="002102E3" w:rsidP="008D3AC0">
      <w:pPr>
        <w:shd w:val="clear" w:color="auto" w:fill="FFFFFF"/>
        <w:spacing w:line="480" w:lineRule="auto"/>
        <w:rPr>
          <w:rFonts w:ascii="Times New Roman" w:hAnsi="Times New Roman" w:cs="Times New Roman"/>
          <w:sz w:val="24"/>
          <w:szCs w:val="24"/>
        </w:rPr>
      </w:pPr>
    </w:p>
    <w:p w14:paraId="00000025" w14:textId="5C1D2E7B" w:rsidR="00DE62D7" w:rsidRPr="008D3AC0" w:rsidRDefault="00F2379E" w:rsidP="008D3AC0">
      <w:pPr>
        <w:shd w:val="clear" w:color="auto" w:fill="FFFFFF"/>
        <w:spacing w:line="480" w:lineRule="auto"/>
        <w:rPr>
          <w:rFonts w:ascii="Times New Roman" w:hAnsi="Times New Roman" w:cs="Times New Roman"/>
          <w:sz w:val="24"/>
          <w:szCs w:val="24"/>
        </w:rPr>
      </w:pPr>
      <w:r w:rsidRPr="008D3AC0">
        <w:rPr>
          <w:rFonts w:ascii="Times New Roman" w:hAnsi="Times New Roman" w:cs="Times New Roman"/>
          <w:sz w:val="24"/>
          <w:szCs w:val="24"/>
        </w:rPr>
        <w:t xml:space="preserve">Familial ties were an important part of Athenian society and that dictated who could be considered an Athenian citizen by law. The chorus refers to the birth of Antigone and her siblings (line 420) as it goes against state and divine law. Antigone is the child of </w:t>
      </w:r>
      <w:r w:rsidR="00AA5D9D" w:rsidRPr="008D3AC0">
        <w:rPr>
          <w:rFonts w:ascii="Times New Roman" w:hAnsi="Times New Roman" w:cs="Times New Roman"/>
          <w:sz w:val="24"/>
          <w:szCs w:val="24"/>
        </w:rPr>
        <w:t>Oedipus</w:t>
      </w:r>
      <w:r w:rsidRPr="008D3AC0">
        <w:rPr>
          <w:rFonts w:ascii="Times New Roman" w:hAnsi="Times New Roman" w:cs="Times New Roman"/>
          <w:sz w:val="24"/>
          <w:szCs w:val="24"/>
        </w:rPr>
        <w:t xml:space="preserve"> and Jocasta. Oedipus unknowingly fulfilled a prophecy by killing his father Laius and marrying his mother Jocasta. These events polluted the land of Thebes and the entire family bloodline (miasma). This links to the opening line of the play which according to Scodel serves as a reminder to the audience tha</w:t>
      </w:r>
      <w:r w:rsidR="001E354B" w:rsidRPr="008D3AC0">
        <w:rPr>
          <w:rFonts w:ascii="Times New Roman" w:hAnsi="Times New Roman" w:cs="Times New Roman"/>
          <w:sz w:val="24"/>
          <w:szCs w:val="24"/>
        </w:rPr>
        <w:t>t</w:t>
      </w:r>
      <w:r w:rsidRPr="008D3AC0">
        <w:rPr>
          <w:rFonts w:ascii="Times New Roman" w:hAnsi="Times New Roman" w:cs="Times New Roman"/>
          <w:sz w:val="24"/>
          <w:szCs w:val="24"/>
        </w:rPr>
        <w:t xml:space="preserve"> the sisters are a product of incest</w:t>
      </w:r>
      <w:r w:rsidR="001E354B" w:rsidRPr="008D3AC0">
        <w:rPr>
          <w:rFonts w:ascii="Times New Roman" w:hAnsi="Times New Roman" w:cs="Times New Roman"/>
          <w:sz w:val="24"/>
          <w:szCs w:val="24"/>
        </w:rPr>
        <w:t>.</w:t>
      </w:r>
      <w:r w:rsidR="001E354B" w:rsidRPr="008D3AC0">
        <w:rPr>
          <w:rStyle w:val="FootnoteReference"/>
          <w:rFonts w:ascii="Times New Roman" w:hAnsi="Times New Roman" w:cs="Times New Roman"/>
          <w:sz w:val="24"/>
          <w:szCs w:val="24"/>
        </w:rPr>
        <w:footnoteReference w:id="27"/>
      </w:r>
    </w:p>
    <w:p w14:paraId="00000026" w14:textId="77777777" w:rsidR="00DE62D7" w:rsidRPr="008D3AC0" w:rsidRDefault="00DE62D7" w:rsidP="008D3AC0">
      <w:pPr>
        <w:shd w:val="clear" w:color="auto" w:fill="FFFFFF"/>
        <w:spacing w:line="480" w:lineRule="auto"/>
        <w:rPr>
          <w:rFonts w:ascii="Times New Roman" w:hAnsi="Times New Roman" w:cs="Times New Roman"/>
          <w:sz w:val="24"/>
          <w:szCs w:val="24"/>
        </w:rPr>
      </w:pPr>
    </w:p>
    <w:p w14:paraId="00000027" w14:textId="2D28FA76" w:rsidR="00DE62D7" w:rsidRPr="008D3AC0" w:rsidRDefault="00F2379E" w:rsidP="008D3AC0">
      <w:pPr>
        <w:shd w:val="clear" w:color="auto" w:fill="FFFFFF"/>
        <w:spacing w:line="480" w:lineRule="auto"/>
        <w:rPr>
          <w:rFonts w:ascii="Times New Roman" w:hAnsi="Times New Roman" w:cs="Times New Roman"/>
          <w:sz w:val="24"/>
          <w:szCs w:val="24"/>
        </w:rPr>
      </w:pPr>
      <w:r w:rsidRPr="008D3AC0">
        <w:rPr>
          <w:rFonts w:ascii="Times New Roman" w:hAnsi="Times New Roman" w:cs="Times New Roman"/>
          <w:sz w:val="24"/>
          <w:szCs w:val="24"/>
        </w:rPr>
        <w:t xml:space="preserve">To have too much power and pride was not necessarily a good thing in classical Athens and the consequences of this are shown in multiple plays, not only in tragedy but also comedy. These characteristics are personified through Creon. Tiresias, the seer, tells </w:t>
      </w:r>
      <w:r w:rsidR="001E354B" w:rsidRPr="008D3AC0">
        <w:rPr>
          <w:rFonts w:ascii="Times New Roman" w:hAnsi="Times New Roman" w:cs="Times New Roman"/>
          <w:sz w:val="24"/>
          <w:szCs w:val="24"/>
        </w:rPr>
        <w:t>Creon</w:t>
      </w:r>
      <w:r w:rsidRPr="008D3AC0">
        <w:rPr>
          <w:rFonts w:ascii="Times New Roman" w:hAnsi="Times New Roman" w:cs="Times New Roman"/>
          <w:sz w:val="24"/>
          <w:szCs w:val="24"/>
        </w:rPr>
        <w:t xml:space="preserve"> of his own folly (line 1123). Creon has put his own pride and need for control before the good of </w:t>
      </w:r>
      <w:r w:rsidR="001E354B" w:rsidRPr="008D3AC0">
        <w:rPr>
          <w:rFonts w:ascii="Times New Roman" w:hAnsi="Times New Roman" w:cs="Times New Roman"/>
          <w:sz w:val="24"/>
          <w:szCs w:val="24"/>
        </w:rPr>
        <w:t>Thebes</w:t>
      </w:r>
      <w:r w:rsidRPr="008D3AC0">
        <w:rPr>
          <w:rFonts w:ascii="Times New Roman" w:hAnsi="Times New Roman" w:cs="Times New Roman"/>
          <w:sz w:val="24"/>
          <w:szCs w:val="24"/>
        </w:rPr>
        <w:t xml:space="preserve"> and the will of the gods (line 1257), Flet</w:t>
      </w:r>
      <w:r w:rsidR="001E354B" w:rsidRPr="008D3AC0">
        <w:rPr>
          <w:rFonts w:ascii="Times New Roman" w:hAnsi="Times New Roman" w:cs="Times New Roman"/>
          <w:sz w:val="24"/>
          <w:szCs w:val="24"/>
        </w:rPr>
        <w:t>ch</w:t>
      </w:r>
      <w:r w:rsidRPr="008D3AC0">
        <w:rPr>
          <w:rFonts w:ascii="Times New Roman" w:hAnsi="Times New Roman" w:cs="Times New Roman"/>
          <w:sz w:val="24"/>
          <w:szCs w:val="24"/>
        </w:rPr>
        <w:t>e</w:t>
      </w:r>
      <w:r w:rsidR="001E354B" w:rsidRPr="008D3AC0">
        <w:rPr>
          <w:rFonts w:ascii="Times New Roman" w:hAnsi="Times New Roman" w:cs="Times New Roman"/>
          <w:sz w:val="24"/>
          <w:szCs w:val="24"/>
        </w:rPr>
        <w:t>r</w:t>
      </w:r>
      <w:r w:rsidRPr="008D3AC0">
        <w:rPr>
          <w:rFonts w:ascii="Times New Roman" w:hAnsi="Times New Roman" w:cs="Times New Roman"/>
          <w:sz w:val="24"/>
          <w:szCs w:val="24"/>
        </w:rPr>
        <w:t xml:space="preserve"> notes that a statement like that could have only come from a </w:t>
      </w:r>
      <w:r w:rsidRPr="008D3AC0">
        <w:rPr>
          <w:rFonts w:ascii="Times New Roman" w:hAnsi="Times New Roman" w:cs="Times New Roman"/>
          <w:sz w:val="24"/>
          <w:szCs w:val="24"/>
        </w:rPr>
        <w:lastRenderedPageBreak/>
        <w:t xml:space="preserve">character such as </w:t>
      </w:r>
      <w:r w:rsidR="001E354B" w:rsidRPr="008D3AC0">
        <w:rPr>
          <w:rFonts w:ascii="Times New Roman" w:hAnsi="Times New Roman" w:cs="Times New Roman"/>
          <w:sz w:val="24"/>
          <w:szCs w:val="24"/>
        </w:rPr>
        <w:t>Tiresias</w:t>
      </w:r>
      <w:r w:rsidRPr="008D3AC0">
        <w:rPr>
          <w:rFonts w:ascii="Times New Roman" w:hAnsi="Times New Roman" w:cs="Times New Roman"/>
          <w:sz w:val="24"/>
          <w:szCs w:val="24"/>
        </w:rPr>
        <w:t xml:space="preserve"> who has access to the divine by being to interpret the sign that they send</w:t>
      </w:r>
      <w:r w:rsidR="001E354B" w:rsidRPr="008D3AC0">
        <w:rPr>
          <w:rFonts w:ascii="Times New Roman" w:hAnsi="Times New Roman" w:cs="Times New Roman"/>
          <w:sz w:val="24"/>
          <w:szCs w:val="24"/>
        </w:rPr>
        <w:t>.</w:t>
      </w:r>
      <w:r w:rsidR="001E354B" w:rsidRPr="008D3AC0">
        <w:rPr>
          <w:rStyle w:val="FootnoteReference"/>
          <w:rFonts w:ascii="Times New Roman" w:hAnsi="Times New Roman" w:cs="Times New Roman"/>
          <w:sz w:val="24"/>
          <w:szCs w:val="24"/>
        </w:rPr>
        <w:footnoteReference w:id="28"/>
      </w:r>
    </w:p>
    <w:p w14:paraId="47871CF0" w14:textId="77777777" w:rsidR="001E354B" w:rsidRPr="008D3AC0" w:rsidRDefault="001E354B" w:rsidP="008D3AC0">
      <w:pPr>
        <w:shd w:val="clear" w:color="auto" w:fill="FFFFFF"/>
        <w:spacing w:line="480" w:lineRule="auto"/>
        <w:rPr>
          <w:rFonts w:ascii="Times New Roman" w:hAnsi="Times New Roman" w:cs="Times New Roman"/>
          <w:sz w:val="24"/>
          <w:szCs w:val="24"/>
        </w:rPr>
      </w:pPr>
    </w:p>
    <w:p w14:paraId="00000028" w14:textId="7BE1C40F" w:rsidR="00DE62D7" w:rsidRPr="008D3AC0" w:rsidRDefault="00F2379E" w:rsidP="008D3AC0">
      <w:pPr>
        <w:shd w:val="clear" w:color="auto" w:fill="FFFFFF"/>
        <w:spacing w:line="480" w:lineRule="auto"/>
        <w:rPr>
          <w:rFonts w:ascii="Times New Roman" w:hAnsi="Times New Roman" w:cs="Times New Roman"/>
          <w:sz w:val="24"/>
          <w:szCs w:val="24"/>
        </w:rPr>
      </w:pPr>
      <w:r w:rsidRPr="008D3AC0">
        <w:rPr>
          <w:rFonts w:ascii="Times New Roman" w:hAnsi="Times New Roman" w:cs="Times New Roman"/>
          <w:sz w:val="24"/>
          <w:szCs w:val="24"/>
        </w:rPr>
        <w:t xml:space="preserve">The death of a person in Greece required certain rites dictated by the gods to be completed which Creon forbids. Tiresias makes a very powerful statement to Creon regarding this. He states: “You’ve robbed the gods below the earth, Keeping a dead body here in the bright air, Unburied, </w:t>
      </w:r>
      <w:r w:rsidR="00AA5D9D" w:rsidRPr="008D3AC0">
        <w:rPr>
          <w:rFonts w:ascii="Times New Roman" w:hAnsi="Times New Roman" w:cs="Times New Roman"/>
          <w:sz w:val="24"/>
          <w:szCs w:val="24"/>
        </w:rPr>
        <w:t>unsung, unhallowed</w:t>
      </w:r>
      <w:r w:rsidRPr="008D3AC0">
        <w:rPr>
          <w:rFonts w:ascii="Times New Roman" w:hAnsi="Times New Roman" w:cs="Times New Roman"/>
          <w:sz w:val="24"/>
          <w:szCs w:val="24"/>
        </w:rPr>
        <w:t xml:space="preserve"> by rites”. This marks the beginning of Creon’s realisation into what he has done wrong in denying the gods what is theirs by ignoring divine law in favour of his own. </w:t>
      </w:r>
    </w:p>
    <w:p w14:paraId="00000029" w14:textId="77777777" w:rsidR="00DE62D7" w:rsidRPr="008D3AC0" w:rsidRDefault="00DE62D7" w:rsidP="008D3AC0">
      <w:pPr>
        <w:shd w:val="clear" w:color="auto" w:fill="FFFFFF"/>
        <w:spacing w:line="480" w:lineRule="auto"/>
        <w:rPr>
          <w:rFonts w:ascii="Times New Roman" w:hAnsi="Times New Roman" w:cs="Times New Roman"/>
          <w:sz w:val="24"/>
          <w:szCs w:val="24"/>
        </w:rPr>
      </w:pPr>
    </w:p>
    <w:p w14:paraId="0000002A" w14:textId="77EAF63E" w:rsidR="00DE62D7" w:rsidRPr="008D3AC0" w:rsidRDefault="00E81D6B" w:rsidP="008D3AC0">
      <w:pPr>
        <w:shd w:val="clear" w:color="auto" w:fill="FFFFFF"/>
        <w:spacing w:line="480" w:lineRule="auto"/>
        <w:rPr>
          <w:rFonts w:ascii="Times New Roman" w:hAnsi="Times New Roman" w:cs="Times New Roman"/>
          <w:sz w:val="24"/>
          <w:szCs w:val="24"/>
        </w:rPr>
      </w:pPr>
      <w:r w:rsidRPr="008D3AC0">
        <w:rPr>
          <w:rFonts w:ascii="Times New Roman" w:hAnsi="Times New Roman" w:cs="Times New Roman"/>
          <w:sz w:val="24"/>
          <w:szCs w:val="24"/>
        </w:rPr>
        <w:t xml:space="preserve">Athenians in the Classical period were governed by both formal and informal laws that included, state laws, divine laws and natural laws. The popular culture of the time such the plays of Sophocles, reflect the conflicting nature of these different laws. </w:t>
      </w:r>
      <w:r w:rsidR="00FC364C" w:rsidRPr="008D3AC0">
        <w:rPr>
          <w:rFonts w:ascii="Times New Roman" w:hAnsi="Times New Roman" w:cs="Times New Roman"/>
          <w:sz w:val="24"/>
          <w:szCs w:val="24"/>
        </w:rPr>
        <w:t xml:space="preserve">Sophocles presents his characters as advocates of the different forms of law, Creon promotes following of state laws whereas, Antigone represents the value and importance of divine law. </w:t>
      </w:r>
      <w:r w:rsidR="00555C46" w:rsidRPr="008D3AC0">
        <w:rPr>
          <w:rFonts w:ascii="Times New Roman" w:hAnsi="Times New Roman" w:cs="Times New Roman"/>
          <w:sz w:val="24"/>
          <w:szCs w:val="24"/>
        </w:rPr>
        <w:t>Natural law governing the place of men and women in Athenian society is also featured as an area of contention.</w:t>
      </w:r>
      <w:r w:rsidR="00FC364C" w:rsidRPr="008D3AC0">
        <w:rPr>
          <w:rFonts w:ascii="Times New Roman" w:hAnsi="Times New Roman" w:cs="Times New Roman"/>
          <w:sz w:val="24"/>
          <w:szCs w:val="24"/>
        </w:rPr>
        <w:t xml:space="preserve"> </w:t>
      </w:r>
      <w:r w:rsidR="00F2379E" w:rsidRPr="008D3AC0">
        <w:rPr>
          <w:rFonts w:ascii="Times New Roman" w:hAnsi="Times New Roman" w:cs="Times New Roman"/>
          <w:sz w:val="24"/>
          <w:szCs w:val="24"/>
        </w:rPr>
        <w:t xml:space="preserve">The conflict between state law and divine law is prominent throughout the play </w:t>
      </w:r>
      <w:r w:rsidR="00F2379E" w:rsidRPr="008D3AC0">
        <w:rPr>
          <w:rFonts w:ascii="Times New Roman" w:hAnsi="Times New Roman" w:cs="Times New Roman"/>
          <w:i/>
          <w:sz w:val="24"/>
          <w:szCs w:val="24"/>
        </w:rPr>
        <w:t>Antigone</w:t>
      </w:r>
      <w:r w:rsidR="00F2379E" w:rsidRPr="008D3AC0">
        <w:rPr>
          <w:rFonts w:ascii="Times New Roman" w:hAnsi="Times New Roman" w:cs="Times New Roman"/>
          <w:sz w:val="24"/>
          <w:szCs w:val="24"/>
        </w:rPr>
        <w:t xml:space="preserve">. Sophocles linguistic choices highlight the differences between the two and showcase how law is interpreted. Overall law in Classical Athens can be complex and Sophocles’ </w:t>
      </w:r>
      <w:r w:rsidR="00F2379E" w:rsidRPr="008D3AC0">
        <w:rPr>
          <w:rFonts w:ascii="Times New Roman" w:hAnsi="Times New Roman" w:cs="Times New Roman"/>
          <w:i/>
          <w:sz w:val="24"/>
          <w:szCs w:val="24"/>
        </w:rPr>
        <w:t xml:space="preserve">Antigone </w:t>
      </w:r>
      <w:r w:rsidR="00F2379E" w:rsidRPr="008D3AC0">
        <w:rPr>
          <w:rFonts w:ascii="Times New Roman" w:hAnsi="Times New Roman" w:cs="Times New Roman"/>
          <w:sz w:val="24"/>
          <w:szCs w:val="24"/>
        </w:rPr>
        <w:t xml:space="preserve">showcases the scope and complexity of law that transverses time. </w:t>
      </w:r>
    </w:p>
    <w:p w14:paraId="0BF5AC67" w14:textId="6AE3A9FB" w:rsidR="00B25B57" w:rsidRDefault="00B25B57">
      <w:pPr>
        <w:shd w:val="clear" w:color="auto" w:fill="FFFFFF"/>
        <w:spacing w:line="480" w:lineRule="auto"/>
      </w:pPr>
    </w:p>
    <w:p w14:paraId="2435CE96" w14:textId="77777777" w:rsidR="008D3AC0" w:rsidRDefault="008D3AC0" w:rsidP="00B25B57">
      <w:pPr>
        <w:shd w:val="clear" w:color="auto" w:fill="FFFFFF"/>
        <w:spacing w:line="480" w:lineRule="auto"/>
        <w:rPr>
          <w:rFonts w:ascii="Times New Roman" w:hAnsi="Times New Roman" w:cs="Times New Roman"/>
          <w:bCs/>
          <w:sz w:val="24"/>
          <w:szCs w:val="24"/>
        </w:rPr>
      </w:pPr>
    </w:p>
    <w:p w14:paraId="0977AD35" w14:textId="77777777" w:rsidR="008D3AC0" w:rsidRDefault="008D3AC0" w:rsidP="00B25B57">
      <w:pPr>
        <w:shd w:val="clear" w:color="auto" w:fill="FFFFFF"/>
        <w:spacing w:line="480" w:lineRule="auto"/>
        <w:rPr>
          <w:rFonts w:ascii="Times New Roman" w:hAnsi="Times New Roman" w:cs="Times New Roman"/>
          <w:bCs/>
          <w:sz w:val="24"/>
          <w:szCs w:val="24"/>
        </w:rPr>
      </w:pPr>
    </w:p>
    <w:p w14:paraId="60CF8829" w14:textId="21A4A729" w:rsidR="008D3AC0" w:rsidRDefault="008D3AC0" w:rsidP="00B25B57">
      <w:pPr>
        <w:shd w:val="clear" w:color="auto" w:fill="FFFFFF"/>
        <w:spacing w:line="480" w:lineRule="auto"/>
        <w:rPr>
          <w:rFonts w:ascii="Times New Roman" w:hAnsi="Times New Roman" w:cs="Times New Roman"/>
          <w:bCs/>
          <w:sz w:val="24"/>
          <w:szCs w:val="24"/>
        </w:rPr>
      </w:pPr>
      <w:r>
        <w:rPr>
          <w:rFonts w:ascii="Times New Roman" w:hAnsi="Times New Roman" w:cs="Times New Roman"/>
          <w:bCs/>
          <w:sz w:val="24"/>
          <w:szCs w:val="24"/>
        </w:rPr>
        <w:lastRenderedPageBreak/>
        <w:t>Bibliography:</w:t>
      </w:r>
    </w:p>
    <w:p w14:paraId="25C9350C" w14:textId="4F3C8BE4" w:rsidR="008D3AC0" w:rsidRDefault="008D3AC0" w:rsidP="00B25B57">
      <w:pPr>
        <w:shd w:val="clear" w:color="auto" w:fill="FFFFFF"/>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Adams, J.L., (1945) ‘The Law of Nature in Greco-Roman Thought’, </w:t>
      </w:r>
      <w:r>
        <w:rPr>
          <w:rFonts w:ascii="Times New Roman" w:hAnsi="Times New Roman" w:cs="Times New Roman"/>
          <w:bCs/>
          <w:i/>
          <w:iCs/>
          <w:sz w:val="24"/>
          <w:szCs w:val="24"/>
        </w:rPr>
        <w:t>The Journal of Religion</w:t>
      </w:r>
      <w:r>
        <w:rPr>
          <w:rFonts w:ascii="Times New Roman" w:hAnsi="Times New Roman" w:cs="Times New Roman"/>
          <w:bCs/>
          <w:sz w:val="24"/>
          <w:szCs w:val="24"/>
        </w:rPr>
        <w:t xml:space="preserve">, 25, pp. 97-118. </w:t>
      </w:r>
    </w:p>
    <w:p w14:paraId="3304CD6D" w14:textId="77777777" w:rsidR="008D3AC0" w:rsidRDefault="008D3AC0" w:rsidP="00B25B57">
      <w:pPr>
        <w:shd w:val="clear" w:color="auto" w:fill="FFFFFF"/>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Adams, S.M., (1955) ‘The “Antigone” of Sophocles’, </w:t>
      </w:r>
      <w:r>
        <w:rPr>
          <w:rFonts w:ascii="Times New Roman" w:hAnsi="Times New Roman" w:cs="Times New Roman"/>
          <w:bCs/>
          <w:i/>
          <w:iCs/>
          <w:sz w:val="24"/>
          <w:szCs w:val="24"/>
        </w:rPr>
        <w:t>Phoenix</w:t>
      </w:r>
      <w:r>
        <w:rPr>
          <w:rFonts w:ascii="Times New Roman" w:hAnsi="Times New Roman" w:cs="Times New Roman"/>
          <w:bCs/>
          <w:sz w:val="24"/>
          <w:szCs w:val="24"/>
        </w:rPr>
        <w:t>, 9, pp. 47-62.</w:t>
      </w:r>
    </w:p>
    <w:p w14:paraId="5A498DB0" w14:textId="77777777" w:rsidR="008D3AC0" w:rsidRDefault="008D3AC0" w:rsidP="00B25B57">
      <w:pPr>
        <w:shd w:val="clear" w:color="auto" w:fill="FFFFFF"/>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Burns, T., (2002) ‘Sophocles Antigone and the History of the Concept of Natural Law’, </w:t>
      </w:r>
      <w:r>
        <w:rPr>
          <w:rFonts w:ascii="Times New Roman" w:hAnsi="Times New Roman" w:cs="Times New Roman"/>
          <w:bCs/>
          <w:i/>
          <w:iCs/>
          <w:sz w:val="24"/>
          <w:szCs w:val="24"/>
        </w:rPr>
        <w:t>Political Studies</w:t>
      </w:r>
      <w:r>
        <w:rPr>
          <w:rFonts w:ascii="Times New Roman" w:hAnsi="Times New Roman" w:cs="Times New Roman"/>
          <w:bCs/>
          <w:sz w:val="24"/>
          <w:szCs w:val="24"/>
        </w:rPr>
        <w:t>, 50, pp. 545-557.</w:t>
      </w:r>
    </w:p>
    <w:p w14:paraId="52CD7087" w14:textId="77777777" w:rsidR="008D3AC0" w:rsidRDefault="008D3AC0" w:rsidP="00B25B57">
      <w:pPr>
        <w:shd w:val="clear" w:color="auto" w:fill="FFFFFF"/>
        <w:spacing w:line="480" w:lineRule="auto"/>
        <w:rPr>
          <w:rFonts w:ascii="Times New Roman" w:hAnsi="Times New Roman" w:cs="Times New Roman"/>
          <w:bCs/>
          <w:sz w:val="24"/>
          <w:szCs w:val="24"/>
        </w:rPr>
      </w:pPr>
      <w:proofErr w:type="spellStart"/>
      <w:r>
        <w:rPr>
          <w:rFonts w:ascii="Times New Roman" w:hAnsi="Times New Roman" w:cs="Times New Roman"/>
          <w:bCs/>
          <w:sz w:val="24"/>
          <w:szCs w:val="24"/>
        </w:rPr>
        <w:t>Calhorn</w:t>
      </w:r>
      <w:proofErr w:type="spellEnd"/>
      <w:r>
        <w:rPr>
          <w:rFonts w:ascii="Times New Roman" w:hAnsi="Times New Roman" w:cs="Times New Roman"/>
          <w:bCs/>
          <w:sz w:val="24"/>
          <w:szCs w:val="24"/>
        </w:rPr>
        <w:t xml:space="preserve">, G.M., (1923) ‘Greek Law and Modern Jurisprudence’, </w:t>
      </w:r>
      <w:r>
        <w:rPr>
          <w:rFonts w:ascii="Times New Roman" w:hAnsi="Times New Roman" w:cs="Times New Roman"/>
          <w:bCs/>
          <w:i/>
          <w:iCs/>
          <w:sz w:val="24"/>
          <w:szCs w:val="24"/>
        </w:rPr>
        <w:t>California Law Review</w:t>
      </w:r>
      <w:r>
        <w:rPr>
          <w:rFonts w:ascii="Times New Roman" w:hAnsi="Times New Roman" w:cs="Times New Roman"/>
          <w:bCs/>
          <w:sz w:val="24"/>
          <w:szCs w:val="24"/>
        </w:rPr>
        <w:t>, 11, pp. 295-312.</w:t>
      </w:r>
    </w:p>
    <w:p w14:paraId="2E62D1D9" w14:textId="77777777" w:rsidR="008D3AC0" w:rsidRDefault="008D3AC0" w:rsidP="00B25B57">
      <w:pPr>
        <w:shd w:val="clear" w:color="auto" w:fill="FFFFFF"/>
        <w:spacing w:line="480" w:lineRule="auto"/>
        <w:rPr>
          <w:rFonts w:ascii="Times New Roman" w:hAnsi="Times New Roman" w:cs="Times New Roman"/>
          <w:bCs/>
          <w:sz w:val="24"/>
          <w:szCs w:val="24"/>
        </w:rPr>
      </w:pPr>
      <w:proofErr w:type="spellStart"/>
      <w:r>
        <w:rPr>
          <w:rFonts w:ascii="Times New Roman" w:hAnsi="Times New Roman" w:cs="Times New Roman"/>
          <w:bCs/>
          <w:sz w:val="24"/>
          <w:szCs w:val="24"/>
        </w:rPr>
        <w:t>Cardullo</w:t>
      </w:r>
      <w:proofErr w:type="spellEnd"/>
      <w:r>
        <w:rPr>
          <w:rFonts w:ascii="Times New Roman" w:hAnsi="Times New Roman" w:cs="Times New Roman"/>
          <w:bCs/>
          <w:sz w:val="24"/>
          <w:szCs w:val="24"/>
        </w:rPr>
        <w:t xml:space="preserve">, B., (1992) ‘Law of The Jungle’, </w:t>
      </w:r>
      <w:r>
        <w:rPr>
          <w:rFonts w:ascii="Times New Roman" w:hAnsi="Times New Roman" w:cs="Times New Roman"/>
          <w:bCs/>
          <w:i/>
          <w:iCs/>
          <w:sz w:val="24"/>
          <w:szCs w:val="24"/>
        </w:rPr>
        <w:t>The Hudson Review</w:t>
      </w:r>
      <w:r>
        <w:rPr>
          <w:rFonts w:ascii="Times New Roman" w:hAnsi="Times New Roman" w:cs="Times New Roman"/>
          <w:bCs/>
          <w:sz w:val="24"/>
          <w:szCs w:val="24"/>
        </w:rPr>
        <w:t>, 44, pp. 639-647.</w:t>
      </w:r>
    </w:p>
    <w:p w14:paraId="20192D67" w14:textId="77777777" w:rsidR="008D3AC0" w:rsidRDefault="008D3AC0" w:rsidP="00B25B57">
      <w:pPr>
        <w:shd w:val="clear" w:color="auto" w:fill="FFFFFF"/>
        <w:spacing w:line="480" w:lineRule="auto"/>
        <w:rPr>
          <w:rFonts w:ascii="Times New Roman" w:hAnsi="Times New Roman" w:cs="Times New Roman"/>
          <w:bCs/>
          <w:sz w:val="24"/>
          <w:szCs w:val="24"/>
        </w:rPr>
      </w:pPr>
      <w:proofErr w:type="spellStart"/>
      <w:r>
        <w:rPr>
          <w:rFonts w:ascii="Times New Roman" w:hAnsi="Times New Roman" w:cs="Times New Roman"/>
          <w:bCs/>
          <w:sz w:val="24"/>
          <w:szCs w:val="24"/>
        </w:rPr>
        <w:t>Chrohurst</w:t>
      </w:r>
      <w:proofErr w:type="spellEnd"/>
      <w:r>
        <w:rPr>
          <w:rFonts w:ascii="Times New Roman" w:hAnsi="Times New Roman" w:cs="Times New Roman"/>
          <w:bCs/>
          <w:sz w:val="24"/>
          <w:szCs w:val="24"/>
        </w:rPr>
        <w:t xml:space="preserve">, A.H., (1958) ‘Review: Greek Law and Legal Theory’, </w:t>
      </w:r>
      <w:r>
        <w:rPr>
          <w:rFonts w:ascii="Times New Roman" w:hAnsi="Times New Roman" w:cs="Times New Roman"/>
          <w:bCs/>
          <w:i/>
          <w:iCs/>
          <w:sz w:val="24"/>
          <w:szCs w:val="24"/>
        </w:rPr>
        <w:t>The Review of Politics</w:t>
      </w:r>
      <w:r>
        <w:rPr>
          <w:rFonts w:ascii="Times New Roman" w:hAnsi="Times New Roman" w:cs="Times New Roman"/>
          <w:bCs/>
          <w:sz w:val="24"/>
          <w:szCs w:val="24"/>
        </w:rPr>
        <w:t>, 20, pp. 675-680.</w:t>
      </w:r>
    </w:p>
    <w:p w14:paraId="00EF8B68" w14:textId="77777777" w:rsidR="008D3AC0" w:rsidRDefault="008D3AC0" w:rsidP="00B25B57">
      <w:pPr>
        <w:shd w:val="clear" w:color="auto" w:fill="FFFFFF"/>
        <w:spacing w:line="480" w:lineRule="auto"/>
        <w:rPr>
          <w:rFonts w:ascii="Times New Roman" w:hAnsi="Times New Roman" w:cs="Times New Roman"/>
          <w:bCs/>
          <w:sz w:val="24"/>
          <w:szCs w:val="24"/>
        </w:rPr>
      </w:pPr>
      <w:proofErr w:type="spellStart"/>
      <w:r>
        <w:rPr>
          <w:rFonts w:ascii="Times New Roman" w:hAnsi="Times New Roman" w:cs="Times New Roman"/>
          <w:bCs/>
          <w:sz w:val="24"/>
          <w:szCs w:val="24"/>
        </w:rPr>
        <w:t>Cropp</w:t>
      </w:r>
      <w:proofErr w:type="spellEnd"/>
      <w:r>
        <w:rPr>
          <w:rFonts w:ascii="Times New Roman" w:hAnsi="Times New Roman" w:cs="Times New Roman"/>
          <w:bCs/>
          <w:sz w:val="24"/>
          <w:szCs w:val="24"/>
        </w:rPr>
        <w:t xml:space="preserve">, M., (1997) ‘Antigone’s Final Speech (Sophocles, “Antigone” 891-928)’, </w:t>
      </w:r>
      <w:r>
        <w:rPr>
          <w:rFonts w:ascii="Times New Roman" w:hAnsi="Times New Roman" w:cs="Times New Roman"/>
          <w:bCs/>
          <w:i/>
          <w:iCs/>
          <w:sz w:val="24"/>
          <w:szCs w:val="24"/>
        </w:rPr>
        <w:t>Greece and Rome</w:t>
      </w:r>
      <w:r>
        <w:rPr>
          <w:rFonts w:ascii="Times New Roman" w:hAnsi="Times New Roman" w:cs="Times New Roman"/>
          <w:bCs/>
          <w:sz w:val="24"/>
          <w:szCs w:val="24"/>
        </w:rPr>
        <w:t>, 44, pp. 137-160.</w:t>
      </w:r>
    </w:p>
    <w:p w14:paraId="00C3D719" w14:textId="77777777" w:rsidR="008D3AC0" w:rsidRPr="008D3AC0" w:rsidRDefault="008D3AC0" w:rsidP="008D3AC0">
      <w:pPr>
        <w:shd w:val="clear" w:color="auto" w:fill="FFFFFF"/>
        <w:spacing w:line="480" w:lineRule="auto"/>
        <w:rPr>
          <w:rFonts w:ascii="Times New Roman" w:hAnsi="Times New Roman" w:cs="Times New Roman"/>
          <w:sz w:val="28"/>
          <w:szCs w:val="28"/>
        </w:rPr>
      </w:pPr>
      <w:proofErr w:type="spellStart"/>
      <w:r w:rsidRPr="008D3AC0">
        <w:rPr>
          <w:rFonts w:ascii="Times New Roman" w:hAnsi="Times New Roman" w:cs="Times New Roman"/>
          <w:color w:val="000000"/>
          <w:sz w:val="24"/>
          <w:szCs w:val="24"/>
          <w:shd w:val="clear" w:color="auto" w:fill="FFFFFF"/>
        </w:rPr>
        <w:t>Encyclopedia</w:t>
      </w:r>
      <w:proofErr w:type="spellEnd"/>
      <w:r w:rsidRPr="008D3AC0">
        <w:rPr>
          <w:rFonts w:ascii="Times New Roman" w:hAnsi="Times New Roman" w:cs="Times New Roman"/>
          <w:color w:val="000000"/>
          <w:sz w:val="24"/>
          <w:szCs w:val="24"/>
          <w:shd w:val="clear" w:color="auto" w:fill="FFFFFF"/>
        </w:rPr>
        <w:t xml:space="preserve"> Britannica. 2020. </w:t>
      </w:r>
      <w:r w:rsidRPr="008D3AC0">
        <w:rPr>
          <w:rFonts w:ascii="Times New Roman" w:hAnsi="Times New Roman" w:cs="Times New Roman"/>
          <w:i/>
          <w:iCs/>
          <w:color w:val="000000"/>
          <w:sz w:val="24"/>
          <w:szCs w:val="24"/>
        </w:rPr>
        <w:t>Greek Law | Ancient Greece</w:t>
      </w:r>
      <w:r w:rsidRPr="008D3AC0">
        <w:rPr>
          <w:rFonts w:ascii="Times New Roman" w:hAnsi="Times New Roman" w:cs="Times New Roman"/>
          <w:color w:val="000000"/>
          <w:sz w:val="24"/>
          <w:szCs w:val="24"/>
          <w:shd w:val="clear" w:color="auto" w:fill="FFFFFF"/>
        </w:rPr>
        <w:t>. [online] Available at: &lt;https://www.britannica.com/topic/Greek-law#ref24988&gt; [Accessed 15 March 2020].</w:t>
      </w:r>
    </w:p>
    <w:p w14:paraId="741F840A" w14:textId="77777777" w:rsidR="008D3AC0" w:rsidRDefault="008D3AC0" w:rsidP="00B25B57">
      <w:pPr>
        <w:shd w:val="clear" w:color="auto" w:fill="FFFFFF"/>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Fletcher, J., (2008) ‘Citing the Law in Sophocles’ Antigone’, </w:t>
      </w:r>
      <w:r>
        <w:rPr>
          <w:rFonts w:ascii="Times New Roman" w:hAnsi="Times New Roman" w:cs="Times New Roman"/>
          <w:bCs/>
          <w:i/>
          <w:iCs/>
          <w:sz w:val="24"/>
          <w:szCs w:val="24"/>
        </w:rPr>
        <w:t>Mosaic</w:t>
      </w:r>
      <w:r>
        <w:rPr>
          <w:rFonts w:ascii="Times New Roman" w:hAnsi="Times New Roman" w:cs="Times New Roman"/>
          <w:bCs/>
          <w:sz w:val="24"/>
          <w:szCs w:val="24"/>
        </w:rPr>
        <w:t>, 41, pp. 79-96.</w:t>
      </w:r>
    </w:p>
    <w:p w14:paraId="7819748B" w14:textId="77777777" w:rsidR="008D3AC0" w:rsidRDefault="008D3AC0" w:rsidP="00B25B57">
      <w:pPr>
        <w:shd w:val="clear" w:color="auto" w:fill="FFFFFF"/>
        <w:spacing w:line="480" w:lineRule="auto"/>
        <w:rPr>
          <w:rFonts w:ascii="Times New Roman" w:hAnsi="Times New Roman" w:cs="Times New Roman"/>
          <w:bCs/>
          <w:sz w:val="24"/>
          <w:szCs w:val="24"/>
        </w:rPr>
      </w:pPr>
      <w:proofErr w:type="spellStart"/>
      <w:r>
        <w:rPr>
          <w:rFonts w:ascii="Times New Roman" w:hAnsi="Times New Roman" w:cs="Times New Roman"/>
          <w:bCs/>
          <w:sz w:val="24"/>
          <w:szCs w:val="24"/>
        </w:rPr>
        <w:t>Hathorn</w:t>
      </w:r>
      <w:proofErr w:type="spellEnd"/>
      <w:r>
        <w:rPr>
          <w:rFonts w:ascii="Times New Roman" w:hAnsi="Times New Roman" w:cs="Times New Roman"/>
          <w:bCs/>
          <w:sz w:val="24"/>
          <w:szCs w:val="24"/>
        </w:rPr>
        <w:t xml:space="preserve">, R.Y. (1958) ‘Sophocles’ “Antigone”: Eros in Politics’, </w:t>
      </w:r>
      <w:r>
        <w:rPr>
          <w:rFonts w:ascii="Times New Roman" w:hAnsi="Times New Roman" w:cs="Times New Roman"/>
          <w:bCs/>
          <w:i/>
          <w:iCs/>
          <w:sz w:val="24"/>
          <w:szCs w:val="24"/>
        </w:rPr>
        <w:t>The Classical Journal</w:t>
      </w:r>
      <w:r>
        <w:rPr>
          <w:rFonts w:ascii="Times New Roman" w:hAnsi="Times New Roman" w:cs="Times New Roman"/>
          <w:bCs/>
          <w:sz w:val="24"/>
          <w:szCs w:val="24"/>
        </w:rPr>
        <w:t>, 54, pp. 109-115.</w:t>
      </w:r>
    </w:p>
    <w:p w14:paraId="0398E239" w14:textId="77777777" w:rsidR="008D3AC0" w:rsidRDefault="008D3AC0" w:rsidP="00B25B57">
      <w:pPr>
        <w:shd w:val="clear" w:color="auto" w:fill="FFFFFF"/>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Hayes, C., (2015) </w:t>
      </w:r>
      <w:r>
        <w:rPr>
          <w:rFonts w:ascii="Times New Roman" w:hAnsi="Times New Roman" w:cs="Times New Roman"/>
          <w:bCs/>
          <w:i/>
          <w:iCs/>
          <w:sz w:val="24"/>
          <w:szCs w:val="24"/>
        </w:rPr>
        <w:t>What’s Divine about Divine Law? Early Perspectives.</w:t>
      </w:r>
      <w:r>
        <w:rPr>
          <w:rFonts w:ascii="Times New Roman" w:hAnsi="Times New Roman" w:cs="Times New Roman"/>
          <w:bCs/>
          <w:sz w:val="24"/>
          <w:szCs w:val="24"/>
        </w:rPr>
        <w:t xml:space="preserve"> New Jersey: Princeton University Press. </w:t>
      </w:r>
    </w:p>
    <w:p w14:paraId="1B2B6393" w14:textId="77777777" w:rsidR="008D3AC0" w:rsidRDefault="008D3AC0" w:rsidP="00B25B57">
      <w:pPr>
        <w:shd w:val="clear" w:color="auto" w:fill="FFFFFF"/>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Johnson, P.J., (1997) ‘Woman’s Third Face: A </w:t>
      </w:r>
      <w:proofErr w:type="spellStart"/>
      <w:r>
        <w:rPr>
          <w:rFonts w:ascii="Times New Roman" w:hAnsi="Times New Roman" w:cs="Times New Roman"/>
          <w:bCs/>
          <w:sz w:val="24"/>
          <w:szCs w:val="24"/>
        </w:rPr>
        <w:t>PsychoSocial</w:t>
      </w:r>
      <w:proofErr w:type="spellEnd"/>
      <w:r>
        <w:rPr>
          <w:rFonts w:ascii="Times New Roman" w:hAnsi="Times New Roman" w:cs="Times New Roman"/>
          <w:bCs/>
          <w:sz w:val="24"/>
          <w:szCs w:val="24"/>
        </w:rPr>
        <w:t xml:space="preserve"> Reconsideration of Sophocles: Antigone’, </w:t>
      </w:r>
      <w:r>
        <w:rPr>
          <w:rFonts w:ascii="Times New Roman" w:hAnsi="Times New Roman" w:cs="Times New Roman"/>
          <w:bCs/>
          <w:i/>
          <w:iCs/>
          <w:sz w:val="24"/>
          <w:szCs w:val="24"/>
        </w:rPr>
        <w:t>Arethusa</w:t>
      </w:r>
      <w:r>
        <w:rPr>
          <w:rFonts w:ascii="Times New Roman" w:hAnsi="Times New Roman" w:cs="Times New Roman"/>
          <w:bCs/>
          <w:sz w:val="24"/>
          <w:szCs w:val="24"/>
        </w:rPr>
        <w:t>, 30, pp. 369-398.</w:t>
      </w:r>
    </w:p>
    <w:p w14:paraId="6A97C116" w14:textId="77777777" w:rsidR="008D3AC0" w:rsidRDefault="008D3AC0" w:rsidP="00B25B57">
      <w:pPr>
        <w:shd w:val="clear" w:color="auto" w:fill="FFFFFF"/>
        <w:spacing w:line="480" w:lineRule="auto"/>
        <w:rPr>
          <w:rFonts w:ascii="Times New Roman" w:hAnsi="Times New Roman" w:cs="Times New Roman"/>
          <w:bCs/>
          <w:sz w:val="24"/>
          <w:szCs w:val="24"/>
        </w:rPr>
      </w:pPr>
      <w:r>
        <w:rPr>
          <w:rFonts w:ascii="Times New Roman" w:hAnsi="Times New Roman" w:cs="Times New Roman"/>
          <w:bCs/>
          <w:sz w:val="24"/>
          <w:szCs w:val="24"/>
        </w:rPr>
        <w:lastRenderedPageBreak/>
        <w:t xml:space="preserve">Oleson, J.C. (2007) ‘The Antigone Dilemma: When the Paths of Law and Morality Diverge’, </w:t>
      </w:r>
      <w:r>
        <w:rPr>
          <w:rFonts w:ascii="Times New Roman" w:hAnsi="Times New Roman" w:cs="Times New Roman"/>
          <w:bCs/>
          <w:i/>
          <w:iCs/>
          <w:sz w:val="24"/>
          <w:szCs w:val="24"/>
        </w:rPr>
        <w:t>Cardozo Law Review</w:t>
      </w:r>
      <w:r>
        <w:rPr>
          <w:rFonts w:ascii="Times New Roman" w:hAnsi="Times New Roman" w:cs="Times New Roman"/>
          <w:bCs/>
          <w:sz w:val="24"/>
          <w:szCs w:val="24"/>
        </w:rPr>
        <w:t>, 29, pp. 669-702.</w:t>
      </w:r>
    </w:p>
    <w:p w14:paraId="5AD75C28" w14:textId="77777777" w:rsidR="008D3AC0" w:rsidRDefault="008D3AC0" w:rsidP="00B25B57">
      <w:pPr>
        <w:shd w:val="clear" w:color="auto" w:fill="FFFFFF"/>
        <w:spacing w:line="480" w:lineRule="auto"/>
        <w:rPr>
          <w:rFonts w:ascii="Times New Roman" w:hAnsi="Times New Roman" w:cs="Times New Roman"/>
          <w:bCs/>
          <w:sz w:val="24"/>
          <w:szCs w:val="24"/>
        </w:rPr>
      </w:pPr>
      <w:proofErr w:type="spellStart"/>
      <w:r>
        <w:rPr>
          <w:rFonts w:ascii="Times New Roman" w:hAnsi="Times New Roman" w:cs="Times New Roman"/>
          <w:bCs/>
          <w:sz w:val="24"/>
          <w:szCs w:val="24"/>
        </w:rPr>
        <w:t>Santirocco</w:t>
      </w:r>
      <w:proofErr w:type="spellEnd"/>
      <w:r>
        <w:rPr>
          <w:rFonts w:ascii="Times New Roman" w:hAnsi="Times New Roman" w:cs="Times New Roman"/>
          <w:bCs/>
          <w:sz w:val="24"/>
          <w:szCs w:val="24"/>
        </w:rPr>
        <w:t xml:space="preserve">, M.S., (1980) ‘Justice in Sophocles’ Antigone’, </w:t>
      </w:r>
      <w:r>
        <w:rPr>
          <w:rFonts w:ascii="Times New Roman" w:hAnsi="Times New Roman" w:cs="Times New Roman"/>
          <w:bCs/>
          <w:i/>
          <w:iCs/>
          <w:sz w:val="24"/>
          <w:szCs w:val="24"/>
        </w:rPr>
        <w:t>Philosophy and Literature</w:t>
      </w:r>
      <w:r>
        <w:rPr>
          <w:rFonts w:ascii="Times New Roman" w:hAnsi="Times New Roman" w:cs="Times New Roman"/>
          <w:bCs/>
          <w:sz w:val="24"/>
          <w:szCs w:val="24"/>
        </w:rPr>
        <w:t>, 4, pp. 180-198.</w:t>
      </w:r>
    </w:p>
    <w:p w14:paraId="12F74B57" w14:textId="77777777" w:rsidR="008D3AC0" w:rsidRDefault="008D3AC0" w:rsidP="00B25B57">
      <w:pPr>
        <w:shd w:val="clear" w:color="auto" w:fill="FFFFFF"/>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Segal, C. (1964) ‘Sophocles’ Praise of Man and the </w:t>
      </w:r>
      <w:proofErr w:type="spellStart"/>
      <w:r>
        <w:rPr>
          <w:rFonts w:ascii="Times New Roman" w:hAnsi="Times New Roman" w:cs="Times New Roman"/>
          <w:bCs/>
          <w:sz w:val="24"/>
          <w:szCs w:val="24"/>
        </w:rPr>
        <w:t>Conflics</w:t>
      </w:r>
      <w:proofErr w:type="spellEnd"/>
      <w:r>
        <w:rPr>
          <w:rFonts w:ascii="Times New Roman" w:hAnsi="Times New Roman" w:cs="Times New Roman"/>
          <w:bCs/>
          <w:sz w:val="24"/>
          <w:szCs w:val="24"/>
        </w:rPr>
        <w:t xml:space="preserve"> of “Antigone”’, </w:t>
      </w:r>
      <w:r>
        <w:rPr>
          <w:rFonts w:ascii="Times New Roman" w:hAnsi="Times New Roman" w:cs="Times New Roman"/>
          <w:bCs/>
          <w:i/>
          <w:iCs/>
          <w:sz w:val="24"/>
          <w:szCs w:val="24"/>
        </w:rPr>
        <w:t>A Journal of Humanities and the Classics</w:t>
      </w:r>
      <w:r>
        <w:rPr>
          <w:rFonts w:ascii="Times New Roman" w:hAnsi="Times New Roman" w:cs="Times New Roman"/>
          <w:bCs/>
          <w:sz w:val="24"/>
          <w:szCs w:val="24"/>
        </w:rPr>
        <w:t>, 3, pp. 44-46</w:t>
      </w:r>
    </w:p>
    <w:p w14:paraId="34121628" w14:textId="77777777" w:rsidR="008D3AC0" w:rsidRDefault="008D3AC0" w:rsidP="00B25B57">
      <w:pPr>
        <w:shd w:val="clear" w:color="auto" w:fill="FFFFFF"/>
        <w:spacing w:line="480" w:lineRule="auto"/>
        <w:rPr>
          <w:rFonts w:ascii="Times New Roman" w:hAnsi="Times New Roman" w:cs="Times New Roman"/>
          <w:bCs/>
          <w:sz w:val="24"/>
          <w:szCs w:val="24"/>
        </w:rPr>
      </w:pPr>
      <w:proofErr w:type="spellStart"/>
      <w:r>
        <w:rPr>
          <w:rFonts w:ascii="Times New Roman" w:hAnsi="Times New Roman" w:cs="Times New Roman"/>
          <w:bCs/>
          <w:sz w:val="24"/>
          <w:szCs w:val="24"/>
        </w:rPr>
        <w:t>Sorrum</w:t>
      </w:r>
      <w:proofErr w:type="spellEnd"/>
      <w:r>
        <w:rPr>
          <w:rFonts w:ascii="Times New Roman" w:hAnsi="Times New Roman" w:cs="Times New Roman"/>
          <w:bCs/>
          <w:sz w:val="24"/>
          <w:szCs w:val="24"/>
        </w:rPr>
        <w:t xml:space="preserve">, C.E. (1982) ‘The Family in Sophocles’ “Antigone” and “Electra”’, </w:t>
      </w:r>
      <w:r>
        <w:rPr>
          <w:rFonts w:ascii="Times New Roman" w:hAnsi="Times New Roman" w:cs="Times New Roman"/>
          <w:bCs/>
          <w:i/>
          <w:iCs/>
          <w:sz w:val="24"/>
          <w:szCs w:val="24"/>
        </w:rPr>
        <w:t>The Classical World</w:t>
      </w:r>
      <w:r>
        <w:rPr>
          <w:rFonts w:ascii="Times New Roman" w:hAnsi="Times New Roman" w:cs="Times New Roman"/>
          <w:bCs/>
          <w:sz w:val="24"/>
          <w:szCs w:val="24"/>
        </w:rPr>
        <w:t>, 57, pp. 201-211.</w:t>
      </w:r>
    </w:p>
    <w:p w14:paraId="34E8D64C" w14:textId="77777777" w:rsidR="008D3AC0" w:rsidRDefault="008D3AC0" w:rsidP="00B25B57">
      <w:pPr>
        <w:shd w:val="clear" w:color="auto" w:fill="FFFFFF"/>
        <w:spacing w:line="480" w:lineRule="auto"/>
        <w:rPr>
          <w:rFonts w:ascii="Times New Roman" w:hAnsi="Times New Roman" w:cs="Times New Roman"/>
          <w:bCs/>
          <w:sz w:val="24"/>
          <w:szCs w:val="24"/>
        </w:rPr>
      </w:pPr>
      <w:proofErr w:type="spellStart"/>
      <w:r>
        <w:rPr>
          <w:rFonts w:ascii="Times New Roman" w:hAnsi="Times New Roman" w:cs="Times New Roman"/>
          <w:bCs/>
          <w:sz w:val="24"/>
          <w:szCs w:val="24"/>
        </w:rPr>
        <w:t>Sourinou</w:t>
      </w:r>
      <w:proofErr w:type="spellEnd"/>
      <w:r>
        <w:rPr>
          <w:rFonts w:ascii="Times New Roman" w:hAnsi="Times New Roman" w:cs="Times New Roman"/>
          <w:bCs/>
          <w:sz w:val="24"/>
          <w:szCs w:val="24"/>
        </w:rPr>
        <w:t xml:space="preserve">-Inwood, C., (1989) ‘Assumptions and the Creation of Meaning: Reading Sophocles’ Antigone’, </w:t>
      </w:r>
      <w:r>
        <w:rPr>
          <w:rFonts w:ascii="Times New Roman" w:hAnsi="Times New Roman" w:cs="Times New Roman"/>
          <w:bCs/>
          <w:i/>
          <w:iCs/>
          <w:sz w:val="24"/>
          <w:szCs w:val="24"/>
        </w:rPr>
        <w:t>The Journal of Hellenistic Studies</w:t>
      </w:r>
      <w:r>
        <w:rPr>
          <w:rFonts w:ascii="Times New Roman" w:hAnsi="Times New Roman" w:cs="Times New Roman"/>
          <w:bCs/>
          <w:sz w:val="24"/>
          <w:szCs w:val="24"/>
        </w:rPr>
        <w:t>, 109, pp. 134-148.</w:t>
      </w:r>
    </w:p>
    <w:p w14:paraId="6371EC50" w14:textId="77777777" w:rsidR="008D3AC0" w:rsidRDefault="008D3AC0" w:rsidP="00B25B57">
      <w:pPr>
        <w:shd w:val="clear" w:color="auto" w:fill="FFFFFF"/>
        <w:spacing w:line="480" w:lineRule="auto"/>
        <w:rPr>
          <w:rFonts w:ascii="Times New Roman" w:hAnsi="Times New Roman" w:cs="Times New Roman"/>
          <w:bCs/>
          <w:sz w:val="24"/>
          <w:szCs w:val="24"/>
        </w:rPr>
      </w:pPr>
      <w:proofErr w:type="spellStart"/>
      <w:r>
        <w:rPr>
          <w:rFonts w:ascii="Times New Roman" w:hAnsi="Times New Roman" w:cs="Times New Roman"/>
          <w:bCs/>
          <w:sz w:val="24"/>
          <w:szCs w:val="24"/>
        </w:rPr>
        <w:t>Staehler</w:t>
      </w:r>
      <w:proofErr w:type="spellEnd"/>
      <w:r>
        <w:rPr>
          <w:rFonts w:ascii="Times New Roman" w:hAnsi="Times New Roman" w:cs="Times New Roman"/>
          <w:bCs/>
          <w:sz w:val="24"/>
          <w:szCs w:val="24"/>
        </w:rPr>
        <w:t xml:space="preserve">, T., (2007) ‘Antigone and the Nature of Law’, in Freeman, M. and Harrison, R. (ed) </w:t>
      </w:r>
      <w:r>
        <w:rPr>
          <w:rFonts w:ascii="Times New Roman" w:hAnsi="Times New Roman" w:cs="Times New Roman"/>
          <w:bCs/>
          <w:i/>
          <w:iCs/>
          <w:sz w:val="24"/>
          <w:szCs w:val="24"/>
        </w:rPr>
        <w:t>Law and Philosophy</w:t>
      </w:r>
      <w:r>
        <w:rPr>
          <w:rFonts w:ascii="Times New Roman" w:hAnsi="Times New Roman" w:cs="Times New Roman"/>
          <w:bCs/>
          <w:sz w:val="24"/>
          <w:szCs w:val="24"/>
        </w:rPr>
        <w:t xml:space="preserve">. Oxford: Oxford University Press. </w:t>
      </w:r>
    </w:p>
    <w:p w14:paraId="7A1F76D2" w14:textId="77777777" w:rsidR="00B25B57" w:rsidRDefault="00B25B57" w:rsidP="00B25B57">
      <w:pPr>
        <w:shd w:val="clear" w:color="auto" w:fill="FFFFFF"/>
        <w:spacing w:line="480" w:lineRule="auto"/>
        <w:rPr>
          <w:rFonts w:ascii="Times New Roman" w:hAnsi="Times New Roman" w:cs="Times New Roman"/>
          <w:bCs/>
          <w:sz w:val="24"/>
          <w:szCs w:val="24"/>
        </w:rPr>
      </w:pPr>
    </w:p>
    <w:p w14:paraId="241E610F" w14:textId="77777777" w:rsidR="00B25B57" w:rsidRDefault="00B25B57" w:rsidP="00B25B57">
      <w:pPr>
        <w:shd w:val="clear" w:color="auto" w:fill="FFFFFF"/>
        <w:spacing w:line="480" w:lineRule="auto"/>
        <w:rPr>
          <w:rFonts w:ascii="Times New Roman" w:hAnsi="Times New Roman" w:cs="Times New Roman"/>
          <w:bCs/>
          <w:sz w:val="24"/>
          <w:szCs w:val="24"/>
        </w:rPr>
      </w:pPr>
      <w:r>
        <w:rPr>
          <w:rFonts w:ascii="Times New Roman" w:hAnsi="Times New Roman" w:cs="Times New Roman"/>
          <w:bCs/>
          <w:sz w:val="24"/>
          <w:szCs w:val="24"/>
        </w:rPr>
        <w:t>Ancient Sources:</w:t>
      </w:r>
    </w:p>
    <w:p w14:paraId="3C7E3F36" w14:textId="77777777" w:rsidR="00B25B57" w:rsidRPr="00F31AF8" w:rsidRDefault="00B25B57" w:rsidP="00B25B57">
      <w:pPr>
        <w:shd w:val="clear" w:color="auto" w:fill="FFFFFF"/>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Sophocles, </w:t>
      </w:r>
      <w:r>
        <w:rPr>
          <w:rFonts w:ascii="Times New Roman" w:hAnsi="Times New Roman" w:cs="Times New Roman"/>
          <w:bCs/>
          <w:i/>
          <w:iCs/>
          <w:sz w:val="24"/>
          <w:szCs w:val="24"/>
        </w:rPr>
        <w:t>Antigone</w:t>
      </w:r>
      <w:r>
        <w:rPr>
          <w:rFonts w:ascii="Times New Roman" w:hAnsi="Times New Roman" w:cs="Times New Roman"/>
          <w:bCs/>
          <w:sz w:val="24"/>
          <w:szCs w:val="24"/>
        </w:rPr>
        <w:t xml:space="preserve">. R. </w:t>
      </w:r>
      <w:proofErr w:type="spellStart"/>
      <w:r>
        <w:rPr>
          <w:rFonts w:ascii="Times New Roman" w:hAnsi="Times New Roman" w:cs="Times New Roman"/>
          <w:bCs/>
          <w:sz w:val="24"/>
          <w:szCs w:val="24"/>
        </w:rPr>
        <w:t>Fagles</w:t>
      </w:r>
      <w:proofErr w:type="spellEnd"/>
      <w:r>
        <w:rPr>
          <w:rFonts w:ascii="Times New Roman" w:hAnsi="Times New Roman" w:cs="Times New Roman"/>
          <w:bCs/>
          <w:sz w:val="24"/>
          <w:szCs w:val="24"/>
        </w:rPr>
        <w:t xml:space="preserve"> (trans). 1984. London: Penguin Classics</w:t>
      </w:r>
    </w:p>
    <w:p w14:paraId="3AFCF5B9" w14:textId="14E6C469" w:rsidR="00B25B57" w:rsidRDefault="00B25B57">
      <w:pPr>
        <w:shd w:val="clear" w:color="auto" w:fill="FFFFFF"/>
        <w:spacing w:line="480" w:lineRule="auto"/>
      </w:pPr>
    </w:p>
    <w:p w14:paraId="291355CF" w14:textId="77777777" w:rsidR="008D3AC0" w:rsidRPr="008D3AC0" w:rsidRDefault="008D3AC0">
      <w:pPr>
        <w:shd w:val="clear" w:color="auto" w:fill="FFFFFF"/>
        <w:spacing w:line="480" w:lineRule="auto"/>
        <w:rPr>
          <w:rFonts w:ascii="Times New Roman" w:hAnsi="Times New Roman" w:cs="Times New Roman"/>
          <w:sz w:val="28"/>
          <w:szCs w:val="28"/>
        </w:rPr>
      </w:pPr>
    </w:p>
    <w:sectPr w:rsidR="008D3AC0" w:rsidRPr="008D3AC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CC814B" w14:textId="77777777" w:rsidR="00B70118" w:rsidRDefault="00B70118" w:rsidP="00B70118">
      <w:pPr>
        <w:spacing w:line="240" w:lineRule="auto"/>
      </w:pPr>
      <w:r>
        <w:separator/>
      </w:r>
    </w:p>
  </w:endnote>
  <w:endnote w:type="continuationSeparator" w:id="0">
    <w:p w14:paraId="67FCFEC2" w14:textId="77777777" w:rsidR="00B70118" w:rsidRDefault="00B70118" w:rsidP="00B701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6FC00A" w14:textId="77777777" w:rsidR="00B70118" w:rsidRDefault="00B70118" w:rsidP="00B70118">
      <w:pPr>
        <w:spacing w:line="240" w:lineRule="auto"/>
      </w:pPr>
      <w:r>
        <w:separator/>
      </w:r>
    </w:p>
  </w:footnote>
  <w:footnote w:type="continuationSeparator" w:id="0">
    <w:p w14:paraId="6A66068A" w14:textId="77777777" w:rsidR="00B70118" w:rsidRDefault="00B70118" w:rsidP="00B70118">
      <w:pPr>
        <w:spacing w:line="240" w:lineRule="auto"/>
      </w:pPr>
      <w:r>
        <w:continuationSeparator/>
      </w:r>
    </w:p>
  </w:footnote>
  <w:footnote w:id="1">
    <w:p w14:paraId="559BDF01" w14:textId="7C8311B2" w:rsidR="00B70118" w:rsidRDefault="00B70118">
      <w:pPr>
        <w:pStyle w:val="FootnoteText"/>
      </w:pPr>
      <w:r>
        <w:rPr>
          <w:rStyle w:val="FootnoteReference"/>
        </w:rPr>
        <w:footnoteRef/>
      </w:r>
      <w:r>
        <w:t xml:space="preserve"> Greek Law, 1998</w:t>
      </w:r>
    </w:p>
  </w:footnote>
  <w:footnote w:id="2">
    <w:p w14:paraId="448C2375" w14:textId="539B5C05" w:rsidR="00B70118" w:rsidRDefault="00B70118">
      <w:pPr>
        <w:pStyle w:val="FootnoteText"/>
      </w:pPr>
      <w:r>
        <w:rPr>
          <w:rStyle w:val="FootnoteReference"/>
        </w:rPr>
        <w:footnoteRef/>
      </w:r>
      <w:r>
        <w:t xml:space="preserve"> Vandiver, 2012, p.144; Reece, 1993, p.182</w:t>
      </w:r>
    </w:p>
  </w:footnote>
  <w:footnote w:id="3">
    <w:p w14:paraId="51BA535A" w14:textId="043D7202" w:rsidR="00B70118" w:rsidRDefault="00B70118">
      <w:pPr>
        <w:pStyle w:val="FootnoteText"/>
      </w:pPr>
      <w:r>
        <w:rPr>
          <w:rStyle w:val="FootnoteReference"/>
        </w:rPr>
        <w:footnoteRef/>
      </w:r>
      <w:r>
        <w:t xml:space="preserve"> Vandiver, 2012, p.144</w:t>
      </w:r>
    </w:p>
  </w:footnote>
  <w:footnote w:id="4">
    <w:p w14:paraId="5FF8BDDD" w14:textId="0B872DD4" w:rsidR="00B70118" w:rsidRPr="00B70118" w:rsidRDefault="00B70118">
      <w:pPr>
        <w:pStyle w:val="FootnoteText"/>
      </w:pPr>
      <w:r>
        <w:rPr>
          <w:rStyle w:val="FootnoteReference"/>
        </w:rPr>
        <w:footnoteRef/>
      </w:r>
      <w:r>
        <w:t xml:space="preserve"> Homer, </w:t>
      </w:r>
      <w:r>
        <w:rPr>
          <w:i/>
          <w:iCs/>
        </w:rPr>
        <w:t>Od.</w:t>
      </w:r>
      <w:r>
        <w:t>14.65</w:t>
      </w:r>
    </w:p>
  </w:footnote>
  <w:footnote w:id="5">
    <w:p w14:paraId="2E141237" w14:textId="2CE0824B" w:rsidR="00B70118" w:rsidRDefault="00B70118">
      <w:pPr>
        <w:pStyle w:val="FootnoteText"/>
      </w:pPr>
      <w:r>
        <w:rPr>
          <w:rStyle w:val="FootnoteReference"/>
        </w:rPr>
        <w:footnoteRef/>
      </w:r>
      <w:r>
        <w:t xml:space="preserve"> Scodel, 2005, p.233</w:t>
      </w:r>
    </w:p>
  </w:footnote>
  <w:footnote w:id="6">
    <w:p w14:paraId="56ABD19E" w14:textId="320BFAA2" w:rsidR="00B70118" w:rsidRDefault="00B70118">
      <w:pPr>
        <w:pStyle w:val="FootnoteText"/>
      </w:pPr>
      <w:r>
        <w:rPr>
          <w:rStyle w:val="FootnoteReference"/>
        </w:rPr>
        <w:footnoteRef/>
      </w:r>
      <w:r>
        <w:t xml:space="preserve"> Scodel, 2005, p.236</w:t>
      </w:r>
    </w:p>
  </w:footnote>
  <w:footnote w:id="7">
    <w:p w14:paraId="24CFB430" w14:textId="6E693F10" w:rsidR="001E354B" w:rsidRDefault="001E354B">
      <w:pPr>
        <w:pStyle w:val="FootnoteText"/>
      </w:pPr>
      <w:r>
        <w:rPr>
          <w:rStyle w:val="FootnoteReference"/>
        </w:rPr>
        <w:footnoteRef/>
      </w:r>
      <w:r>
        <w:t xml:space="preserve"> Scodel, 2005, p.238</w:t>
      </w:r>
    </w:p>
  </w:footnote>
  <w:footnote w:id="8">
    <w:p w14:paraId="1A401A9F" w14:textId="222E79E2" w:rsidR="001E354B" w:rsidRDefault="001E354B">
      <w:pPr>
        <w:pStyle w:val="FootnoteText"/>
      </w:pPr>
      <w:r>
        <w:rPr>
          <w:rStyle w:val="FootnoteReference"/>
        </w:rPr>
        <w:footnoteRef/>
      </w:r>
      <w:r>
        <w:t xml:space="preserve"> Scodel, 2005, p.238</w:t>
      </w:r>
    </w:p>
  </w:footnote>
  <w:footnote w:id="9">
    <w:p w14:paraId="54064F2D" w14:textId="61ACF0C9" w:rsidR="001E354B" w:rsidRDefault="001E354B">
      <w:pPr>
        <w:pStyle w:val="FootnoteText"/>
      </w:pPr>
      <w:r>
        <w:rPr>
          <w:rStyle w:val="FootnoteReference"/>
        </w:rPr>
        <w:footnoteRef/>
      </w:r>
      <w:r>
        <w:t xml:space="preserve"> Scodel, 2005, p.238</w:t>
      </w:r>
    </w:p>
  </w:footnote>
  <w:footnote w:id="10">
    <w:p w14:paraId="729E1309" w14:textId="0BA6E33B" w:rsidR="001E354B" w:rsidRDefault="001E354B">
      <w:pPr>
        <w:pStyle w:val="FootnoteText"/>
      </w:pPr>
      <w:r>
        <w:rPr>
          <w:rStyle w:val="FootnoteReference"/>
        </w:rPr>
        <w:footnoteRef/>
      </w:r>
      <w:r>
        <w:t xml:space="preserve"> Scodel, 2005, p.234</w:t>
      </w:r>
    </w:p>
  </w:footnote>
  <w:footnote w:id="11">
    <w:p w14:paraId="0CBAE583" w14:textId="30D5CAD6" w:rsidR="001E354B" w:rsidRDefault="001E354B">
      <w:pPr>
        <w:pStyle w:val="FootnoteText"/>
      </w:pPr>
      <w:r>
        <w:rPr>
          <w:rStyle w:val="FootnoteReference"/>
        </w:rPr>
        <w:footnoteRef/>
      </w:r>
      <w:r>
        <w:t xml:space="preserve"> Scodel, 2005, p.234</w:t>
      </w:r>
    </w:p>
  </w:footnote>
  <w:footnote w:id="12">
    <w:p w14:paraId="273D6D65" w14:textId="32373EE8" w:rsidR="00AA5D9D" w:rsidRDefault="00AA5D9D">
      <w:pPr>
        <w:pStyle w:val="FootnoteText"/>
      </w:pPr>
      <w:r>
        <w:rPr>
          <w:rStyle w:val="FootnoteReference"/>
        </w:rPr>
        <w:footnoteRef/>
      </w:r>
      <w:r>
        <w:t xml:space="preserve"> Sorum, 1982, p.201</w:t>
      </w:r>
    </w:p>
  </w:footnote>
  <w:footnote w:id="13">
    <w:p w14:paraId="35316251" w14:textId="6E9E3177" w:rsidR="00AA5D9D" w:rsidRDefault="00AA5D9D">
      <w:pPr>
        <w:pStyle w:val="FootnoteText"/>
      </w:pPr>
      <w:r>
        <w:rPr>
          <w:rStyle w:val="FootnoteReference"/>
        </w:rPr>
        <w:footnoteRef/>
      </w:r>
      <w:r>
        <w:t xml:space="preserve"> Sorum, 1982, p.205</w:t>
      </w:r>
    </w:p>
  </w:footnote>
  <w:footnote w:id="14">
    <w:p w14:paraId="1488DD97" w14:textId="26BB3C84" w:rsidR="00AA5D9D" w:rsidRDefault="00AA5D9D">
      <w:pPr>
        <w:pStyle w:val="FootnoteText"/>
      </w:pPr>
      <w:r>
        <w:rPr>
          <w:rStyle w:val="FootnoteReference"/>
        </w:rPr>
        <w:footnoteRef/>
      </w:r>
      <w:r>
        <w:t xml:space="preserve"> Sorum, 1982, p.205</w:t>
      </w:r>
    </w:p>
  </w:footnote>
  <w:footnote w:id="15">
    <w:p w14:paraId="2B838B48" w14:textId="4C0871CE" w:rsidR="001E354B" w:rsidRDefault="001E354B">
      <w:pPr>
        <w:pStyle w:val="FootnoteText"/>
      </w:pPr>
      <w:r>
        <w:rPr>
          <w:rStyle w:val="FootnoteReference"/>
        </w:rPr>
        <w:footnoteRef/>
      </w:r>
      <w:r>
        <w:t xml:space="preserve"> Fletcher, 2008, p.80</w:t>
      </w:r>
    </w:p>
  </w:footnote>
  <w:footnote w:id="16">
    <w:p w14:paraId="6A83E331" w14:textId="51313F20" w:rsidR="001E354B" w:rsidRDefault="001E354B">
      <w:pPr>
        <w:pStyle w:val="FootnoteText"/>
      </w:pPr>
      <w:r>
        <w:rPr>
          <w:rStyle w:val="FootnoteReference"/>
        </w:rPr>
        <w:footnoteRef/>
      </w:r>
      <w:r>
        <w:t xml:space="preserve"> Fletcher, 2008, p.87</w:t>
      </w:r>
    </w:p>
  </w:footnote>
  <w:footnote w:id="17">
    <w:p w14:paraId="3CFBAF9A" w14:textId="2726AB3D" w:rsidR="001E354B" w:rsidRDefault="001E354B">
      <w:pPr>
        <w:pStyle w:val="FootnoteText"/>
      </w:pPr>
      <w:r>
        <w:rPr>
          <w:rStyle w:val="FootnoteReference"/>
        </w:rPr>
        <w:footnoteRef/>
      </w:r>
      <w:r>
        <w:t xml:space="preserve"> Fletcher, 2008, p.85</w:t>
      </w:r>
    </w:p>
  </w:footnote>
  <w:footnote w:id="18">
    <w:p w14:paraId="7B9D72E0" w14:textId="6393909A" w:rsidR="001E354B" w:rsidRDefault="001E354B">
      <w:pPr>
        <w:pStyle w:val="FootnoteText"/>
      </w:pPr>
      <w:r>
        <w:rPr>
          <w:rStyle w:val="FootnoteReference"/>
        </w:rPr>
        <w:footnoteRef/>
      </w:r>
      <w:r>
        <w:t xml:space="preserve"> Fletcher, 2008, p.81</w:t>
      </w:r>
    </w:p>
  </w:footnote>
  <w:footnote w:id="19">
    <w:p w14:paraId="2F725E88" w14:textId="78F8B7E6" w:rsidR="00AA5D9D" w:rsidRDefault="00AA5D9D">
      <w:pPr>
        <w:pStyle w:val="FootnoteText"/>
      </w:pPr>
      <w:r>
        <w:rPr>
          <w:rStyle w:val="FootnoteReference"/>
        </w:rPr>
        <w:footnoteRef/>
      </w:r>
      <w:r>
        <w:t xml:space="preserve"> Fletcher, 2008, p.85</w:t>
      </w:r>
    </w:p>
  </w:footnote>
  <w:footnote w:id="20">
    <w:p w14:paraId="6C541006" w14:textId="27292F81" w:rsidR="001E354B" w:rsidRDefault="001E354B">
      <w:pPr>
        <w:pStyle w:val="FootnoteText"/>
      </w:pPr>
      <w:r>
        <w:rPr>
          <w:rStyle w:val="FootnoteReference"/>
        </w:rPr>
        <w:footnoteRef/>
      </w:r>
      <w:r>
        <w:t xml:space="preserve"> Fletcher, 2008, p.87</w:t>
      </w:r>
    </w:p>
  </w:footnote>
  <w:footnote w:id="21">
    <w:p w14:paraId="6AF5A860" w14:textId="59279E6E" w:rsidR="001E354B" w:rsidRDefault="001E354B">
      <w:pPr>
        <w:pStyle w:val="FootnoteText"/>
      </w:pPr>
      <w:r>
        <w:rPr>
          <w:rStyle w:val="FootnoteReference"/>
        </w:rPr>
        <w:footnoteRef/>
      </w:r>
      <w:r>
        <w:t xml:space="preserve"> Fletcher, 2008, p.87</w:t>
      </w:r>
    </w:p>
  </w:footnote>
  <w:footnote w:id="22">
    <w:p w14:paraId="79659EF6" w14:textId="48DF9162" w:rsidR="001E354B" w:rsidRDefault="001E354B">
      <w:pPr>
        <w:pStyle w:val="FootnoteText"/>
      </w:pPr>
      <w:r>
        <w:rPr>
          <w:rStyle w:val="FootnoteReference"/>
        </w:rPr>
        <w:footnoteRef/>
      </w:r>
      <w:r>
        <w:t xml:space="preserve"> Fletcher, 2008, p.85</w:t>
      </w:r>
    </w:p>
  </w:footnote>
  <w:footnote w:id="23">
    <w:p w14:paraId="38A5F8F5" w14:textId="1F1A0ED1" w:rsidR="001E354B" w:rsidRDefault="001E354B">
      <w:pPr>
        <w:pStyle w:val="FootnoteText"/>
      </w:pPr>
      <w:r>
        <w:rPr>
          <w:rStyle w:val="FootnoteReference"/>
        </w:rPr>
        <w:footnoteRef/>
      </w:r>
      <w:r>
        <w:t xml:space="preserve"> Fletcher, 2008, p.88</w:t>
      </w:r>
    </w:p>
  </w:footnote>
  <w:footnote w:id="24">
    <w:p w14:paraId="46D3BBBF" w14:textId="0EEB941D" w:rsidR="001E354B" w:rsidRDefault="001E354B">
      <w:pPr>
        <w:pStyle w:val="FootnoteText"/>
      </w:pPr>
      <w:r>
        <w:rPr>
          <w:rStyle w:val="FootnoteReference"/>
        </w:rPr>
        <w:footnoteRef/>
      </w:r>
      <w:r>
        <w:t xml:space="preserve"> Fletcher, 2008, p.88</w:t>
      </w:r>
    </w:p>
  </w:footnote>
  <w:footnote w:id="25">
    <w:p w14:paraId="462655D3" w14:textId="02D14220" w:rsidR="001E354B" w:rsidRDefault="001E354B">
      <w:pPr>
        <w:pStyle w:val="FootnoteText"/>
      </w:pPr>
      <w:r>
        <w:rPr>
          <w:rStyle w:val="FootnoteReference"/>
        </w:rPr>
        <w:footnoteRef/>
      </w:r>
      <w:r>
        <w:t xml:space="preserve"> Fletcher, 2008, p.88</w:t>
      </w:r>
    </w:p>
  </w:footnote>
  <w:footnote w:id="26">
    <w:p w14:paraId="35FA6849" w14:textId="318AB3E0" w:rsidR="001E354B" w:rsidRDefault="001E354B">
      <w:pPr>
        <w:pStyle w:val="FootnoteText"/>
      </w:pPr>
      <w:r>
        <w:rPr>
          <w:rStyle w:val="FootnoteReference"/>
        </w:rPr>
        <w:footnoteRef/>
      </w:r>
      <w:r>
        <w:t xml:space="preserve"> Fletcher, 2008, p.89</w:t>
      </w:r>
    </w:p>
  </w:footnote>
  <w:footnote w:id="27">
    <w:p w14:paraId="1D90DB53" w14:textId="54A811C7" w:rsidR="001E354B" w:rsidRDefault="001E354B">
      <w:pPr>
        <w:pStyle w:val="FootnoteText"/>
      </w:pPr>
      <w:r>
        <w:rPr>
          <w:rStyle w:val="FootnoteReference"/>
        </w:rPr>
        <w:footnoteRef/>
      </w:r>
      <w:r>
        <w:t xml:space="preserve"> Scodel, 2005, p.236</w:t>
      </w:r>
    </w:p>
  </w:footnote>
  <w:footnote w:id="28">
    <w:p w14:paraId="5E4965E1" w14:textId="3CFB0C0E" w:rsidR="001E354B" w:rsidRDefault="001E354B">
      <w:pPr>
        <w:pStyle w:val="FootnoteText"/>
      </w:pPr>
      <w:r>
        <w:rPr>
          <w:rStyle w:val="FootnoteReference"/>
        </w:rPr>
        <w:footnoteRef/>
      </w:r>
      <w:r>
        <w:t xml:space="preserve"> Fletcher, 2008, p.91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2D7"/>
    <w:rsid w:val="0015512C"/>
    <w:rsid w:val="001E354B"/>
    <w:rsid w:val="002102E3"/>
    <w:rsid w:val="00365635"/>
    <w:rsid w:val="00555C46"/>
    <w:rsid w:val="00872F7F"/>
    <w:rsid w:val="008D3AC0"/>
    <w:rsid w:val="00AA5D9D"/>
    <w:rsid w:val="00B25B57"/>
    <w:rsid w:val="00B70118"/>
    <w:rsid w:val="00DE62D7"/>
    <w:rsid w:val="00E81D6B"/>
    <w:rsid w:val="00F2379E"/>
    <w:rsid w:val="00FC3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718C1"/>
  <w15:docId w15:val="{F50FF07D-9F6D-4571-A3D4-847258EDF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B70118"/>
    <w:pPr>
      <w:spacing w:line="240" w:lineRule="auto"/>
    </w:pPr>
    <w:rPr>
      <w:sz w:val="20"/>
      <w:szCs w:val="20"/>
    </w:rPr>
  </w:style>
  <w:style w:type="character" w:customStyle="1" w:styleId="FootnoteTextChar">
    <w:name w:val="Footnote Text Char"/>
    <w:basedOn w:val="DefaultParagraphFont"/>
    <w:link w:val="FootnoteText"/>
    <w:uiPriority w:val="99"/>
    <w:semiHidden/>
    <w:rsid w:val="00B70118"/>
    <w:rPr>
      <w:sz w:val="20"/>
      <w:szCs w:val="20"/>
    </w:rPr>
  </w:style>
  <w:style w:type="character" w:styleId="FootnoteReference">
    <w:name w:val="footnote reference"/>
    <w:basedOn w:val="DefaultParagraphFont"/>
    <w:uiPriority w:val="99"/>
    <w:semiHidden/>
    <w:unhideWhenUsed/>
    <w:rsid w:val="00B701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FC012D-248E-491E-B394-8280D8D6F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5664</TotalTime>
  <Pages>11</Pages>
  <Words>2483</Words>
  <Characters>14154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Georgia Biggar (1703322)</cp:lastModifiedBy>
  <cp:revision>8</cp:revision>
  <dcterms:created xsi:type="dcterms:W3CDTF">2020-04-28T18:58:00Z</dcterms:created>
  <dcterms:modified xsi:type="dcterms:W3CDTF">2020-07-01T14:32:00Z</dcterms:modified>
</cp:coreProperties>
</file>