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5DAB3" w14:textId="144D66FD" w:rsidR="003462E5" w:rsidRDefault="003462E5" w:rsidP="00501BB1">
      <w:pPr>
        <w:spacing w:before="120" w:after="120" w:line="360" w:lineRule="auto"/>
        <w:rPr>
          <w:rFonts w:ascii="Arial" w:eastAsiaTheme="majorEastAsia" w:hAnsi="Arial" w:cstheme="majorBidi"/>
          <w:b/>
          <w:color w:val="0F4761" w:themeColor="accent1" w:themeShade="BF"/>
          <w:sz w:val="32"/>
          <w:szCs w:val="40"/>
        </w:rPr>
      </w:pPr>
      <w:r w:rsidRPr="00A406E5">
        <w:rPr>
          <w:rFonts w:ascii="Arial" w:hAnsi="Arial" w:cs="Arial"/>
        </w:rPr>
        <w:drawing>
          <wp:anchor distT="0" distB="0" distL="114300" distR="114300" simplePos="0" relativeHeight="251659264" behindDoc="0" locked="0" layoutInCell="1" allowOverlap="1" wp14:anchorId="1D1DA6CA" wp14:editId="33386E00">
            <wp:simplePos x="0" y="0"/>
            <wp:positionH relativeFrom="column">
              <wp:posOffset>-259080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EC3D069" w14:textId="77777777" w:rsidR="003462E5" w:rsidRDefault="003462E5" w:rsidP="00501BB1">
      <w:pPr>
        <w:spacing w:before="120" w:after="120" w:line="360" w:lineRule="auto"/>
      </w:pPr>
    </w:p>
    <w:p w14:paraId="71649CA1" w14:textId="77777777" w:rsidR="003462E5" w:rsidRDefault="003462E5" w:rsidP="00501BB1">
      <w:pPr>
        <w:spacing w:before="120" w:after="120" w:line="360" w:lineRule="auto"/>
      </w:pPr>
    </w:p>
    <w:p w14:paraId="31C768E8" w14:textId="77777777" w:rsidR="00501BB1" w:rsidRDefault="00501BB1" w:rsidP="00501BB1">
      <w:pPr>
        <w:spacing w:before="120" w:after="120" w:line="360" w:lineRule="auto"/>
      </w:pPr>
    </w:p>
    <w:p w14:paraId="6EE04AD3" w14:textId="77777777" w:rsidR="00501BB1" w:rsidRDefault="00501BB1" w:rsidP="00501BB1">
      <w:pPr>
        <w:spacing w:before="120" w:after="120" w:line="360" w:lineRule="auto"/>
      </w:pPr>
    </w:p>
    <w:p w14:paraId="717CA6CB" w14:textId="77777777" w:rsidR="00501BB1" w:rsidRDefault="00501BB1" w:rsidP="00501BB1">
      <w:pPr>
        <w:spacing w:before="120" w:after="120" w:line="360" w:lineRule="auto"/>
      </w:pPr>
    </w:p>
    <w:p w14:paraId="6490B044" w14:textId="77777777" w:rsidR="00501BB1" w:rsidRDefault="00501BB1" w:rsidP="00501BB1">
      <w:pPr>
        <w:spacing w:before="120" w:after="120" w:line="360" w:lineRule="auto"/>
      </w:pPr>
    </w:p>
    <w:p w14:paraId="168167AE" w14:textId="7D733C2C" w:rsidR="00501BB1" w:rsidRPr="00501BB1" w:rsidRDefault="003462E5" w:rsidP="00501BB1">
      <w:pPr>
        <w:spacing w:before="120" w:after="120" w:line="360" w:lineRule="auto"/>
        <w:jc w:val="center"/>
        <w:rPr>
          <w:rFonts w:ascii="Arial" w:hAnsi="Arial" w:cs="Arial"/>
          <w:b/>
          <w:bCs/>
          <w:sz w:val="40"/>
          <w:szCs w:val="40"/>
        </w:rPr>
      </w:pPr>
      <w:r w:rsidRPr="00501BB1">
        <w:rPr>
          <w:rFonts w:ascii="Arial" w:hAnsi="Arial" w:cs="Arial"/>
          <w:b/>
          <w:bCs/>
          <w:sz w:val="40"/>
          <w:szCs w:val="40"/>
        </w:rPr>
        <w:t>LCHS4003</w:t>
      </w:r>
    </w:p>
    <w:p w14:paraId="0F84FF41" w14:textId="03DED441" w:rsidR="003462E5" w:rsidRPr="00501BB1" w:rsidRDefault="003462E5" w:rsidP="00501BB1">
      <w:pPr>
        <w:spacing w:before="120" w:after="120" w:line="360" w:lineRule="auto"/>
        <w:jc w:val="center"/>
        <w:rPr>
          <w:rFonts w:ascii="Arial" w:hAnsi="Arial" w:cs="Arial"/>
          <w:b/>
          <w:bCs/>
          <w:sz w:val="40"/>
          <w:szCs w:val="40"/>
        </w:rPr>
      </w:pPr>
      <w:r w:rsidRPr="00501BB1">
        <w:rPr>
          <w:rFonts w:ascii="Arial" w:hAnsi="Arial" w:cs="Arial"/>
          <w:b/>
          <w:bCs/>
          <w:sz w:val="40"/>
          <w:szCs w:val="40"/>
        </w:rPr>
        <w:t>Introduction to Health and Social Care</w:t>
      </w:r>
    </w:p>
    <w:p w14:paraId="70C35176" w14:textId="1019181A" w:rsidR="003462E5" w:rsidRDefault="003462E5" w:rsidP="00501BB1">
      <w:pPr>
        <w:spacing w:before="120" w:after="120" w:line="360" w:lineRule="auto"/>
        <w:jc w:val="center"/>
        <w:rPr>
          <w:rFonts w:ascii="Arial" w:hAnsi="Arial" w:cs="Arial"/>
          <w:b/>
          <w:bCs/>
          <w:sz w:val="40"/>
          <w:szCs w:val="40"/>
        </w:rPr>
      </w:pPr>
      <w:r w:rsidRPr="00501BB1">
        <w:rPr>
          <w:rFonts w:ascii="Arial" w:hAnsi="Arial" w:cs="Arial"/>
          <w:b/>
          <w:bCs/>
          <w:sz w:val="40"/>
          <w:szCs w:val="40"/>
        </w:rPr>
        <w:t>Written Assignment</w:t>
      </w:r>
    </w:p>
    <w:p w14:paraId="2FFC98B8" w14:textId="087B8956" w:rsidR="002A18B4" w:rsidRPr="002A18B4" w:rsidRDefault="002A18B4" w:rsidP="00501BB1">
      <w:pPr>
        <w:spacing w:before="120" w:after="120" w:line="360" w:lineRule="auto"/>
        <w:jc w:val="center"/>
        <w:rPr>
          <w:rFonts w:ascii="Arial" w:hAnsi="Arial" w:cs="Arial"/>
          <w:b/>
          <w:bCs/>
          <w:sz w:val="40"/>
          <w:szCs w:val="40"/>
        </w:rPr>
      </w:pPr>
      <w:r w:rsidRPr="002A18B4">
        <w:rPr>
          <w:rFonts w:ascii="Arial" w:hAnsi="Arial" w:cs="Arial"/>
          <w:b/>
          <w:sz w:val="40"/>
          <w:szCs w:val="40"/>
        </w:rPr>
        <w:t>COMPONENT 1 PORTFOLIO</w:t>
      </w:r>
    </w:p>
    <w:p w14:paraId="47AE5413" w14:textId="77777777" w:rsidR="00501BB1" w:rsidRPr="00501BB1" w:rsidRDefault="00501BB1" w:rsidP="00501BB1">
      <w:pPr>
        <w:spacing w:before="120" w:after="120" w:line="360" w:lineRule="auto"/>
        <w:jc w:val="center"/>
        <w:rPr>
          <w:rFonts w:ascii="Arial" w:hAnsi="Arial" w:cs="Arial"/>
          <w:b/>
          <w:bCs/>
          <w:sz w:val="40"/>
          <w:szCs w:val="40"/>
        </w:rPr>
      </w:pPr>
    </w:p>
    <w:p w14:paraId="3937475E" w14:textId="77777777" w:rsidR="00501BB1" w:rsidRPr="00501BB1" w:rsidRDefault="00501BB1" w:rsidP="00501BB1">
      <w:pPr>
        <w:spacing w:before="120" w:after="120"/>
        <w:jc w:val="center"/>
        <w:rPr>
          <w:rFonts w:ascii="Arial" w:hAnsi="Arial" w:cs="Arial"/>
          <w:sz w:val="32"/>
          <w:szCs w:val="32"/>
        </w:rPr>
      </w:pPr>
      <w:r w:rsidRPr="00501BB1">
        <w:rPr>
          <w:rFonts w:ascii="Arial" w:hAnsi="Arial" w:cs="Arial"/>
          <w:b/>
          <w:bCs/>
          <w:sz w:val="32"/>
          <w:szCs w:val="32"/>
          <w:lang w:val="en-US"/>
        </w:rPr>
        <w:t>Student Name:</w:t>
      </w:r>
      <w:r w:rsidRPr="00501BB1">
        <w:rPr>
          <w:rFonts w:ascii="Arial" w:hAnsi="Arial" w:cs="Arial"/>
          <w:sz w:val="32"/>
          <w:szCs w:val="32"/>
          <w:lang w:val="en-US"/>
        </w:rPr>
        <w:t xml:space="preserve"> Mohammed Abdul Kadir</w:t>
      </w:r>
    </w:p>
    <w:p w14:paraId="18B9B419" w14:textId="77777777" w:rsidR="00501BB1" w:rsidRPr="00501BB1" w:rsidRDefault="00501BB1" w:rsidP="00501BB1">
      <w:pPr>
        <w:spacing w:before="120" w:after="120"/>
        <w:jc w:val="center"/>
        <w:rPr>
          <w:rFonts w:ascii="Arial" w:hAnsi="Arial" w:cs="Arial"/>
          <w:sz w:val="32"/>
          <w:szCs w:val="32"/>
        </w:rPr>
      </w:pPr>
      <w:r w:rsidRPr="00501BB1">
        <w:rPr>
          <w:rFonts w:ascii="Arial" w:hAnsi="Arial" w:cs="Arial"/>
          <w:b/>
          <w:bCs/>
          <w:sz w:val="32"/>
          <w:szCs w:val="32"/>
          <w:lang w:val="en-US"/>
        </w:rPr>
        <w:t>Student ID:</w:t>
      </w:r>
      <w:r w:rsidRPr="00501BB1">
        <w:rPr>
          <w:rFonts w:ascii="Arial" w:hAnsi="Arial" w:cs="Arial"/>
          <w:sz w:val="32"/>
          <w:szCs w:val="32"/>
          <w:lang w:val="en-US"/>
        </w:rPr>
        <w:t xml:space="preserve"> 2320002</w:t>
      </w:r>
    </w:p>
    <w:p w14:paraId="273ED97B" w14:textId="1B831EDE" w:rsidR="00501BB1" w:rsidRPr="00501BB1" w:rsidRDefault="00501BB1" w:rsidP="00501BB1">
      <w:pPr>
        <w:spacing w:before="120" w:after="120"/>
        <w:jc w:val="center"/>
        <w:rPr>
          <w:rFonts w:ascii="Arial" w:hAnsi="Arial" w:cs="Arial"/>
          <w:sz w:val="32"/>
          <w:szCs w:val="32"/>
        </w:rPr>
      </w:pPr>
      <w:r w:rsidRPr="00501BB1">
        <w:rPr>
          <w:rFonts w:ascii="Arial" w:hAnsi="Arial" w:cs="Arial"/>
          <w:b/>
          <w:bCs/>
          <w:sz w:val="32"/>
          <w:szCs w:val="32"/>
          <w:lang w:val="en-US"/>
        </w:rPr>
        <w:t>Lecturer</w:t>
      </w:r>
      <w:r w:rsidRPr="00501BB1">
        <w:rPr>
          <w:rFonts w:ascii="Arial" w:hAnsi="Arial" w:cs="Arial"/>
          <w:sz w:val="32"/>
          <w:szCs w:val="32"/>
          <w:lang w:val="en-US"/>
        </w:rPr>
        <w:t>: Helen Parsons</w:t>
      </w:r>
    </w:p>
    <w:p w14:paraId="6E68EEF5" w14:textId="77777777" w:rsidR="00501BB1" w:rsidRPr="00501BB1" w:rsidRDefault="00501BB1" w:rsidP="00501BB1">
      <w:pPr>
        <w:spacing w:before="120" w:after="120" w:line="360" w:lineRule="auto"/>
        <w:jc w:val="center"/>
        <w:rPr>
          <w:rFonts w:ascii="Arial" w:hAnsi="Arial" w:cs="Arial"/>
          <w:b/>
          <w:bCs/>
          <w:sz w:val="40"/>
          <w:szCs w:val="40"/>
        </w:rPr>
      </w:pPr>
    </w:p>
    <w:p w14:paraId="68D0983A" w14:textId="77777777" w:rsidR="003462E5" w:rsidRDefault="003462E5" w:rsidP="00501BB1">
      <w:pPr>
        <w:spacing w:before="120" w:after="120" w:line="360" w:lineRule="auto"/>
        <w:rPr>
          <w:rFonts w:ascii="Arial" w:hAnsi="Arial" w:cs="Arial"/>
          <w:b/>
          <w:bCs/>
          <w:sz w:val="22"/>
          <w:szCs w:val="22"/>
        </w:rPr>
      </w:pPr>
    </w:p>
    <w:p w14:paraId="14594F5B" w14:textId="77777777" w:rsidR="003462E5" w:rsidRDefault="003462E5" w:rsidP="00501BB1">
      <w:pPr>
        <w:spacing w:before="120" w:after="120" w:line="360" w:lineRule="auto"/>
        <w:rPr>
          <w:rFonts w:ascii="Arial" w:hAnsi="Arial" w:cs="Arial"/>
          <w:b/>
          <w:bCs/>
          <w:sz w:val="22"/>
          <w:szCs w:val="22"/>
        </w:rPr>
      </w:pPr>
    </w:p>
    <w:p w14:paraId="390231C2" w14:textId="77777777" w:rsidR="003462E5" w:rsidRPr="003462E5" w:rsidRDefault="003462E5" w:rsidP="00501BB1">
      <w:pPr>
        <w:spacing w:before="120" w:after="120" w:line="360" w:lineRule="auto"/>
        <w:rPr>
          <w:rFonts w:ascii="Arial" w:eastAsiaTheme="majorEastAsia" w:hAnsi="Arial" w:cstheme="majorBidi"/>
          <w:b/>
          <w:color w:val="0F4761" w:themeColor="accent1" w:themeShade="BF"/>
          <w:sz w:val="32"/>
          <w:szCs w:val="40"/>
        </w:rPr>
      </w:pPr>
    </w:p>
    <w:p w14:paraId="4AFF8982" w14:textId="77777777" w:rsidR="003462E5" w:rsidRDefault="003462E5" w:rsidP="00501BB1">
      <w:pPr>
        <w:spacing w:before="120" w:after="120" w:line="360" w:lineRule="auto"/>
        <w:rPr>
          <w:rFonts w:ascii="Arial" w:eastAsiaTheme="majorEastAsia" w:hAnsi="Arial" w:cs="Arial"/>
          <w:b/>
          <w:bCs/>
          <w:color w:val="0F4761" w:themeColor="accent1" w:themeShade="BF"/>
          <w:sz w:val="22"/>
          <w:szCs w:val="22"/>
        </w:rPr>
      </w:pPr>
      <w:r>
        <w:rPr>
          <w:rFonts w:cs="Arial"/>
          <w:bCs/>
          <w:sz w:val="22"/>
          <w:szCs w:val="22"/>
        </w:rPr>
        <w:br w:type="page"/>
      </w:r>
    </w:p>
    <w:sdt>
      <w:sdtPr>
        <w:rPr>
          <w:rFonts w:asciiTheme="minorHAnsi" w:eastAsiaTheme="minorHAnsi" w:hAnsiTheme="minorHAnsi" w:cstheme="minorBidi"/>
          <w:noProof/>
          <w:color w:val="auto"/>
          <w:kern w:val="2"/>
          <w:sz w:val="24"/>
          <w:szCs w:val="24"/>
          <w:lang w:eastAsia="en-US"/>
          <w14:ligatures w14:val="standardContextual"/>
        </w:rPr>
        <w:id w:val="101235547"/>
        <w:docPartObj>
          <w:docPartGallery w:val="Table of Contents"/>
          <w:docPartUnique/>
        </w:docPartObj>
      </w:sdtPr>
      <w:sdtEndPr>
        <w:rPr>
          <w:b/>
          <w:bCs/>
        </w:rPr>
      </w:sdtEndPr>
      <w:sdtContent>
        <w:p w14:paraId="1CBB2A9D" w14:textId="24A70FF1" w:rsidR="00501BB1" w:rsidRPr="002A18B4" w:rsidRDefault="00501BB1" w:rsidP="00501BB1">
          <w:pPr>
            <w:pStyle w:val="TOCHeading"/>
            <w:spacing w:before="120" w:after="120" w:line="360" w:lineRule="auto"/>
            <w:rPr>
              <w:b/>
              <w:bCs/>
            </w:rPr>
          </w:pPr>
          <w:r w:rsidRPr="002A18B4">
            <w:rPr>
              <w:b/>
              <w:bCs/>
            </w:rPr>
            <w:t>Contents</w:t>
          </w:r>
        </w:p>
        <w:p w14:paraId="4EF51FAD" w14:textId="7EF6742C" w:rsidR="00501BB1" w:rsidRDefault="00501BB1" w:rsidP="00501BB1">
          <w:pPr>
            <w:pStyle w:val="TOC1"/>
            <w:tabs>
              <w:tab w:val="right" w:leader="dot" w:pos="9016"/>
            </w:tabs>
            <w:spacing w:before="120" w:after="120" w:line="360" w:lineRule="auto"/>
          </w:pPr>
          <w:r>
            <w:fldChar w:fldCharType="begin"/>
          </w:r>
          <w:r>
            <w:instrText xml:space="preserve"> TOC \o "1-3" \h \z \u </w:instrText>
          </w:r>
          <w:r>
            <w:fldChar w:fldCharType="separate"/>
          </w:r>
          <w:hyperlink w:anchor="_Toc242557221" w:history="1">
            <w:r w:rsidRPr="00477442">
              <w:rPr>
                <w:rStyle w:val="Hyperlink"/>
              </w:rPr>
              <w:t>Task 1: Guided Scenario Response / Mini Report</w:t>
            </w:r>
            <w:r>
              <w:rPr>
                <w:webHidden/>
              </w:rPr>
              <w:tab/>
            </w:r>
            <w:r>
              <w:rPr>
                <w:webHidden/>
              </w:rPr>
              <w:fldChar w:fldCharType="begin"/>
            </w:r>
            <w:r>
              <w:rPr>
                <w:webHidden/>
              </w:rPr>
              <w:instrText xml:space="preserve"> PAGEREF _Toc242557221 \h </w:instrText>
            </w:r>
            <w:r>
              <w:rPr>
                <w:webHidden/>
              </w:rPr>
            </w:r>
            <w:r>
              <w:rPr>
                <w:webHidden/>
              </w:rPr>
              <w:fldChar w:fldCharType="separate"/>
            </w:r>
            <w:r>
              <w:rPr>
                <w:webHidden/>
              </w:rPr>
              <w:t>3</w:t>
            </w:r>
            <w:r>
              <w:rPr>
                <w:webHidden/>
              </w:rPr>
              <w:fldChar w:fldCharType="end"/>
            </w:r>
          </w:hyperlink>
        </w:p>
        <w:p w14:paraId="2CCD2244" w14:textId="08887388" w:rsidR="00501BB1" w:rsidRDefault="00501BB1" w:rsidP="00501BB1">
          <w:pPr>
            <w:pStyle w:val="TOC1"/>
            <w:tabs>
              <w:tab w:val="right" w:leader="dot" w:pos="9016"/>
            </w:tabs>
            <w:spacing w:before="120" w:after="120" w:line="360" w:lineRule="auto"/>
          </w:pPr>
          <w:hyperlink w:anchor="_Toc242557222" w:history="1">
            <w:r w:rsidRPr="00477442">
              <w:rPr>
                <w:rStyle w:val="Hyperlink"/>
              </w:rPr>
              <w:t>1. Introduction</w:t>
            </w:r>
            <w:r>
              <w:rPr>
                <w:webHidden/>
              </w:rPr>
              <w:tab/>
            </w:r>
            <w:r>
              <w:rPr>
                <w:webHidden/>
              </w:rPr>
              <w:fldChar w:fldCharType="begin"/>
            </w:r>
            <w:r>
              <w:rPr>
                <w:webHidden/>
              </w:rPr>
              <w:instrText xml:space="preserve"> PAGEREF _Toc242557222 \h </w:instrText>
            </w:r>
            <w:r>
              <w:rPr>
                <w:webHidden/>
              </w:rPr>
            </w:r>
            <w:r>
              <w:rPr>
                <w:webHidden/>
              </w:rPr>
              <w:fldChar w:fldCharType="separate"/>
            </w:r>
            <w:r>
              <w:rPr>
                <w:webHidden/>
              </w:rPr>
              <w:t>3</w:t>
            </w:r>
            <w:r>
              <w:rPr>
                <w:webHidden/>
              </w:rPr>
              <w:fldChar w:fldCharType="end"/>
            </w:r>
          </w:hyperlink>
        </w:p>
        <w:p w14:paraId="54A84C31" w14:textId="1B9BE5A1" w:rsidR="00501BB1" w:rsidRDefault="00501BB1" w:rsidP="00501BB1">
          <w:pPr>
            <w:pStyle w:val="TOC1"/>
            <w:tabs>
              <w:tab w:val="right" w:leader="dot" w:pos="9016"/>
            </w:tabs>
            <w:spacing w:before="120" w:after="120" w:line="360" w:lineRule="auto"/>
          </w:pPr>
          <w:hyperlink w:anchor="_Toc242557223" w:history="1">
            <w:r w:rsidRPr="00477442">
              <w:rPr>
                <w:rStyle w:val="Hyperlink"/>
              </w:rPr>
              <w:t>2. Impact of the Shortage on the Community</w:t>
            </w:r>
            <w:r>
              <w:rPr>
                <w:webHidden/>
              </w:rPr>
              <w:tab/>
            </w:r>
            <w:r>
              <w:rPr>
                <w:webHidden/>
              </w:rPr>
              <w:fldChar w:fldCharType="begin"/>
            </w:r>
            <w:r>
              <w:rPr>
                <w:webHidden/>
              </w:rPr>
              <w:instrText xml:space="preserve"> PAGEREF _Toc242557223 \h </w:instrText>
            </w:r>
            <w:r>
              <w:rPr>
                <w:webHidden/>
              </w:rPr>
            </w:r>
            <w:r>
              <w:rPr>
                <w:webHidden/>
              </w:rPr>
              <w:fldChar w:fldCharType="separate"/>
            </w:r>
            <w:r>
              <w:rPr>
                <w:webHidden/>
              </w:rPr>
              <w:t>3</w:t>
            </w:r>
            <w:r>
              <w:rPr>
                <w:webHidden/>
              </w:rPr>
              <w:fldChar w:fldCharType="end"/>
            </w:r>
          </w:hyperlink>
        </w:p>
        <w:p w14:paraId="577FC433" w14:textId="134A5C24" w:rsidR="00501BB1" w:rsidRDefault="00501BB1" w:rsidP="00501BB1">
          <w:pPr>
            <w:pStyle w:val="TOC1"/>
            <w:tabs>
              <w:tab w:val="right" w:leader="dot" w:pos="9016"/>
            </w:tabs>
            <w:spacing w:before="120" w:after="120" w:line="360" w:lineRule="auto"/>
          </w:pPr>
          <w:hyperlink w:anchor="_Toc242557224" w:history="1">
            <w:r w:rsidRPr="00477442">
              <w:rPr>
                <w:rStyle w:val="Hyperlink"/>
              </w:rPr>
              <w:t>3. Recommended Response</w:t>
            </w:r>
            <w:r>
              <w:rPr>
                <w:webHidden/>
              </w:rPr>
              <w:tab/>
            </w:r>
            <w:r>
              <w:rPr>
                <w:webHidden/>
              </w:rPr>
              <w:fldChar w:fldCharType="begin"/>
            </w:r>
            <w:r>
              <w:rPr>
                <w:webHidden/>
              </w:rPr>
              <w:instrText xml:space="preserve"> PAGEREF _Toc242557224 \h </w:instrText>
            </w:r>
            <w:r>
              <w:rPr>
                <w:webHidden/>
              </w:rPr>
            </w:r>
            <w:r>
              <w:rPr>
                <w:webHidden/>
              </w:rPr>
              <w:fldChar w:fldCharType="separate"/>
            </w:r>
            <w:r>
              <w:rPr>
                <w:webHidden/>
              </w:rPr>
              <w:t>3</w:t>
            </w:r>
            <w:r>
              <w:rPr>
                <w:webHidden/>
              </w:rPr>
              <w:fldChar w:fldCharType="end"/>
            </w:r>
          </w:hyperlink>
        </w:p>
        <w:p w14:paraId="5B96AE8B" w14:textId="51D1F364" w:rsidR="00501BB1" w:rsidRDefault="00501BB1" w:rsidP="00501BB1">
          <w:pPr>
            <w:pStyle w:val="TOC1"/>
            <w:tabs>
              <w:tab w:val="right" w:leader="dot" w:pos="9016"/>
            </w:tabs>
            <w:spacing w:before="120" w:after="120" w:line="360" w:lineRule="auto"/>
          </w:pPr>
          <w:hyperlink w:anchor="_Toc242557225" w:history="1">
            <w:r w:rsidRPr="00477442">
              <w:rPr>
                <w:rStyle w:val="Hyperlink"/>
              </w:rPr>
              <w:t>4. Conclusion</w:t>
            </w:r>
            <w:r>
              <w:rPr>
                <w:webHidden/>
              </w:rPr>
              <w:tab/>
            </w:r>
            <w:r>
              <w:rPr>
                <w:webHidden/>
              </w:rPr>
              <w:fldChar w:fldCharType="begin"/>
            </w:r>
            <w:r>
              <w:rPr>
                <w:webHidden/>
              </w:rPr>
              <w:instrText xml:space="preserve"> PAGEREF _Toc242557225 \h </w:instrText>
            </w:r>
            <w:r>
              <w:rPr>
                <w:webHidden/>
              </w:rPr>
            </w:r>
            <w:r>
              <w:rPr>
                <w:webHidden/>
              </w:rPr>
              <w:fldChar w:fldCharType="separate"/>
            </w:r>
            <w:r>
              <w:rPr>
                <w:webHidden/>
              </w:rPr>
              <w:t>4</w:t>
            </w:r>
            <w:r>
              <w:rPr>
                <w:webHidden/>
              </w:rPr>
              <w:fldChar w:fldCharType="end"/>
            </w:r>
          </w:hyperlink>
        </w:p>
        <w:p w14:paraId="3EB2F86B" w14:textId="24186AEE" w:rsidR="00501BB1" w:rsidRDefault="00501BB1" w:rsidP="00501BB1">
          <w:pPr>
            <w:pStyle w:val="TOC1"/>
            <w:tabs>
              <w:tab w:val="right" w:leader="dot" w:pos="9016"/>
            </w:tabs>
            <w:spacing w:before="120" w:after="120" w:line="360" w:lineRule="auto"/>
          </w:pPr>
          <w:hyperlink w:anchor="_Toc242557226" w:history="1">
            <w:r w:rsidRPr="00477442">
              <w:rPr>
                <w:rStyle w:val="Hyperlink"/>
              </w:rPr>
              <w:t>Task 2: Essay</w:t>
            </w:r>
            <w:r>
              <w:rPr>
                <w:webHidden/>
              </w:rPr>
              <w:tab/>
            </w:r>
            <w:r>
              <w:rPr>
                <w:webHidden/>
              </w:rPr>
              <w:fldChar w:fldCharType="begin"/>
            </w:r>
            <w:r>
              <w:rPr>
                <w:webHidden/>
              </w:rPr>
              <w:instrText xml:space="preserve"> PAGEREF _Toc242557226 \h </w:instrText>
            </w:r>
            <w:r>
              <w:rPr>
                <w:webHidden/>
              </w:rPr>
            </w:r>
            <w:r>
              <w:rPr>
                <w:webHidden/>
              </w:rPr>
              <w:fldChar w:fldCharType="separate"/>
            </w:r>
            <w:r>
              <w:rPr>
                <w:webHidden/>
              </w:rPr>
              <w:t>5</w:t>
            </w:r>
            <w:r>
              <w:rPr>
                <w:webHidden/>
              </w:rPr>
              <w:fldChar w:fldCharType="end"/>
            </w:r>
          </w:hyperlink>
        </w:p>
        <w:p w14:paraId="72F0E640" w14:textId="1E9039C2" w:rsidR="00501BB1" w:rsidRDefault="00501BB1" w:rsidP="00501BB1">
          <w:pPr>
            <w:pStyle w:val="TOC1"/>
            <w:tabs>
              <w:tab w:val="right" w:leader="dot" w:pos="9016"/>
            </w:tabs>
            <w:spacing w:before="120" w:after="120" w:line="360" w:lineRule="auto"/>
          </w:pPr>
          <w:hyperlink w:anchor="_Toc242557227" w:history="1">
            <w:r w:rsidRPr="00477442">
              <w:rPr>
                <w:rStyle w:val="Hyperlink"/>
              </w:rPr>
              <w:t>References</w:t>
            </w:r>
            <w:r>
              <w:rPr>
                <w:webHidden/>
              </w:rPr>
              <w:tab/>
            </w:r>
            <w:r>
              <w:rPr>
                <w:webHidden/>
              </w:rPr>
              <w:fldChar w:fldCharType="begin"/>
            </w:r>
            <w:r>
              <w:rPr>
                <w:webHidden/>
              </w:rPr>
              <w:instrText xml:space="preserve"> PAGEREF _Toc242557227 \h </w:instrText>
            </w:r>
            <w:r>
              <w:rPr>
                <w:webHidden/>
              </w:rPr>
            </w:r>
            <w:r>
              <w:rPr>
                <w:webHidden/>
              </w:rPr>
              <w:fldChar w:fldCharType="separate"/>
            </w:r>
            <w:r>
              <w:rPr>
                <w:webHidden/>
              </w:rPr>
              <w:t>7</w:t>
            </w:r>
            <w:r>
              <w:rPr>
                <w:webHidden/>
              </w:rPr>
              <w:fldChar w:fldCharType="end"/>
            </w:r>
          </w:hyperlink>
        </w:p>
        <w:p w14:paraId="535E9BE8" w14:textId="1E047902" w:rsidR="00501BB1" w:rsidRDefault="00501BB1" w:rsidP="00501BB1">
          <w:pPr>
            <w:spacing w:before="120" w:after="120" w:line="360" w:lineRule="auto"/>
          </w:pPr>
          <w:r>
            <w:rPr>
              <w:b/>
              <w:bCs/>
            </w:rPr>
            <w:fldChar w:fldCharType="end"/>
          </w:r>
        </w:p>
      </w:sdtContent>
    </w:sdt>
    <w:p w14:paraId="1D424455" w14:textId="77777777" w:rsidR="00501BB1" w:rsidRDefault="00501BB1" w:rsidP="00501BB1">
      <w:pPr>
        <w:spacing w:before="120" w:after="120" w:line="360" w:lineRule="auto"/>
        <w:rPr>
          <w:rFonts w:ascii="Arial" w:eastAsiaTheme="majorEastAsia" w:hAnsi="Arial" w:cstheme="majorBidi"/>
          <w:b/>
          <w:color w:val="0F4761" w:themeColor="accent1" w:themeShade="BF"/>
          <w:sz w:val="32"/>
          <w:szCs w:val="40"/>
        </w:rPr>
      </w:pPr>
      <w:bookmarkStart w:id="0" w:name="_Toc242557221"/>
      <w:r>
        <w:br w:type="page"/>
      </w:r>
    </w:p>
    <w:p w14:paraId="0BF45C6F" w14:textId="7B9EFC4E" w:rsidR="00E73B4F" w:rsidRPr="0021078F" w:rsidRDefault="00E73B4F" w:rsidP="00501BB1">
      <w:pPr>
        <w:pStyle w:val="Heading1"/>
        <w:spacing w:before="120" w:after="120" w:line="360" w:lineRule="auto"/>
      </w:pPr>
      <w:r w:rsidRPr="0021078F">
        <w:lastRenderedPageBreak/>
        <w:t>Task 1: Guided Scenario Response / Mini Report</w:t>
      </w:r>
      <w:bookmarkEnd w:id="0"/>
    </w:p>
    <w:p w14:paraId="38CB92CB" w14:textId="77777777" w:rsidR="00E73B4F" w:rsidRPr="0021078F" w:rsidRDefault="00E73B4F" w:rsidP="00501BB1">
      <w:pPr>
        <w:pStyle w:val="Heading1"/>
        <w:spacing w:before="120" w:after="120" w:line="360" w:lineRule="auto"/>
      </w:pPr>
      <w:bookmarkStart w:id="1" w:name="_Toc242557222"/>
      <w:r w:rsidRPr="0021078F">
        <w:t>1. Introduction</w:t>
      </w:r>
      <w:bookmarkEnd w:id="1"/>
    </w:p>
    <w:p w14:paraId="4912B483" w14:textId="1D3F4566" w:rsidR="00E73B4F" w:rsidRPr="0021078F" w:rsidRDefault="00E73B4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Community mental health services provide help for a person who is having mental health problems and help keep them in their home and community. Mental health assessments, counselling, psychological therapies, community support, crisis intervention, and support with daily tasks and/or activities. </w:t>
      </w:r>
    </w:p>
    <w:p w14:paraId="6DA3D96F" w14:textId="77777777" w:rsidR="00E73B4F" w:rsidRPr="0021078F" w:rsidRDefault="00E73B4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However, there is a lack of these services, which could lead to long waiting times, treatment delays, and added stress on families and emergency healthcare. This report takes a look at reasons why there is poor provision for Birmingham's mental health needs and makes recommendations for MIND to take action to help increase access. </w:t>
      </w:r>
    </w:p>
    <w:p w14:paraId="7221C7CB" w14:textId="2DB41651" w:rsidR="00E73B4F" w:rsidRPr="0021078F" w:rsidRDefault="00E73B4F" w:rsidP="00501BB1">
      <w:pPr>
        <w:pStyle w:val="Heading1"/>
        <w:spacing w:before="120" w:after="120" w:line="360" w:lineRule="auto"/>
      </w:pPr>
      <w:bookmarkStart w:id="2" w:name="_Toc242557223"/>
      <w:r w:rsidRPr="0021078F">
        <w:t>2. Impact of the Shortage on the Community</w:t>
      </w:r>
      <w:bookmarkEnd w:id="2"/>
    </w:p>
    <w:p w14:paraId="467B53D0" w14:textId="4E80F274" w:rsidR="00E73B4F" w:rsidRPr="0021078F" w:rsidRDefault="00E73B4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Limited community mental health services can </w:t>
      </w:r>
      <w:r w:rsidR="009166DA">
        <w:rPr>
          <w:rFonts w:ascii="Arial" w:hAnsi="Arial" w:cs="Arial"/>
          <w:sz w:val="22"/>
          <w:szCs w:val="22"/>
        </w:rPr>
        <w:t>hurt</w:t>
      </w:r>
      <w:r w:rsidRPr="0021078F">
        <w:rPr>
          <w:rFonts w:ascii="Arial" w:hAnsi="Arial" w:cs="Arial"/>
          <w:sz w:val="22"/>
          <w:szCs w:val="22"/>
        </w:rPr>
        <w:t xml:space="preserve"> the individual, families and the community. </w:t>
      </w:r>
      <w:r w:rsidR="00141F9E">
        <w:rPr>
          <w:rFonts w:ascii="Arial" w:hAnsi="Arial" w:cs="Arial"/>
          <w:sz w:val="22"/>
          <w:szCs w:val="22"/>
        </w:rPr>
        <w:t>Firstly</w:t>
      </w:r>
      <w:r w:rsidRPr="0021078F">
        <w:rPr>
          <w:rFonts w:ascii="Arial" w:hAnsi="Arial" w:cs="Arial"/>
          <w:sz w:val="22"/>
          <w:szCs w:val="22"/>
        </w:rPr>
        <w:t>, without timely help and support</w:t>
      </w:r>
      <w:r w:rsidR="009166DA">
        <w:rPr>
          <w:rFonts w:ascii="Arial" w:hAnsi="Arial" w:cs="Arial"/>
          <w:sz w:val="22"/>
          <w:szCs w:val="22"/>
        </w:rPr>
        <w:t>,</w:t>
      </w:r>
      <w:r w:rsidRPr="0021078F">
        <w:rPr>
          <w:rFonts w:ascii="Arial" w:hAnsi="Arial" w:cs="Arial"/>
          <w:sz w:val="22"/>
          <w:szCs w:val="22"/>
        </w:rPr>
        <w:t xml:space="preserve"> some may </w:t>
      </w:r>
      <w:r w:rsidR="009166DA">
        <w:rPr>
          <w:rFonts w:ascii="Arial" w:hAnsi="Arial" w:cs="Arial"/>
          <w:sz w:val="22"/>
          <w:szCs w:val="22"/>
        </w:rPr>
        <w:t>become</w:t>
      </w:r>
      <w:r w:rsidRPr="0021078F">
        <w:rPr>
          <w:rFonts w:ascii="Arial" w:hAnsi="Arial" w:cs="Arial"/>
          <w:sz w:val="22"/>
          <w:szCs w:val="22"/>
        </w:rPr>
        <w:t xml:space="preserve"> more distressed about their anxiety, depression or other mental health issues. They might experience symptoms that impact sleep, focus, relationships and everyday functioning. In the absence of appropriate early intervention, children or young people may eventually need emergency help or hospital care.</w:t>
      </w:r>
    </w:p>
    <w:p w14:paraId="044B2AE8" w14:textId="017BC624" w:rsidR="00E73B4F" w:rsidRPr="0021078F" w:rsidRDefault="00E73B4F" w:rsidP="00501BB1">
      <w:pPr>
        <w:spacing w:before="120" w:after="120" w:line="360" w:lineRule="auto"/>
        <w:jc w:val="both"/>
        <w:rPr>
          <w:rFonts w:ascii="Arial" w:hAnsi="Arial" w:cs="Arial"/>
          <w:sz w:val="22"/>
          <w:szCs w:val="22"/>
        </w:rPr>
      </w:pPr>
      <w:r w:rsidRPr="0021078F">
        <w:rPr>
          <w:rFonts w:ascii="Arial" w:hAnsi="Arial" w:cs="Arial"/>
          <w:sz w:val="22"/>
          <w:szCs w:val="22"/>
        </w:rPr>
        <w:t>Secondly, when there is less, this can impact family pressure and even people without paid caregiving relationships. Friends and families are likely to be required to support and assist with activities of daily living without adequate professional guidance.</w:t>
      </w:r>
      <w:r w:rsidR="009166DA">
        <w:rPr>
          <w:rFonts w:ascii="Arial" w:hAnsi="Arial" w:cs="Arial"/>
          <w:sz w:val="22"/>
          <w:szCs w:val="22"/>
        </w:rPr>
        <w:t xml:space="preserve"> </w:t>
      </w:r>
      <w:r w:rsidRPr="0021078F">
        <w:rPr>
          <w:rFonts w:ascii="Arial" w:hAnsi="Arial" w:cs="Arial"/>
          <w:sz w:val="22"/>
          <w:szCs w:val="22"/>
        </w:rPr>
        <w:t>Family members and friends are likely to have to provide emotional support and assistance with the activities of daily living without adequate professional guidance</w:t>
      </w:r>
      <w:r w:rsidR="00141F9E">
        <w:rPr>
          <w:rFonts w:ascii="Arial" w:hAnsi="Arial" w:cs="Arial"/>
          <w:sz w:val="22"/>
          <w:szCs w:val="22"/>
        </w:rPr>
        <w:t xml:space="preserve"> </w:t>
      </w:r>
      <w:r w:rsidR="00141F9E" w:rsidRPr="00141F9E">
        <w:rPr>
          <w:rFonts w:ascii="Arial" w:hAnsi="Arial" w:cs="Arial"/>
          <w:sz w:val="22"/>
          <w:szCs w:val="22"/>
        </w:rPr>
        <w:t>(Lowther-Payne et al., 2023)</w:t>
      </w:r>
      <w:r w:rsidRPr="0021078F">
        <w:rPr>
          <w:rFonts w:ascii="Arial" w:hAnsi="Arial" w:cs="Arial"/>
          <w:sz w:val="22"/>
          <w:szCs w:val="22"/>
        </w:rPr>
        <w:t xml:space="preserve">. </w:t>
      </w:r>
    </w:p>
    <w:p w14:paraId="52B9BFAD" w14:textId="0E4C7835" w:rsidR="00E73B4F" w:rsidRPr="0021078F" w:rsidRDefault="00E73B4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Thirdly, the failure to seek treatment and intervention for mental health issues could be a factor in not participating in education, employment, and community activities. People can become disconnected, lose faith, become socially withdrawn or isolated. These side effects may then impact their emotional health and self-reliance. </w:t>
      </w:r>
    </w:p>
    <w:p w14:paraId="3AFB2EEF" w14:textId="42B2B3E8" w:rsidR="00E73B4F" w:rsidRPr="0021078F" w:rsidRDefault="00E73B4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There may also be ramifications </w:t>
      </w:r>
      <w:r w:rsidR="009166DA">
        <w:rPr>
          <w:rFonts w:ascii="Arial" w:hAnsi="Arial" w:cs="Arial"/>
          <w:sz w:val="22"/>
          <w:szCs w:val="22"/>
        </w:rPr>
        <w:t>for</w:t>
      </w:r>
      <w:r w:rsidRPr="0021078F">
        <w:rPr>
          <w:rFonts w:ascii="Arial" w:hAnsi="Arial" w:cs="Arial"/>
          <w:sz w:val="22"/>
          <w:szCs w:val="22"/>
        </w:rPr>
        <w:t xml:space="preserve"> the broader healthcare system. Larger numbers of people may contact general practitioners or EDs, or crisis services, when they are not adequately served by community services. </w:t>
      </w:r>
    </w:p>
    <w:p w14:paraId="1497E4AD" w14:textId="77777777" w:rsidR="00E73B4F" w:rsidRPr="0021078F" w:rsidRDefault="00E73B4F" w:rsidP="00501BB1">
      <w:pPr>
        <w:pStyle w:val="Heading1"/>
        <w:spacing w:before="120" w:after="120" w:line="360" w:lineRule="auto"/>
      </w:pPr>
      <w:bookmarkStart w:id="3" w:name="_Toc242557224"/>
      <w:r w:rsidRPr="0021078F">
        <w:lastRenderedPageBreak/>
        <w:t>3. Recommended Response</w:t>
      </w:r>
      <w:bookmarkEnd w:id="3"/>
    </w:p>
    <w:p w14:paraId="475D5D0C" w14:textId="77777777"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Birmingham City Council should collaborate with the NHS mental health providers, voluntary organisations and the local community groups in an agreed action plan to meet the needs of services.</w:t>
      </w:r>
    </w:p>
    <w:p w14:paraId="63C77557" w14:textId="109B12B8" w:rsidR="0021078F" w:rsidRPr="0021078F" w:rsidRDefault="0021078F" w:rsidP="00501BB1">
      <w:pPr>
        <w:spacing w:before="120" w:after="120" w:line="360" w:lineRule="auto"/>
        <w:jc w:val="both"/>
        <w:rPr>
          <w:rFonts w:ascii="Arial" w:hAnsi="Arial" w:cs="Arial"/>
          <w:sz w:val="22"/>
          <w:szCs w:val="22"/>
        </w:rPr>
      </w:pPr>
      <w:r>
        <w:rPr>
          <w:rFonts w:ascii="Arial" w:hAnsi="Arial" w:cs="Arial"/>
          <w:sz w:val="22"/>
          <w:szCs w:val="22"/>
        </w:rPr>
        <w:t>Firstly need to d</w:t>
      </w:r>
      <w:r w:rsidRPr="0021078F">
        <w:rPr>
          <w:rFonts w:ascii="Arial" w:hAnsi="Arial" w:cs="Arial"/>
          <w:sz w:val="22"/>
          <w:szCs w:val="22"/>
        </w:rPr>
        <w:t xml:space="preserve">o a local needs assessment. The council and its partners should review waiting times, referral patterns, the care requirements of those which have not been met and </w:t>
      </w:r>
      <w:r w:rsidR="009166DA">
        <w:rPr>
          <w:rFonts w:ascii="Arial" w:hAnsi="Arial" w:cs="Arial"/>
          <w:sz w:val="22"/>
          <w:szCs w:val="22"/>
        </w:rPr>
        <w:t>responses</w:t>
      </w:r>
      <w:r w:rsidRPr="0021078F">
        <w:rPr>
          <w:rFonts w:ascii="Arial" w:hAnsi="Arial" w:cs="Arial"/>
          <w:sz w:val="22"/>
          <w:szCs w:val="22"/>
        </w:rPr>
        <w:t xml:space="preserve"> from service users. This information would enable </w:t>
      </w:r>
      <w:r w:rsidR="009166DA">
        <w:rPr>
          <w:rFonts w:ascii="Arial" w:hAnsi="Arial" w:cs="Arial"/>
          <w:sz w:val="22"/>
          <w:szCs w:val="22"/>
        </w:rPr>
        <w:t xml:space="preserve">us </w:t>
      </w:r>
      <w:r w:rsidRPr="0021078F">
        <w:rPr>
          <w:rFonts w:ascii="Arial" w:hAnsi="Arial" w:cs="Arial"/>
          <w:sz w:val="22"/>
          <w:szCs w:val="22"/>
        </w:rPr>
        <w:t xml:space="preserve">to target any additional support that is needed to be more immediately applied to neighbourhoods. </w:t>
      </w:r>
    </w:p>
    <w:p w14:paraId="75ED7E97" w14:textId="55DB4519"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Second, build up schemes of early support and community support. Other counselling support, outreach initiatives, and community-based support sessions (which are easily reachable) may alleviate people's issues before they become more complex. </w:t>
      </w:r>
    </w:p>
    <w:p w14:paraId="331E6DF4" w14:textId="56B8C9D8"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Thirdly, increase the co-operation between health and social care organisations. The Care Act 2014 places a general duty on local authorities in Section 1 to act in favour of promoting individuals' wellbeing. This covers mental health and emotional wellbeing, relationships, involvement at work and educational settings and control of daily life</w:t>
      </w:r>
      <w:r w:rsidR="00141F9E">
        <w:rPr>
          <w:rFonts w:ascii="Arial" w:hAnsi="Arial" w:cs="Arial"/>
          <w:sz w:val="22"/>
          <w:szCs w:val="22"/>
        </w:rPr>
        <w:t xml:space="preserve"> </w:t>
      </w:r>
      <w:r w:rsidR="00141F9E" w:rsidRPr="00141F9E">
        <w:rPr>
          <w:rFonts w:ascii="Arial" w:hAnsi="Arial" w:cs="Arial"/>
          <w:sz w:val="22"/>
          <w:szCs w:val="22"/>
        </w:rPr>
        <w:t>(UK Government, 2014)</w:t>
      </w:r>
      <w:r w:rsidRPr="0021078F">
        <w:rPr>
          <w:rFonts w:ascii="Arial" w:hAnsi="Arial" w:cs="Arial"/>
          <w:sz w:val="22"/>
          <w:szCs w:val="22"/>
        </w:rPr>
        <w:t xml:space="preserve">. </w:t>
      </w:r>
    </w:p>
    <w:p w14:paraId="316CF04D" w14:textId="4DB8C7C0"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Care and support needs are not developed or delayed – this includes unmet needs of carers (Section 2)</w:t>
      </w:r>
      <w:r w:rsidR="00141F9E">
        <w:rPr>
          <w:rFonts w:ascii="Arial" w:hAnsi="Arial" w:cs="Arial"/>
          <w:sz w:val="22"/>
          <w:szCs w:val="22"/>
        </w:rPr>
        <w:t xml:space="preserve"> </w:t>
      </w:r>
      <w:r w:rsidR="00141F9E" w:rsidRPr="00141F9E">
        <w:rPr>
          <w:rFonts w:ascii="Arial" w:hAnsi="Arial" w:cs="Arial"/>
          <w:sz w:val="22"/>
          <w:szCs w:val="22"/>
        </w:rPr>
        <w:t>(UK Government, 2014</w:t>
      </w:r>
      <w:r w:rsidR="00141F9E">
        <w:rPr>
          <w:rFonts w:ascii="Arial" w:hAnsi="Arial" w:cs="Arial"/>
          <w:sz w:val="22"/>
          <w:szCs w:val="22"/>
        </w:rPr>
        <w:t>)</w:t>
      </w:r>
      <w:r w:rsidRPr="0021078F">
        <w:rPr>
          <w:rFonts w:ascii="Arial" w:hAnsi="Arial" w:cs="Arial"/>
          <w:sz w:val="22"/>
          <w:szCs w:val="22"/>
        </w:rPr>
        <w:t>. Using this principle</w:t>
      </w:r>
      <w:r>
        <w:rPr>
          <w:rFonts w:ascii="Arial" w:hAnsi="Arial" w:cs="Arial"/>
          <w:sz w:val="22"/>
          <w:szCs w:val="22"/>
        </w:rPr>
        <w:t>,</w:t>
      </w:r>
      <w:r w:rsidRPr="0021078F">
        <w:rPr>
          <w:rFonts w:ascii="Arial" w:hAnsi="Arial" w:cs="Arial"/>
          <w:sz w:val="22"/>
          <w:szCs w:val="22"/>
        </w:rPr>
        <w:t xml:space="preserve"> the council can enhance preventative services, inform and allocate help to individuals that may require services. Section 3 encourages integration of care and support services and health provision, where integration might enhance wellbeing, prevention or service quality</w:t>
      </w:r>
      <w:r w:rsidR="00141F9E">
        <w:rPr>
          <w:rFonts w:ascii="Arial" w:hAnsi="Arial" w:cs="Arial"/>
          <w:sz w:val="22"/>
          <w:szCs w:val="22"/>
        </w:rPr>
        <w:t xml:space="preserve"> </w:t>
      </w:r>
      <w:r w:rsidR="00141F9E" w:rsidRPr="00141F9E">
        <w:rPr>
          <w:rFonts w:ascii="Arial" w:hAnsi="Arial" w:cs="Arial"/>
          <w:sz w:val="22"/>
          <w:szCs w:val="22"/>
        </w:rPr>
        <w:t>(UK Government, 2014</w:t>
      </w:r>
      <w:r w:rsidR="00141F9E">
        <w:rPr>
          <w:rFonts w:ascii="Arial" w:hAnsi="Arial" w:cs="Arial"/>
          <w:sz w:val="22"/>
          <w:szCs w:val="22"/>
        </w:rPr>
        <w:t>)</w:t>
      </w:r>
      <w:r w:rsidRPr="0021078F">
        <w:rPr>
          <w:rFonts w:ascii="Arial" w:hAnsi="Arial" w:cs="Arial"/>
          <w:sz w:val="22"/>
          <w:szCs w:val="22"/>
        </w:rPr>
        <w:t>. Pulling together co-ordinated referral routes that provide access to appropriate support from social workers, GP practices, NHS mental health services and voluntary services would be beneficial to ensure that individuals receive assistance in a timely and appropriate way.</w:t>
      </w:r>
    </w:p>
    <w:p w14:paraId="3B4B7877" w14:textId="27605018"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Fourth, be supportive of families and the unpaid carers. Information sessions, peer support groups and a proper assessment by their carer could ensure that carers are aware of the help on offer and be better able to manage their responsibilities</w:t>
      </w:r>
      <w:r w:rsidR="00141F9E">
        <w:rPr>
          <w:rFonts w:ascii="Arial" w:hAnsi="Arial" w:cs="Arial"/>
          <w:sz w:val="22"/>
          <w:szCs w:val="22"/>
        </w:rPr>
        <w:t xml:space="preserve"> </w:t>
      </w:r>
      <w:r w:rsidR="00141F9E" w:rsidRPr="00141F9E">
        <w:rPr>
          <w:rFonts w:ascii="Arial" w:hAnsi="Arial" w:cs="Arial"/>
          <w:sz w:val="22"/>
          <w:szCs w:val="22"/>
        </w:rPr>
        <w:t>(Silvonen, 2025)</w:t>
      </w:r>
      <w:r w:rsidRPr="0021078F">
        <w:rPr>
          <w:rFonts w:ascii="Arial" w:hAnsi="Arial" w:cs="Arial"/>
          <w:sz w:val="22"/>
          <w:szCs w:val="22"/>
        </w:rPr>
        <w:t xml:space="preserve">. </w:t>
      </w:r>
    </w:p>
    <w:p w14:paraId="5B86552D" w14:textId="4EEE0B95"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Last but not least, track and evaluate performance and outcomes. The council should monitor waiting times, the satisfaction of people using services, successful referrals and carers' feedback. </w:t>
      </w:r>
    </w:p>
    <w:p w14:paraId="03071B00" w14:textId="77777777" w:rsidR="00E73B4F" w:rsidRPr="0021078F" w:rsidRDefault="00E73B4F" w:rsidP="00501BB1">
      <w:pPr>
        <w:pStyle w:val="Heading1"/>
        <w:spacing w:before="120" w:after="120" w:line="360" w:lineRule="auto"/>
      </w:pPr>
      <w:bookmarkStart w:id="4" w:name="_Toc242557225"/>
      <w:r w:rsidRPr="0021078F">
        <w:t>4. Conclusion</w:t>
      </w:r>
      <w:bookmarkEnd w:id="4"/>
    </w:p>
    <w:p w14:paraId="4987E34B" w14:textId="49807C15" w:rsidR="00141F9E"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Lack of community mental health services can </w:t>
      </w:r>
      <w:r w:rsidR="009166DA">
        <w:rPr>
          <w:rFonts w:ascii="Arial" w:hAnsi="Arial" w:cs="Arial"/>
          <w:sz w:val="22"/>
          <w:szCs w:val="22"/>
        </w:rPr>
        <w:t>hurt</w:t>
      </w:r>
      <w:r w:rsidRPr="0021078F">
        <w:rPr>
          <w:rFonts w:ascii="Arial" w:hAnsi="Arial" w:cs="Arial"/>
          <w:sz w:val="22"/>
          <w:szCs w:val="22"/>
        </w:rPr>
        <w:t xml:space="preserve"> wellbeing and independence, family relations and social participation. Local needs assessment, early help, integrated help and more robust support for carers are 4 avenues of Birmingham City Council's response. The </w:t>
      </w:r>
      <w:r w:rsidRPr="0021078F">
        <w:rPr>
          <w:rFonts w:ascii="Arial" w:hAnsi="Arial" w:cs="Arial"/>
          <w:sz w:val="22"/>
          <w:szCs w:val="22"/>
        </w:rPr>
        <w:lastRenderedPageBreak/>
        <w:t>wellbeing, prevention and integration underpinning the Care Act 2014 can be a great help to the council and the people they partner with as they work towards building a more accessible and responsive system. Further assessment and engagement with residents will be key to ensure that services are effectively responsive to people's needs.</w:t>
      </w:r>
    </w:p>
    <w:p w14:paraId="6125156F" w14:textId="77777777" w:rsidR="00141F9E" w:rsidRDefault="00141F9E" w:rsidP="00501BB1">
      <w:pPr>
        <w:spacing w:before="120" w:after="120" w:line="360" w:lineRule="auto"/>
        <w:rPr>
          <w:rFonts w:ascii="Arial" w:hAnsi="Arial" w:cs="Arial"/>
          <w:sz w:val="22"/>
          <w:szCs w:val="22"/>
        </w:rPr>
      </w:pPr>
      <w:r>
        <w:rPr>
          <w:rFonts w:ascii="Arial" w:hAnsi="Arial" w:cs="Arial"/>
          <w:sz w:val="22"/>
          <w:szCs w:val="22"/>
        </w:rPr>
        <w:br w:type="page"/>
      </w:r>
    </w:p>
    <w:p w14:paraId="1358F073" w14:textId="77777777" w:rsidR="00E73B4F" w:rsidRPr="0021078F" w:rsidRDefault="00E73B4F" w:rsidP="00501BB1">
      <w:pPr>
        <w:pStyle w:val="Heading1"/>
        <w:spacing w:before="120" w:after="120" w:line="360" w:lineRule="auto"/>
      </w:pPr>
      <w:bookmarkStart w:id="5" w:name="_Toc242557226"/>
      <w:r w:rsidRPr="0021078F">
        <w:lastRenderedPageBreak/>
        <w:t>Task 2: Essay</w:t>
      </w:r>
      <w:bookmarkEnd w:id="5"/>
    </w:p>
    <w:p w14:paraId="51B9A3AC" w14:textId="77777777" w:rsidR="00E73B4F" w:rsidRPr="0021078F" w:rsidRDefault="00E73B4F" w:rsidP="00501BB1">
      <w:pPr>
        <w:spacing w:before="120" w:after="120" w:line="360" w:lineRule="auto"/>
        <w:jc w:val="both"/>
        <w:rPr>
          <w:rFonts w:ascii="Arial" w:hAnsi="Arial" w:cs="Arial"/>
          <w:b/>
          <w:bCs/>
          <w:sz w:val="22"/>
          <w:szCs w:val="22"/>
        </w:rPr>
      </w:pPr>
      <w:r w:rsidRPr="0021078F">
        <w:rPr>
          <w:rFonts w:ascii="Arial" w:hAnsi="Arial" w:cs="Arial"/>
          <w:b/>
          <w:bCs/>
          <w:sz w:val="22"/>
          <w:szCs w:val="22"/>
        </w:rPr>
        <w:t>Introduction</w:t>
      </w:r>
    </w:p>
    <w:p w14:paraId="0B66DCF2" w14:textId="25D9F42E"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Using the services of a pharmacy </w:t>
      </w:r>
      <w:r w:rsidR="009166DA">
        <w:rPr>
          <w:rFonts w:ascii="Arial" w:hAnsi="Arial" w:cs="Arial"/>
          <w:sz w:val="22"/>
          <w:szCs w:val="22"/>
        </w:rPr>
        <w:t>is</w:t>
      </w:r>
      <w:r w:rsidRPr="0021078F">
        <w:rPr>
          <w:rFonts w:ascii="Arial" w:hAnsi="Arial" w:cs="Arial"/>
          <w:sz w:val="22"/>
          <w:szCs w:val="22"/>
        </w:rPr>
        <w:t xml:space="preserve"> critical to healthcare as it enables individuals to access, comprehend and take care of medicines in a secure way. </w:t>
      </w:r>
      <w:r w:rsidR="009166DA">
        <w:rPr>
          <w:rFonts w:ascii="Arial" w:hAnsi="Arial" w:cs="Arial"/>
          <w:sz w:val="22"/>
          <w:szCs w:val="22"/>
        </w:rPr>
        <w:t>Pharmacists</w:t>
      </w:r>
      <w:r w:rsidRPr="0021078F">
        <w:rPr>
          <w:rFonts w:ascii="Arial" w:hAnsi="Arial" w:cs="Arial"/>
          <w:sz w:val="22"/>
          <w:szCs w:val="22"/>
        </w:rPr>
        <w:t xml:space="preserve"> offer guidance on medicines, offer information about side effects, assist with the care of common health issues and help the patient understand treatment. </w:t>
      </w:r>
    </w:p>
    <w:p w14:paraId="0436E724" w14:textId="77777777"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Pharmacy has evolved beyond just preparing and providing remedies to playing a wider role in healthcare that means it has a responsibility for patient education, prevention and medication management. This essay looks at the development of the services given in a pharmacy, and critically considers their operation within the UK, and their contribution to quality of life.</w:t>
      </w:r>
    </w:p>
    <w:p w14:paraId="363D0A76" w14:textId="77777777" w:rsidR="00E73B4F" w:rsidRPr="0021078F" w:rsidRDefault="00E73B4F" w:rsidP="00501BB1">
      <w:pPr>
        <w:spacing w:before="120" w:after="120" w:line="360" w:lineRule="auto"/>
        <w:jc w:val="both"/>
        <w:rPr>
          <w:rFonts w:ascii="Arial" w:hAnsi="Arial" w:cs="Arial"/>
          <w:b/>
          <w:bCs/>
          <w:sz w:val="22"/>
          <w:szCs w:val="22"/>
        </w:rPr>
      </w:pPr>
      <w:r w:rsidRPr="0021078F">
        <w:rPr>
          <w:rFonts w:ascii="Arial" w:hAnsi="Arial" w:cs="Arial"/>
          <w:b/>
          <w:bCs/>
          <w:sz w:val="22"/>
          <w:szCs w:val="22"/>
        </w:rPr>
        <w:t>Historical Development of Pharmacy Services</w:t>
      </w:r>
    </w:p>
    <w:p w14:paraId="30C3F66D" w14:textId="2E474DEF"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The roots of pharmacy relate to the earliest </w:t>
      </w:r>
      <w:r w:rsidR="009166DA">
        <w:rPr>
          <w:rFonts w:ascii="Arial" w:hAnsi="Arial" w:cs="Arial"/>
          <w:sz w:val="22"/>
          <w:szCs w:val="22"/>
        </w:rPr>
        <w:t>civilisations</w:t>
      </w:r>
      <w:r w:rsidRPr="0021078F">
        <w:rPr>
          <w:rFonts w:ascii="Arial" w:hAnsi="Arial" w:cs="Arial"/>
          <w:sz w:val="22"/>
          <w:szCs w:val="22"/>
        </w:rPr>
        <w:t xml:space="preserve"> in which healers were the first to make remedies from plants, minerals and natural substances. </w:t>
      </w:r>
      <w:r w:rsidR="009166DA">
        <w:rPr>
          <w:rFonts w:ascii="Arial" w:hAnsi="Arial" w:cs="Arial"/>
          <w:sz w:val="22"/>
          <w:szCs w:val="22"/>
        </w:rPr>
        <w:t>Knowledge</w:t>
      </w:r>
      <w:r w:rsidRPr="0021078F">
        <w:rPr>
          <w:rFonts w:ascii="Arial" w:hAnsi="Arial" w:cs="Arial"/>
          <w:sz w:val="22"/>
          <w:szCs w:val="22"/>
        </w:rPr>
        <w:t xml:space="preserve"> of medicinal ingredients grew out of observation, experience and the exchange between cultures. With time</w:t>
      </w:r>
      <w:r w:rsidR="009166DA">
        <w:rPr>
          <w:rFonts w:ascii="Arial" w:hAnsi="Arial" w:cs="Arial"/>
          <w:sz w:val="22"/>
          <w:szCs w:val="22"/>
        </w:rPr>
        <w:t>,</w:t>
      </w:r>
      <w:r w:rsidRPr="0021078F">
        <w:rPr>
          <w:rFonts w:ascii="Arial" w:hAnsi="Arial" w:cs="Arial"/>
          <w:sz w:val="22"/>
          <w:szCs w:val="22"/>
        </w:rPr>
        <w:t xml:space="preserve"> medicine preparation became more </w:t>
      </w:r>
      <w:r w:rsidR="009166DA">
        <w:rPr>
          <w:rFonts w:ascii="Arial" w:hAnsi="Arial" w:cs="Arial"/>
          <w:sz w:val="22"/>
          <w:szCs w:val="22"/>
        </w:rPr>
        <w:t>specialised</w:t>
      </w:r>
      <w:r w:rsidRPr="0021078F">
        <w:rPr>
          <w:rFonts w:ascii="Arial" w:hAnsi="Arial" w:cs="Arial"/>
          <w:sz w:val="22"/>
          <w:szCs w:val="22"/>
        </w:rPr>
        <w:t>, and the knowledge needed for medicines was expanded in terms of ingredients, how they are made, and how they affect the body</w:t>
      </w:r>
      <w:r w:rsidR="00141F9E">
        <w:rPr>
          <w:rFonts w:ascii="Arial" w:hAnsi="Arial" w:cs="Arial"/>
          <w:sz w:val="22"/>
          <w:szCs w:val="22"/>
        </w:rPr>
        <w:t xml:space="preserve"> </w:t>
      </w:r>
      <w:r w:rsidR="00141F9E" w:rsidRPr="00141F9E">
        <w:rPr>
          <w:rFonts w:ascii="Arial" w:hAnsi="Arial" w:cs="Arial"/>
          <w:sz w:val="22"/>
          <w:szCs w:val="22"/>
        </w:rPr>
        <w:t>(Stewart et al., 2020)</w:t>
      </w:r>
      <w:r w:rsidRPr="0021078F">
        <w:rPr>
          <w:rFonts w:ascii="Arial" w:hAnsi="Arial" w:cs="Arial"/>
          <w:sz w:val="22"/>
          <w:szCs w:val="22"/>
        </w:rPr>
        <w:t>.</w:t>
      </w:r>
    </w:p>
    <w:p w14:paraId="68D16E44" w14:textId="545D3F56"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Scientific advances in the </w:t>
      </w:r>
      <w:r w:rsidR="009166DA">
        <w:rPr>
          <w:rFonts w:ascii="Arial" w:hAnsi="Arial" w:cs="Arial"/>
          <w:sz w:val="22"/>
          <w:szCs w:val="22"/>
        </w:rPr>
        <w:t>industry</w:t>
      </w:r>
      <w:r w:rsidRPr="0021078F">
        <w:rPr>
          <w:rFonts w:ascii="Arial" w:hAnsi="Arial" w:cs="Arial"/>
          <w:sz w:val="22"/>
          <w:szCs w:val="22"/>
        </w:rPr>
        <w:t xml:space="preserve"> changed during the nineteenth and twentieth centuries.</w:t>
      </w:r>
      <w:r w:rsidR="009166DA">
        <w:rPr>
          <w:rFonts w:ascii="Arial" w:hAnsi="Arial" w:cs="Arial"/>
          <w:sz w:val="22"/>
          <w:szCs w:val="22"/>
        </w:rPr>
        <w:t xml:space="preserve"> </w:t>
      </w:r>
      <w:r w:rsidRPr="0021078F">
        <w:rPr>
          <w:rFonts w:ascii="Arial" w:hAnsi="Arial" w:cs="Arial"/>
          <w:sz w:val="22"/>
          <w:szCs w:val="22"/>
        </w:rPr>
        <w:t xml:space="preserve">In the nineteenth and twentieth centuries, the practice of pharmacy was changed by scientific advances. Recent developments in chemistry, manufacturing and medical research </w:t>
      </w:r>
      <w:r w:rsidR="009166DA">
        <w:rPr>
          <w:rFonts w:ascii="Arial" w:hAnsi="Arial" w:cs="Arial"/>
          <w:sz w:val="22"/>
          <w:szCs w:val="22"/>
        </w:rPr>
        <w:t>produced</w:t>
      </w:r>
      <w:r w:rsidRPr="0021078F">
        <w:rPr>
          <w:rFonts w:ascii="Arial" w:hAnsi="Arial" w:cs="Arial"/>
          <w:sz w:val="22"/>
          <w:szCs w:val="22"/>
        </w:rPr>
        <w:t xml:space="preserve"> medicines that seemed to be more stable and led to medications for numerous diseases. </w:t>
      </w:r>
    </w:p>
    <w:p w14:paraId="45800929" w14:textId="1E6492FC"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The new concept of </w:t>
      </w:r>
      <w:r w:rsidR="009166DA">
        <w:rPr>
          <w:rFonts w:ascii="Arial" w:hAnsi="Arial" w:cs="Arial"/>
          <w:sz w:val="22"/>
          <w:szCs w:val="22"/>
        </w:rPr>
        <w:t xml:space="preserve">the </w:t>
      </w:r>
      <w:r w:rsidRPr="0021078F">
        <w:rPr>
          <w:rFonts w:ascii="Arial" w:hAnsi="Arial" w:cs="Arial"/>
          <w:sz w:val="22"/>
          <w:szCs w:val="22"/>
        </w:rPr>
        <w:t>modern healthcare system also increased the scope of work for the Pharmacist. More and more</w:t>
      </w:r>
      <w:r w:rsidR="009166DA">
        <w:rPr>
          <w:rFonts w:ascii="Arial" w:hAnsi="Arial" w:cs="Arial"/>
          <w:sz w:val="22"/>
          <w:szCs w:val="22"/>
        </w:rPr>
        <w:t>,</w:t>
      </w:r>
      <w:r w:rsidRPr="0021078F">
        <w:rPr>
          <w:rFonts w:ascii="Arial" w:hAnsi="Arial" w:cs="Arial"/>
          <w:sz w:val="22"/>
          <w:szCs w:val="22"/>
        </w:rPr>
        <w:t xml:space="preserve"> it was not only about providing drugs, but pharmacists also were checking the prescriptions, clarifying the instructions on how to take the medicine, and pinpointing potential problems with it. </w:t>
      </w:r>
    </w:p>
    <w:p w14:paraId="12A57123" w14:textId="77777777" w:rsidR="00E73B4F" w:rsidRPr="0021078F" w:rsidRDefault="00E73B4F" w:rsidP="00501BB1">
      <w:pPr>
        <w:spacing w:before="120" w:after="120" w:line="360" w:lineRule="auto"/>
        <w:jc w:val="both"/>
        <w:rPr>
          <w:rFonts w:ascii="Arial" w:hAnsi="Arial" w:cs="Arial"/>
          <w:b/>
          <w:bCs/>
          <w:sz w:val="22"/>
          <w:szCs w:val="22"/>
        </w:rPr>
      </w:pPr>
      <w:r w:rsidRPr="0021078F">
        <w:rPr>
          <w:rFonts w:ascii="Arial" w:hAnsi="Arial" w:cs="Arial"/>
          <w:b/>
          <w:bCs/>
          <w:sz w:val="22"/>
          <w:szCs w:val="22"/>
        </w:rPr>
        <w:t>Current Operation of Pharmacy Services</w:t>
      </w:r>
    </w:p>
    <w:p w14:paraId="3CC752CD" w14:textId="3F8B8C7B"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Pharmacy work is performed in every community pharmacy, as well as in hospitals and all other health care institutions. Community pharmacists dispense medicines as prescribed; consult on prescriptions; provide information about how medicines are to be taken. They can communicate with patients regarding dosage, side effects, interactions, and the significance of adhering to treatment guidelines</w:t>
      </w:r>
      <w:r w:rsidR="00141F9E">
        <w:rPr>
          <w:rFonts w:ascii="Arial" w:hAnsi="Arial" w:cs="Arial"/>
          <w:sz w:val="22"/>
          <w:szCs w:val="22"/>
        </w:rPr>
        <w:t xml:space="preserve"> </w:t>
      </w:r>
      <w:r w:rsidR="00141F9E" w:rsidRPr="00141F9E">
        <w:rPr>
          <w:rFonts w:ascii="Arial" w:hAnsi="Arial" w:cs="Arial"/>
          <w:sz w:val="22"/>
          <w:szCs w:val="22"/>
        </w:rPr>
        <w:t>(Hindi, Schafheutle and Campbell, 2024a)</w:t>
      </w:r>
      <w:r w:rsidRPr="0021078F">
        <w:rPr>
          <w:rFonts w:ascii="Arial" w:hAnsi="Arial" w:cs="Arial"/>
          <w:sz w:val="22"/>
          <w:szCs w:val="22"/>
        </w:rPr>
        <w:t xml:space="preserve">. They can also </w:t>
      </w:r>
      <w:r w:rsidRPr="0021078F">
        <w:rPr>
          <w:rFonts w:ascii="Arial" w:hAnsi="Arial" w:cs="Arial"/>
          <w:sz w:val="22"/>
          <w:szCs w:val="22"/>
        </w:rPr>
        <w:lastRenderedPageBreak/>
        <w:t xml:space="preserve">advise on </w:t>
      </w:r>
      <w:r w:rsidR="009166DA">
        <w:rPr>
          <w:rFonts w:ascii="Arial" w:hAnsi="Arial" w:cs="Arial"/>
          <w:sz w:val="22"/>
          <w:szCs w:val="22"/>
        </w:rPr>
        <w:t>the use</w:t>
      </w:r>
      <w:r w:rsidRPr="0021078F">
        <w:rPr>
          <w:rFonts w:ascii="Arial" w:hAnsi="Arial" w:cs="Arial"/>
          <w:sz w:val="22"/>
          <w:szCs w:val="22"/>
        </w:rPr>
        <w:t xml:space="preserve"> and misuse of </w:t>
      </w:r>
      <w:r w:rsidR="009166DA">
        <w:rPr>
          <w:rFonts w:ascii="Arial" w:hAnsi="Arial" w:cs="Arial"/>
          <w:sz w:val="22"/>
          <w:szCs w:val="22"/>
        </w:rPr>
        <w:t>over-the-counter</w:t>
      </w:r>
      <w:r w:rsidRPr="0021078F">
        <w:rPr>
          <w:rFonts w:ascii="Arial" w:hAnsi="Arial" w:cs="Arial"/>
          <w:sz w:val="22"/>
          <w:szCs w:val="22"/>
        </w:rPr>
        <w:t xml:space="preserve"> products and when the symptoms indicate the need to seek a medical opinion for further evaluation.</w:t>
      </w:r>
    </w:p>
    <w:p w14:paraId="45C047EE" w14:textId="0100ECDB"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Pharmacies can provide other services, such as vaccinations, blood pressure</w:t>
      </w:r>
      <w:r w:rsidR="009166DA">
        <w:rPr>
          <w:rFonts w:ascii="Arial" w:hAnsi="Arial" w:cs="Arial"/>
          <w:sz w:val="22"/>
          <w:szCs w:val="22"/>
        </w:rPr>
        <w:t xml:space="preserve"> checks</w:t>
      </w:r>
      <w:r w:rsidRPr="0021078F">
        <w:rPr>
          <w:rFonts w:ascii="Arial" w:hAnsi="Arial" w:cs="Arial"/>
          <w:sz w:val="22"/>
          <w:szCs w:val="22"/>
        </w:rPr>
        <w:t xml:space="preserve">, and smoking cessation assistance and </w:t>
      </w:r>
      <w:r w:rsidR="009166DA">
        <w:rPr>
          <w:rFonts w:ascii="Arial" w:hAnsi="Arial" w:cs="Arial"/>
          <w:sz w:val="22"/>
          <w:szCs w:val="22"/>
        </w:rPr>
        <w:t>counselling</w:t>
      </w:r>
      <w:r w:rsidRPr="0021078F">
        <w:rPr>
          <w:rFonts w:ascii="Arial" w:hAnsi="Arial" w:cs="Arial"/>
          <w:sz w:val="22"/>
          <w:szCs w:val="22"/>
        </w:rPr>
        <w:t>, depending on the local services and the skills of the professionals.</w:t>
      </w:r>
      <w:r w:rsidR="009166DA">
        <w:rPr>
          <w:rFonts w:ascii="Arial" w:hAnsi="Arial" w:cs="Arial"/>
          <w:sz w:val="22"/>
          <w:szCs w:val="22"/>
        </w:rPr>
        <w:t xml:space="preserve"> </w:t>
      </w:r>
      <w:r w:rsidRPr="0021078F">
        <w:rPr>
          <w:rFonts w:ascii="Arial" w:hAnsi="Arial" w:cs="Arial"/>
          <w:sz w:val="22"/>
          <w:szCs w:val="22"/>
        </w:rPr>
        <w:t>Depending on the local services and skills of the professionals, other services may be offered at the pharmacy, including vaccinations, blood pressure</w:t>
      </w:r>
      <w:r w:rsidR="009166DA">
        <w:rPr>
          <w:rFonts w:ascii="Arial" w:hAnsi="Arial" w:cs="Arial"/>
          <w:sz w:val="22"/>
          <w:szCs w:val="22"/>
        </w:rPr>
        <w:t xml:space="preserve"> checks</w:t>
      </w:r>
      <w:r w:rsidRPr="0021078F">
        <w:rPr>
          <w:rFonts w:ascii="Arial" w:hAnsi="Arial" w:cs="Arial"/>
          <w:sz w:val="22"/>
          <w:szCs w:val="22"/>
        </w:rPr>
        <w:t xml:space="preserve">, smoking cessation support and smoking cessation assistance, and the management of long-term conditions. </w:t>
      </w:r>
    </w:p>
    <w:p w14:paraId="7C945DE8" w14:textId="60148B93"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Accessibility is one of the key strengths of the services that can be provided by a Pharmacy. Community pharmacies are usually near people's homes</w:t>
      </w:r>
      <w:r w:rsidR="009166DA">
        <w:rPr>
          <w:rFonts w:ascii="Arial" w:hAnsi="Arial" w:cs="Arial"/>
          <w:sz w:val="22"/>
          <w:szCs w:val="22"/>
        </w:rPr>
        <w:t>,</w:t>
      </w:r>
      <w:r w:rsidRPr="0021078F">
        <w:rPr>
          <w:rFonts w:ascii="Arial" w:hAnsi="Arial" w:cs="Arial"/>
          <w:sz w:val="22"/>
          <w:szCs w:val="22"/>
        </w:rPr>
        <w:t xml:space="preserve"> and they may provide people with advice without making an appointment with their GP</w:t>
      </w:r>
      <w:r w:rsidR="00141F9E">
        <w:rPr>
          <w:rFonts w:ascii="Arial" w:hAnsi="Arial" w:cs="Arial"/>
          <w:sz w:val="22"/>
          <w:szCs w:val="22"/>
        </w:rPr>
        <w:t xml:space="preserve"> </w:t>
      </w:r>
      <w:r w:rsidR="00141F9E" w:rsidRPr="00141F9E">
        <w:rPr>
          <w:rFonts w:ascii="Arial" w:hAnsi="Arial" w:cs="Arial"/>
          <w:sz w:val="22"/>
          <w:szCs w:val="22"/>
        </w:rPr>
        <w:t>(Khayyat et al., 2021</w:t>
      </w:r>
      <w:r w:rsidR="00141F9E">
        <w:rPr>
          <w:rFonts w:ascii="Arial" w:hAnsi="Arial" w:cs="Arial"/>
          <w:sz w:val="22"/>
          <w:szCs w:val="22"/>
        </w:rPr>
        <w:t>)</w:t>
      </w:r>
      <w:r w:rsidRPr="0021078F">
        <w:rPr>
          <w:rFonts w:ascii="Arial" w:hAnsi="Arial" w:cs="Arial"/>
          <w:sz w:val="22"/>
          <w:szCs w:val="22"/>
        </w:rPr>
        <w:t xml:space="preserve">. This can be helpful for those with full or tight schedules and limited health issues or questions regarding </w:t>
      </w:r>
      <w:r w:rsidR="009166DA">
        <w:rPr>
          <w:rFonts w:ascii="Arial" w:hAnsi="Arial" w:cs="Arial"/>
          <w:sz w:val="22"/>
          <w:szCs w:val="22"/>
        </w:rPr>
        <w:t>medication</w:t>
      </w:r>
      <w:r w:rsidRPr="0021078F">
        <w:rPr>
          <w:rFonts w:ascii="Arial" w:hAnsi="Arial" w:cs="Arial"/>
          <w:sz w:val="22"/>
          <w:szCs w:val="22"/>
        </w:rPr>
        <w:t xml:space="preserve"> use. </w:t>
      </w:r>
    </w:p>
    <w:p w14:paraId="62E3956D" w14:textId="23FE4096"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But there are some problems with the present system. Availability of services may vary from site to site</w:t>
      </w:r>
      <w:r w:rsidR="009166DA">
        <w:rPr>
          <w:rFonts w:ascii="Arial" w:hAnsi="Arial" w:cs="Arial"/>
          <w:sz w:val="22"/>
          <w:szCs w:val="22"/>
        </w:rPr>
        <w:t>,</w:t>
      </w:r>
      <w:r w:rsidRPr="0021078F">
        <w:rPr>
          <w:rFonts w:ascii="Arial" w:hAnsi="Arial" w:cs="Arial"/>
          <w:sz w:val="22"/>
          <w:szCs w:val="22"/>
        </w:rPr>
        <w:t xml:space="preserve"> and certain communities may have less convenient services in terms of the pharmacy</w:t>
      </w:r>
      <w:r w:rsidR="00141F9E">
        <w:rPr>
          <w:rFonts w:ascii="Arial" w:hAnsi="Arial" w:cs="Arial"/>
          <w:sz w:val="22"/>
          <w:szCs w:val="22"/>
        </w:rPr>
        <w:t xml:space="preserve"> </w:t>
      </w:r>
      <w:r w:rsidR="00141F9E" w:rsidRPr="00141F9E">
        <w:rPr>
          <w:rFonts w:ascii="Arial" w:hAnsi="Arial" w:cs="Arial"/>
          <w:sz w:val="22"/>
          <w:szCs w:val="22"/>
        </w:rPr>
        <w:t>(Yuan et al., 2019)</w:t>
      </w:r>
      <w:r w:rsidRPr="0021078F">
        <w:rPr>
          <w:rFonts w:ascii="Arial" w:hAnsi="Arial" w:cs="Arial"/>
          <w:sz w:val="22"/>
          <w:szCs w:val="22"/>
        </w:rPr>
        <w:t xml:space="preserve">. Another factor to consider is </w:t>
      </w:r>
      <w:r w:rsidR="009166DA">
        <w:rPr>
          <w:rFonts w:ascii="Arial" w:hAnsi="Arial" w:cs="Arial"/>
          <w:sz w:val="22"/>
          <w:szCs w:val="22"/>
        </w:rPr>
        <w:t xml:space="preserve">that </w:t>
      </w:r>
      <w:r w:rsidRPr="0021078F">
        <w:rPr>
          <w:rFonts w:ascii="Arial" w:hAnsi="Arial" w:cs="Arial"/>
          <w:sz w:val="22"/>
          <w:szCs w:val="22"/>
        </w:rPr>
        <w:t xml:space="preserve">staffing pressures and high workloads may limit the time for individual consultations. Patients with language issues, limited health literacy or disabilities may need extra communication help. </w:t>
      </w:r>
    </w:p>
    <w:p w14:paraId="4204321B" w14:textId="77777777" w:rsidR="00E73B4F" w:rsidRPr="0021078F" w:rsidRDefault="00E73B4F" w:rsidP="00501BB1">
      <w:pPr>
        <w:spacing w:before="120" w:after="120" w:line="360" w:lineRule="auto"/>
        <w:jc w:val="both"/>
        <w:rPr>
          <w:rFonts w:ascii="Arial" w:hAnsi="Arial" w:cs="Arial"/>
          <w:b/>
          <w:bCs/>
          <w:sz w:val="22"/>
          <w:szCs w:val="22"/>
        </w:rPr>
      </w:pPr>
      <w:r w:rsidRPr="0021078F">
        <w:rPr>
          <w:rFonts w:ascii="Arial" w:hAnsi="Arial" w:cs="Arial"/>
          <w:b/>
          <w:bCs/>
          <w:sz w:val="22"/>
          <w:szCs w:val="22"/>
        </w:rPr>
        <w:t>Critical Evaluation and Impact on Quality of Life</w:t>
      </w:r>
    </w:p>
    <w:p w14:paraId="1E42ED38" w14:textId="6362C1EA"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Pharmacy services can help facilitate safe pharmaceutical treatment, the prevention of medication errors</w:t>
      </w:r>
      <w:r w:rsidR="009166DA">
        <w:rPr>
          <w:rFonts w:ascii="Arial" w:hAnsi="Arial" w:cs="Arial"/>
          <w:sz w:val="22"/>
          <w:szCs w:val="22"/>
        </w:rPr>
        <w:t>,</w:t>
      </w:r>
      <w:r w:rsidRPr="0021078F">
        <w:rPr>
          <w:rFonts w:ascii="Arial" w:hAnsi="Arial" w:cs="Arial"/>
          <w:sz w:val="22"/>
          <w:szCs w:val="22"/>
        </w:rPr>
        <w:t xml:space="preserve"> and support the </w:t>
      </w:r>
      <w:r w:rsidR="009166DA">
        <w:rPr>
          <w:rFonts w:ascii="Arial" w:hAnsi="Arial" w:cs="Arial"/>
          <w:sz w:val="22"/>
          <w:szCs w:val="22"/>
        </w:rPr>
        <w:t>management</w:t>
      </w:r>
      <w:r w:rsidRPr="0021078F">
        <w:rPr>
          <w:rFonts w:ascii="Arial" w:hAnsi="Arial" w:cs="Arial"/>
          <w:sz w:val="22"/>
          <w:szCs w:val="22"/>
        </w:rPr>
        <w:t xml:space="preserve"> of health conditions to improve the quality of life. Providing good information can avoid making patients doubt or not </w:t>
      </w:r>
      <w:r w:rsidR="009166DA">
        <w:rPr>
          <w:rFonts w:ascii="Arial" w:hAnsi="Arial" w:cs="Arial"/>
          <w:sz w:val="22"/>
          <w:szCs w:val="22"/>
        </w:rPr>
        <w:t>know</w:t>
      </w:r>
      <w:r w:rsidRPr="0021078F">
        <w:rPr>
          <w:rFonts w:ascii="Arial" w:hAnsi="Arial" w:cs="Arial"/>
          <w:sz w:val="22"/>
          <w:szCs w:val="22"/>
        </w:rPr>
        <w:t xml:space="preserve"> what to do when taking a medicine and helps them understand what it does and any potential side effects</w:t>
      </w:r>
      <w:r w:rsidR="00141F9E">
        <w:rPr>
          <w:rFonts w:ascii="Arial" w:hAnsi="Arial" w:cs="Arial"/>
          <w:sz w:val="22"/>
          <w:szCs w:val="22"/>
        </w:rPr>
        <w:t xml:space="preserve"> </w:t>
      </w:r>
      <w:r w:rsidR="00141F9E" w:rsidRPr="00141F9E">
        <w:rPr>
          <w:rFonts w:ascii="Arial" w:hAnsi="Arial" w:cs="Arial"/>
          <w:sz w:val="22"/>
          <w:szCs w:val="22"/>
        </w:rPr>
        <w:t>(Hindi, Schafheutle and Jacobs, 2018)</w:t>
      </w:r>
      <w:r w:rsidRPr="0021078F">
        <w:rPr>
          <w:rFonts w:ascii="Arial" w:hAnsi="Arial" w:cs="Arial"/>
          <w:sz w:val="22"/>
          <w:szCs w:val="22"/>
        </w:rPr>
        <w:t xml:space="preserve">. </w:t>
      </w:r>
    </w:p>
    <w:p w14:paraId="089340A2" w14:textId="65217766"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Advocacy for independence can also be achieved by the pharmacist giving guidance on appropriate self-help and when the patient requires medical assessment. Easily available reliable information will help diminish uncertainty and assist people in making informed choices</w:t>
      </w:r>
      <w:r w:rsidR="00141F9E">
        <w:rPr>
          <w:rFonts w:ascii="Arial" w:hAnsi="Arial" w:cs="Arial"/>
          <w:sz w:val="22"/>
          <w:szCs w:val="22"/>
        </w:rPr>
        <w:t xml:space="preserve"> </w:t>
      </w:r>
      <w:r w:rsidR="00141F9E" w:rsidRPr="00141F9E">
        <w:rPr>
          <w:rFonts w:ascii="Arial" w:hAnsi="Arial" w:cs="Arial"/>
          <w:sz w:val="22"/>
          <w:szCs w:val="22"/>
        </w:rPr>
        <w:t>(Fares et al., 2025)</w:t>
      </w:r>
      <w:r w:rsidRPr="0021078F">
        <w:rPr>
          <w:rFonts w:ascii="Arial" w:hAnsi="Arial" w:cs="Arial"/>
          <w:sz w:val="22"/>
          <w:szCs w:val="22"/>
        </w:rPr>
        <w:t>. Where available, preventative health services can help sustain healthier lifestyles and motivate individuals to start making changes to health issues at an early stage.</w:t>
      </w:r>
    </w:p>
    <w:p w14:paraId="14233EAD" w14:textId="31B26FFB" w:rsidR="0021078F" w:rsidRPr="0021078F"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t xml:space="preserve">However, such benefits are not promised. </w:t>
      </w:r>
      <w:r w:rsidR="009166DA">
        <w:rPr>
          <w:rFonts w:ascii="Arial" w:hAnsi="Arial" w:cs="Arial"/>
          <w:sz w:val="22"/>
          <w:szCs w:val="22"/>
        </w:rPr>
        <w:t>A</w:t>
      </w:r>
      <w:r w:rsidRPr="0021078F">
        <w:rPr>
          <w:rFonts w:ascii="Arial" w:hAnsi="Arial" w:cs="Arial"/>
          <w:sz w:val="22"/>
          <w:szCs w:val="22"/>
        </w:rPr>
        <w:t xml:space="preserve"> pharmacy that cannot reach the patient, has insufficient staffing, or does not have adequate communication support for the patient may not fit all patients' needs</w:t>
      </w:r>
      <w:r w:rsidR="00141F9E">
        <w:rPr>
          <w:rFonts w:ascii="Arial" w:hAnsi="Arial" w:cs="Arial"/>
          <w:sz w:val="22"/>
          <w:szCs w:val="22"/>
        </w:rPr>
        <w:t xml:space="preserve"> </w:t>
      </w:r>
      <w:r w:rsidR="00141F9E" w:rsidRPr="00141F9E">
        <w:rPr>
          <w:rFonts w:ascii="Arial" w:hAnsi="Arial" w:cs="Arial"/>
          <w:sz w:val="22"/>
          <w:szCs w:val="22"/>
        </w:rPr>
        <w:t>(Hindi, Schafheutle and Campbell, 2024b)</w:t>
      </w:r>
      <w:r w:rsidRPr="0021078F">
        <w:rPr>
          <w:rFonts w:ascii="Arial" w:hAnsi="Arial" w:cs="Arial"/>
          <w:sz w:val="22"/>
          <w:szCs w:val="22"/>
        </w:rPr>
        <w:t xml:space="preserve">. Limited opportunities for discussing complex concerns can often result from short consultations. </w:t>
      </w:r>
    </w:p>
    <w:p w14:paraId="432F03DD" w14:textId="77777777" w:rsidR="00E73B4F" w:rsidRPr="0021078F" w:rsidRDefault="00E73B4F" w:rsidP="00501BB1">
      <w:pPr>
        <w:spacing w:before="120" w:after="120" w:line="360" w:lineRule="auto"/>
        <w:jc w:val="both"/>
        <w:rPr>
          <w:rFonts w:ascii="Arial" w:hAnsi="Arial" w:cs="Arial"/>
          <w:b/>
          <w:bCs/>
          <w:sz w:val="22"/>
          <w:szCs w:val="22"/>
        </w:rPr>
      </w:pPr>
      <w:r w:rsidRPr="0021078F">
        <w:rPr>
          <w:rFonts w:ascii="Arial" w:hAnsi="Arial" w:cs="Arial"/>
          <w:b/>
          <w:bCs/>
          <w:sz w:val="22"/>
          <w:szCs w:val="22"/>
        </w:rPr>
        <w:t>Conclusion</w:t>
      </w:r>
    </w:p>
    <w:p w14:paraId="55A5AA66" w14:textId="7BD7299F" w:rsidR="009166DA" w:rsidRDefault="0021078F" w:rsidP="00501BB1">
      <w:pPr>
        <w:spacing w:before="120" w:after="120" w:line="360" w:lineRule="auto"/>
        <w:jc w:val="both"/>
        <w:rPr>
          <w:rFonts w:ascii="Arial" w:hAnsi="Arial" w:cs="Arial"/>
          <w:sz w:val="22"/>
          <w:szCs w:val="22"/>
        </w:rPr>
      </w:pPr>
      <w:r w:rsidRPr="0021078F">
        <w:rPr>
          <w:rFonts w:ascii="Arial" w:hAnsi="Arial" w:cs="Arial"/>
          <w:sz w:val="22"/>
          <w:szCs w:val="22"/>
        </w:rPr>
        <w:lastRenderedPageBreak/>
        <w:t xml:space="preserve">Pharmacy services have progressed from providing medicines to broader healthcare support. The present-day pharmacist plays an important role in </w:t>
      </w:r>
      <w:r w:rsidR="009166DA">
        <w:rPr>
          <w:rFonts w:ascii="Arial" w:hAnsi="Arial" w:cs="Arial"/>
          <w:sz w:val="22"/>
          <w:szCs w:val="22"/>
        </w:rPr>
        <w:t>medication</w:t>
      </w:r>
      <w:r w:rsidRPr="0021078F">
        <w:rPr>
          <w:rFonts w:ascii="Arial" w:hAnsi="Arial" w:cs="Arial"/>
          <w:sz w:val="22"/>
          <w:szCs w:val="22"/>
        </w:rPr>
        <w:t xml:space="preserve"> safety, educational programs for patients, common health problems prevention and controlled management. These functions can help to enhance people's independence and quality of life; however, staffing demands, lack of communication and access inequalities can hinder effectiveness. </w:t>
      </w:r>
    </w:p>
    <w:p w14:paraId="0864BB5E" w14:textId="77777777" w:rsidR="009166DA" w:rsidRDefault="009166DA" w:rsidP="00501BB1">
      <w:pPr>
        <w:spacing w:before="120" w:after="120" w:line="360" w:lineRule="auto"/>
        <w:rPr>
          <w:rFonts w:ascii="Arial" w:hAnsi="Arial" w:cs="Arial"/>
          <w:sz w:val="22"/>
          <w:szCs w:val="22"/>
        </w:rPr>
      </w:pPr>
      <w:r>
        <w:rPr>
          <w:rFonts w:ascii="Arial" w:hAnsi="Arial" w:cs="Arial"/>
          <w:sz w:val="22"/>
          <w:szCs w:val="22"/>
        </w:rPr>
        <w:br w:type="page"/>
      </w:r>
    </w:p>
    <w:p w14:paraId="1C76A862" w14:textId="68DA6BFC" w:rsidR="009166DA" w:rsidRDefault="009166DA" w:rsidP="00501BB1">
      <w:pPr>
        <w:pStyle w:val="Heading1"/>
        <w:spacing w:before="120" w:after="120" w:line="360" w:lineRule="auto"/>
      </w:pPr>
      <w:bookmarkStart w:id="6" w:name="_Toc242557227"/>
      <w:r>
        <w:lastRenderedPageBreak/>
        <w:t>References</w:t>
      </w:r>
      <w:bookmarkEnd w:id="6"/>
    </w:p>
    <w:p w14:paraId="335824BE" w14:textId="21F7048F"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Hindi, A.M.K., Schafheutle, E.I. and Campbell, S.M. (2024) ‘Developing a quality framework for community pharmacy: A systematic review of international literature’, BMJ Open, 14(2), e079820. Available at: </w:t>
      </w:r>
      <w:hyperlink r:id="rId10" w:history="1">
        <w:r w:rsidRPr="009166DA">
          <w:rPr>
            <w:rStyle w:val="Hyperlink"/>
            <w:rFonts w:ascii="Arial" w:hAnsi="Arial" w:cs="Arial"/>
            <w:sz w:val="22"/>
            <w:szCs w:val="22"/>
          </w:rPr>
          <w:t>https://doi.org/10.1136/bmjopen-2023-079820</w:t>
        </w:r>
      </w:hyperlink>
      <w:r w:rsidRPr="009166DA">
        <w:rPr>
          <w:rFonts w:ascii="Arial" w:hAnsi="Arial" w:cs="Arial"/>
          <w:sz w:val="22"/>
          <w:szCs w:val="22"/>
        </w:rPr>
        <w:t>.</w:t>
      </w:r>
    </w:p>
    <w:p w14:paraId="57865C26" w14:textId="77777777"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Hindi, A.M.K., Schafheutle, E.I. and Campbell, S.M. (2024) ‘What are the priorities for improving quality for community pharmacy professional services? Nominal group technique discussions with multiple stakeholders’, BMC Health Services Research, 24, article 1594. Available at: </w:t>
      </w:r>
      <w:hyperlink r:id="rId11" w:history="1">
        <w:r w:rsidRPr="009166DA">
          <w:rPr>
            <w:rStyle w:val="Hyperlink"/>
            <w:rFonts w:ascii="Arial" w:hAnsi="Arial" w:cs="Arial"/>
            <w:sz w:val="22"/>
            <w:szCs w:val="22"/>
          </w:rPr>
          <w:t>https://doi.org/10.1186/s12913-024-11869-1</w:t>
        </w:r>
      </w:hyperlink>
      <w:r w:rsidRPr="009166DA">
        <w:rPr>
          <w:rFonts w:ascii="Arial" w:hAnsi="Arial" w:cs="Arial"/>
          <w:sz w:val="22"/>
          <w:szCs w:val="22"/>
        </w:rPr>
        <w:t>.</w:t>
      </w:r>
    </w:p>
    <w:p w14:paraId="5889F073" w14:textId="77777777"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Hindi, A.M.K., Schafheutle, E.I. and Jacobs, S. (2018) ‘Patient and public perspectives of community pharmacies in the United Kingdom: A systematic review’, Health Expectations, 21(2), pp. 409–428. Available at: </w:t>
      </w:r>
      <w:hyperlink r:id="rId12" w:history="1">
        <w:r w:rsidRPr="009166DA">
          <w:rPr>
            <w:rStyle w:val="Hyperlink"/>
            <w:rFonts w:ascii="Arial" w:hAnsi="Arial" w:cs="Arial"/>
            <w:sz w:val="22"/>
            <w:szCs w:val="22"/>
          </w:rPr>
          <w:t>https://doi.org/10.1111/hex.12639</w:t>
        </w:r>
      </w:hyperlink>
      <w:r w:rsidRPr="009166DA">
        <w:rPr>
          <w:rFonts w:ascii="Arial" w:hAnsi="Arial" w:cs="Arial"/>
          <w:sz w:val="22"/>
          <w:szCs w:val="22"/>
        </w:rPr>
        <w:t>.</w:t>
      </w:r>
    </w:p>
    <w:p w14:paraId="3EDA5307" w14:textId="77777777"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Khayyat, S., Walters, P., Whittlesea, C. and Nazar, H. (2021) ‘Patient and public perception and experience of community pharmacy services post-discharge in the UK: A rapid review and qualitative study’, BMJ Open, 11(3), e043344. Available at: </w:t>
      </w:r>
      <w:hyperlink r:id="rId13" w:history="1">
        <w:r w:rsidRPr="009166DA">
          <w:rPr>
            <w:rStyle w:val="Hyperlink"/>
            <w:rFonts w:ascii="Arial" w:hAnsi="Arial" w:cs="Arial"/>
            <w:sz w:val="22"/>
            <w:szCs w:val="22"/>
          </w:rPr>
          <w:t>https://doi.org/10.1136/bmjopen-2020-043344</w:t>
        </w:r>
      </w:hyperlink>
      <w:r w:rsidRPr="009166DA">
        <w:rPr>
          <w:rFonts w:ascii="Arial" w:hAnsi="Arial" w:cs="Arial"/>
          <w:sz w:val="22"/>
          <w:szCs w:val="22"/>
        </w:rPr>
        <w:t>.</w:t>
      </w:r>
    </w:p>
    <w:p w14:paraId="58B018EB" w14:textId="77777777"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Lowther-Payne, H.J., Ushakova, A., Beckwith, A., Liberty, C., Edge, R. and Lobban, F. (2023) ‘Understanding inequalities in access to adult mental health services in the UK: A systematic mapping review’, BMC Health Services Research, 23, article 1042. Available at: </w:t>
      </w:r>
      <w:hyperlink r:id="rId14" w:history="1">
        <w:r w:rsidRPr="009166DA">
          <w:rPr>
            <w:rStyle w:val="Hyperlink"/>
            <w:rFonts w:ascii="Arial" w:hAnsi="Arial" w:cs="Arial"/>
            <w:sz w:val="22"/>
            <w:szCs w:val="22"/>
          </w:rPr>
          <w:t>https://doi.org/10.1186/s12913-023-10030-8</w:t>
        </w:r>
      </w:hyperlink>
      <w:r w:rsidRPr="009166DA">
        <w:rPr>
          <w:rFonts w:ascii="Arial" w:hAnsi="Arial" w:cs="Arial"/>
          <w:sz w:val="22"/>
          <w:szCs w:val="22"/>
        </w:rPr>
        <w:t>.</w:t>
      </w:r>
    </w:p>
    <w:p w14:paraId="76B8E65B" w14:textId="77777777"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Silvonen, T. (2025) ‘Service providers’ perspectives of an integrated community mental health service in the UK’, Community Mental Health Journal, 61, pp. 329–336. Available at: </w:t>
      </w:r>
      <w:hyperlink r:id="rId15" w:history="1">
        <w:r w:rsidRPr="009166DA">
          <w:rPr>
            <w:rStyle w:val="Hyperlink"/>
            <w:rFonts w:ascii="Arial" w:hAnsi="Arial" w:cs="Arial"/>
            <w:sz w:val="22"/>
            <w:szCs w:val="22"/>
          </w:rPr>
          <w:t>https://doi.org/10.1007/s10597-024-01352-w</w:t>
        </w:r>
      </w:hyperlink>
      <w:r w:rsidRPr="009166DA">
        <w:rPr>
          <w:rFonts w:ascii="Arial" w:hAnsi="Arial" w:cs="Arial"/>
          <w:sz w:val="22"/>
          <w:szCs w:val="22"/>
        </w:rPr>
        <w:t>.</w:t>
      </w:r>
    </w:p>
    <w:p w14:paraId="2E6A1BFC" w14:textId="3007D9F1"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Stewart, D., Whittlesea, C., Dhital, R., Newbould, L. and McCambridge, J. (2020) ‘Community </w:t>
      </w:r>
      <w:r w:rsidR="00501BB1">
        <w:rPr>
          <w:rFonts w:ascii="Arial" w:hAnsi="Arial" w:cs="Arial"/>
          <w:sz w:val="22"/>
          <w:szCs w:val="22"/>
        </w:rPr>
        <w:t>pharmacist-led</w:t>
      </w:r>
      <w:r w:rsidRPr="009166DA">
        <w:rPr>
          <w:rFonts w:ascii="Arial" w:hAnsi="Arial" w:cs="Arial"/>
          <w:sz w:val="22"/>
          <w:szCs w:val="22"/>
        </w:rPr>
        <w:t xml:space="preserve"> medication reviews in the UK: A scoping review of the medicines use review and the new medicine service literatures’, Research in Social and Administrative Pharmacy, 16(2), pp. 111–122. Available at: </w:t>
      </w:r>
      <w:hyperlink r:id="rId16" w:history="1">
        <w:r w:rsidRPr="009166DA">
          <w:rPr>
            <w:rStyle w:val="Hyperlink"/>
            <w:rFonts w:ascii="Arial" w:hAnsi="Arial" w:cs="Arial"/>
            <w:sz w:val="22"/>
            <w:szCs w:val="22"/>
          </w:rPr>
          <w:t>https://doi.org/10.1016/j.sapharm.2019.04.010</w:t>
        </w:r>
      </w:hyperlink>
      <w:r w:rsidRPr="009166DA">
        <w:rPr>
          <w:rFonts w:ascii="Arial" w:hAnsi="Arial" w:cs="Arial"/>
          <w:sz w:val="22"/>
          <w:szCs w:val="22"/>
        </w:rPr>
        <w:t>.</w:t>
      </w:r>
    </w:p>
    <w:p w14:paraId="37C04DD1" w14:textId="25C34E79"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UK Government (2014) Care Act 2014, Section 1: Promoting individual well-being. Available at: </w:t>
      </w:r>
      <w:hyperlink r:id="rId17" w:history="1">
        <w:r w:rsidRPr="009166DA">
          <w:rPr>
            <w:rStyle w:val="Hyperlink"/>
            <w:rFonts w:ascii="Arial" w:hAnsi="Arial" w:cs="Arial"/>
            <w:sz w:val="22"/>
            <w:szCs w:val="22"/>
          </w:rPr>
          <w:t>https://www.legislation.gov.uk/ukpga/2014/23/section/1</w:t>
        </w:r>
      </w:hyperlink>
      <w:r w:rsidRPr="009166DA">
        <w:rPr>
          <w:rFonts w:ascii="Arial" w:hAnsi="Arial" w:cs="Arial"/>
          <w:sz w:val="22"/>
          <w:szCs w:val="22"/>
        </w:rPr>
        <w:t xml:space="preserve"> </w:t>
      </w:r>
    </w:p>
    <w:p w14:paraId="67761866" w14:textId="77777777"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UK Government (2014) Care Act 2014, Section 2: Preventing needs for care and support. Available at: </w:t>
      </w:r>
      <w:hyperlink r:id="rId18" w:history="1">
        <w:r w:rsidRPr="009166DA">
          <w:rPr>
            <w:rStyle w:val="Hyperlink"/>
            <w:rFonts w:ascii="Arial" w:hAnsi="Arial" w:cs="Arial"/>
            <w:sz w:val="22"/>
            <w:szCs w:val="22"/>
          </w:rPr>
          <w:t>https://www.legislation.gov.uk/ukpga/2014/23/section/2</w:t>
        </w:r>
      </w:hyperlink>
      <w:r w:rsidRPr="009166DA">
        <w:rPr>
          <w:rFonts w:ascii="Arial" w:hAnsi="Arial" w:cs="Arial"/>
          <w:sz w:val="22"/>
          <w:szCs w:val="22"/>
        </w:rPr>
        <w:t xml:space="preserve"> </w:t>
      </w:r>
    </w:p>
    <w:p w14:paraId="3892FA37" w14:textId="3840B743"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UK Government (2014) Care Act 2014, Section 3: Promoting integration of care and support with health services. Available at: </w:t>
      </w:r>
      <w:hyperlink r:id="rId19" w:history="1">
        <w:r w:rsidRPr="009166DA">
          <w:rPr>
            <w:rStyle w:val="Hyperlink"/>
            <w:rFonts w:ascii="Arial" w:hAnsi="Arial" w:cs="Arial"/>
            <w:sz w:val="22"/>
            <w:szCs w:val="22"/>
          </w:rPr>
          <w:t>https://www.legislation.gov.uk/ukpga/2014/23/section/3</w:t>
        </w:r>
      </w:hyperlink>
      <w:r w:rsidR="00501BB1">
        <w:rPr>
          <w:rFonts w:ascii="Arial" w:hAnsi="Arial" w:cs="Arial"/>
          <w:sz w:val="22"/>
          <w:szCs w:val="22"/>
        </w:rPr>
        <w:t>.</w:t>
      </w:r>
      <w:r w:rsidRPr="009166DA">
        <w:rPr>
          <w:rFonts w:ascii="Arial" w:hAnsi="Arial" w:cs="Arial"/>
          <w:sz w:val="22"/>
          <w:szCs w:val="22"/>
        </w:rPr>
        <w:t xml:space="preserve"> Fares, R., Marjorie, B., Chaballe, C. and Crunenberg, R. (2025) ‘The outcomes of pharmacist-</w:t>
      </w:r>
      <w:r w:rsidRPr="009166DA">
        <w:rPr>
          <w:rFonts w:ascii="Arial" w:hAnsi="Arial" w:cs="Arial"/>
          <w:sz w:val="22"/>
          <w:szCs w:val="22"/>
        </w:rPr>
        <w:lastRenderedPageBreak/>
        <w:t xml:space="preserve">led pharmaceutical care within community pharmacies: An overview of systematic reviews’, Research in Social and Administrative Pharmacy, 21(5), pp. 332–339. Available at: </w:t>
      </w:r>
      <w:hyperlink r:id="rId20" w:history="1">
        <w:r w:rsidRPr="009166DA">
          <w:rPr>
            <w:rStyle w:val="Hyperlink"/>
            <w:rFonts w:ascii="Arial" w:hAnsi="Arial" w:cs="Arial"/>
            <w:sz w:val="22"/>
            <w:szCs w:val="22"/>
          </w:rPr>
          <w:t>https://doi.org/10.1016/j.sapharm.2025.01.015</w:t>
        </w:r>
      </w:hyperlink>
      <w:r w:rsidRPr="009166DA">
        <w:rPr>
          <w:rFonts w:ascii="Arial" w:hAnsi="Arial" w:cs="Arial"/>
          <w:sz w:val="22"/>
          <w:szCs w:val="22"/>
        </w:rPr>
        <w:t>.</w:t>
      </w:r>
    </w:p>
    <w:p w14:paraId="7995DECD" w14:textId="77777777" w:rsidR="009166DA" w:rsidRPr="009166DA" w:rsidRDefault="009166DA" w:rsidP="00501BB1">
      <w:pPr>
        <w:spacing w:before="120" w:after="120" w:line="360" w:lineRule="auto"/>
        <w:jc w:val="both"/>
        <w:rPr>
          <w:rFonts w:ascii="Arial" w:hAnsi="Arial" w:cs="Arial"/>
          <w:sz w:val="22"/>
          <w:szCs w:val="22"/>
        </w:rPr>
      </w:pPr>
      <w:r w:rsidRPr="009166DA">
        <w:rPr>
          <w:rFonts w:ascii="Arial" w:hAnsi="Arial" w:cs="Arial"/>
          <w:sz w:val="22"/>
          <w:szCs w:val="22"/>
        </w:rPr>
        <w:t xml:space="preserve">Yuan, C., Ding, Y., Zhou, K., Huang, Y. and Xi, X. (2019) ‘Clinical outcomes of community pharmacy services: A systematic review and meta-analysis’, Health &amp; Social Care in the Community, 27(5), pp. e567–e587. Available at: </w:t>
      </w:r>
      <w:hyperlink r:id="rId21" w:history="1">
        <w:r w:rsidRPr="009166DA">
          <w:rPr>
            <w:rStyle w:val="Hyperlink"/>
            <w:rFonts w:ascii="Arial" w:hAnsi="Arial" w:cs="Arial"/>
            <w:sz w:val="22"/>
            <w:szCs w:val="22"/>
          </w:rPr>
          <w:t>https://doi.org/10.1111/hsc.12794</w:t>
        </w:r>
      </w:hyperlink>
      <w:r w:rsidRPr="009166DA">
        <w:rPr>
          <w:rFonts w:ascii="Arial" w:hAnsi="Arial" w:cs="Arial"/>
          <w:sz w:val="22"/>
          <w:szCs w:val="22"/>
        </w:rPr>
        <w:t>.</w:t>
      </w:r>
    </w:p>
    <w:p w14:paraId="714193FC" w14:textId="77777777" w:rsidR="00B66D0C" w:rsidRPr="0021078F" w:rsidRDefault="00B66D0C" w:rsidP="00501BB1">
      <w:pPr>
        <w:spacing w:before="120" w:after="120" w:line="360" w:lineRule="auto"/>
        <w:jc w:val="both"/>
        <w:rPr>
          <w:rFonts w:ascii="Arial" w:hAnsi="Arial" w:cs="Arial"/>
          <w:sz w:val="22"/>
          <w:szCs w:val="22"/>
        </w:rPr>
      </w:pPr>
    </w:p>
    <w:sectPr w:rsidR="00B66D0C" w:rsidRPr="0021078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1601D" w14:textId="77777777" w:rsidR="00984455" w:rsidRDefault="00984455" w:rsidP="00141F9E">
      <w:pPr>
        <w:spacing w:after="0" w:line="240" w:lineRule="auto"/>
      </w:pPr>
      <w:r>
        <w:separator/>
      </w:r>
    </w:p>
  </w:endnote>
  <w:endnote w:type="continuationSeparator" w:id="0">
    <w:p w14:paraId="2DF7DA6D" w14:textId="77777777" w:rsidR="00984455" w:rsidRDefault="00984455" w:rsidP="00141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5362704"/>
      <w:docPartObj>
        <w:docPartGallery w:val="Page Numbers (Bottom of Page)"/>
        <w:docPartUnique/>
      </w:docPartObj>
    </w:sdtPr>
    <w:sdtContent>
      <w:p w14:paraId="183DE16D" w14:textId="5B2C5F61" w:rsidR="00141F9E" w:rsidRDefault="00141F9E">
        <w:pPr>
          <w:pStyle w:val="Footer"/>
          <w:jc w:val="right"/>
        </w:pPr>
        <w:r>
          <w:fldChar w:fldCharType="begin"/>
        </w:r>
        <w:r>
          <w:instrText>PAGE   \* MERGEFORMAT</w:instrText>
        </w:r>
        <w:r>
          <w:fldChar w:fldCharType="separate"/>
        </w:r>
        <w:r>
          <w:t>2</w:t>
        </w:r>
        <w:r>
          <w:fldChar w:fldCharType="end"/>
        </w:r>
      </w:p>
    </w:sdtContent>
  </w:sdt>
  <w:p w14:paraId="28326CDF" w14:textId="77777777" w:rsidR="00141F9E" w:rsidRDefault="00141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41234" w14:textId="77777777" w:rsidR="00984455" w:rsidRDefault="00984455" w:rsidP="00141F9E">
      <w:pPr>
        <w:spacing w:after="0" w:line="240" w:lineRule="auto"/>
      </w:pPr>
      <w:r>
        <w:separator/>
      </w:r>
    </w:p>
  </w:footnote>
  <w:footnote w:type="continuationSeparator" w:id="0">
    <w:p w14:paraId="5EC7E194" w14:textId="77777777" w:rsidR="00984455" w:rsidRDefault="00984455" w:rsidP="00141F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D24FE"/>
    <w:multiLevelType w:val="hybridMultilevel"/>
    <w:tmpl w:val="C15800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6C313E"/>
    <w:multiLevelType w:val="multilevel"/>
    <w:tmpl w:val="8DCE7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9593921">
    <w:abstractNumId w:val="1"/>
  </w:num>
  <w:num w:numId="2" w16cid:durableId="829751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93B"/>
    <w:rsid w:val="00141F9E"/>
    <w:rsid w:val="0021078F"/>
    <w:rsid w:val="002A18B4"/>
    <w:rsid w:val="003462E5"/>
    <w:rsid w:val="00501BB1"/>
    <w:rsid w:val="006B01AE"/>
    <w:rsid w:val="00713C2E"/>
    <w:rsid w:val="00727190"/>
    <w:rsid w:val="0086093B"/>
    <w:rsid w:val="009166DA"/>
    <w:rsid w:val="00984455"/>
    <w:rsid w:val="00B66D0C"/>
    <w:rsid w:val="00DD2B42"/>
    <w:rsid w:val="00E72F2C"/>
    <w:rsid w:val="00E73B4F"/>
    <w:rsid w:val="00F46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D1B4D"/>
  <w15:chartTrackingRefBased/>
  <w15:docId w15:val="{7ABFCA53-3CF6-4C41-BD4C-568C7CB14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9166DA"/>
    <w:pPr>
      <w:keepNext/>
      <w:keepLines/>
      <w:spacing w:before="360" w:after="80"/>
      <w:outlineLvl w:val="0"/>
    </w:pPr>
    <w:rPr>
      <w:rFonts w:ascii="Arial" w:eastAsiaTheme="majorEastAsia" w:hAnsi="Arial" w:cstheme="majorBidi"/>
      <w:b/>
      <w:color w:val="0F4761" w:themeColor="accent1" w:themeShade="BF"/>
      <w:sz w:val="32"/>
      <w:szCs w:val="40"/>
    </w:rPr>
  </w:style>
  <w:style w:type="paragraph" w:styleId="Heading2">
    <w:name w:val="heading 2"/>
    <w:basedOn w:val="Normal"/>
    <w:next w:val="Normal"/>
    <w:link w:val="Heading2Char"/>
    <w:uiPriority w:val="9"/>
    <w:semiHidden/>
    <w:unhideWhenUsed/>
    <w:qFormat/>
    <w:rsid w:val="008609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9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9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9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9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9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9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9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6DA"/>
    <w:rPr>
      <w:rFonts w:ascii="Arial" w:eastAsiaTheme="majorEastAsia" w:hAnsi="Arial" w:cstheme="majorBidi"/>
      <w:b/>
      <w:noProof/>
      <w:color w:val="0F4761" w:themeColor="accent1" w:themeShade="BF"/>
      <w:sz w:val="32"/>
      <w:szCs w:val="40"/>
    </w:rPr>
  </w:style>
  <w:style w:type="character" w:customStyle="1" w:styleId="Heading2Char">
    <w:name w:val="Heading 2 Char"/>
    <w:basedOn w:val="DefaultParagraphFont"/>
    <w:link w:val="Heading2"/>
    <w:uiPriority w:val="9"/>
    <w:semiHidden/>
    <w:rsid w:val="0086093B"/>
    <w:rPr>
      <w:rFonts w:asciiTheme="majorHAnsi" w:eastAsiaTheme="majorEastAsia" w:hAnsiTheme="majorHAnsi" w:cstheme="majorBidi"/>
      <w:noProof/>
      <w:color w:val="0F4761" w:themeColor="accent1" w:themeShade="BF"/>
      <w:sz w:val="32"/>
      <w:szCs w:val="32"/>
    </w:rPr>
  </w:style>
  <w:style w:type="character" w:customStyle="1" w:styleId="Heading3Char">
    <w:name w:val="Heading 3 Char"/>
    <w:basedOn w:val="DefaultParagraphFont"/>
    <w:link w:val="Heading3"/>
    <w:uiPriority w:val="9"/>
    <w:semiHidden/>
    <w:rsid w:val="0086093B"/>
    <w:rPr>
      <w:rFonts w:eastAsiaTheme="majorEastAsia" w:cstheme="majorBidi"/>
      <w:noProof/>
      <w:color w:val="0F4761" w:themeColor="accent1" w:themeShade="BF"/>
      <w:sz w:val="28"/>
      <w:szCs w:val="28"/>
    </w:rPr>
  </w:style>
  <w:style w:type="character" w:customStyle="1" w:styleId="Heading4Char">
    <w:name w:val="Heading 4 Char"/>
    <w:basedOn w:val="DefaultParagraphFont"/>
    <w:link w:val="Heading4"/>
    <w:uiPriority w:val="9"/>
    <w:semiHidden/>
    <w:rsid w:val="0086093B"/>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86093B"/>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86093B"/>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86093B"/>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86093B"/>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86093B"/>
    <w:rPr>
      <w:rFonts w:eastAsiaTheme="majorEastAsia" w:cstheme="majorBidi"/>
      <w:noProof/>
      <w:color w:val="272727" w:themeColor="text1" w:themeTint="D8"/>
    </w:rPr>
  </w:style>
  <w:style w:type="paragraph" w:styleId="Title">
    <w:name w:val="Title"/>
    <w:basedOn w:val="Normal"/>
    <w:next w:val="Normal"/>
    <w:link w:val="TitleChar"/>
    <w:uiPriority w:val="10"/>
    <w:qFormat/>
    <w:rsid w:val="008609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93B"/>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8609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93B"/>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86093B"/>
    <w:pPr>
      <w:spacing w:before="160"/>
      <w:jc w:val="center"/>
    </w:pPr>
    <w:rPr>
      <w:i/>
      <w:iCs/>
      <w:color w:val="404040" w:themeColor="text1" w:themeTint="BF"/>
    </w:rPr>
  </w:style>
  <w:style w:type="character" w:customStyle="1" w:styleId="QuoteChar">
    <w:name w:val="Quote Char"/>
    <w:basedOn w:val="DefaultParagraphFont"/>
    <w:link w:val="Quote"/>
    <w:uiPriority w:val="29"/>
    <w:rsid w:val="0086093B"/>
    <w:rPr>
      <w:i/>
      <w:iCs/>
      <w:noProof/>
      <w:color w:val="404040" w:themeColor="text1" w:themeTint="BF"/>
    </w:rPr>
  </w:style>
  <w:style w:type="paragraph" w:styleId="ListParagraph">
    <w:name w:val="List Paragraph"/>
    <w:basedOn w:val="Normal"/>
    <w:uiPriority w:val="34"/>
    <w:qFormat/>
    <w:rsid w:val="0086093B"/>
    <w:pPr>
      <w:ind w:left="720"/>
      <w:contextualSpacing/>
    </w:pPr>
  </w:style>
  <w:style w:type="character" w:styleId="IntenseEmphasis">
    <w:name w:val="Intense Emphasis"/>
    <w:basedOn w:val="DefaultParagraphFont"/>
    <w:uiPriority w:val="21"/>
    <w:qFormat/>
    <w:rsid w:val="0086093B"/>
    <w:rPr>
      <w:i/>
      <w:iCs/>
      <w:color w:val="0F4761" w:themeColor="accent1" w:themeShade="BF"/>
    </w:rPr>
  </w:style>
  <w:style w:type="paragraph" w:styleId="IntenseQuote">
    <w:name w:val="Intense Quote"/>
    <w:basedOn w:val="Normal"/>
    <w:next w:val="Normal"/>
    <w:link w:val="IntenseQuoteChar"/>
    <w:uiPriority w:val="30"/>
    <w:qFormat/>
    <w:rsid w:val="008609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93B"/>
    <w:rPr>
      <w:i/>
      <w:iCs/>
      <w:noProof/>
      <w:color w:val="0F4761" w:themeColor="accent1" w:themeShade="BF"/>
    </w:rPr>
  </w:style>
  <w:style w:type="character" w:styleId="IntenseReference">
    <w:name w:val="Intense Reference"/>
    <w:basedOn w:val="DefaultParagraphFont"/>
    <w:uiPriority w:val="32"/>
    <w:qFormat/>
    <w:rsid w:val="0086093B"/>
    <w:rPr>
      <w:b/>
      <w:bCs/>
      <w:smallCaps/>
      <w:color w:val="0F4761" w:themeColor="accent1" w:themeShade="BF"/>
      <w:spacing w:val="5"/>
    </w:rPr>
  </w:style>
  <w:style w:type="character" w:styleId="Hyperlink">
    <w:name w:val="Hyperlink"/>
    <w:basedOn w:val="DefaultParagraphFont"/>
    <w:uiPriority w:val="99"/>
    <w:unhideWhenUsed/>
    <w:rsid w:val="009166DA"/>
    <w:rPr>
      <w:color w:val="467886" w:themeColor="hyperlink"/>
      <w:u w:val="single"/>
    </w:rPr>
  </w:style>
  <w:style w:type="character" w:styleId="UnresolvedMention">
    <w:name w:val="Unresolved Mention"/>
    <w:basedOn w:val="DefaultParagraphFont"/>
    <w:uiPriority w:val="99"/>
    <w:semiHidden/>
    <w:unhideWhenUsed/>
    <w:rsid w:val="009166DA"/>
    <w:rPr>
      <w:color w:val="605E5C"/>
      <w:shd w:val="clear" w:color="auto" w:fill="E1DFDD"/>
    </w:rPr>
  </w:style>
  <w:style w:type="paragraph" w:styleId="Header">
    <w:name w:val="header"/>
    <w:basedOn w:val="Normal"/>
    <w:link w:val="HeaderChar"/>
    <w:uiPriority w:val="99"/>
    <w:unhideWhenUsed/>
    <w:rsid w:val="00141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F9E"/>
    <w:rPr>
      <w:noProof/>
    </w:rPr>
  </w:style>
  <w:style w:type="paragraph" w:styleId="Footer">
    <w:name w:val="footer"/>
    <w:basedOn w:val="Normal"/>
    <w:link w:val="FooterChar"/>
    <w:uiPriority w:val="99"/>
    <w:unhideWhenUsed/>
    <w:rsid w:val="00141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F9E"/>
    <w:rPr>
      <w:noProof/>
    </w:rPr>
  </w:style>
  <w:style w:type="paragraph" w:styleId="TOCHeading">
    <w:name w:val="TOC Heading"/>
    <w:basedOn w:val="Heading1"/>
    <w:next w:val="Normal"/>
    <w:uiPriority w:val="39"/>
    <w:unhideWhenUsed/>
    <w:qFormat/>
    <w:rsid w:val="00501BB1"/>
    <w:pPr>
      <w:spacing w:before="240" w:after="0" w:line="259" w:lineRule="auto"/>
      <w:outlineLvl w:val="9"/>
    </w:pPr>
    <w:rPr>
      <w:rFonts w:asciiTheme="majorHAnsi" w:hAnsiTheme="majorHAnsi"/>
      <w:b w:val="0"/>
      <w:noProof w:val="0"/>
      <w:kern w:val="0"/>
      <w:szCs w:val="32"/>
      <w:lang w:eastAsia="en-GB"/>
      <w14:ligatures w14:val="none"/>
    </w:rPr>
  </w:style>
  <w:style w:type="paragraph" w:styleId="TOC1">
    <w:name w:val="toc 1"/>
    <w:basedOn w:val="Normal"/>
    <w:next w:val="Normal"/>
    <w:autoRedefine/>
    <w:uiPriority w:val="39"/>
    <w:unhideWhenUsed/>
    <w:rsid w:val="00501B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36/bmjopen-2020-043344" TargetMode="External"/><Relationship Id="rId18" Type="http://schemas.openxmlformats.org/officeDocument/2006/relationships/hyperlink" Target="https://www.legislation.gov.uk/ukpga/2014/23/section/2" TargetMode="External"/><Relationship Id="rId3" Type="http://schemas.openxmlformats.org/officeDocument/2006/relationships/styles" Target="styles.xml"/><Relationship Id="rId21" Type="http://schemas.openxmlformats.org/officeDocument/2006/relationships/hyperlink" Target="https://doi.org/10.1111/hsc.12794" TargetMode="External"/><Relationship Id="rId7" Type="http://schemas.openxmlformats.org/officeDocument/2006/relationships/endnotes" Target="endnotes.xml"/><Relationship Id="rId12" Type="http://schemas.openxmlformats.org/officeDocument/2006/relationships/hyperlink" Target="https://doi.org/10.1111/hex.12639" TargetMode="External"/><Relationship Id="rId17" Type="http://schemas.openxmlformats.org/officeDocument/2006/relationships/hyperlink" Target="https://www.legislation.gov.uk/ukpga/2014/23/section/1" TargetMode="External"/><Relationship Id="rId2" Type="http://schemas.openxmlformats.org/officeDocument/2006/relationships/numbering" Target="numbering.xml"/><Relationship Id="rId16" Type="http://schemas.openxmlformats.org/officeDocument/2006/relationships/hyperlink" Target="https://doi.org/10.1016/j.sapharm.2019.04.010" TargetMode="External"/><Relationship Id="rId20" Type="http://schemas.openxmlformats.org/officeDocument/2006/relationships/hyperlink" Target="https://doi.org/10.1016/j.sapharm.2025.01.0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3-024-11869-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s10597-024-01352-w" TargetMode="External"/><Relationship Id="rId23" Type="http://schemas.openxmlformats.org/officeDocument/2006/relationships/fontTable" Target="fontTable.xml"/><Relationship Id="rId10" Type="http://schemas.openxmlformats.org/officeDocument/2006/relationships/hyperlink" Target="https://doi.org/10.1136/bmjopen-2023-079820" TargetMode="External"/><Relationship Id="rId19" Type="http://schemas.openxmlformats.org/officeDocument/2006/relationships/hyperlink" Target="https://www.legislation.gov.uk/ukpga/2014/23/section/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86/s12913-023-10030-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BC8B4-E4BB-4042-8D21-10FD9C10D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Pages>
  <Words>2286</Words>
  <Characters>13035</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kadir</dc:creator>
  <cp:keywords/>
  <dc:description/>
  <dcterms:created xsi:type="dcterms:W3CDTF">2026-10-10T13:41:00Z</dcterms:created>
  <dcterms:modified xsi:type="dcterms:W3CDTF">2026-10-10T14:45:00Z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143666865457d6ac9dedbc07bd98e7e5cff40ba79e298ce99e12ed1ba2f4117f</vt:lpwstr>
  </property>
</Properties>
</file>