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F3798" w14:textId="77777777" w:rsidR="00107370" w:rsidRPr="00983383" w:rsidRDefault="00107370" w:rsidP="00107370">
      <w:pPr>
        <w:spacing w:before="100" w:beforeAutospacing="1" w:after="100" w:afterAutospacing="1"/>
        <w:outlineLvl w:val="0"/>
        <w:rPr>
          <w:rFonts w:ascii="Times New Roman" w:eastAsia="Times New Roman" w:hAnsi="Times New Roman" w:cs="Times New Roman"/>
          <w:b/>
          <w:bCs/>
          <w:color w:val="000000" w:themeColor="text1"/>
          <w:kern w:val="36"/>
          <w:sz w:val="48"/>
          <w:szCs w:val="48"/>
          <w:lang w:eastAsia="en-GB"/>
          <w14:ligatures w14:val="none"/>
        </w:rPr>
      </w:pPr>
      <w:r w:rsidRPr="00983383">
        <w:rPr>
          <w:rFonts w:ascii="Times New Roman" w:eastAsia="Times New Roman" w:hAnsi="Times New Roman" w:cs="Times New Roman"/>
          <w:b/>
          <w:bCs/>
          <w:color w:val="000000" w:themeColor="text1"/>
          <w:kern w:val="36"/>
          <w:sz w:val="48"/>
          <w:szCs w:val="48"/>
          <w:lang w:eastAsia="en-GB"/>
          <w14:ligatures w14:val="none"/>
        </w:rPr>
        <w:t>Greggs Plc.</w:t>
      </w:r>
    </w:p>
    <w:p w14:paraId="2FC4B0D0" w14:textId="77777777" w:rsidR="00107370" w:rsidRPr="00983383" w:rsidRDefault="00107370" w:rsidP="00107370">
      <w:pPr>
        <w:rPr>
          <w:rFonts w:ascii="Times New Roman" w:hAnsi="Times New Roman" w:cs="Times New Roman"/>
          <w:b/>
          <w:bCs/>
          <w:i/>
          <w:iCs/>
          <w:color w:val="000000" w:themeColor="text1"/>
        </w:rPr>
      </w:pPr>
      <w:r w:rsidRPr="00983383">
        <w:rPr>
          <w:rFonts w:ascii="Times New Roman" w:hAnsi="Times New Roman" w:cs="Times New Roman"/>
          <w:b/>
          <w:bCs/>
          <w:i/>
          <w:iCs/>
          <w:color w:val="000000" w:themeColor="text1"/>
        </w:rPr>
        <w:t>Strategic Analysis of Greggs: Assessing Sustainability and Resilience in the UK Food-to-Go Sector</w:t>
      </w:r>
    </w:p>
    <w:p w14:paraId="27BFF94D" w14:textId="77777777" w:rsidR="00107370" w:rsidRDefault="00107370" w:rsidP="00107370">
      <w:pPr>
        <w:rPr>
          <w:rFonts w:ascii="Times New Roman" w:hAnsi="Times New Roman" w:cs="Times New Roman"/>
          <w:color w:val="000000" w:themeColor="text1"/>
        </w:rPr>
      </w:pPr>
    </w:p>
    <w:p w14:paraId="0ACBBB5E" w14:textId="77777777" w:rsidR="00107370" w:rsidRPr="00983383" w:rsidRDefault="00107370" w:rsidP="00107370">
      <w:pPr>
        <w:rPr>
          <w:rFonts w:ascii="Times New Roman" w:hAnsi="Times New Roman" w:cs="Times New Roman"/>
          <w:color w:val="000000" w:themeColor="text1"/>
        </w:rPr>
      </w:pPr>
    </w:p>
    <w:p w14:paraId="44DFC80F" w14:textId="77777777" w:rsidR="00107370" w:rsidRPr="00240F43" w:rsidRDefault="00107370" w:rsidP="00107370">
      <w:pPr>
        <w:ind w:firstLine="720"/>
        <w:rPr>
          <w:rFonts w:ascii="Times New Roman" w:hAnsi="Times New Roman" w:cs="Times New Roman"/>
          <w:b/>
          <w:bCs/>
          <w:color w:val="000000" w:themeColor="text1"/>
          <w:sz w:val="36"/>
          <w:szCs w:val="36"/>
        </w:rPr>
      </w:pPr>
      <w:r w:rsidRPr="00240F43">
        <w:rPr>
          <w:rFonts w:ascii="Times New Roman" w:hAnsi="Times New Roman" w:cs="Times New Roman"/>
          <w:b/>
          <w:bCs/>
          <w:color w:val="000000" w:themeColor="text1"/>
          <w:sz w:val="36"/>
          <w:szCs w:val="36"/>
        </w:rPr>
        <w:t>Introduction</w:t>
      </w:r>
    </w:p>
    <w:p w14:paraId="580AC928" w14:textId="77777777" w:rsidR="00107370" w:rsidRPr="00983383" w:rsidRDefault="00107370" w:rsidP="00107370">
      <w:pPr>
        <w:rPr>
          <w:rFonts w:ascii="Times New Roman" w:hAnsi="Times New Roman" w:cs="Times New Roman"/>
          <w:color w:val="000000" w:themeColor="text1"/>
        </w:rPr>
      </w:pPr>
    </w:p>
    <w:p w14:paraId="30D3D7FA" w14:textId="77777777" w:rsidR="00107370" w:rsidRDefault="00107370" w:rsidP="00107370">
      <w:pPr>
        <w:rPr>
          <w:rFonts w:ascii="Times New Roman" w:hAnsi="Times New Roman" w:cs="Times New Roman"/>
          <w:color w:val="000000" w:themeColor="text1"/>
        </w:rPr>
      </w:pPr>
      <w:proofErr w:type="gramStart"/>
      <w:r w:rsidRPr="00D72426">
        <w:rPr>
          <w:rFonts w:ascii="Times New Roman" w:hAnsi="Times New Roman" w:cs="Times New Roman"/>
          <w:color w:val="000000" w:themeColor="text1"/>
        </w:rPr>
        <w:t>Greggs</w:t>
      </w:r>
      <w:proofErr w:type="gramEnd"/>
      <w:r w:rsidRPr="00D72426">
        <w:rPr>
          <w:rFonts w:ascii="Times New Roman" w:hAnsi="Times New Roman" w:cs="Times New Roman"/>
          <w:color w:val="000000" w:themeColor="text1"/>
        </w:rPr>
        <w:t xml:space="preserve"> plc has become Britain's top bakery food-to-go chain. It operates over 2,600 shops across the UK and employs around 33,000 people. In 2024, the company reached a significant milestone by surpassing £2 billion in turnover for the first time. Throughout its success, </w:t>
      </w:r>
      <w:proofErr w:type="gramStart"/>
      <w:r w:rsidRPr="00D72426">
        <w:rPr>
          <w:rFonts w:ascii="Times New Roman" w:hAnsi="Times New Roman" w:cs="Times New Roman"/>
          <w:color w:val="000000" w:themeColor="text1"/>
        </w:rPr>
        <w:t>Greggs</w:t>
      </w:r>
      <w:proofErr w:type="gramEnd"/>
      <w:r w:rsidRPr="00D72426">
        <w:rPr>
          <w:rFonts w:ascii="Times New Roman" w:hAnsi="Times New Roman" w:cs="Times New Roman"/>
          <w:color w:val="000000" w:themeColor="text1"/>
        </w:rPr>
        <w:t xml:space="preserve"> plc has remained dedicated to offering affordable, high-quality products for everyday customers (</w:t>
      </w:r>
      <w:proofErr w:type="gramStart"/>
      <w:r w:rsidRPr="00D72426">
        <w:rPr>
          <w:rFonts w:ascii="Times New Roman" w:hAnsi="Times New Roman" w:cs="Times New Roman"/>
          <w:color w:val="000000" w:themeColor="text1"/>
        </w:rPr>
        <w:t>Greggs</w:t>
      </w:r>
      <w:proofErr w:type="gramEnd"/>
      <w:r w:rsidRPr="00D72426">
        <w:rPr>
          <w:rFonts w:ascii="Times New Roman" w:hAnsi="Times New Roman" w:cs="Times New Roman"/>
          <w:color w:val="000000" w:themeColor="text1"/>
        </w:rPr>
        <w:t xml:space="preserve"> plc, 2024). This analysis examines both the internal and external environments of Greggs, utilising various frameworks. It focuses on sustainability and resilience strategies that support the company's competitive edge. Costa Coffee, a competitor of Greggs</w:t>
      </w:r>
      <w:r>
        <w:rPr>
          <w:rFonts w:ascii="Times New Roman" w:hAnsi="Times New Roman" w:cs="Times New Roman"/>
          <w:color w:val="000000" w:themeColor="text1"/>
        </w:rPr>
        <w:t>’</w:t>
      </w:r>
      <w:r w:rsidRPr="00D72426">
        <w:rPr>
          <w:rFonts w:ascii="Times New Roman" w:hAnsi="Times New Roman" w:cs="Times New Roman"/>
          <w:color w:val="000000" w:themeColor="text1"/>
        </w:rPr>
        <w:t>, will offer insights for comparison and serve as a reference point for strategic decisions in the food-to-go and hot drinks market.</w:t>
      </w:r>
    </w:p>
    <w:p w14:paraId="4A11607F" w14:textId="77777777" w:rsidR="00107370" w:rsidRDefault="00107370" w:rsidP="00107370">
      <w:pPr>
        <w:rPr>
          <w:rFonts w:ascii="Times New Roman" w:hAnsi="Times New Roman" w:cs="Times New Roman"/>
          <w:color w:val="000000" w:themeColor="text1"/>
        </w:rPr>
      </w:pPr>
    </w:p>
    <w:p w14:paraId="17AFB757" w14:textId="77777777" w:rsidR="00107370" w:rsidRPr="00983383" w:rsidRDefault="00107370" w:rsidP="00107370">
      <w:pPr>
        <w:rPr>
          <w:rFonts w:ascii="Times New Roman" w:hAnsi="Times New Roman" w:cs="Times New Roman"/>
          <w:color w:val="000000" w:themeColor="text1"/>
        </w:rPr>
      </w:pPr>
    </w:p>
    <w:p w14:paraId="4B1937DB" w14:textId="77777777" w:rsidR="00107370" w:rsidRPr="00983383" w:rsidRDefault="00107370" w:rsidP="00107370">
      <w:pPr>
        <w:ind w:firstLine="720"/>
        <w:rPr>
          <w:rFonts w:ascii="Times New Roman" w:hAnsi="Times New Roman" w:cs="Times New Roman"/>
          <w:b/>
          <w:bCs/>
          <w:color w:val="000000" w:themeColor="text1"/>
          <w:sz w:val="36"/>
          <w:szCs w:val="36"/>
        </w:rPr>
      </w:pPr>
      <w:r w:rsidRPr="00983383">
        <w:rPr>
          <w:rFonts w:ascii="Times New Roman" w:hAnsi="Times New Roman" w:cs="Times New Roman"/>
          <w:b/>
          <w:bCs/>
          <w:color w:val="000000" w:themeColor="text1"/>
          <w:sz w:val="36"/>
          <w:szCs w:val="36"/>
        </w:rPr>
        <w:t>Internal Analysis</w:t>
      </w:r>
    </w:p>
    <w:p w14:paraId="2180AFB1" w14:textId="77777777" w:rsidR="00107370" w:rsidRPr="00983383" w:rsidRDefault="00107370" w:rsidP="00107370">
      <w:pPr>
        <w:rPr>
          <w:rFonts w:ascii="Times New Roman" w:hAnsi="Times New Roman" w:cs="Times New Roman"/>
          <w:b/>
          <w:bCs/>
          <w:color w:val="000000" w:themeColor="text1"/>
        </w:rPr>
      </w:pPr>
    </w:p>
    <w:p w14:paraId="60E0D8B0" w14:textId="77777777" w:rsidR="00107370" w:rsidRPr="00983383" w:rsidRDefault="00107370" w:rsidP="00107370">
      <w:pPr>
        <w:rPr>
          <w:rFonts w:ascii="Times New Roman" w:hAnsi="Times New Roman" w:cs="Times New Roman"/>
          <w:b/>
          <w:bCs/>
          <w:color w:val="000000" w:themeColor="text1"/>
          <w:sz w:val="28"/>
          <w:szCs w:val="28"/>
        </w:rPr>
      </w:pPr>
      <w:r w:rsidRPr="00983383">
        <w:rPr>
          <w:rFonts w:ascii="Times New Roman" w:hAnsi="Times New Roman" w:cs="Times New Roman"/>
          <w:b/>
          <w:bCs/>
          <w:color w:val="000000" w:themeColor="text1"/>
          <w:sz w:val="28"/>
          <w:szCs w:val="28"/>
        </w:rPr>
        <w:t>Porter's Five Forces Analysis</w:t>
      </w:r>
    </w:p>
    <w:p w14:paraId="2CE5CB67" w14:textId="77777777" w:rsidR="00107370" w:rsidRPr="00983383" w:rsidRDefault="00107370" w:rsidP="00107370">
      <w:pPr>
        <w:rPr>
          <w:rFonts w:ascii="Times New Roman" w:hAnsi="Times New Roman" w:cs="Times New Roman"/>
          <w:color w:val="000000" w:themeColor="text1"/>
        </w:rPr>
      </w:pPr>
    </w:p>
    <w:p w14:paraId="06B904BD"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Porter's (1980) framework offers key insights into industry competitiveness through five forces that influence strategic positioning. Competitive dynamics create both opportunities and challenges for Greggs' growth in the UK food-to-go sector.</w:t>
      </w:r>
    </w:p>
    <w:p w14:paraId="02F783BB" w14:textId="77777777" w:rsidR="00107370" w:rsidRPr="00D72426" w:rsidRDefault="00107370" w:rsidP="00107370">
      <w:pPr>
        <w:rPr>
          <w:rFonts w:ascii="Times New Roman" w:hAnsi="Times New Roman" w:cs="Times New Roman"/>
          <w:color w:val="000000" w:themeColor="text1"/>
        </w:rPr>
      </w:pPr>
    </w:p>
    <w:p w14:paraId="6C8551D5"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Competitive rivalry in the food-to-go industry is intense, with little product differentiation and low switching costs for customers. Greggs faces competition from many players, including traditional bakeries, coffee chains, convenience stores, and supermarket meal deals. This results in a fragmented market that heightens price competition. Costa Coffee also faces fierce rivalry in the coffee shop segment, holding a 38.3% market share in the UK by outlet count. However, this level of concentration differs from that of the bakery sector, where Greggs operates.</w:t>
      </w:r>
    </w:p>
    <w:p w14:paraId="51A13B5C" w14:textId="77777777" w:rsidR="00107370" w:rsidRPr="00D72426" w:rsidRDefault="00107370" w:rsidP="00107370">
      <w:pPr>
        <w:rPr>
          <w:rFonts w:ascii="Times New Roman" w:hAnsi="Times New Roman" w:cs="Times New Roman"/>
          <w:color w:val="000000" w:themeColor="text1"/>
        </w:rPr>
      </w:pPr>
    </w:p>
    <w:p w14:paraId="316F273E"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The threat of new entrants is moderate due to relatively low barriers to entry for small businesses. Starting a neighbourhood bakery or coffee shop requires modest capital. Regulations, while strict on food safety, do not stop new entrants. Still, Greggs benefits from a strong distribution network, manufacturing infrastructure, upcoming expansion in Derby, and solid brand recognition. These factors create significant advantages that shield the company from substantial threats posed by new competitors. Greggs achieves economies of scale in procurement and production that independent operators struggle to match.</w:t>
      </w:r>
    </w:p>
    <w:p w14:paraId="104141CE" w14:textId="77777777" w:rsidR="00107370" w:rsidRPr="00D72426" w:rsidRDefault="00107370" w:rsidP="00107370">
      <w:pPr>
        <w:rPr>
          <w:rFonts w:ascii="Times New Roman" w:hAnsi="Times New Roman" w:cs="Times New Roman"/>
          <w:color w:val="000000" w:themeColor="text1"/>
        </w:rPr>
      </w:pPr>
    </w:p>
    <w:p w14:paraId="32862BDE"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Supplier bargaining power is moderate for Greggs. This reflects a diverse supplier base and the company's large purchasing volume. Greggs has wisely secured sustainable sourcing commitments, with 100% of its declared soy certified as sustainable and ongoing efforts to source wheat from regenerative agriculture (</w:t>
      </w:r>
      <w:proofErr w:type="gramStart"/>
      <w:r w:rsidRPr="00D72426">
        <w:rPr>
          <w:rFonts w:ascii="Times New Roman" w:hAnsi="Times New Roman" w:cs="Times New Roman"/>
          <w:color w:val="000000" w:themeColor="text1"/>
        </w:rPr>
        <w:t>Greggs</w:t>
      </w:r>
      <w:proofErr w:type="gramEnd"/>
      <w:r w:rsidRPr="00D72426">
        <w:rPr>
          <w:rFonts w:ascii="Times New Roman" w:hAnsi="Times New Roman" w:cs="Times New Roman"/>
          <w:color w:val="000000" w:themeColor="text1"/>
        </w:rPr>
        <w:t xml:space="preserve"> plc, 2024). These relationships balance </w:t>
      </w:r>
      <w:r w:rsidRPr="00D72426">
        <w:rPr>
          <w:rFonts w:ascii="Times New Roman" w:hAnsi="Times New Roman" w:cs="Times New Roman"/>
          <w:color w:val="000000" w:themeColor="text1"/>
        </w:rPr>
        <w:lastRenderedPageBreak/>
        <w:t>cost efficiency with ethical standards, though climate volatility poses risks related to agricultural reliance on weather.</w:t>
      </w:r>
    </w:p>
    <w:p w14:paraId="604DA7AF" w14:textId="77777777" w:rsidR="00107370" w:rsidRPr="00D72426" w:rsidRDefault="00107370" w:rsidP="00107370">
      <w:pPr>
        <w:rPr>
          <w:rFonts w:ascii="Times New Roman" w:hAnsi="Times New Roman" w:cs="Times New Roman"/>
          <w:color w:val="000000" w:themeColor="text1"/>
        </w:rPr>
      </w:pPr>
    </w:p>
    <w:p w14:paraId="1E26BBB8"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Buyer bargaining power is high in the food-to-go sector, where customers have many choices and face minimal switching costs. Price sensitivity is typical among the mainstream market segment that Greggs targets, so consistent value delivery is essential for maintaining customer loyalty. The rise of mobile applications and delivery platforms has improved price transparency, allowing consumers to compare options easily. Greggs has responded by launching a loyalty app and targeted promotions, creating switching costs for customers through accumulated benefits. Both Greggs and Costa Coffee offer loyalty programs, but Costa's premium positioning gives it slightly more pricing power compared to Greggs' focus on value.</w:t>
      </w:r>
    </w:p>
    <w:p w14:paraId="4EFC3ED6" w14:textId="77777777" w:rsidR="00107370" w:rsidRPr="00D72426" w:rsidRDefault="00107370" w:rsidP="00107370">
      <w:pPr>
        <w:rPr>
          <w:rFonts w:ascii="Times New Roman" w:hAnsi="Times New Roman" w:cs="Times New Roman"/>
          <w:color w:val="000000" w:themeColor="text1"/>
        </w:rPr>
      </w:pPr>
    </w:p>
    <w:p w14:paraId="3E036C09" w14:textId="77777777" w:rsidR="00107370"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The threat of substitutes is significant as consumers can choose from various meal options, including home cooking, supermarket ready meals, restaurants, and competing quick-service formats. Economic pressures increase this threat during times when household budgets are tight, leading consumers to cook at home instead of buying food. However, the convenience offered by food-to-go helps protect operators from these substitution effects, especially for time-strapped consumers who prioritise access over cost. Greggs' affordable price points reduce substitution risks more effectively than those of premium competitors, as shown by ongoing volume growth even during economic challenges.</w:t>
      </w:r>
    </w:p>
    <w:p w14:paraId="24547C5F" w14:textId="77777777" w:rsidR="00107370" w:rsidRDefault="00107370" w:rsidP="00107370">
      <w:pPr>
        <w:rPr>
          <w:rFonts w:ascii="Times New Roman" w:hAnsi="Times New Roman" w:cs="Times New Roman"/>
          <w:b/>
          <w:bCs/>
          <w:color w:val="000000" w:themeColor="text1"/>
        </w:rPr>
      </w:pPr>
    </w:p>
    <w:p w14:paraId="58341FF4" w14:textId="77777777" w:rsidR="00107370" w:rsidRPr="00983383" w:rsidRDefault="00107370" w:rsidP="00107370">
      <w:pPr>
        <w:rPr>
          <w:rFonts w:ascii="Times New Roman" w:hAnsi="Times New Roman" w:cs="Times New Roman"/>
          <w:b/>
          <w:bCs/>
          <w:color w:val="000000" w:themeColor="text1"/>
        </w:rPr>
      </w:pPr>
    </w:p>
    <w:p w14:paraId="62BAAC81" w14:textId="77777777" w:rsidR="00107370" w:rsidRPr="00983383" w:rsidRDefault="00107370" w:rsidP="00107370">
      <w:pPr>
        <w:rPr>
          <w:rFonts w:ascii="Times New Roman" w:hAnsi="Times New Roman" w:cs="Times New Roman"/>
          <w:b/>
          <w:bCs/>
          <w:color w:val="000000" w:themeColor="text1"/>
          <w:sz w:val="28"/>
          <w:szCs w:val="28"/>
        </w:rPr>
      </w:pPr>
      <w:r w:rsidRPr="00983383">
        <w:rPr>
          <w:rFonts w:ascii="Times New Roman" w:hAnsi="Times New Roman" w:cs="Times New Roman"/>
          <w:b/>
          <w:bCs/>
          <w:color w:val="000000" w:themeColor="text1"/>
          <w:sz w:val="28"/>
          <w:szCs w:val="28"/>
        </w:rPr>
        <w:t>SWOT Analysis</w:t>
      </w:r>
    </w:p>
    <w:p w14:paraId="2E78BB0A" w14:textId="77777777" w:rsidR="00107370" w:rsidRPr="00983383" w:rsidRDefault="00107370" w:rsidP="00107370">
      <w:pPr>
        <w:rPr>
          <w:rFonts w:ascii="Times New Roman" w:hAnsi="Times New Roman" w:cs="Times New Roman"/>
          <w:color w:val="000000" w:themeColor="text1"/>
        </w:rPr>
      </w:pPr>
    </w:p>
    <w:tbl>
      <w:tblPr>
        <w:tblStyle w:val="TableGrid"/>
        <w:tblW w:w="10632" w:type="dxa"/>
        <w:tblInd w:w="-856" w:type="dxa"/>
        <w:tblLook w:val="04A0" w:firstRow="1" w:lastRow="0" w:firstColumn="1" w:lastColumn="0" w:noHBand="0" w:noVBand="1"/>
      </w:tblPr>
      <w:tblGrid>
        <w:gridCol w:w="5364"/>
        <w:gridCol w:w="5268"/>
      </w:tblGrid>
      <w:tr w:rsidR="00107370" w:rsidRPr="00983383" w14:paraId="753D7D51" w14:textId="77777777" w:rsidTr="003F244A">
        <w:tc>
          <w:tcPr>
            <w:tcW w:w="5364" w:type="dxa"/>
          </w:tcPr>
          <w:p w14:paraId="68AC30DE" w14:textId="77777777" w:rsidR="00107370" w:rsidRPr="00983383" w:rsidRDefault="00107370" w:rsidP="003F244A">
            <w:pPr>
              <w:spacing w:before="100" w:beforeAutospacing="1" w:after="100" w:afterAutospacing="1"/>
              <w:outlineLvl w:val="2"/>
              <w:rPr>
                <w:rFonts w:ascii="Times New Roman" w:eastAsia="Times New Roman" w:hAnsi="Times New Roman" w:cs="Times New Roman"/>
                <w:b/>
                <w:bCs/>
                <w:color w:val="000000" w:themeColor="text1"/>
                <w:kern w:val="0"/>
                <w:lang w:eastAsia="en-GB"/>
                <w14:ligatures w14:val="none"/>
              </w:rPr>
            </w:pPr>
            <w:r w:rsidRPr="00983383">
              <w:rPr>
                <w:rFonts w:ascii="Times New Roman" w:eastAsia="Times New Roman" w:hAnsi="Times New Roman" w:cs="Times New Roman"/>
                <w:b/>
                <w:bCs/>
                <w:color w:val="000000" w:themeColor="text1"/>
                <w:kern w:val="0"/>
                <w:lang w:eastAsia="en-GB"/>
                <w14:ligatures w14:val="none"/>
              </w:rPr>
              <w:t>Strengths</w:t>
            </w:r>
          </w:p>
        </w:tc>
        <w:tc>
          <w:tcPr>
            <w:tcW w:w="5268" w:type="dxa"/>
          </w:tcPr>
          <w:p w14:paraId="30DBA45E" w14:textId="77777777" w:rsidR="00107370" w:rsidRPr="00983383" w:rsidRDefault="00107370" w:rsidP="003F244A">
            <w:pPr>
              <w:spacing w:before="100" w:beforeAutospacing="1" w:after="100" w:afterAutospacing="1"/>
              <w:outlineLvl w:val="2"/>
              <w:rPr>
                <w:rFonts w:ascii="Times New Roman" w:eastAsia="Times New Roman" w:hAnsi="Times New Roman" w:cs="Times New Roman"/>
                <w:b/>
                <w:bCs/>
                <w:color w:val="000000" w:themeColor="text1"/>
                <w:kern w:val="0"/>
                <w:lang w:eastAsia="en-GB"/>
                <w14:ligatures w14:val="none"/>
              </w:rPr>
            </w:pPr>
            <w:r w:rsidRPr="00983383">
              <w:rPr>
                <w:rFonts w:ascii="Times New Roman" w:eastAsia="Times New Roman" w:hAnsi="Times New Roman" w:cs="Times New Roman"/>
                <w:b/>
                <w:bCs/>
                <w:color w:val="000000" w:themeColor="text1"/>
                <w:kern w:val="0"/>
                <w:lang w:eastAsia="en-GB"/>
                <w14:ligatures w14:val="none"/>
              </w:rPr>
              <w:t>Weaknesses</w:t>
            </w:r>
          </w:p>
        </w:tc>
      </w:tr>
      <w:tr w:rsidR="00107370" w:rsidRPr="00983383" w14:paraId="45CA95D3" w14:textId="77777777" w:rsidTr="003F244A">
        <w:tc>
          <w:tcPr>
            <w:tcW w:w="5364" w:type="dxa"/>
          </w:tcPr>
          <w:p w14:paraId="52FD7E17"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Strong brand recognition as affordable bakery option</w:t>
            </w:r>
          </w:p>
          <w:p w14:paraId="61DB2753"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Accessible through 2600+ shops in the UK, primarily on High Streets and shopping centres with high footfall</w:t>
            </w:r>
          </w:p>
          <w:p w14:paraId="2F80755E"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Positive community impact via Greggs Foundation (1,000+ breakfast clubs)</w:t>
            </w:r>
          </w:p>
          <w:p w14:paraId="6E23654C"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Growing digital and delivery channels (app, Just Eat, Uber Eats, Deliveroo)</w:t>
            </w:r>
          </w:p>
        </w:tc>
        <w:tc>
          <w:tcPr>
            <w:tcW w:w="5268" w:type="dxa"/>
          </w:tcPr>
          <w:p w14:paraId="5EF1FFC1"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Limited global presence, reliant on UK market</w:t>
            </w:r>
          </w:p>
          <w:p w14:paraId="04ED8594"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Limited evening trade, reliant on breakfast and lunch times</w:t>
            </w:r>
          </w:p>
          <w:p w14:paraId="272A38E9"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Product portfolio concentrated in savoury foods (baked and cold prepared goods)</w:t>
            </w:r>
          </w:p>
          <w:p w14:paraId="19D61AB0"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Operational vulnerability due to centralised manufacturing</w:t>
            </w:r>
          </w:p>
        </w:tc>
      </w:tr>
      <w:tr w:rsidR="00107370" w:rsidRPr="00983383" w14:paraId="2C034314" w14:textId="77777777" w:rsidTr="003F244A">
        <w:tc>
          <w:tcPr>
            <w:tcW w:w="5364" w:type="dxa"/>
          </w:tcPr>
          <w:p w14:paraId="07E288DC" w14:textId="77777777" w:rsidR="00107370" w:rsidRPr="00983383" w:rsidRDefault="00107370" w:rsidP="003F244A">
            <w:pPr>
              <w:spacing w:before="100" w:beforeAutospacing="1" w:after="100" w:afterAutospacing="1"/>
              <w:outlineLvl w:val="2"/>
              <w:rPr>
                <w:rFonts w:ascii="Times New Roman" w:eastAsia="Times New Roman" w:hAnsi="Times New Roman" w:cs="Times New Roman"/>
                <w:b/>
                <w:bCs/>
                <w:color w:val="000000" w:themeColor="text1"/>
                <w:kern w:val="0"/>
                <w:lang w:eastAsia="en-GB"/>
                <w14:ligatures w14:val="none"/>
              </w:rPr>
            </w:pPr>
            <w:r w:rsidRPr="00983383">
              <w:rPr>
                <w:rFonts w:ascii="Times New Roman" w:eastAsia="Times New Roman" w:hAnsi="Times New Roman" w:cs="Times New Roman"/>
                <w:b/>
                <w:bCs/>
                <w:color w:val="000000" w:themeColor="text1"/>
                <w:kern w:val="0"/>
                <w:lang w:eastAsia="en-GB"/>
                <w14:ligatures w14:val="none"/>
              </w:rPr>
              <w:t>Opportunities</w:t>
            </w:r>
          </w:p>
        </w:tc>
        <w:tc>
          <w:tcPr>
            <w:tcW w:w="5268" w:type="dxa"/>
          </w:tcPr>
          <w:p w14:paraId="18A92529" w14:textId="77777777" w:rsidR="00107370" w:rsidRPr="00983383" w:rsidRDefault="00107370" w:rsidP="003F244A">
            <w:pPr>
              <w:spacing w:before="100" w:beforeAutospacing="1" w:after="100" w:afterAutospacing="1"/>
              <w:outlineLvl w:val="2"/>
              <w:rPr>
                <w:rFonts w:ascii="Times New Roman" w:eastAsia="Times New Roman" w:hAnsi="Times New Roman" w:cs="Times New Roman"/>
                <w:b/>
                <w:bCs/>
                <w:color w:val="000000" w:themeColor="text1"/>
                <w:kern w:val="0"/>
                <w:lang w:eastAsia="en-GB"/>
                <w14:ligatures w14:val="none"/>
              </w:rPr>
            </w:pPr>
            <w:r w:rsidRPr="00983383">
              <w:rPr>
                <w:rFonts w:ascii="Times New Roman" w:eastAsia="Times New Roman" w:hAnsi="Times New Roman" w:cs="Times New Roman"/>
                <w:b/>
                <w:bCs/>
                <w:color w:val="000000" w:themeColor="text1"/>
                <w:kern w:val="0"/>
                <w:lang w:eastAsia="en-GB"/>
                <w14:ligatures w14:val="none"/>
              </w:rPr>
              <w:t>Threats</w:t>
            </w:r>
          </w:p>
        </w:tc>
      </w:tr>
      <w:tr w:rsidR="00107370" w:rsidRPr="00983383" w14:paraId="668FAA27" w14:textId="77777777" w:rsidTr="003F244A">
        <w:tc>
          <w:tcPr>
            <w:tcW w:w="5364" w:type="dxa"/>
          </w:tcPr>
          <w:p w14:paraId="14311E0D"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Expansion of evening and ‘drive-thru’ formats</w:t>
            </w:r>
          </w:p>
          <w:p w14:paraId="3B5A8CA6"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Expansion of plan-based and healthier foods</w:t>
            </w:r>
          </w:p>
          <w:p w14:paraId="1BD2916D"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Expansion of digital channels and customer engagement</w:t>
            </w:r>
          </w:p>
          <w:p w14:paraId="7821C342"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International market entry</w:t>
            </w:r>
          </w:p>
        </w:tc>
        <w:tc>
          <w:tcPr>
            <w:tcW w:w="5268" w:type="dxa"/>
          </w:tcPr>
          <w:p w14:paraId="424CB1D0"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Cost increases due to economic changes/recession</w:t>
            </w:r>
          </w:p>
          <w:p w14:paraId="134E558D"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Consumer preferences changing toward healthier options</w:t>
            </w:r>
          </w:p>
          <w:p w14:paraId="3F34C5A9" w14:textId="77777777" w:rsidR="00107370" w:rsidRPr="00983383" w:rsidRDefault="00107370" w:rsidP="00107370">
            <w:pPr>
              <w:pStyle w:val="ListParagraph"/>
              <w:numPr>
                <w:ilvl w:val="0"/>
                <w:numId w:val="28"/>
              </w:numPr>
              <w:spacing w:before="100" w:beforeAutospacing="1" w:after="100" w:afterAutospacing="1"/>
              <w:outlineLvl w:val="2"/>
              <w:rPr>
                <w:rFonts w:ascii="Times New Roman" w:eastAsia="Times New Roman" w:hAnsi="Times New Roman" w:cs="Times New Roman"/>
                <w:color w:val="000000" w:themeColor="text1"/>
                <w:kern w:val="0"/>
                <w:lang w:eastAsia="en-GB"/>
                <w14:ligatures w14:val="none"/>
              </w:rPr>
            </w:pPr>
            <w:r w:rsidRPr="00983383">
              <w:rPr>
                <w:rFonts w:ascii="Times New Roman" w:eastAsia="Times New Roman" w:hAnsi="Times New Roman" w:cs="Times New Roman"/>
                <w:color w:val="000000" w:themeColor="text1"/>
                <w:kern w:val="0"/>
                <w:lang w:eastAsia="en-GB"/>
                <w14:ligatures w14:val="none"/>
              </w:rPr>
              <w:t>High competition level from grocers, coffee chains, restaurants and convenience shops</w:t>
            </w:r>
          </w:p>
        </w:tc>
      </w:tr>
    </w:tbl>
    <w:p w14:paraId="307F7821" w14:textId="77777777" w:rsidR="00107370" w:rsidRPr="00983383" w:rsidRDefault="00107370" w:rsidP="00107370">
      <w:pPr>
        <w:spacing w:before="100" w:beforeAutospacing="1" w:after="100" w:afterAutospacing="1"/>
        <w:rPr>
          <w:rFonts w:ascii="Times New Roman" w:eastAsia="Times New Roman" w:hAnsi="Times New Roman" w:cs="Times New Roman"/>
          <w:i/>
          <w:iCs/>
          <w:color w:val="000000" w:themeColor="text1"/>
          <w:kern w:val="0"/>
          <w:lang w:eastAsia="en-GB"/>
          <w14:ligatures w14:val="none"/>
        </w:rPr>
      </w:pPr>
      <w:r w:rsidRPr="00983383">
        <w:rPr>
          <w:rFonts w:ascii="Times New Roman" w:eastAsia="Times New Roman" w:hAnsi="Times New Roman" w:cs="Times New Roman"/>
          <w:i/>
          <w:iCs/>
          <w:color w:val="000000" w:themeColor="text1"/>
          <w:kern w:val="0"/>
          <w:lang w:eastAsia="en-GB"/>
          <w14:ligatures w14:val="none"/>
        </w:rPr>
        <w:t>Greggs Plc. SWOT Analysis Table.</w:t>
      </w:r>
    </w:p>
    <w:p w14:paraId="25305B4A" w14:textId="77777777" w:rsidR="00107370" w:rsidRDefault="00107370" w:rsidP="00107370">
      <w:pPr>
        <w:rPr>
          <w:rFonts w:ascii="Times New Roman" w:eastAsia="Times New Roman" w:hAnsi="Times New Roman" w:cs="Times New Roman"/>
          <w:color w:val="000000" w:themeColor="text1"/>
          <w:kern w:val="0"/>
          <w:lang w:eastAsia="en-GB"/>
          <w14:ligatures w14:val="none"/>
        </w:rPr>
      </w:pPr>
    </w:p>
    <w:p w14:paraId="4B2ADC6E"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 xml:space="preserve">Greggs has significant competitive strengths based on its brand recognition. It consistently positions itself as a convenient, affordable, and accessible bakery choice for everyday consumers. With over 2,600 shops, the company enjoys excellent market coverage supported </w:t>
      </w:r>
      <w:r w:rsidRPr="00D72426">
        <w:rPr>
          <w:rFonts w:ascii="Times New Roman" w:eastAsia="Times New Roman" w:hAnsi="Times New Roman" w:cs="Times New Roman"/>
          <w:color w:val="000000" w:themeColor="text1"/>
          <w:kern w:val="0"/>
          <w:lang w:eastAsia="en-GB"/>
          <w14:ligatures w14:val="none"/>
        </w:rPr>
        <w:lastRenderedPageBreak/>
        <w:t>by a strong logistics system that includes several manufacturing facilities. Its financial performance demonstrates operational success, as Greggs has reduced its carbon intensity by 41.8% since 2019, while also expanding its operations. The Greggs Foundation operates over 1,000 school breakfast clubs, serving 75,000 children daily. This effort enhances the company's reputation and fosters connections with the communities it serves, cultivating relationships that extend beyond mere transactions.</w:t>
      </w:r>
    </w:p>
    <w:p w14:paraId="46574ACB"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1DDD17A1"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 xml:space="preserve">However, being heavily reliant on the UK market </w:t>
      </w:r>
      <w:r>
        <w:rPr>
          <w:rFonts w:ascii="Times New Roman" w:eastAsia="Times New Roman" w:hAnsi="Times New Roman" w:cs="Times New Roman"/>
          <w:color w:val="000000" w:themeColor="text1"/>
          <w:kern w:val="0"/>
          <w:lang w:eastAsia="en-GB"/>
          <w14:ligatures w14:val="none"/>
        </w:rPr>
        <w:t xml:space="preserve">is a </w:t>
      </w:r>
      <w:r w:rsidRPr="00D72426">
        <w:rPr>
          <w:rFonts w:ascii="Times New Roman" w:eastAsia="Times New Roman" w:hAnsi="Times New Roman" w:cs="Times New Roman"/>
          <w:color w:val="000000" w:themeColor="text1"/>
          <w:kern w:val="0"/>
          <w:lang w:eastAsia="en-GB"/>
          <w14:ligatures w14:val="none"/>
        </w:rPr>
        <w:t>weakness. Limited evening sales hamper revenue growth. The focus on savoury bakery products poses risks of substitution, even with recent diversification efforts. Additionally, reliance on manufacturing increases the risk of disruptions. Costa Coffee faces similar issues, including a lack of geographical diversity and operational losses, reporting a pre-tax loss of £9.6 million in 2023. This highlights the profitability challenges in the food retail industry.</w:t>
      </w:r>
    </w:p>
    <w:p w14:paraId="45E032B6"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450644F0"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Demographic shifts, such as urbanisation and changing meal patterns, support Greggs' growth. The rise of plant-based foods offers substantial growth opportunities, illustrated by the successful launch of the vegan sausage roll in 2019. This product attracted considerable media attention and encouraged customer trials, positioning Greggs as an approachable option for plant-based eating. The development of digital channels through a mobile app and delivery partnerships with Eat, Uber Eats, and Deliveroo broadens its market reach beyond physical stores. International expansion remains untapped and holds significant long-term growth potential as the UK's market matures. However, replicating the success of the domestic model abroad may involve cultural and operational challenges.</w:t>
      </w:r>
    </w:p>
    <w:p w14:paraId="1C8F7658"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46BBC890" w14:textId="77777777" w:rsidR="00107370"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Economic fluctuations pressure profit margins, affecting even well-run companies. Increasing competition from discount retailers, specialised coffee shops, and convenience stores splits market share. Regulatory changes around nutrition labelling, advertising limits, and environmental rules impose additional compliance costs and operational challenges. Both Greggs and Costa Coffee face these environmental threats. However, Costa's premium positioning makes it particularly vulnerable during economic downturns, when consumers tend to prefer value options. In contrast, Greggs' focus on affordability offers some protection during tough economic times.</w:t>
      </w:r>
    </w:p>
    <w:p w14:paraId="2D0A17CD" w14:textId="77777777" w:rsidR="00107370" w:rsidRDefault="00107370" w:rsidP="00107370">
      <w:pPr>
        <w:rPr>
          <w:rFonts w:ascii="Times New Roman" w:hAnsi="Times New Roman" w:cs="Times New Roman"/>
          <w:color w:val="000000" w:themeColor="text1"/>
        </w:rPr>
      </w:pPr>
    </w:p>
    <w:p w14:paraId="773FE4FE" w14:textId="77777777" w:rsidR="00107370" w:rsidRPr="00983383" w:rsidRDefault="00107370" w:rsidP="00107370">
      <w:pPr>
        <w:rPr>
          <w:rFonts w:ascii="Times New Roman" w:hAnsi="Times New Roman" w:cs="Times New Roman"/>
          <w:color w:val="000000" w:themeColor="text1"/>
        </w:rPr>
      </w:pPr>
    </w:p>
    <w:p w14:paraId="6940D616" w14:textId="77777777" w:rsidR="00107370" w:rsidRPr="00983383" w:rsidRDefault="00107370" w:rsidP="00107370">
      <w:pPr>
        <w:ind w:firstLine="720"/>
        <w:rPr>
          <w:rFonts w:ascii="Times New Roman" w:hAnsi="Times New Roman" w:cs="Times New Roman"/>
          <w:b/>
          <w:bCs/>
          <w:color w:val="000000" w:themeColor="text1"/>
          <w:sz w:val="36"/>
          <w:szCs w:val="36"/>
        </w:rPr>
      </w:pPr>
      <w:r w:rsidRPr="00983383">
        <w:rPr>
          <w:rFonts w:ascii="Times New Roman" w:hAnsi="Times New Roman" w:cs="Times New Roman"/>
          <w:b/>
          <w:bCs/>
          <w:color w:val="000000" w:themeColor="text1"/>
          <w:sz w:val="36"/>
          <w:szCs w:val="36"/>
        </w:rPr>
        <w:t>External Analysis</w:t>
      </w:r>
    </w:p>
    <w:p w14:paraId="776206E5" w14:textId="77777777" w:rsidR="00107370" w:rsidRPr="00983383" w:rsidRDefault="00107370" w:rsidP="00107370">
      <w:pPr>
        <w:rPr>
          <w:rFonts w:ascii="Times New Roman" w:hAnsi="Times New Roman" w:cs="Times New Roman"/>
          <w:b/>
          <w:bCs/>
          <w:color w:val="000000" w:themeColor="text1"/>
        </w:rPr>
      </w:pPr>
    </w:p>
    <w:p w14:paraId="06AF7788" w14:textId="77777777" w:rsidR="00107370" w:rsidRDefault="00107370" w:rsidP="00107370">
      <w:pPr>
        <w:rPr>
          <w:rFonts w:ascii="Times New Roman" w:hAnsi="Times New Roman" w:cs="Times New Roman"/>
          <w:b/>
          <w:bCs/>
          <w:color w:val="000000" w:themeColor="text1"/>
          <w:sz w:val="28"/>
          <w:szCs w:val="28"/>
        </w:rPr>
      </w:pPr>
      <w:r w:rsidRPr="00983383">
        <w:rPr>
          <w:rFonts w:ascii="Times New Roman" w:hAnsi="Times New Roman" w:cs="Times New Roman"/>
          <w:b/>
          <w:bCs/>
          <w:color w:val="000000" w:themeColor="text1"/>
          <w:sz w:val="28"/>
          <w:szCs w:val="28"/>
        </w:rPr>
        <w:t>PESTLE Analysis</w:t>
      </w:r>
    </w:p>
    <w:p w14:paraId="148944F2" w14:textId="77777777" w:rsidR="00107370" w:rsidRPr="00983383" w:rsidRDefault="00107370" w:rsidP="00107370">
      <w:pPr>
        <w:rPr>
          <w:rFonts w:ascii="Times New Roman" w:hAnsi="Times New Roman" w:cs="Times New Roman"/>
          <w:b/>
          <w:bCs/>
          <w:color w:val="000000" w:themeColor="text1"/>
          <w:sz w:val="28"/>
          <w:szCs w:val="28"/>
        </w:rPr>
      </w:pPr>
    </w:p>
    <w:p w14:paraId="7126B5A7"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Political factors significantly affect food retail operations through regulations on food safety, labelling requirements, and employment laws. The ongoing effects of Brexit complicate supply chains and labour market availability, requiring management responses that add costs without creating corresponding revenue opportunities. Corporate tax policies influence profitability calculations, while government initiatives that support sustainable business practices align well with Greggs' strategic commitments. This alignment could provide competitive advantages as environmental standards become stricter.</w:t>
      </w:r>
    </w:p>
    <w:p w14:paraId="7513BB48"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11049D7D"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 xml:space="preserve">Macroeconomic conditions influence consumer buying habits in the food-to-go sector. Greggs' value positioning offers some protection against economic downturns. Consumers who shift from premium options help drive counter-cyclical growth, offsetting reduced </w:t>
      </w:r>
      <w:r w:rsidRPr="00D72426">
        <w:rPr>
          <w:rFonts w:ascii="Times New Roman" w:eastAsia="Times New Roman" w:hAnsi="Times New Roman" w:cs="Times New Roman"/>
          <w:color w:val="000000" w:themeColor="text1"/>
          <w:kern w:val="0"/>
          <w:lang w:eastAsia="en-GB"/>
          <w14:ligatures w14:val="none"/>
        </w:rPr>
        <w:lastRenderedPageBreak/>
        <w:t>discretionary spending. Rising operational costs, such as energy, ingredients, and labour, squeeze profit margins and demand efficiency improvements. Interest rate changes also affect decisions on capital investment and property leases. Costa Coffee feels these economic pressures more keenly. The decline in foot traffic in urban centres and reduced discretionary spending has a direct impact on its revenues, leading to venue closures in 2025. This situation shows how premium positioning can become a burden during extended economic stress.</w:t>
      </w:r>
    </w:p>
    <w:p w14:paraId="791A8046"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08B802A8"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Social factors drive growth in food-to-go consumption. Time scarcity, urbanisation, and changing household structures push consumers to favour convenience over cooking at home. Increased health awareness plays a bigger role in purchasing decisions. Operators must balance indulgent menu items with healthier and more sustainable options. Greggs has responded with The Greggs Pledge, a five-year sustainability program that focuses on community welfare, environmental impact, and responsible business practices. Both Greggs and Costa Coffee recognise the importance of sustainability, but Greggs takes a community-focused approach, while Costa uses a corporate social responsibility model. This difference could lead to varying levels of stakeholder engagement and genuine connections.</w:t>
      </w:r>
    </w:p>
    <w:p w14:paraId="164A98DD"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46D701BE"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 xml:space="preserve">Technology changes how customers interact and </w:t>
      </w:r>
      <w:proofErr w:type="gramStart"/>
      <w:r w:rsidRPr="00D72426">
        <w:rPr>
          <w:rFonts w:ascii="Times New Roman" w:eastAsia="Times New Roman" w:hAnsi="Times New Roman" w:cs="Times New Roman"/>
          <w:color w:val="000000" w:themeColor="text1"/>
          <w:kern w:val="0"/>
          <w:lang w:eastAsia="en-GB"/>
          <w14:ligatures w14:val="none"/>
        </w:rPr>
        <w:t>creates</w:t>
      </w:r>
      <w:proofErr w:type="gramEnd"/>
      <w:r w:rsidRPr="00D72426">
        <w:rPr>
          <w:rFonts w:ascii="Times New Roman" w:eastAsia="Times New Roman" w:hAnsi="Times New Roman" w:cs="Times New Roman"/>
          <w:color w:val="000000" w:themeColor="text1"/>
          <w:kern w:val="0"/>
          <w:lang w:eastAsia="en-GB"/>
          <w14:ligatures w14:val="none"/>
        </w:rPr>
        <w:t xml:space="preserve"> opportunities for better operational efficiency. Mobile ordering apps make transactions easier and allow for personalised marketing through behaviour data analytics, which can create switching costs through customisation. Delivery platform partnerships expand market reach beyond physical locations, but the impact of commission structures on profit margins requires careful management. Manufacturing automation boosts production consistency and labour productivity, helping protect margins despite rising wages. </w:t>
      </w:r>
    </w:p>
    <w:p w14:paraId="416ABD5A"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36EEEBAE"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Legal requirements mandate compliance with regulations around food safety, employment law, health and safety standards, and consumer protection. Nutritional labelling laws and potential restrictions on marketing high-fat, salt, or sugar products introduce compliance costs and operational challenges, particularly for smaller businesses that lack dedicated resources for compliance. Employment laws, including minimum wage raises and workplace pension requirements, systematically increase labour costs across the sector.</w:t>
      </w:r>
    </w:p>
    <w:p w14:paraId="06D43EB7"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1776B76B" w14:textId="77777777" w:rsidR="00107370" w:rsidRDefault="00107370" w:rsidP="00107370">
      <w:pPr>
        <w:rPr>
          <w:rFonts w:ascii="Times New Roman" w:hAnsi="Times New Roman" w:cs="Times New Roman"/>
          <w:color w:val="000000" w:themeColor="text1"/>
        </w:rPr>
      </w:pPr>
      <w:r w:rsidRPr="00D72426">
        <w:rPr>
          <w:rFonts w:ascii="Times New Roman" w:eastAsia="Times New Roman" w:hAnsi="Times New Roman" w:cs="Times New Roman"/>
          <w:color w:val="000000" w:themeColor="text1"/>
          <w:kern w:val="0"/>
          <w:lang w:eastAsia="en-GB"/>
          <w14:ligatures w14:val="none"/>
        </w:rPr>
        <w:t>Environmental factors pose both physical risks, such as supply chain disruptions, and transition risks due to obligations for low carbon emissions that require significant capital investments. Greggs has set science-based targets for reducing emissions, aiming for net-zero by 2040. The company has made notable progress, sourcing 97.1% of its electricity from renewable sources and converting the Enfield depot to hydrotreated vegetable oil. The company has set goals for packaging sustainability, aiming to achieve 100% recyclable, reusable, or compostable materials by 2025.</w:t>
      </w:r>
    </w:p>
    <w:p w14:paraId="40673B8B" w14:textId="77777777" w:rsidR="00107370" w:rsidRPr="00983383" w:rsidRDefault="00107370" w:rsidP="00107370">
      <w:pPr>
        <w:rPr>
          <w:rFonts w:ascii="Times New Roman" w:hAnsi="Times New Roman" w:cs="Times New Roman"/>
          <w:color w:val="000000" w:themeColor="text1"/>
        </w:rPr>
      </w:pPr>
    </w:p>
    <w:p w14:paraId="53641BC3" w14:textId="77777777" w:rsidR="00107370" w:rsidRDefault="00107370" w:rsidP="00107370">
      <w:pPr>
        <w:rPr>
          <w:rFonts w:ascii="Times New Roman" w:hAnsi="Times New Roman" w:cs="Times New Roman"/>
          <w:b/>
          <w:bCs/>
          <w:color w:val="000000" w:themeColor="text1"/>
          <w:sz w:val="28"/>
          <w:szCs w:val="28"/>
        </w:rPr>
      </w:pPr>
      <w:r w:rsidRPr="005F577E">
        <w:rPr>
          <w:rFonts w:ascii="Times New Roman" w:hAnsi="Times New Roman" w:cs="Times New Roman"/>
          <w:b/>
          <w:bCs/>
          <w:color w:val="000000" w:themeColor="text1"/>
          <w:sz w:val="28"/>
          <w:szCs w:val="28"/>
        </w:rPr>
        <w:t>Stakeholder Analysis</w:t>
      </w:r>
    </w:p>
    <w:p w14:paraId="4289E0A1" w14:textId="77777777" w:rsidR="00107370" w:rsidRPr="005F577E" w:rsidRDefault="00107370" w:rsidP="00107370">
      <w:pPr>
        <w:rPr>
          <w:rFonts w:ascii="Times New Roman" w:hAnsi="Times New Roman" w:cs="Times New Roman"/>
          <w:b/>
          <w:bCs/>
          <w:color w:val="000000" w:themeColor="text1"/>
          <w:sz w:val="28"/>
          <w:szCs w:val="28"/>
        </w:rPr>
      </w:pPr>
    </w:p>
    <w:p w14:paraId="3E7B63B2"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 xml:space="preserve">Freeman's (1984) stakeholder theory states that an organisation's success depends on creating value for various stakeholder groups beyond just shareholders. This challenges the emphasis placed on shareholders that dominated management in the twentieth century. </w:t>
      </w:r>
    </w:p>
    <w:p w14:paraId="1EAC6A06"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576C3129"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Greggs' 33,000 employees directly deliver customer experiences through millions of daily interactions. Investing in training and development programs helps retain talent and fosters career growth while creating internal job markets that lower recruitment costs.</w:t>
      </w:r>
      <w:r>
        <w:rPr>
          <w:rFonts w:ascii="Times New Roman" w:eastAsia="Times New Roman" w:hAnsi="Times New Roman" w:cs="Times New Roman"/>
          <w:color w:val="000000" w:themeColor="text1"/>
          <w:kern w:val="0"/>
          <w:lang w:eastAsia="en-GB"/>
          <w14:ligatures w14:val="none"/>
        </w:rPr>
        <w:t xml:space="preserve"> </w:t>
      </w:r>
      <w:r w:rsidRPr="00D72426">
        <w:rPr>
          <w:rFonts w:ascii="Times New Roman" w:eastAsia="Times New Roman" w:hAnsi="Times New Roman" w:cs="Times New Roman"/>
          <w:color w:val="000000" w:themeColor="text1"/>
          <w:kern w:val="0"/>
          <w:lang w:eastAsia="en-GB"/>
          <w14:ligatures w14:val="none"/>
        </w:rPr>
        <w:t xml:space="preserve">Mainstream consumers seeking affordable and convenient food and drink options comprise Greggs' </w:t>
      </w:r>
      <w:r w:rsidRPr="00D72426">
        <w:rPr>
          <w:rFonts w:ascii="Times New Roman" w:eastAsia="Times New Roman" w:hAnsi="Times New Roman" w:cs="Times New Roman"/>
          <w:color w:val="000000" w:themeColor="text1"/>
          <w:kern w:val="0"/>
          <w:lang w:eastAsia="en-GB"/>
          <w14:ligatures w14:val="none"/>
        </w:rPr>
        <w:lastRenderedPageBreak/>
        <w:t xml:space="preserve">primary customer segment. The loyalty app fosters customer loyalty through rewards and personalised messages, while collecting valuable data on buying habits. </w:t>
      </w:r>
    </w:p>
    <w:p w14:paraId="6CA6C896" w14:textId="77777777" w:rsidR="00107370" w:rsidRPr="00D72426" w:rsidRDefault="00107370" w:rsidP="00107370">
      <w:pPr>
        <w:rPr>
          <w:rFonts w:ascii="Times New Roman" w:eastAsia="Times New Roman" w:hAnsi="Times New Roman" w:cs="Times New Roman"/>
          <w:color w:val="000000" w:themeColor="text1"/>
          <w:kern w:val="0"/>
          <w:lang w:eastAsia="en-GB"/>
          <w14:ligatures w14:val="none"/>
        </w:rPr>
      </w:pPr>
    </w:p>
    <w:p w14:paraId="556A0266" w14:textId="77777777" w:rsidR="00107370" w:rsidRDefault="00107370" w:rsidP="00107370">
      <w:pPr>
        <w:rPr>
          <w:rFonts w:ascii="Times New Roman" w:eastAsia="Times New Roman" w:hAnsi="Times New Roman" w:cs="Times New Roman"/>
          <w:color w:val="000000" w:themeColor="text1"/>
          <w:kern w:val="0"/>
          <w:lang w:eastAsia="en-GB"/>
          <w14:ligatures w14:val="none"/>
        </w:rPr>
      </w:pPr>
      <w:r w:rsidRPr="00D72426">
        <w:rPr>
          <w:rFonts w:ascii="Times New Roman" w:eastAsia="Times New Roman" w:hAnsi="Times New Roman" w:cs="Times New Roman"/>
          <w:color w:val="000000" w:themeColor="text1"/>
          <w:kern w:val="0"/>
          <w:lang w:eastAsia="en-GB"/>
          <w14:ligatures w14:val="none"/>
        </w:rPr>
        <w:t xml:space="preserve">Greggs has delivered value to shareholders through profitable growth and steady dividend policies. In 2024, revenue surpassed £2 billion, reflecting investor confidence in the company's direction. In contrast, Costa Coffee, owned by Coca-Cola, has different priorities for shareholders. A current strategic review suggests the possibility of selling the business due to underperformance compared to acquisition expectations. Long-term relationships with suppliers support operational continuity and help achieve sustainability goals. Greggs collaborates with agricultural suppliers on regenerative farming practices and sustainable sourcing efforts, moving beyond simple transactions to create shared value. Local communities host Greggs' physical locations and provide a customer base, fostering relationships that extend beyond basic market transactions. The Greggs Foundation supports breakfast clubs, operates outlet stores in underserved areas, and partners with food redistribution organisations. </w:t>
      </w:r>
    </w:p>
    <w:p w14:paraId="5EEAF013" w14:textId="77777777" w:rsidR="00107370" w:rsidRDefault="00107370" w:rsidP="00107370">
      <w:pPr>
        <w:rPr>
          <w:rFonts w:ascii="Times New Roman" w:hAnsi="Times New Roman" w:cs="Times New Roman"/>
          <w:color w:val="000000" w:themeColor="text1"/>
        </w:rPr>
      </w:pPr>
    </w:p>
    <w:p w14:paraId="7608EDC1" w14:textId="77777777" w:rsidR="00107370" w:rsidRPr="00983383" w:rsidRDefault="00107370" w:rsidP="00107370">
      <w:pPr>
        <w:rPr>
          <w:rFonts w:ascii="Times New Roman" w:hAnsi="Times New Roman" w:cs="Times New Roman"/>
          <w:color w:val="000000" w:themeColor="text1"/>
        </w:rPr>
      </w:pPr>
    </w:p>
    <w:p w14:paraId="4F95F1AF" w14:textId="77777777" w:rsidR="00107370" w:rsidRPr="00983383" w:rsidRDefault="00107370" w:rsidP="00107370">
      <w:pPr>
        <w:ind w:firstLine="720"/>
        <w:rPr>
          <w:rFonts w:ascii="Times New Roman" w:hAnsi="Times New Roman" w:cs="Times New Roman"/>
          <w:b/>
          <w:bCs/>
          <w:color w:val="000000" w:themeColor="text1"/>
          <w:sz w:val="36"/>
          <w:szCs w:val="36"/>
        </w:rPr>
      </w:pPr>
      <w:r w:rsidRPr="00983383">
        <w:rPr>
          <w:rFonts w:ascii="Times New Roman" w:hAnsi="Times New Roman" w:cs="Times New Roman"/>
          <w:b/>
          <w:bCs/>
          <w:color w:val="000000" w:themeColor="text1"/>
          <w:sz w:val="36"/>
          <w:szCs w:val="36"/>
        </w:rPr>
        <w:t>Overall Analysis and Recommendations</w:t>
      </w:r>
    </w:p>
    <w:p w14:paraId="4665A80E" w14:textId="77777777" w:rsidR="00107370" w:rsidRPr="00983383" w:rsidRDefault="00107370" w:rsidP="00107370">
      <w:pPr>
        <w:rPr>
          <w:rFonts w:ascii="Times New Roman" w:hAnsi="Times New Roman" w:cs="Times New Roman"/>
          <w:color w:val="000000" w:themeColor="text1"/>
        </w:rPr>
      </w:pPr>
    </w:p>
    <w:p w14:paraId="44ED06FD"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Greggs shows strong sustainability and resilience strategies. This is clear from its consistent growth, even during economic challenges and disruptions caused by the pandemic. Duchek (2020) defines resilience in three stages: anticipation, coping, and adaptation. Greggs demonstrates strengths in all three areas. It uses diversified supply chains to anticipate issues, shows operational flexibility during COVID-19 for coping, and adapts quickly to changing consumer preferences. The company's value proposition aligns well with the cost-conscious behaviour of consumers during uncertain economic times, enabling growth that premium competitors often lack. The Greggs Pledge sustainability framework systematically addresses key environmental and social issues. It includes measurable targets and transparent progress reports, which improve accountability to stakeholders (</w:t>
      </w:r>
      <w:proofErr w:type="gramStart"/>
      <w:r w:rsidRPr="00D72426">
        <w:rPr>
          <w:rFonts w:ascii="Times New Roman" w:hAnsi="Times New Roman" w:cs="Times New Roman"/>
          <w:color w:val="000000" w:themeColor="text1"/>
        </w:rPr>
        <w:t>Greggs</w:t>
      </w:r>
      <w:proofErr w:type="gramEnd"/>
      <w:r w:rsidRPr="00D72426">
        <w:rPr>
          <w:rFonts w:ascii="Times New Roman" w:hAnsi="Times New Roman" w:cs="Times New Roman"/>
          <w:color w:val="000000" w:themeColor="text1"/>
        </w:rPr>
        <w:t xml:space="preserve"> plc, 2024).</w:t>
      </w:r>
    </w:p>
    <w:p w14:paraId="5431F2F2" w14:textId="77777777" w:rsidR="00107370" w:rsidRPr="00D72426" w:rsidRDefault="00107370" w:rsidP="00107370">
      <w:pPr>
        <w:rPr>
          <w:rFonts w:ascii="Times New Roman" w:hAnsi="Times New Roman" w:cs="Times New Roman"/>
          <w:color w:val="000000" w:themeColor="text1"/>
        </w:rPr>
      </w:pPr>
    </w:p>
    <w:p w14:paraId="1B42225B"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When examining financial performance, the differences in outcomes underscore the impact of strategic choices. Greggs grew its revenue from about £800 million in 2014 to over £2 billion by 2024, representing an annual growth rate of more than 9%. While profit margins have faced pressures from inflation, they remain positive and sustainable. In contrast, Costa Coffee saw its revenues decline from £1.3 billion in 2018 to £1.22 billion in 2023, resulting in pre-tax losses of £9.6 million. These distinctly different outcomes stem from strategic differences, rather than just market conditions, since both companies compete in similar food-to-go segments that face the same external challenges.</w:t>
      </w:r>
    </w:p>
    <w:p w14:paraId="532CBAE0" w14:textId="77777777" w:rsidR="00107370" w:rsidRPr="00D72426" w:rsidRDefault="00107370" w:rsidP="00107370">
      <w:pPr>
        <w:rPr>
          <w:rFonts w:ascii="Times New Roman" w:hAnsi="Times New Roman" w:cs="Times New Roman"/>
          <w:color w:val="000000" w:themeColor="text1"/>
        </w:rPr>
      </w:pPr>
    </w:p>
    <w:p w14:paraId="7609F797"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Greggs' sustainability strategy is more effective compared to Costa. The company has set science-based targets and achieved renewable energy coverage of 97.1%. It has made progress in waste reduction and community investment, showing a genuine commitment (</w:t>
      </w:r>
      <w:proofErr w:type="gramStart"/>
      <w:r w:rsidRPr="00D72426">
        <w:rPr>
          <w:rFonts w:ascii="Times New Roman" w:hAnsi="Times New Roman" w:cs="Times New Roman"/>
          <w:color w:val="000000" w:themeColor="text1"/>
        </w:rPr>
        <w:t>Greggs</w:t>
      </w:r>
      <w:proofErr w:type="gramEnd"/>
      <w:r w:rsidRPr="00D72426">
        <w:rPr>
          <w:rFonts w:ascii="Times New Roman" w:hAnsi="Times New Roman" w:cs="Times New Roman"/>
          <w:color w:val="000000" w:themeColor="text1"/>
        </w:rPr>
        <w:t xml:space="preserve"> plc, 2024). While Costa Coffee has significant sustainability goals, its ability to implement them is limited by financial pressures that restrict funding for environmental projects. The key difference lies in how each company integrates sustainability into its strategy. Greggs treats sustainability as a core part of its business, using it as a competitive advantage rather than seeing it as just corporate social responsibility. This aligns with Schaltegger et al. (2019), who argue that sustainability adds business value when genuinely integrated.</w:t>
      </w:r>
    </w:p>
    <w:p w14:paraId="776C6259" w14:textId="77777777" w:rsidR="00107370" w:rsidRPr="00D72426" w:rsidRDefault="00107370" w:rsidP="00107370">
      <w:pPr>
        <w:rPr>
          <w:rFonts w:ascii="Times New Roman" w:hAnsi="Times New Roman" w:cs="Times New Roman"/>
          <w:color w:val="000000" w:themeColor="text1"/>
        </w:rPr>
      </w:pPr>
    </w:p>
    <w:p w14:paraId="1405F256" w14:textId="77777777" w:rsidR="00107370"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lastRenderedPageBreak/>
        <w:t>Recommendations for enhancing resilience focus on improving weaknesses and leveraging strengths. Geographic diversification beyond the UK could help mitigate concentration risks as domestic growth slows. Expanding internationally through franchise agreements would lower capital needs. Optimising evening trade represents an opportunity for new revenue, requiring some operational adjustments but utilising existing infrastructure. Innovating the product portfolio, particularly with plant-based options and meal solutions, should continue to align with shifting consumer preferences while maintaining core bakery strengths.</w:t>
      </w:r>
    </w:p>
    <w:p w14:paraId="432E866A" w14:textId="77777777" w:rsidR="00107370" w:rsidRDefault="00107370" w:rsidP="00107370">
      <w:pPr>
        <w:rPr>
          <w:rFonts w:ascii="Times New Roman" w:hAnsi="Times New Roman" w:cs="Times New Roman"/>
          <w:color w:val="000000" w:themeColor="text1"/>
        </w:rPr>
      </w:pPr>
    </w:p>
    <w:p w14:paraId="6AE75AAF" w14:textId="77777777" w:rsidR="00107370" w:rsidRPr="00983383" w:rsidRDefault="00107370" w:rsidP="00107370">
      <w:pPr>
        <w:rPr>
          <w:rFonts w:ascii="Times New Roman" w:hAnsi="Times New Roman" w:cs="Times New Roman"/>
          <w:color w:val="000000" w:themeColor="text1"/>
        </w:rPr>
      </w:pPr>
    </w:p>
    <w:p w14:paraId="488EE508" w14:textId="77777777" w:rsidR="00107370" w:rsidRPr="00983383" w:rsidRDefault="00107370" w:rsidP="00107370">
      <w:pPr>
        <w:ind w:firstLine="720"/>
        <w:rPr>
          <w:rFonts w:ascii="Times New Roman" w:hAnsi="Times New Roman" w:cs="Times New Roman"/>
          <w:b/>
          <w:bCs/>
          <w:color w:val="000000" w:themeColor="text1"/>
          <w:sz w:val="36"/>
          <w:szCs w:val="36"/>
        </w:rPr>
      </w:pPr>
      <w:r w:rsidRPr="00983383">
        <w:rPr>
          <w:rFonts w:ascii="Times New Roman" w:hAnsi="Times New Roman" w:cs="Times New Roman"/>
          <w:b/>
          <w:bCs/>
          <w:color w:val="000000" w:themeColor="text1"/>
          <w:sz w:val="36"/>
          <w:szCs w:val="36"/>
        </w:rPr>
        <w:t>Conclusion</w:t>
      </w:r>
    </w:p>
    <w:p w14:paraId="2CF54EAE" w14:textId="77777777" w:rsidR="00107370" w:rsidRDefault="00107370" w:rsidP="00107370">
      <w:pPr>
        <w:rPr>
          <w:rFonts w:ascii="Times New Roman" w:hAnsi="Times New Roman" w:cs="Times New Roman"/>
          <w:color w:val="000000" w:themeColor="text1"/>
        </w:rPr>
      </w:pPr>
    </w:p>
    <w:p w14:paraId="59D83CD4"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Greggs has built strong sustainability and resilience frameworks that support its competitive edge in the changing UK food-to-go sector. The company's position at the intersection of quality, value, and convenience remains remarkably resilient through economic fluctuations, confirming management's strategic choices. Its sustainability commitments are genuinely integrated into the operational strategy and are measured clearly through The Greggs Pledge. This approach strengthens relationships with stakeholders while addressing environmental needs. The organisation's resilience comes from diversifying operations, managing the supply chain, and being strategically nimble. These factors position Greggs well for future challenges, although complacency can pose a threat to any market leader.</w:t>
      </w:r>
    </w:p>
    <w:p w14:paraId="57A28621" w14:textId="77777777" w:rsidR="00107370" w:rsidRPr="00D72426" w:rsidRDefault="00107370" w:rsidP="00107370">
      <w:pPr>
        <w:rPr>
          <w:rFonts w:ascii="Times New Roman" w:hAnsi="Times New Roman" w:cs="Times New Roman"/>
          <w:color w:val="000000" w:themeColor="text1"/>
        </w:rPr>
      </w:pPr>
    </w:p>
    <w:p w14:paraId="11007629" w14:textId="77777777" w:rsidR="00107370" w:rsidRPr="00D72426"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Comparing Greggs to Costa Coffee shows how strategic choices impact performance beyond each organisation's specific context. Both companies manage prominent physical locations and acknowledge the importance of sustainability. However, key differences in their strategic positioning, operational efficiency, and stakeholder engagement lead to varying performance results. Greggs' community-focused model, emphasis on value, and operational excellence provide lasting competitive advantages, even in tough times. Meanwhile, Costa Coffee's challenges, despite significant resources from Coca-Cola and established brand recognition, highlight that size is not enough without a clear strategic direction and excellent execution.</w:t>
      </w:r>
    </w:p>
    <w:p w14:paraId="59C1B206" w14:textId="77777777" w:rsidR="00107370" w:rsidRPr="00D72426" w:rsidRDefault="00107370" w:rsidP="00107370">
      <w:pPr>
        <w:rPr>
          <w:rFonts w:ascii="Times New Roman" w:hAnsi="Times New Roman" w:cs="Times New Roman"/>
          <w:color w:val="000000" w:themeColor="text1"/>
        </w:rPr>
      </w:pPr>
    </w:p>
    <w:p w14:paraId="76D773AE" w14:textId="77777777" w:rsidR="00107370" w:rsidRPr="00983383" w:rsidRDefault="00107370" w:rsidP="00107370">
      <w:pPr>
        <w:rPr>
          <w:rFonts w:ascii="Times New Roman" w:hAnsi="Times New Roman" w:cs="Times New Roman"/>
          <w:color w:val="000000" w:themeColor="text1"/>
        </w:rPr>
      </w:pPr>
      <w:r w:rsidRPr="00D72426">
        <w:rPr>
          <w:rFonts w:ascii="Times New Roman" w:hAnsi="Times New Roman" w:cs="Times New Roman"/>
          <w:color w:val="000000" w:themeColor="text1"/>
        </w:rPr>
        <w:t>Environmental pressures will intensify, necessitating faster decarboni</w:t>
      </w:r>
      <w:r>
        <w:rPr>
          <w:rFonts w:ascii="Times New Roman" w:hAnsi="Times New Roman" w:cs="Times New Roman"/>
          <w:color w:val="000000" w:themeColor="text1"/>
        </w:rPr>
        <w:t>s</w:t>
      </w:r>
      <w:r w:rsidRPr="00D72426">
        <w:rPr>
          <w:rFonts w:ascii="Times New Roman" w:hAnsi="Times New Roman" w:cs="Times New Roman"/>
          <w:color w:val="000000" w:themeColor="text1"/>
        </w:rPr>
        <w:t>ation and circular economy efforts that exceed current goals. Consumer preferences will keep changing, demanding product innovation and experimentation with formats while staying true to brand identity. Organisations that manage these challenges well will show the adaptability and stakeholder-focused approaches discussed in various studies (Freeman et al., 2020; Duchek, 2020). Greggs' path suggests that maintaining a competitive advantage requires ongoing strategic evolution, genuine sustainability efforts, and genuine stakeholder engagement, rather than relying solely on past successes.</w:t>
      </w:r>
      <w:r>
        <w:rPr>
          <w:rFonts w:ascii="Times New Roman" w:hAnsi="Times New Roman" w:cs="Times New Roman"/>
          <w:color w:val="000000" w:themeColor="text1"/>
        </w:rPr>
        <w:br w:type="page"/>
      </w:r>
    </w:p>
    <w:p w14:paraId="427DE2CE" w14:textId="77777777" w:rsidR="00107370" w:rsidRPr="00983383" w:rsidRDefault="00107370" w:rsidP="00107370">
      <w:pPr>
        <w:ind w:firstLine="720"/>
        <w:rPr>
          <w:rFonts w:ascii="Times New Roman" w:hAnsi="Times New Roman" w:cs="Times New Roman"/>
          <w:b/>
          <w:bCs/>
          <w:color w:val="000000" w:themeColor="text1"/>
          <w:sz w:val="36"/>
          <w:szCs w:val="36"/>
        </w:rPr>
      </w:pPr>
      <w:r w:rsidRPr="00983383">
        <w:rPr>
          <w:rFonts w:ascii="Times New Roman" w:hAnsi="Times New Roman" w:cs="Times New Roman"/>
          <w:b/>
          <w:bCs/>
          <w:color w:val="000000" w:themeColor="text1"/>
          <w:sz w:val="36"/>
          <w:szCs w:val="36"/>
        </w:rPr>
        <w:lastRenderedPageBreak/>
        <w:t>References</w:t>
      </w:r>
    </w:p>
    <w:p w14:paraId="7272D7C4" w14:textId="77777777" w:rsidR="00107370" w:rsidRPr="00983383" w:rsidRDefault="00107370" w:rsidP="00107370">
      <w:pPr>
        <w:rPr>
          <w:rFonts w:ascii="Times New Roman" w:hAnsi="Times New Roman" w:cs="Times New Roman"/>
          <w:color w:val="000000" w:themeColor="text1"/>
        </w:rPr>
      </w:pPr>
    </w:p>
    <w:p w14:paraId="3ACC7FBA"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Barasa, E., Mbau, R., &amp; Gilson, L. (2018). What is resilience and how can it be nurtured? A </w:t>
      </w:r>
    </w:p>
    <w:p w14:paraId="524CD045"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 xml:space="preserve">systematic review of empirical literature on organizational resilience. *International </w:t>
      </w:r>
    </w:p>
    <w:p w14:paraId="67DECEC4" w14:textId="77777777" w:rsidR="00107370" w:rsidRPr="00983383" w:rsidRDefault="00107370" w:rsidP="00107370">
      <w:pPr>
        <w:ind w:left="720"/>
        <w:rPr>
          <w:rFonts w:ascii="Times New Roman" w:hAnsi="Times New Roman" w:cs="Times New Roman"/>
          <w:color w:val="000000" w:themeColor="text1"/>
        </w:rPr>
      </w:pPr>
      <w:r w:rsidRPr="00983383">
        <w:rPr>
          <w:rFonts w:ascii="Times New Roman" w:hAnsi="Times New Roman" w:cs="Times New Roman"/>
          <w:color w:val="000000" w:themeColor="text1"/>
        </w:rPr>
        <w:t>Journal of Health Policy and Management*, 7(6), 491-503. https://doi.org/10.15171/ijhpm.2018.06</w:t>
      </w:r>
    </w:p>
    <w:p w14:paraId="69AF1E07" w14:textId="77777777" w:rsidR="00107370" w:rsidRPr="00983383" w:rsidRDefault="00107370" w:rsidP="00107370">
      <w:pPr>
        <w:rPr>
          <w:rFonts w:ascii="Times New Roman" w:hAnsi="Times New Roman" w:cs="Times New Roman"/>
          <w:color w:val="000000" w:themeColor="text1"/>
        </w:rPr>
      </w:pPr>
    </w:p>
    <w:p w14:paraId="7E1FD0CD"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Conz, E., &amp; Magnani, G. (2020). A dynamic perspective on the resilience of firms: A </w:t>
      </w:r>
    </w:p>
    <w:p w14:paraId="259A35A5"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systematic literature review and a framework for future research. *European</w:t>
      </w:r>
    </w:p>
    <w:p w14:paraId="2808C772"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Management Journal*, 38(3), 400-412. https://doi.org/10.1016/j.emj.2019.12.004</w:t>
      </w:r>
    </w:p>
    <w:p w14:paraId="73D82558" w14:textId="77777777" w:rsidR="00107370" w:rsidRPr="00983383" w:rsidRDefault="00107370" w:rsidP="00107370">
      <w:pPr>
        <w:rPr>
          <w:rFonts w:ascii="Times New Roman" w:hAnsi="Times New Roman" w:cs="Times New Roman"/>
          <w:color w:val="000000" w:themeColor="text1"/>
        </w:rPr>
      </w:pPr>
    </w:p>
    <w:p w14:paraId="461DA55E"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Duchek, S. (2020). Organizational resilience: A capability-based conceptualization. </w:t>
      </w:r>
    </w:p>
    <w:p w14:paraId="7A5DDF7C"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*Business Research*, 13(1), 215-246. https://doi.org/10.1007/s40685-019-0085-7</w:t>
      </w:r>
    </w:p>
    <w:p w14:paraId="7E539E2A" w14:textId="77777777" w:rsidR="00107370" w:rsidRPr="00983383" w:rsidRDefault="00107370" w:rsidP="00107370">
      <w:pPr>
        <w:rPr>
          <w:rFonts w:ascii="Times New Roman" w:hAnsi="Times New Roman" w:cs="Times New Roman"/>
          <w:color w:val="000000" w:themeColor="text1"/>
        </w:rPr>
      </w:pPr>
    </w:p>
    <w:p w14:paraId="68E7B6B4"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Freeman, R. E. (1984). *Strategic management: A stakeholder approach*. Pitman Publishing.</w:t>
      </w:r>
    </w:p>
    <w:p w14:paraId="1C590490" w14:textId="77777777" w:rsidR="00107370" w:rsidRPr="00983383" w:rsidRDefault="00107370" w:rsidP="00107370">
      <w:pPr>
        <w:rPr>
          <w:rFonts w:ascii="Times New Roman" w:hAnsi="Times New Roman" w:cs="Times New Roman"/>
          <w:color w:val="000000" w:themeColor="text1"/>
        </w:rPr>
      </w:pPr>
    </w:p>
    <w:p w14:paraId="1E10D4BE"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Freeman, R. E., Phillips, R., &amp; Sisodia, R. (2020). Tensions in stakeholder theory. *Business </w:t>
      </w:r>
    </w:p>
    <w:p w14:paraId="06BE3AFE"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&amp; Society*, 59(2), 213-231. https://doi.org/10.1177/0007650318773750</w:t>
      </w:r>
    </w:p>
    <w:p w14:paraId="4AE9DE11" w14:textId="77777777" w:rsidR="00107370" w:rsidRPr="00983383" w:rsidRDefault="00107370" w:rsidP="00107370">
      <w:pPr>
        <w:rPr>
          <w:rFonts w:ascii="Times New Roman" w:hAnsi="Times New Roman" w:cs="Times New Roman"/>
          <w:color w:val="000000" w:themeColor="text1"/>
        </w:rPr>
      </w:pPr>
    </w:p>
    <w:p w14:paraId="08F90A12"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Greggs plc. (2024). *The Greggs Pledge: Sustainability report 2024*. </w:t>
      </w:r>
    </w:p>
    <w:p w14:paraId="55040A7D"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https://corporate.greggs.co.uk/sustainability</w:t>
      </w:r>
    </w:p>
    <w:p w14:paraId="17132EDC" w14:textId="77777777" w:rsidR="00107370" w:rsidRPr="00983383" w:rsidRDefault="00107370" w:rsidP="00107370">
      <w:pPr>
        <w:rPr>
          <w:rFonts w:ascii="Times New Roman" w:hAnsi="Times New Roman" w:cs="Times New Roman"/>
          <w:color w:val="000000" w:themeColor="text1"/>
        </w:rPr>
      </w:pPr>
    </w:p>
    <w:p w14:paraId="55F97268"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Gürel, E., &amp; Tat, M. (2017). SWOT analysis: A theoretical review. *Journal of International </w:t>
      </w:r>
    </w:p>
    <w:p w14:paraId="5DA6DA5E"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Social Research*, 10(51), 994-1006. https://doi.org/10.17719/jisr.2017.1832</w:t>
      </w:r>
    </w:p>
    <w:p w14:paraId="65143923" w14:textId="77777777" w:rsidR="00107370" w:rsidRPr="00983383" w:rsidRDefault="00107370" w:rsidP="00107370">
      <w:pPr>
        <w:rPr>
          <w:rFonts w:ascii="Times New Roman" w:hAnsi="Times New Roman" w:cs="Times New Roman"/>
          <w:color w:val="000000" w:themeColor="text1"/>
        </w:rPr>
      </w:pPr>
    </w:p>
    <w:p w14:paraId="53E0F09F"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Hollands, L., Haensse, L., &amp; Lin-Hi, N. (2024). The how and why of organizational </w:t>
      </w:r>
    </w:p>
    <w:p w14:paraId="777BD5BB"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resilience: A mixed-methods study on facilitators and consequences of organizational</w:t>
      </w:r>
    </w:p>
    <w:p w14:paraId="64C35C32"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resilience throughout a crisis. *Journal of Business Ethics*, 189(1), 177-201.</w:t>
      </w:r>
    </w:p>
    <w:p w14:paraId="35B4CE58"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https://doi.org/10.1177/00218863231165785</w:t>
      </w:r>
    </w:p>
    <w:p w14:paraId="745CDA2F" w14:textId="77777777" w:rsidR="00107370" w:rsidRPr="00983383" w:rsidRDefault="00107370" w:rsidP="00107370">
      <w:pPr>
        <w:rPr>
          <w:rFonts w:ascii="Times New Roman" w:hAnsi="Times New Roman" w:cs="Times New Roman"/>
          <w:color w:val="000000" w:themeColor="text1"/>
        </w:rPr>
      </w:pPr>
    </w:p>
    <w:p w14:paraId="292B4392"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Lengnick-Hall, C. A., Beck, T. E., &amp; Lengnick-Hall, M. L. (2011). Developing a capacity for </w:t>
      </w:r>
    </w:p>
    <w:p w14:paraId="7BCC13AC"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organizational resilience through strategic human resource management. *Human</w:t>
      </w:r>
    </w:p>
    <w:p w14:paraId="5F1BB34E"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Resource Management Review*, 21(3), 243-255.</w:t>
      </w:r>
    </w:p>
    <w:p w14:paraId="44BAA0E9"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https://doi.org/10.1016/j.hrmr.2010.07.001</w:t>
      </w:r>
    </w:p>
    <w:p w14:paraId="46BBE1DC" w14:textId="77777777" w:rsidR="00107370" w:rsidRPr="00983383" w:rsidRDefault="00107370" w:rsidP="00107370">
      <w:pPr>
        <w:rPr>
          <w:rFonts w:ascii="Times New Roman" w:hAnsi="Times New Roman" w:cs="Times New Roman"/>
          <w:color w:val="000000" w:themeColor="text1"/>
        </w:rPr>
      </w:pPr>
    </w:p>
    <w:p w14:paraId="30D49F3F"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Linnenluecke, M. K. (2017). Resilience in business and management research: A review of </w:t>
      </w:r>
    </w:p>
    <w:p w14:paraId="67EE040F"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 xml:space="preserve">influential publications and a research agenda. *International Journal of Management </w:t>
      </w:r>
    </w:p>
    <w:p w14:paraId="311E9AED"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Reviews*, 19(1), 4-30. https://doi.org/10.1111/ijmr.12076</w:t>
      </w:r>
    </w:p>
    <w:p w14:paraId="7E2A4A04" w14:textId="77777777" w:rsidR="00107370" w:rsidRPr="00983383" w:rsidRDefault="00107370" w:rsidP="00107370">
      <w:pPr>
        <w:rPr>
          <w:rFonts w:ascii="Times New Roman" w:hAnsi="Times New Roman" w:cs="Times New Roman"/>
          <w:color w:val="000000" w:themeColor="text1"/>
        </w:rPr>
      </w:pPr>
    </w:p>
    <w:p w14:paraId="37666614"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Majekodunmi, S. A. (2021). An overview of SWOT analysis theory as a strategic </w:t>
      </w:r>
    </w:p>
    <w:p w14:paraId="6E66D305"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management instrument. *Management Sciences*, 2(1), 37-48.</w:t>
      </w:r>
    </w:p>
    <w:p w14:paraId="79BA6B23" w14:textId="77777777" w:rsidR="00107370" w:rsidRPr="00983383" w:rsidRDefault="00107370" w:rsidP="00107370">
      <w:pPr>
        <w:rPr>
          <w:rFonts w:ascii="Times New Roman" w:hAnsi="Times New Roman" w:cs="Times New Roman"/>
          <w:color w:val="000000" w:themeColor="text1"/>
        </w:rPr>
      </w:pPr>
    </w:p>
    <w:p w14:paraId="7FAD155F"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Porter, M. E. (1980). *Competitive strategy: Techniques for analyzing industries and </w:t>
      </w:r>
    </w:p>
    <w:p w14:paraId="2E19E0DD"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competitors*. Free Press.</w:t>
      </w:r>
    </w:p>
    <w:p w14:paraId="31D441CC" w14:textId="77777777" w:rsidR="00107370" w:rsidRPr="00983383" w:rsidRDefault="00107370" w:rsidP="00107370">
      <w:pPr>
        <w:rPr>
          <w:rFonts w:ascii="Times New Roman" w:hAnsi="Times New Roman" w:cs="Times New Roman"/>
          <w:color w:val="000000" w:themeColor="text1"/>
        </w:rPr>
      </w:pPr>
    </w:p>
    <w:p w14:paraId="36ECFBD6"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Porter, M. E. (2008). The five competitive forces that shape strategy. *Harvard Business </w:t>
      </w:r>
    </w:p>
    <w:p w14:paraId="3C861A95"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Review*, 86(1), 78-93.</w:t>
      </w:r>
    </w:p>
    <w:p w14:paraId="7FB697CC" w14:textId="77777777" w:rsidR="00107370" w:rsidRPr="00983383" w:rsidRDefault="00107370" w:rsidP="00107370">
      <w:pPr>
        <w:rPr>
          <w:rFonts w:ascii="Times New Roman" w:hAnsi="Times New Roman" w:cs="Times New Roman"/>
          <w:color w:val="000000" w:themeColor="text1"/>
        </w:rPr>
      </w:pPr>
    </w:p>
    <w:p w14:paraId="1AEA6CDD"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Puyt, R. W., Lie, F. B., &amp; Wilderom, C. P. M. (2023). The origins of SWOT analysis. *Long </w:t>
      </w:r>
    </w:p>
    <w:p w14:paraId="2E5F2896"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Range Planning*, 56(3), 102304. https://doi.org/10.1016/j.lrp.2023.102304</w:t>
      </w:r>
    </w:p>
    <w:p w14:paraId="13A4D537" w14:textId="77777777" w:rsidR="00107370" w:rsidRPr="00983383" w:rsidRDefault="00107370" w:rsidP="00107370">
      <w:pPr>
        <w:rPr>
          <w:rFonts w:ascii="Times New Roman" w:hAnsi="Times New Roman" w:cs="Times New Roman"/>
          <w:color w:val="000000" w:themeColor="text1"/>
        </w:rPr>
      </w:pPr>
    </w:p>
    <w:p w14:paraId="359466D6"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Raetze, S., Duchek, S., Maynard, M. T., &amp; Wohlgemuth, M. (2022). Resilience in </w:t>
      </w:r>
    </w:p>
    <w:p w14:paraId="193A0100"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organization-related research: An integrative conceptual review across disciplines and</w:t>
      </w:r>
    </w:p>
    <w:p w14:paraId="61452DFF"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levels of analysis. *Journal of Applied Psychology*, 107(6), 867-897.</w:t>
      </w:r>
    </w:p>
    <w:p w14:paraId="3602770A"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https://doi.org/10.1037/apl0000952</w:t>
      </w:r>
    </w:p>
    <w:p w14:paraId="179D8796" w14:textId="77777777" w:rsidR="00107370" w:rsidRPr="00983383" w:rsidRDefault="00107370" w:rsidP="00107370">
      <w:pPr>
        <w:rPr>
          <w:rFonts w:ascii="Times New Roman" w:hAnsi="Times New Roman" w:cs="Times New Roman"/>
          <w:color w:val="000000" w:themeColor="text1"/>
        </w:rPr>
      </w:pPr>
    </w:p>
    <w:p w14:paraId="11674DE0"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Schaltegger, S., Hörisch, J., &amp; Freeman, R. E. (2019). Business cases for sustainability: A </w:t>
      </w:r>
    </w:p>
    <w:p w14:paraId="43234FAF"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stakeholder theory perspective. *Organization &amp; Environment*, 32(3), 191-212.</w:t>
      </w:r>
    </w:p>
    <w:p w14:paraId="3CB4C717"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https://doi.org/10.1177/1086026617722882</w:t>
      </w:r>
    </w:p>
    <w:p w14:paraId="7E468103" w14:textId="77777777" w:rsidR="00107370" w:rsidRPr="00983383" w:rsidRDefault="00107370" w:rsidP="00107370">
      <w:pPr>
        <w:rPr>
          <w:rFonts w:ascii="Times New Roman" w:hAnsi="Times New Roman" w:cs="Times New Roman"/>
          <w:color w:val="000000" w:themeColor="text1"/>
        </w:rPr>
      </w:pPr>
    </w:p>
    <w:p w14:paraId="71D0511D"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Tasic, J., Amir, S., Tan, J., &amp; Khader, M. (2020). A multilevel framework to enhance </w:t>
      </w:r>
    </w:p>
    <w:p w14:paraId="5FC4BD7E"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 xml:space="preserve">organizational resilience. *Journal of Risk Research*, 23(6), 713-738. </w:t>
      </w:r>
    </w:p>
    <w:p w14:paraId="19A683A3"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https://doi.org/10.1080/13669877.2019.1617340</w:t>
      </w:r>
    </w:p>
    <w:p w14:paraId="2414B72B" w14:textId="77777777" w:rsidR="00107370" w:rsidRPr="00983383" w:rsidRDefault="00107370" w:rsidP="00107370">
      <w:pPr>
        <w:rPr>
          <w:rFonts w:ascii="Times New Roman" w:hAnsi="Times New Roman" w:cs="Times New Roman"/>
          <w:color w:val="000000" w:themeColor="text1"/>
        </w:rPr>
      </w:pPr>
    </w:p>
    <w:p w14:paraId="49C3B3E1"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Williams, T. A., Gruber, D. A., Sutcliffe, K. M., Shepherd, D. A., &amp; Zhao, E. Y. (2017). </w:t>
      </w:r>
    </w:p>
    <w:p w14:paraId="73D88E9C"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Organizational response to adversity: Fusing crisis management and resilience</w:t>
      </w:r>
    </w:p>
    <w:p w14:paraId="55E3E8A3"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research streams. *Academy of Management Annals*, 11(2), 733-769.</w:t>
      </w:r>
    </w:p>
    <w:p w14:paraId="236099B2"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https://doi.org/10.5465/annals.2015.0134</w:t>
      </w:r>
    </w:p>
    <w:p w14:paraId="4BF50B65" w14:textId="77777777" w:rsidR="00107370" w:rsidRPr="00983383" w:rsidRDefault="00107370" w:rsidP="00107370">
      <w:pPr>
        <w:rPr>
          <w:rFonts w:ascii="Times New Roman" w:hAnsi="Times New Roman" w:cs="Times New Roman"/>
          <w:color w:val="000000" w:themeColor="text1"/>
        </w:rPr>
      </w:pPr>
    </w:p>
    <w:p w14:paraId="12C2F158" w14:textId="77777777" w:rsidR="00107370" w:rsidRPr="00983383" w:rsidRDefault="00107370" w:rsidP="00107370">
      <w:pPr>
        <w:rPr>
          <w:rFonts w:ascii="Times New Roman" w:hAnsi="Times New Roman" w:cs="Times New Roman"/>
          <w:color w:val="000000" w:themeColor="text1"/>
        </w:rPr>
      </w:pPr>
      <w:r w:rsidRPr="00983383">
        <w:rPr>
          <w:rFonts w:ascii="Times New Roman" w:hAnsi="Times New Roman" w:cs="Times New Roman"/>
          <w:color w:val="000000" w:themeColor="text1"/>
        </w:rPr>
        <w:t xml:space="preserve">Zapłata, S., &amp; Kwiatek, P. (2023). Organizational resilience in COVID-19 times: A </w:t>
      </w:r>
    </w:p>
    <w:p w14:paraId="5BB173AA" w14:textId="77777777" w:rsidR="00107370" w:rsidRPr="00983383" w:rsidRDefault="00107370" w:rsidP="00107370">
      <w:pPr>
        <w:ind w:firstLine="720"/>
        <w:rPr>
          <w:rFonts w:ascii="Times New Roman" w:hAnsi="Times New Roman" w:cs="Times New Roman"/>
          <w:color w:val="000000" w:themeColor="text1"/>
        </w:rPr>
      </w:pPr>
      <w:r w:rsidRPr="00983383">
        <w:rPr>
          <w:rFonts w:ascii="Times New Roman" w:hAnsi="Times New Roman" w:cs="Times New Roman"/>
          <w:color w:val="000000" w:themeColor="text1"/>
        </w:rPr>
        <w:t>bibliometric analysis. *European Research Studies Journal*, 26(3), 278-296.</w:t>
      </w:r>
    </w:p>
    <w:p w14:paraId="41AF3186" w14:textId="77777777" w:rsidR="00107370" w:rsidRPr="00983383" w:rsidRDefault="00107370" w:rsidP="00107370">
      <w:pPr>
        <w:ind w:firstLine="720"/>
        <w:rPr>
          <w:rFonts w:ascii="Times New Roman" w:hAnsi="Times New Roman" w:cs="Times New Roman"/>
          <w:color w:val="000000" w:themeColor="text1"/>
        </w:rPr>
      </w:pPr>
    </w:p>
    <w:p w14:paraId="59578CED" w14:textId="52819F0B" w:rsidR="00D43C67" w:rsidRPr="00107370" w:rsidRDefault="00D43C67" w:rsidP="00107370"/>
    <w:sectPr w:rsidR="00D43C67" w:rsidRPr="0010737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pple Chancery">
    <w:altName w:val="APPLE CHANCERY"/>
    <w:panose1 w:val="03020702040506060504"/>
    <w:charset w:val="B1"/>
    <w:family w:val="script"/>
    <w:pitch w:val="variable"/>
    <w:sig w:usb0="80000867" w:usb1="00000003" w:usb2="00000000" w:usb3="00000000" w:csb0="000001F3"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851BF"/>
    <w:multiLevelType w:val="multilevel"/>
    <w:tmpl w:val="B5ECA836"/>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9948D7"/>
    <w:multiLevelType w:val="multilevel"/>
    <w:tmpl w:val="3B327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77574B"/>
    <w:multiLevelType w:val="hybridMultilevel"/>
    <w:tmpl w:val="287221FC"/>
    <w:lvl w:ilvl="0" w:tplc="17E05000">
      <w:start w:val="1"/>
      <w:numFmt w:val="bullet"/>
      <w:lvlText w:val="•"/>
      <w:lvlJc w:val="left"/>
      <w:pPr>
        <w:tabs>
          <w:tab w:val="num" w:pos="720"/>
        </w:tabs>
        <w:ind w:left="720" w:hanging="360"/>
      </w:pPr>
      <w:rPr>
        <w:rFonts w:ascii="Arial" w:hAnsi="Arial" w:hint="default"/>
      </w:rPr>
    </w:lvl>
    <w:lvl w:ilvl="1" w:tplc="7A50F384" w:tentative="1">
      <w:start w:val="1"/>
      <w:numFmt w:val="bullet"/>
      <w:lvlText w:val="•"/>
      <w:lvlJc w:val="left"/>
      <w:pPr>
        <w:tabs>
          <w:tab w:val="num" w:pos="1440"/>
        </w:tabs>
        <w:ind w:left="1440" w:hanging="360"/>
      </w:pPr>
      <w:rPr>
        <w:rFonts w:ascii="Arial" w:hAnsi="Arial" w:hint="default"/>
      </w:rPr>
    </w:lvl>
    <w:lvl w:ilvl="2" w:tplc="CF6CE08C" w:tentative="1">
      <w:start w:val="1"/>
      <w:numFmt w:val="bullet"/>
      <w:lvlText w:val="•"/>
      <w:lvlJc w:val="left"/>
      <w:pPr>
        <w:tabs>
          <w:tab w:val="num" w:pos="2160"/>
        </w:tabs>
        <w:ind w:left="2160" w:hanging="360"/>
      </w:pPr>
      <w:rPr>
        <w:rFonts w:ascii="Arial" w:hAnsi="Arial" w:hint="default"/>
      </w:rPr>
    </w:lvl>
    <w:lvl w:ilvl="3" w:tplc="E814CC40" w:tentative="1">
      <w:start w:val="1"/>
      <w:numFmt w:val="bullet"/>
      <w:lvlText w:val="•"/>
      <w:lvlJc w:val="left"/>
      <w:pPr>
        <w:tabs>
          <w:tab w:val="num" w:pos="2880"/>
        </w:tabs>
        <w:ind w:left="2880" w:hanging="360"/>
      </w:pPr>
      <w:rPr>
        <w:rFonts w:ascii="Arial" w:hAnsi="Arial" w:hint="default"/>
      </w:rPr>
    </w:lvl>
    <w:lvl w:ilvl="4" w:tplc="6720B276" w:tentative="1">
      <w:start w:val="1"/>
      <w:numFmt w:val="bullet"/>
      <w:lvlText w:val="•"/>
      <w:lvlJc w:val="left"/>
      <w:pPr>
        <w:tabs>
          <w:tab w:val="num" w:pos="3600"/>
        </w:tabs>
        <w:ind w:left="3600" w:hanging="360"/>
      </w:pPr>
      <w:rPr>
        <w:rFonts w:ascii="Arial" w:hAnsi="Arial" w:hint="default"/>
      </w:rPr>
    </w:lvl>
    <w:lvl w:ilvl="5" w:tplc="EE82B596" w:tentative="1">
      <w:start w:val="1"/>
      <w:numFmt w:val="bullet"/>
      <w:lvlText w:val="•"/>
      <w:lvlJc w:val="left"/>
      <w:pPr>
        <w:tabs>
          <w:tab w:val="num" w:pos="4320"/>
        </w:tabs>
        <w:ind w:left="4320" w:hanging="360"/>
      </w:pPr>
      <w:rPr>
        <w:rFonts w:ascii="Arial" w:hAnsi="Arial" w:hint="default"/>
      </w:rPr>
    </w:lvl>
    <w:lvl w:ilvl="6" w:tplc="BBB00554" w:tentative="1">
      <w:start w:val="1"/>
      <w:numFmt w:val="bullet"/>
      <w:lvlText w:val="•"/>
      <w:lvlJc w:val="left"/>
      <w:pPr>
        <w:tabs>
          <w:tab w:val="num" w:pos="5040"/>
        </w:tabs>
        <w:ind w:left="5040" w:hanging="360"/>
      </w:pPr>
      <w:rPr>
        <w:rFonts w:ascii="Arial" w:hAnsi="Arial" w:hint="default"/>
      </w:rPr>
    </w:lvl>
    <w:lvl w:ilvl="7" w:tplc="E1AE83F0" w:tentative="1">
      <w:start w:val="1"/>
      <w:numFmt w:val="bullet"/>
      <w:lvlText w:val="•"/>
      <w:lvlJc w:val="left"/>
      <w:pPr>
        <w:tabs>
          <w:tab w:val="num" w:pos="5760"/>
        </w:tabs>
        <w:ind w:left="5760" w:hanging="360"/>
      </w:pPr>
      <w:rPr>
        <w:rFonts w:ascii="Arial" w:hAnsi="Arial" w:hint="default"/>
      </w:rPr>
    </w:lvl>
    <w:lvl w:ilvl="8" w:tplc="1DB630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5B8104F"/>
    <w:multiLevelType w:val="hybridMultilevel"/>
    <w:tmpl w:val="8E527FEE"/>
    <w:lvl w:ilvl="0" w:tplc="44B06D96">
      <w:start w:val="1"/>
      <w:numFmt w:val="bullet"/>
      <w:lvlText w:val="•"/>
      <w:lvlJc w:val="left"/>
      <w:pPr>
        <w:tabs>
          <w:tab w:val="num" w:pos="720"/>
        </w:tabs>
        <w:ind w:left="720" w:hanging="360"/>
      </w:pPr>
      <w:rPr>
        <w:rFonts w:ascii="Arial" w:hAnsi="Arial" w:hint="default"/>
      </w:rPr>
    </w:lvl>
    <w:lvl w:ilvl="1" w:tplc="864A454E" w:tentative="1">
      <w:start w:val="1"/>
      <w:numFmt w:val="bullet"/>
      <w:lvlText w:val="•"/>
      <w:lvlJc w:val="left"/>
      <w:pPr>
        <w:tabs>
          <w:tab w:val="num" w:pos="1440"/>
        </w:tabs>
        <w:ind w:left="1440" w:hanging="360"/>
      </w:pPr>
      <w:rPr>
        <w:rFonts w:ascii="Arial" w:hAnsi="Arial" w:hint="default"/>
      </w:rPr>
    </w:lvl>
    <w:lvl w:ilvl="2" w:tplc="0F18635C" w:tentative="1">
      <w:start w:val="1"/>
      <w:numFmt w:val="bullet"/>
      <w:lvlText w:val="•"/>
      <w:lvlJc w:val="left"/>
      <w:pPr>
        <w:tabs>
          <w:tab w:val="num" w:pos="2160"/>
        </w:tabs>
        <w:ind w:left="2160" w:hanging="360"/>
      </w:pPr>
      <w:rPr>
        <w:rFonts w:ascii="Arial" w:hAnsi="Arial" w:hint="default"/>
      </w:rPr>
    </w:lvl>
    <w:lvl w:ilvl="3" w:tplc="3D100472" w:tentative="1">
      <w:start w:val="1"/>
      <w:numFmt w:val="bullet"/>
      <w:lvlText w:val="•"/>
      <w:lvlJc w:val="left"/>
      <w:pPr>
        <w:tabs>
          <w:tab w:val="num" w:pos="2880"/>
        </w:tabs>
        <w:ind w:left="2880" w:hanging="360"/>
      </w:pPr>
      <w:rPr>
        <w:rFonts w:ascii="Arial" w:hAnsi="Arial" w:hint="default"/>
      </w:rPr>
    </w:lvl>
    <w:lvl w:ilvl="4" w:tplc="D64A8266" w:tentative="1">
      <w:start w:val="1"/>
      <w:numFmt w:val="bullet"/>
      <w:lvlText w:val="•"/>
      <w:lvlJc w:val="left"/>
      <w:pPr>
        <w:tabs>
          <w:tab w:val="num" w:pos="3600"/>
        </w:tabs>
        <w:ind w:left="3600" w:hanging="360"/>
      </w:pPr>
      <w:rPr>
        <w:rFonts w:ascii="Arial" w:hAnsi="Arial" w:hint="default"/>
      </w:rPr>
    </w:lvl>
    <w:lvl w:ilvl="5" w:tplc="E1725200" w:tentative="1">
      <w:start w:val="1"/>
      <w:numFmt w:val="bullet"/>
      <w:lvlText w:val="•"/>
      <w:lvlJc w:val="left"/>
      <w:pPr>
        <w:tabs>
          <w:tab w:val="num" w:pos="4320"/>
        </w:tabs>
        <w:ind w:left="4320" w:hanging="360"/>
      </w:pPr>
      <w:rPr>
        <w:rFonts w:ascii="Arial" w:hAnsi="Arial" w:hint="default"/>
      </w:rPr>
    </w:lvl>
    <w:lvl w:ilvl="6" w:tplc="6024AA64" w:tentative="1">
      <w:start w:val="1"/>
      <w:numFmt w:val="bullet"/>
      <w:lvlText w:val="•"/>
      <w:lvlJc w:val="left"/>
      <w:pPr>
        <w:tabs>
          <w:tab w:val="num" w:pos="5040"/>
        </w:tabs>
        <w:ind w:left="5040" w:hanging="360"/>
      </w:pPr>
      <w:rPr>
        <w:rFonts w:ascii="Arial" w:hAnsi="Arial" w:hint="default"/>
      </w:rPr>
    </w:lvl>
    <w:lvl w:ilvl="7" w:tplc="38BCE1A4" w:tentative="1">
      <w:start w:val="1"/>
      <w:numFmt w:val="bullet"/>
      <w:lvlText w:val="•"/>
      <w:lvlJc w:val="left"/>
      <w:pPr>
        <w:tabs>
          <w:tab w:val="num" w:pos="5760"/>
        </w:tabs>
        <w:ind w:left="5760" w:hanging="360"/>
      </w:pPr>
      <w:rPr>
        <w:rFonts w:ascii="Arial" w:hAnsi="Arial" w:hint="default"/>
      </w:rPr>
    </w:lvl>
    <w:lvl w:ilvl="8" w:tplc="DB4A482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CF07D11"/>
    <w:multiLevelType w:val="hybridMultilevel"/>
    <w:tmpl w:val="1A06A146"/>
    <w:lvl w:ilvl="0" w:tplc="6A62A96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6779D2"/>
    <w:multiLevelType w:val="multilevel"/>
    <w:tmpl w:val="634AA67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9F3F22"/>
    <w:multiLevelType w:val="hybridMultilevel"/>
    <w:tmpl w:val="AD4A7AA2"/>
    <w:lvl w:ilvl="0" w:tplc="C57CE28C">
      <w:numFmt w:val="bullet"/>
      <w:lvlText w:val="-"/>
      <w:lvlJc w:val="left"/>
      <w:pPr>
        <w:ind w:left="720" w:hanging="360"/>
      </w:pPr>
      <w:rPr>
        <w:rFonts w:ascii="Bookman Old Style" w:eastAsia="Times New Roman" w:hAnsi="Bookman Old Style" w:cs="Apple Chancery"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50186F"/>
    <w:multiLevelType w:val="multilevel"/>
    <w:tmpl w:val="01989AF2"/>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6905BC"/>
    <w:multiLevelType w:val="multilevel"/>
    <w:tmpl w:val="3FBEAE7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1F30B4"/>
    <w:multiLevelType w:val="multilevel"/>
    <w:tmpl w:val="4E7EA786"/>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812754"/>
    <w:multiLevelType w:val="multilevel"/>
    <w:tmpl w:val="D1DA3DCC"/>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2D32AE"/>
    <w:multiLevelType w:val="multilevel"/>
    <w:tmpl w:val="DE3A00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C15826"/>
    <w:multiLevelType w:val="hybridMultilevel"/>
    <w:tmpl w:val="9374498A"/>
    <w:lvl w:ilvl="0" w:tplc="1F44F84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3743E8"/>
    <w:multiLevelType w:val="multilevel"/>
    <w:tmpl w:val="A4D29444"/>
    <w:lvl w:ilvl="0">
      <w:start w:val="6"/>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C2A353D"/>
    <w:multiLevelType w:val="multilevel"/>
    <w:tmpl w:val="614E4C36"/>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C7273C1"/>
    <w:multiLevelType w:val="multilevel"/>
    <w:tmpl w:val="EA62717C"/>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D254E7D"/>
    <w:multiLevelType w:val="multilevel"/>
    <w:tmpl w:val="C15687FE"/>
    <w:lvl w:ilvl="0">
      <w:start w:val="2"/>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DB15527"/>
    <w:multiLevelType w:val="multilevel"/>
    <w:tmpl w:val="F584532A"/>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4F5EA4"/>
    <w:multiLevelType w:val="hybridMultilevel"/>
    <w:tmpl w:val="2A36D6C6"/>
    <w:lvl w:ilvl="0" w:tplc="E20ED86E">
      <w:start w:val="1"/>
      <w:numFmt w:val="bullet"/>
      <w:lvlText w:val="•"/>
      <w:lvlJc w:val="left"/>
      <w:pPr>
        <w:tabs>
          <w:tab w:val="num" w:pos="720"/>
        </w:tabs>
        <w:ind w:left="720" w:hanging="360"/>
      </w:pPr>
      <w:rPr>
        <w:rFonts w:ascii="Arial" w:hAnsi="Arial" w:hint="default"/>
      </w:rPr>
    </w:lvl>
    <w:lvl w:ilvl="1" w:tplc="A4B8C8D8" w:tentative="1">
      <w:start w:val="1"/>
      <w:numFmt w:val="bullet"/>
      <w:lvlText w:val="•"/>
      <w:lvlJc w:val="left"/>
      <w:pPr>
        <w:tabs>
          <w:tab w:val="num" w:pos="1440"/>
        </w:tabs>
        <w:ind w:left="1440" w:hanging="360"/>
      </w:pPr>
      <w:rPr>
        <w:rFonts w:ascii="Arial" w:hAnsi="Arial" w:hint="default"/>
      </w:rPr>
    </w:lvl>
    <w:lvl w:ilvl="2" w:tplc="B432745C" w:tentative="1">
      <w:start w:val="1"/>
      <w:numFmt w:val="bullet"/>
      <w:lvlText w:val="•"/>
      <w:lvlJc w:val="left"/>
      <w:pPr>
        <w:tabs>
          <w:tab w:val="num" w:pos="2160"/>
        </w:tabs>
        <w:ind w:left="2160" w:hanging="360"/>
      </w:pPr>
      <w:rPr>
        <w:rFonts w:ascii="Arial" w:hAnsi="Arial" w:hint="default"/>
      </w:rPr>
    </w:lvl>
    <w:lvl w:ilvl="3" w:tplc="5B3462A6" w:tentative="1">
      <w:start w:val="1"/>
      <w:numFmt w:val="bullet"/>
      <w:lvlText w:val="•"/>
      <w:lvlJc w:val="left"/>
      <w:pPr>
        <w:tabs>
          <w:tab w:val="num" w:pos="2880"/>
        </w:tabs>
        <w:ind w:left="2880" w:hanging="360"/>
      </w:pPr>
      <w:rPr>
        <w:rFonts w:ascii="Arial" w:hAnsi="Arial" w:hint="default"/>
      </w:rPr>
    </w:lvl>
    <w:lvl w:ilvl="4" w:tplc="FA08A868" w:tentative="1">
      <w:start w:val="1"/>
      <w:numFmt w:val="bullet"/>
      <w:lvlText w:val="•"/>
      <w:lvlJc w:val="left"/>
      <w:pPr>
        <w:tabs>
          <w:tab w:val="num" w:pos="3600"/>
        </w:tabs>
        <w:ind w:left="3600" w:hanging="360"/>
      </w:pPr>
      <w:rPr>
        <w:rFonts w:ascii="Arial" w:hAnsi="Arial" w:hint="default"/>
      </w:rPr>
    </w:lvl>
    <w:lvl w:ilvl="5" w:tplc="46B89080" w:tentative="1">
      <w:start w:val="1"/>
      <w:numFmt w:val="bullet"/>
      <w:lvlText w:val="•"/>
      <w:lvlJc w:val="left"/>
      <w:pPr>
        <w:tabs>
          <w:tab w:val="num" w:pos="4320"/>
        </w:tabs>
        <w:ind w:left="4320" w:hanging="360"/>
      </w:pPr>
      <w:rPr>
        <w:rFonts w:ascii="Arial" w:hAnsi="Arial" w:hint="default"/>
      </w:rPr>
    </w:lvl>
    <w:lvl w:ilvl="6" w:tplc="FCF267E8" w:tentative="1">
      <w:start w:val="1"/>
      <w:numFmt w:val="bullet"/>
      <w:lvlText w:val="•"/>
      <w:lvlJc w:val="left"/>
      <w:pPr>
        <w:tabs>
          <w:tab w:val="num" w:pos="5040"/>
        </w:tabs>
        <w:ind w:left="5040" w:hanging="360"/>
      </w:pPr>
      <w:rPr>
        <w:rFonts w:ascii="Arial" w:hAnsi="Arial" w:hint="default"/>
      </w:rPr>
    </w:lvl>
    <w:lvl w:ilvl="7" w:tplc="C0FC02FA" w:tentative="1">
      <w:start w:val="1"/>
      <w:numFmt w:val="bullet"/>
      <w:lvlText w:val="•"/>
      <w:lvlJc w:val="left"/>
      <w:pPr>
        <w:tabs>
          <w:tab w:val="num" w:pos="5760"/>
        </w:tabs>
        <w:ind w:left="5760" w:hanging="360"/>
      </w:pPr>
      <w:rPr>
        <w:rFonts w:ascii="Arial" w:hAnsi="Arial" w:hint="default"/>
      </w:rPr>
    </w:lvl>
    <w:lvl w:ilvl="8" w:tplc="AD5C0F1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FF8350E"/>
    <w:multiLevelType w:val="multilevel"/>
    <w:tmpl w:val="4D7872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6653533"/>
    <w:multiLevelType w:val="multilevel"/>
    <w:tmpl w:val="4F421540"/>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5B6B7F"/>
    <w:multiLevelType w:val="multilevel"/>
    <w:tmpl w:val="46744568"/>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3F7442D"/>
    <w:multiLevelType w:val="multilevel"/>
    <w:tmpl w:val="58C852A4"/>
    <w:lvl w:ilvl="0">
      <w:start w:val="3"/>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9DD07FA"/>
    <w:multiLevelType w:val="hybridMultilevel"/>
    <w:tmpl w:val="E6B68AA2"/>
    <w:lvl w:ilvl="0" w:tplc="A6244FA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540429"/>
    <w:multiLevelType w:val="multilevel"/>
    <w:tmpl w:val="94284090"/>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B5D7508"/>
    <w:multiLevelType w:val="multilevel"/>
    <w:tmpl w:val="FCCE1D3A"/>
    <w:lvl w:ilvl="0">
      <w:start w:val="5"/>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C9B260E"/>
    <w:multiLevelType w:val="multilevel"/>
    <w:tmpl w:val="6354F34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F0948BF"/>
    <w:multiLevelType w:val="multilevel"/>
    <w:tmpl w:val="F898797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03168436">
    <w:abstractNumId w:val="4"/>
  </w:num>
  <w:num w:numId="2" w16cid:durableId="74058153">
    <w:abstractNumId w:val="2"/>
  </w:num>
  <w:num w:numId="3" w16cid:durableId="430856093">
    <w:abstractNumId w:val="18"/>
  </w:num>
  <w:num w:numId="4" w16cid:durableId="873888237">
    <w:abstractNumId w:val="3"/>
  </w:num>
  <w:num w:numId="5" w16cid:durableId="990447884">
    <w:abstractNumId w:val="23"/>
  </w:num>
  <w:num w:numId="6" w16cid:durableId="1421489385">
    <w:abstractNumId w:val="12"/>
  </w:num>
  <w:num w:numId="7" w16cid:durableId="1749615525">
    <w:abstractNumId w:val="1"/>
  </w:num>
  <w:num w:numId="8" w16cid:durableId="183062545">
    <w:abstractNumId w:val="26"/>
  </w:num>
  <w:num w:numId="9" w16cid:durableId="436948435">
    <w:abstractNumId w:val="19"/>
  </w:num>
  <w:num w:numId="10" w16cid:durableId="1148324434">
    <w:abstractNumId w:val="16"/>
  </w:num>
  <w:num w:numId="11" w16cid:durableId="1854487249">
    <w:abstractNumId w:val="7"/>
  </w:num>
  <w:num w:numId="12" w16cid:durableId="845873786">
    <w:abstractNumId w:val="9"/>
  </w:num>
  <w:num w:numId="13" w16cid:durableId="1413621116">
    <w:abstractNumId w:val="11"/>
  </w:num>
  <w:num w:numId="14" w16cid:durableId="1927690158">
    <w:abstractNumId w:val="17"/>
  </w:num>
  <w:num w:numId="15" w16cid:durableId="171259302">
    <w:abstractNumId w:val="21"/>
  </w:num>
  <w:num w:numId="16" w16cid:durableId="2013485742">
    <w:abstractNumId w:val="22"/>
  </w:num>
  <w:num w:numId="17" w16cid:durableId="1592621062">
    <w:abstractNumId w:val="5"/>
  </w:num>
  <w:num w:numId="18" w16cid:durableId="1304776053">
    <w:abstractNumId w:val="20"/>
  </w:num>
  <w:num w:numId="19" w16cid:durableId="128519019">
    <w:abstractNumId w:val="15"/>
  </w:num>
  <w:num w:numId="20" w16cid:durableId="56170096">
    <w:abstractNumId w:val="14"/>
  </w:num>
  <w:num w:numId="21" w16cid:durableId="1785929036">
    <w:abstractNumId w:val="27"/>
  </w:num>
  <w:num w:numId="22" w16cid:durableId="72511014">
    <w:abstractNumId w:val="10"/>
  </w:num>
  <w:num w:numId="23" w16cid:durableId="251664865">
    <w:abstractNumId w:val="24"/>
  </w:num>
  <w:num w:numId="24" w16cid:durableId="1506044818">
    <w:abstractNumId w:val="25"/>
  </w:num>
  <w:num w:numId="25" w16cid:durableId="1028288207">
    <w:abstractNumId w:val="8"/>
  </w:num>
  <w:num w:numId="26" w16cid:durableId="1286811210">
    <w:abstractNumId w:val="13"/>
  </w:num>
  <w:num w:numId="27" w16cid:durableId="1542011258">
    <w:abstractNumId w:val="0"/>
  </w:num>
  <w:num w:numId="28" w16cid:durableId="11932256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62FE"/>
    <w:rsid w:val="00031829"/>
    <w:rsid w:val="000A19D3"/>
    <w:rsid w:val="00101453"/>
    <w:rsid w:val="00107370"/>
    <w:rsid w:val="0013207E"/>
    <w:rsid w:val="001D16B9"/>
    <w:rsid w:val="002001C0"/>
    <w:rsid w:val="00236A08"/>
    <w:rsid w:val="002664AA"/>
    <w:rsid w:val="002755EE"/>
    <w:rsid w:val="002B0AE4"/>
    <w:rsid w:val="002D0FAB"/>
    <w:rsid w:val="002E3D35"/>
    <w:rsid w:val="003F764A"/>
    <w:rsid w:val="00434277"/>
    <w:rsid w:val="004E3843"/>
    <w:rsid w:val="005618FE"/>
    <w:rsid w:val="00591083"/>
    <w:rsid w:val="005973B3"/>
    <w:rsid w:val="00631450"/>
    <w:rsid w:val="006962FE"/>
    <w:rsid w:val="006E00D1"/>
    <w:rsid w:val="00764381"/>
    <w:rsid w:val="008A092F"/>
    <w:rsid w:val="008D215E"/>
    <w:rsid w:val="009062B5"/>
    <w:rsid w:val="009152A2"/>
    <w:rsid w:val="00AB767C"/>
    <w:rsid w:val="00AD779C"/>
    <w:rsid w:val="00AE7C25"/>
    <w:rsid w:val="00AF0B14"/>
    <w:rsid w:val="00B034B6"/>
    <w:rsid w:val="00B15B33"/>
    <w:rsid w:val="00B6241F"/>
    <w:rsid w:val="00BA6C25"/>
    <w:rsid w:val="00BD6F01"/>
    <w:rsid w:val="00CB7DD2"/>
    <w:rsid w:val="00D43C67"/>
    <w:rsid w:val="00D6599A"/>
    <w:rsid w:val="00DA1E50"/>
    <w:rsid w:val="00DD618E"/>
    <w:rsid w:val="00E21C33"/>
    <w:rsid w:val="00EE3464"/>
    <w:rsid w:val="00EE52EA"/>
    <w:rsid w:val="00FB5957"/>
    <w:rsid w:val="00FB5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6E05CE"/>
  <w15:chartTrackingRefBased/>
  <w15:docId w15:val="{C5840B67-EF4A-AE4C-BABC-E7397654A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370"/>
  </w:style>
  <w:style w:type="paragraph" w:styleId="Heading1">
    <w:name w:val="heading 1"/>
    <w:basedOn w:val="Normal"/>
    <w:next w:val="Normal"/>
    <w:link w:val="Heading1Char"/>
    <w:uiPriority w:val="9"/>
    <w:qFormat/>
    <w:rsid w:val="006962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62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962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62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62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62F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62F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62F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62F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62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62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962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62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62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62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62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62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62FE"/>
    <w:rPr>
      <w:rFonts w:eastAsiaTheme="majorEastAsia" w:cstheme="majorBidi"/>
      <w:color w:val="272727" w:themeColor="text1" w:themeTint="D8"/>
    </w:rPr>
  </w:style>
  <w:style w:type="paragraph" w:styleId="Title">
    <w:name w:val="Title"/>
    <w:basedOn w:val="Normal"/>
    <w:next w:val="Normal"/>
    <w:link w:val="TitleChar"/>
    <w:uiPriority w:val="10"/>
    <w:qFormat/>
    <w:rsid w:val="006962F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62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62F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62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62F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962FE"/>
    <w:rPr>
      <w:i/>
      <w:iCs/>
      <w:color w:val="404040" w:themeColor="text1" w:themeTint="BF"/>
    </w:rPr>
  </w:style>
  <w:style w:type="paragraph" w:styleId="ListParagraph">
    <w:name w:val="List Paragraph"/>
    <w:basedOn w:val="Normal"/>
    <w:uiPriority w:val="34"/>
    <w:qFormat/>
    <w:rsid w:val="006962FE"/>
    <w:pPr>
      <w:ind w:left="720"/>
      <w:contextualSpacing/>
    </w:pPr>
  </w:style>
  <w:style w:type="character" w:styleId="IntenseEmphasis">
    <w:name w:val="Intense Emphasis"/>
    <w:basedOn w:val="DefaultParagraphFont"/>
    <w:uiPriority w:val="21"/>
    <w:qFormat/>
    <w:rsid w:val="006962FE"/>
    <w:rPr>
      <w:i/>
      <w:iCs/>
      <w:color w:val="0F4761" w:themeColor="accent1" w:themeShade="BF"/>
    </w:rPr>
  </w:style>
  <w:style w:type="paragraph" w:styleId="IntenseQuote">
    <w:name w:val="Intense Quote"/>
    <w:basedOn w:val="Normal"/>
    <w:next w:val="Normal"/>
    <w:link w:val="IntenseQuoteChar"/>
    <w:uiPriority w:val="30"/>
    <w:qFormat/>
    <w:rsid w:val="006962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62FE"/>
    <w:rPr>
      <w:i/>
      <w:iCs/>
      <w:color w:val="0F4761" w:themeColor="accent1" w:themeShade="BF"/>
    </w:rPr>
  </w:style>
  <w:style w:type="character" w:styleId="IntenseReference">
    <w:name w:val="Intense Reference"/>
    <w:basedOn w:val="DefaultParagraphFont"/>
    <w:uiPriority w:val="32"/>
    <w:qFormat/>
    <w:rsid w:val="006962FE"/>
    <w:rPr>
      <w:b/>
      <w:bCs/>
      <w:smallCaps/>
      <w:color w:val="0F4761" w:themeColor="accent1" w:themeShade="BF"/>
      <w:spacing w:val="5"/>
    </w:rPr>
  </w:style>
  <w:style w:type="character" w:styleId="Hyperlink">
    <w:name w:val="Hyperlink"/>
    <w:basedOn w:val="DefaultParagraphFont"/>
    <w:uiPriority w:val="99"/>
    <w:unhideWhenUsed/>
    <w:rsid w:val="002E3D35"/>
    <w:rPr>
      <w:color w:val="467886" w:themeColor="hyperlink"/>
      <w:u w:val="single"/>
    </w:rPr>
  </w:style>
  <w:style w:type="character" w:styleId="UnresolvedMention">
    <w:name w:val="Unresolved Mention"/>
    <w:basedOn w:val="DefaultParagraphFont"/>
    <w:uiPriority w:val="99"/>
    <w:semiHidden/>
    <w:unhideWhenUsed/>
    <w:rsid w:val="002E3D35"/>
    <w:rPr>
      <w:color w:val="605E5C"/>
      <w:shd w:val="clear" w:color="auto" w:fill="E1DFDD"/>
    </w:rPr>
  </w:style>
  <w:style w:type="character" w:styleId="Emphasis">
    <w:name w:val="Emphasis"/>
    <w:basedOn w:val="DefaultParagraphFont"/>
    <w:uiPriority w:val="20"/>
    <w:qFormat/>
    <w:rsid w:val="002001C0"/>
    <w:rPr>
      <w:i/>
      <w:iCs/>
    </w:rPr>
  </w:style>
  <w:style w:type="table" w:styleId="TableGrid">
    <w:name w:val="Table Grid"/>
    <w:basedOn w:val="TableNormal"/>
    <w:uiPriority w:val="39"/>
    <w:rsid w:val="001073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TotalTime>
  <Pages>8</Pages>
  <Words>3387</Words>
  <Characters>19306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Taylor-Jayne Rowe</dc:creator>
  <cp:keywords/>
  <dc:description/>
  <cp:lastModifiedBy>Taylor-Jayne Rowe</cp:lastModifiedBy>
  <cp:revision>41</cp:revision>
  <dcterms:created xsi:type="dcterms:W3CDTF">2025-10-02T12:37:00Z</dcterms:created>
  <dcterms:modified xsi:type="dcterms:W3CDTF">2025-11-13T12:27:00Z</dcterms:modified>
</cp:coreProperties>
</file>