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535D0" w14:textId="77777777" w:rsidR="00AB628F" w:rsidRDefault="00AB628F">
      <w:pPr>
        <w:rPr>
          <w:rFonts w:cstheme="minorHAnsi"/>
        </w:rPr>
      </w:pPr>
    </w:p>
    <w:p w14:paraId="6E0C89A3" w14:textId="179B307A" w:rsidR="00C77272" w:rsidRDefault="00975C5A">
      <w:pPr>
        <w:rPr>
          <w:rFonts w:cstheme="minorHAnsi"/>
        </w:rPr>
      </w:pPr>
      <w:r w:rsidRPr="00975C5A">
        <w:rPr>
          <w:rFonts w:cstheme="minorHAnsi"/>
        </w:rPr>
        <w:t>The following is an encyclopaedia entry in the style of the Oxford Islamic Studies online.</w:t>
      </w:r>
    </w:p>
    <w:p w14:paraId="379F6714" w14:textId="77777777" w:rsidR="00AB628F" w:rsidRPr="00AB628F" w:rsidRDefault="00AB628F">
      <w:pPr>
        <w:rPr>
          <w:rFonts w:cstheme="minorHAnsi"/>
        </w:rPr>
      </w:pPr>
    </w:p>
    <w:p w14:paraId="3FE5A8C0" w14:textId="655DA960" w:rsidR="001D08EB" w:rsidRDefault="002D62CC" w:rsidP="00540AE7">
      <w:pPr>
        <w:spacing w:line="360" w:lineRule="auto"/>
        <w:jc w:val="both"/>
      </w:pPr>
      <w:r w:rsidRPr="004002D0">
        <w:rPr>
          <w:i/>
        </w:rPr>
        <w:t>Qiyas</w:t>
      </w:r>
      <w:r>
        <w:t>, or analogical reasoning, are considered by Sunni Muslims as the fourth source of the law after the Qur</w:t>
      </w:r>
      <w:r w:rsidR="00825CE7">
        <w:t xml:space="preserve">’an, the </w:t>
      </w:r>
      <w:r w:rsidR="000A3B4E">
        <w:t>S</w:t>
      </w:r>
      <w:r w:rsidR="00825CE7">
        <w:t xml:space="preserve">unnah and </w:t>
      </w:r>
      <w:r w:rsidR="0049609C" w:rsidRPr="00496612">
        <w:rPr>
          <w:i/>
        </w:rPr>
        <w:t xml:space="preserve">ijma </w:t>
      </w:r>
      <w:r w:rsidR="0049609C">
        <w:t>(consensus)</w:t>
      </w:r>
      <w:r w:rsidR="00097D31">
        <w:rPr>
          <w:rStyle w:val="FootnoteReference"/>
        </w:rPr>
        <w:footnoteReference w:id="1"/>
      </w:r>
      <w:r w:rsidR="00097D31">
        <w:t>. In circumstances where the Qur’an</w:t>
      </w:r>
      <w:r w:rsidR="001D3AE3">
        <w:t xml:space="preserve">, </w:t>
      </w:r>
      <w:r w:rsidR="001D3AE3" w:rsidRPr="00207DE8">
        <w:t>Sunnah</w:t>
      </w:r>
      <w:r w:rsidR="001D3AE3">
        <w:t xml:space="preserve">, </w:t>
      </w:r>
      <w:r w:rsidR="00EC61C6">
        <w:t xml:space="preserve">and </w:t>
      </w:r>
      <w:r w:rsidR="00EC61C6" w:rsidRPr="00EC61C6">
        <w:rPr>
          <w:i/>
        </w:rPr>
        <w:t>ijma</w:t>
      </w:r>
      <w:r w:rsidR="00097D31" w:rsidRPr="00EC61C6">
        <w:rPr>
          <w:i/>
        </w:rPr>
        <w:t xml:space="preserve"> </w:t>
      </w:r>
      <w:r w:rsidR="00097D31">
        <w:t>fail</w:t>
      </w:r>
      <w:r w:rsidR="00CF6710">
        <w:t>s</w:t>
      </w:r>
      <w:r w:rsidR="00097D31">
        <w:t xml:space="preserve"> to provide no relevant or direct</w:t>
      </w:r>
      <w:r w:rsidR="00261563">
        <w:t xml:space="preserve"> text applicable to a subject of law, Sunni scholars or jurists use intellectual, analogical reasoning </w:t>
      </w:r>
      <w:r w:rsidR="00B65741">
        <w:t xml:space="preserve">and consensus </w:t>
      </w:r>
      <w:r w:rsidR="00261563">
        <w:t xml:space="preserve">to </w:t>
      </w:r>
      <w:r w:rsidR="00B65741">
        <w:t>develop Islamic law. Shia Muslims rel</w:t>
      </w:r>
      <w:r w:rsidR="00526712">
        <w:t>y</w:t>
      </w:r>
      <w:r w:rsidR="00B65741">
        <w:t xml:space="preserve"> upon their use of reason (</w:t>
      </w:r>
      <w:r w:rsidR="00B65741" w:rsidRPr="00522A9D">
        <w:rPr>
          <w:i/>
        </w:rPr>
        <w:t>aql</w:t>
      </w:r>
      <w:r w:rsidR="00B65741">
        <w:t>)</w:t>
      </w:r>
      <w:r w:rsidR="00570E74">
        <w:rPr>
          <w:rStyle w:val="FootnoteReference"/>
        </w:rPr>
        <w:footnoteReference w:id="2"/>
      </w:r>
      <w:r w:rsidR="000E66F1">
        <w:t>.</w:t>
      </w:r>
      <w:r w:rsidR="006158A0">
        <w:t xml:space="preserve"> Thus, </w:t>
      </w:r>
      <w:r w:rsidR="006158A0" w:rsidRPr="00522A9D">
        <w:rPr>
          <w:i/>
        </w:rPr>
        <w:t>qiyas</w:t>
      </w:r>
      <w:r w:rsidR="006158A0">
        <w:t xml:space="preserve"> are not strictly a source of Islamic law </w:t>
      </w:r>
      <w:r w:rsidR="00526712">
        <w:t xml:space="preserve">however, </w:t>
      </w:r>
      <w:r w:rsidR="006158A0">
        <w:t>reasoning based within the first three source of law</w:t>
      </w:r>
      <w:r w:rsidR="004F57E6">
        <w:t xml:space="preserve"> are extended to apply rulings to similar cases</w:t>
      </w:r>
      <w:r w:rsidR="004F57E6">
        <w:rPr>
          <w:rStyle w:val="FootnoteReference"/>
        </w:rPr>
        <w:footnoteReference w:id="3"/>
      </w:r>
      <w:r w:rsidR="004F57E6">
        <w:t>.</w:t>
      </w:r>
      <w:r w:rsidR="00E140C6">
        <w:t xml:space="preserve"> </w:t>
      </w:r>
      <w:r w:rsidR="00E140C6" w:rsidRPr="00DA750C">
        <w:rPr>
          <w:i/>
        </w:rPr>
        <w:t>Qiyas</w:t>
      </w:r>
      <w:r w:rsidR="00E140C6">
        <w:t>, as the fourth source of Islamic law, in particularly for a</w:t>
      </w:r>
      <w:r w:rsidR="007660C2">
        <w:t>l</w:t>
      </w:r>
      <w:r w:rsidR="00E140C6">
        <w:t xml:space="preserve">-Shafi’i, may be considered as a specific form of </w:t>
      </w:r>
      <w:r w:rsidR="00E140C6" w:rsidRPr="00E140C6">
        <w:rPr>
          <w:i/>
        </w:rPr>
        <w:t>ijtihad</w:t>
      </w:r>
      <w:r w:rsidR="00E140C6">
        <w:t xml:space="preserve"> in the use of </w:t>
      </w:r>
      <w:r w:rsidR="00D91479">
        <w:t>one’s</w:t>
      </w:r>
      <w:r w:rsidR="00E140C6">
        <w:t xml:space="preserve"> </w:t>
      </w:r>
      <w:r w:rsidR="00D91479">
        <w:t xml:space="preserve">own </w:t>
      </w:r>
      <w:r w:rsidR="00E140C6">
        <w:t xml:space="preserve">maximum effort to establish a judgement. </w:t>
      </w:r>
      <w:r w:rsidR="00FF686F">
        <w:t>Analogical reasoning is subordinate to divine revelation</w:t>
      </w:r>
      <w:r w:rsidR="005B72F4">
        <w:t xml:space="preserve"> and must have its application within the three previous sources of the law</w:t>
      </w:r>
      <w:r w:rsidR="00F44C89">
        <w:t>, of which it cannot be subversive.</w:t>
      </w:r>
      <w:r w:rsidR="00F44C89">
        <w:rPr>
          <w:rStyle w:val="FootnoteReference"/>
        </w:rPr>
        <w:footnoteReference w:id="4"/>
      </w:r>
    </w:p>
    <w:p w14:paraId="0850EA26" w14:textId="4E2586FF" w:rsidR="00DA750C" w:rsidRDefault="000E6A39" w:rsidP="00540AE7">
      <w:pPr>
        <w:spacing w:line="360" w:lineRule="auto"/>
        <w:jc w:val="both"/>
      </w:pPr>
      <w:r>
        <w:t xml:space="preserve">Forming part of </w:t>
      </w:r>
      <w:r w:rsidRPr="007932AA">
        <w:rPr>
          <w:i/>
        </w:rPr>
        <w:t>ra’y</w:t>
      </w:r>
      <w:r>
        <w:t xml:space="preserve"> (</w:t>
      </w:r>
      <w:r w:rsidR="008E022E">
        <w:t xml:space="preserve">a </w:t>
      </w:r>
      <w:r w:rsidR="002C4660">
        <w:t xml:space="preserve">wider term </w:t>
      </w:r>
      <w:r w:rsidRPr="008E022E">
        <w:t>the application of independent reasoning and personal opinion</w:t>
      </w:r>
      <w:r>
        <w:rPr>
          <w:rStyle w:val="FootnoteReference"/>
        </w:rPr>
        <w:footnoteReference w:id="5"/>
      </w:r>
      <w:r>
        <w:t>)</w:t>
      </w:r>
      <w:r w:rsidR="008E022E">
        <w:t>, r</w:t>
      </w:r>
      <w:r w:rsidRPr="00293B5C">
        <w:rPr>
          <w:i/>
        </w:rPr>
        <w:t>a’y</w:t>
      </w:r>
      <w:r>
        <w:t xml:space="preserve"> is</w:t>
      </w:r>
      <w:r w:rsidR="007932AA">
        <w:t xml:space="preserve"> a</w:t>
      </w:r>
      <w:r>
        <w:t xml:space="preserve"> composite term</w:t>
      </w:r>
      <w:r w:rsidR="008E022E">
        <w:t xml:space="preserve"> that</w:t>
      </w:r>
      <w:r>
        <w:t xml:space="preserve"> comprise</w:t>
      </w:r>
      <w:r w:rsidR="00BC2449">
        <w:t>s</w:t>
      </w:r>
      <w:r>
        <w:t xml:space="preserve"> of multiple Islamic legal theory that includes </w:t>
      </w:r>
      <w:r w:rsidRPr="00293B5C">
        <w:rPr>
          <w:i/>
        </w:rPr>
        <w:t>qiyas</w:t>
      </w:r>
      <w:r>
        <w:t>, i</w:t>
      </w:r>
      <w:r w:rsidRPr="00293B5C">
        <w:rPr>
          <w:i/>
        </w:rPr>
        <w:t>stihsan</w:t>
      </w:r>
      <w:r>
        <w:t xml:space="preserve"> (considerations of equity), </w:t>
      </w:r>
      <w:r w:rsidRPr="00293B5C">
        <w:rPr>
          <w:i/>
        </w:rPr>
        <w:t>sadd al dhara’</w:t>
      </w:r>
      <w:r>
        <w:rPr>
          <w:i/>
        </w:rPr>
        <w:t>i</w:t>
      </w:r>
      <w:r>
        <w:t xml:space="preserve"> (a literal translation ‘blocking the means’ a process whereby preventing the application </w:t>
      </w:r>
      <w:r w:rsidR="007932AA">
        <w:t>of</w:t>
      </w:r>
      <w:r>
        <w:t xml:space="preserve"> lawful means to achieve an unlawful result) and </w:t>
      </w:r>
      <w:r w:rsidRPr="00293B5C">
        <w:rPr>
          <w:i/>
        </w:rPr>
        <w:t>al-masalih al mursala</w:t>
      </w:r>
      <w:r>
        <w:t xml:space="preserve"> (considerations of public good)</w:t>
      </w:r>
      <w:r>
        <w:rPr>
          <w:rStyle w:val="FootnoteReference"/>
        </w:rPr>
        <w:footnoteReference w:id="6"/>
      </w:r>
      <w:r>
        <w:t>.</w:t>
      </w:r>
      <w:r w:rsidR="0050228C">
        <w:t xml:space="preserve"> </w:t>
      </w:r>
    </w:p>
    <w:p w14:paraId="4D171CA9" w14:textId="6D2186BB" w:rsidR="00500B24" w:rsidRDefault="00653567" w:rsidP="00540AE7">
      <w:pPr>
        <w:spacing w:line="360" w:lineRule="auto"/>
        <w:jc w:val="both"/>
      </w:pPr>
      <w:r>
        <w:t>In a</w:t>
      </w:r>
      <w:r w:rsidR="00B45638">
        <w:t>pplying analogical argument</w:t>
      </w:r>
      <w:r>
        <w:t>, a derived legal ruling</w:t>
      </w:r>
      <w:r w:rsidR="00FA4555">
        <w:t xml:space="preserve"> require</w:t>
      </w:r>
      <w:r>
        <w:t>s</w:t>
      </w:r>
      <w:r w:rsidR="00B658C1">
        <w:t xml:space="preserve"> four constituents components</w:t>
      </w:r>
      <w:r>
        <w:t>: a new case (</w:t>
      </w:r>
      <w:r w:rsidRPr="00C62F30">
        <w:rPr>
          <w:i/>
        </w:rPr>
        <w:t>far</w:t>
      </w:r>
      <w:r>
        <w:t>)</w:t>
      </w:r>
      <w:r w:rsidR="00C62F30">
        <w:t xml:space="preserve">, an original case </w:t>
      </w:r>
      <w:r w:rsidR="00F422E7">
        <w:t>fixed through</w:t>
      </w:r>
      <w:r w:rsidR="007053CE">
        <w:t xml:space="preserve"> </w:t>
      </w:r>
      <w:r w:rsidR="00C62F30">
        <w:t xml:space="preserve">the primary sources of </w:t>
      </w:r>
      <w:r w:rsidR="000A3B4E">
        <w:t xml:space="preserve">the Qur’an, the Sunnah and </w:t>
      </w:r>
      <w:r w:rsidR="000A3B4E" w:rsidRPr="00D823BE">
        <w:rPr>
          <w:i/>
        </w:rPr>
        <w:t>ijma</w:t>
      </w:r>
      <w:r w:rsidR="000A3B4E">
        <w:t xml:space="preserve"> (</w:t>
      </w:r>
      <w:r w:rsidR="000A3B4E" w:rsidRPr="000A3B4E">
        <w:rPr>
          <w:i/>
        </w:rPr>
        <w:t>asl</w:t>
      </w:r>
      <w:bookmarkStart w:id="0" w:name="_GoBack"/>
      <w:bookmarkEnd w:id="0"/>
      <w:r w:rsidR="000A3B4E">
        <w:t xml:space="preserve">), </w:t>
      </w:r>
      <w:r w:rsidR="00F422E7">
        <w:t xml:space="preserve">an existing </w:t>
      </w:r>
      <w:r w:rsidR="007A1914">
        <w:t>legal norm</w:t>
      </w:r>
      <w:r w:rsidR="00F422E7">
        <w:t xml:space="preserve"> (</w:t>
      </w:r>
      <w:r w:rsidR="00F422E7" w:rsidRPr="00EA0340">
        <w:rPr>
          <w:i/>
        </w:rPr>
        <w:t>hukm</w:t>
      </w:r>
      <w:r w:rsidR="00F422E7">
        <w:t xml:space="preserve">) and </w:t>
      </w:r>
      <w:r w:rsidR="007A1914">
        <w:t>ratio legis (</w:t>
      </w:r>
      <w:r w:rsidR="007A1914" w:rsidRPr="00EA0340">
        <w:rPr>
          <w:i/>
        </w:rPr>
        <w:t>illa</w:t>
      </w:r>
      <w:r w:rsidR="007A1914">
        <w:t xml:space="preserve">) that </w:t>
      </w:r>
      <w:r w:rsidR="00EA0340">
        <w:t xml:space="preserve">is explanatory of the original ruling and one that </w:t>
      </w:r>
      <w:r w:rsidR="00EC7D76">
        <w:t>provides similarity</w:t>
      </w:r>
      <w:r w:rsidR="00EA0340">
        <w:t xml:space="preserve"> to both cases</w:t>
      </w:r>
      <w:r w:rsidR="00EC7D76">
        <w:rPr>
          <w:rStyle w:val="FootnoteReference"/>
        </w:rPr>
        <w:footnoteReference w:id="7"/>
      </w:r>
      <w:r w:rsidR="00EC7D76">
        <w:t xml:space="preserve">. It is the presence of the </w:t>
      </w:r>
      <w:r w:rsidR="00EC7D76" w:rsidRPr="000E37FC">
        <w:rPr>
          <w:i/>
        </w:rPr>
        <w:t>illa</w:t>
      </w:r>
      <w:r w:rsidR="00EC7D76">
        <w:t xml:space="preserve"> that permits the extension of the existing case</w:t>
      </w:r>
      <w:r w:rsidR="00EA2624">
        <w:t>’s ruling to that of the new case</w:t>
      </w:r>
      <w:r w:rsidR="00EA2624">
        <w:rPr>
          <w:rStyle w:val="FootnoteReference"/>
        </w:rPr>
        <w:footnoteReference w:id="8"/>
      </w:r>
      <w:r w:rsidR="007C198D">
        <w:t>.</w:t>
      </w:r>
    </w:p>
    <w:p w14:paraId="53330803" w14:textId="1D9D6343" w:rsidR="00526712" w:rsidRDefault="005A25B2" w:rsidP="00540AE7">
      <w:pPr>
        <w:spacing w:line="360" w:lineRule="auto"/>
        <w:jc w:val="both"/>
      </w:pPr>
      <w:r>
        <w:t xml:space="preserve">The authoritativeness and </w:t>
      </w:r>
      <w:r w:rsidR="005C3B30">
        <w:t xml:space="preserve">acceptance of </w:t>
      </w:r>
      <w:r w:rsidR="005C3B30" w:rsidRPr="005C3B30">
        <w:rPr>
          <w:i/>
        </w:rPr>
        <w:t>qiyas</w:t>
      </w:r>
      <w:r w:rsidR="005C3B30">
        <w:t xml:space="preserve"> by all Muslims has been questioned historically.</w:t>
      </w:r>
      <w:r w:rsidR="006F7A62">
        <w:t xml:space="preserve"> </w:t>
      </w:r>
      <w:r w:rsidR="007660C2">
        <w:t>All four</w:t>
      </w:r>
      <w:r w:rsidR="00A055EE">
        <w:t xml:space="preserve"> extant Sunni schools eventually accepted the concept of </w:t>
      </w:r>
      <w:r w:rsidR="00A055EE" w:rsidRPr="00474DF5">
        <w:rPr>
          <w:i/>
        </w:rPr>
        <w:t>qiyas</w:t>
      </w:r>
      <w:r w:rsidR="00A055EE">
        <w:t>, however, it was rejected by most Shi’</w:t>
      </w:r>
      <w:r w:rsidR="00413DF3">
        <w:t xml:space="preserve">i </w:t>
      </w:r>
      <w:r w:rsidR="00A055EE">
        <w:lastRenderedPageBreak/>
        <w:t>Muslim groups</w:t>
      </w:r>
      <w:r w:rsidR="00A055EE">
        <w:rPr>
          <w:rStyle w:val="FootnoteReference"/>
        </w:rPr>
        <w:footnoteReference w:id="9"/>
      </w:r>
      <w:r w:rsidR="00A055EE">
        <w:t xml:space="preserve">. </w:t>
      </w:r>
      <w:r w:rsidR="00560B9D">
        <w:t>Non-Sunni adher</w:t>
      </w:r>
      <w:r w:rsidR="00A54C12">
        <w:t xml:space="preserve">ents who rejected </w:t>
      </w:r>
      <w:r w:rsidR="00A54C12" w:rsidRPr="00F5758F">
        <w:rPr>
          <w:i/>
        </w:rPr>
        <w:t>qiyas</w:t>
      </w:r>
      <w:r w:rsidR="00A54C12">
        <w:t xml:space="preserve"> argued that the Qur’an</w:t>
      </w:r>
      <w:r w:rsidR="000E7B21">
        <w:t xml:space="preserve"> provided </w:t>
      </w:r>
      <w:r w:rsidR="00F5758F">
        <w:t xml:space="preserve">all </w:t>
      </w:r>
      <w:r w:rsidR="000E7B21">
        <w:t xml:space="preserve">the </w:t>
      </w:r>
      <w:r w:rsidR="00F5758F">
        <w:t>answers required</w:t>
      </w:r>
      <w:r w:rsidR="00D30B7D">
        <w:t>, citing the Qur’an</w:t>
      </w:r>
      <w:r w:rsidR="00CD0EE5">
        <w:t xml:space="preserve"> accounting for a book that neglected nothing</w:t>
      </w:r>
      <w:r w:rsidR="00CD0EE5">
        <w:rPr>
          <w:rStyle w:val="FootnoteReference"/>
        </w:rPr>
        <w:footnoteReference w:id="10"/>
      </w:r>
      <w:r w:rsidR="00F457A7">
        <w:t xml:space="preserve">, warning against the dangers of unrestricted independent </w:t>
      </w:r>
      <w:r w:rsidR="00540AE7">
        <w:t>reasoning</w:t>
      </w:r>
      <w:r w:rsidR="00716FCF">
        <w:t>. Proponents argued that</w:t>
      </w:r>
      <w:r w:rsidR="003F2E23">
        <w:t xml:space="preserve"> </w:t>
      </w:r>
      <w:r w:rsidR="003F2E23" w:rsidRPr="002D4604">
        <w:rPr>
          <w:i/>
        </w:rPr>
        <w:t>qiyas</w:t>
      </w:r>
      <w:r w:rsidR="003F2E23">
        <w:t xml:space="preserve"> have played an integral role in the perfection of </w:t>
      </w:r>
      <w:r w:rsidR="003F7E51">
        <w:t>the Islamic religion</w:t>
      </w:r>
      <w:r w:rsidR="0035137F">
        <w:t xml:space="preserve"> in appealing to the Sunnah and consensus. Similarly, </w:t>
      </w:r>
      <w:r w:rsidR="00853C26">
        <w:t xml:space="preserve">advocates of the application of </w:t>
      </w:r>
      <w:r w:rsidR="00853C26" w:rsidRPr="006F1339">
        <w:rPr>
          <w:i/>
        </w:rPr>
        <w:t>qiyas</w:t>
      </w:r>
      <w:r w:rsidR="00853C26">
        <w:t xml:space="preserve"> have used the Qur’an to support its application</w:t>
      </w:r>
      <w:r w:rsidR="00F457A7">
        <w:rPr>
          <w:rStyle w:val="FootnoteReference"/>
        </w:rPr>
        <w:footnoteReference w:id="11"/>
      </w:r>
      <w:r w:rsidR="00AA3E8B">
        <w:t xml:space="preserve"> </w:t>
      </w:r>
      <w:r w:rsidR="007E2C7A">
        <w:t xml:space="preserve">additionally </w:t>
      </w:r>
      <w:r w:rsidR="00AA3E8B">
        <w:t>supported by their assertion that the Prophet Muhammad’s Companions</w:t>
      </w:r>
      <w:r w:rsidR="007A669D">
        <w:t xml:space="preserve"> applied their </w:t>
      </w:r>
      <w:r w:rsidR="007A669D" w:rsidRPr="00B66B1D">
        <w:rPr>
          <w:i/>
        </w:rPr>
        <w:t>qua</w:t>
      </w:r>
      <w:r w:rsidR="007A669D">
        <w:t xml:space="preserve"> consensus</w:t>
      </w:r>
      <w:r w:rsidR="00490C41">
        <w:t xml:space="preserve"> and complete knowledge of him</w:t>
      </w:r>
      <w:r w:rsidR="007E2C7A">
        <w:t xml:space="preserve">. </w:t>
      </w:r>
      <w:r w:rsidR="00490C41">
        <w:t>Later</w:t>
      </w:r>
      <w:r w:rsidR="00846DBA">
        <w:t xml:space="preserve"> jurists reached certitude in the </w:t>
      </w:r>
      <w:r w:rsidR="007C69EB">
        <w:t>authoritativeness through the cumulative effect of generations of consensus</w:t>
      </w:r>
      <w:r w:rsidR="007C69EB">
        <w:rPr>
          <w:rStyle w:val="FootnoteReference"/>
        </w:rPr>
        <w:footnoteReference w:id="12"/>
      </w:r>
      <w:r w:rsidR="00540AE7">
        <w:t>.</w:t>
      </w:r>
    </w:p>
    <w:p w14:paraId="30A3DEEB" w14:textId="19AB980B" w:rsidR="00C75DB1" w:rsidRDefault="00C75DB1"/>
    <w:p w14:paraId="66F49A16" w14:textId="50C831C1" w:rsidR="00C75DB1" w:rsidRDefault="00C75DB1"/>
    <w:p w14:paraId="284925F4" w14:textId="77777777" w:rsidR="007E04C2" w:rsidRDefault="007E04C2"/>
    <w:p w14:paraId="0DA7E535" w14:textId="77777777" w:rsidR="007E04C2" w:rsidRDefault="007E04C2"/>
    <w:p w14:paraId="09AF0B00" w14:textId="77777777" w:rsidR="007E04C2" w:rsidRDefault="007E04C2"/>
    <w:p w14:paraId="5E9A246F" w14:textId="77777777" w:rsidR="007E04C2" w:rsidRDefault="007E04C2"/>
    <w:p w14:paraId="49437975" w14:textId="77777777" w:rsidR="007E04C2" w:rsidRDefault="007E04C2"/>
    <w:p w14:paraId="16578D20" w14:textId="77777777" w:rsidR="007E04C2" w:rsidRDefault="007E04C2"/>
    <w:p w14:paraId="6AAC48A6" w14:textId="77777777" w:rsidR="007E04C2" w:rsidRDefault="007E04C2"/>
    <w:p w14:paraId="3F5BCE3F" w14:textId="77777777" w:rsidR="007E04C2" w:rsidRDefault="007E04C2"/>
    <w:p w14:paraId="79AD4E23" w14:textId="77777777" w:rsidR="007E04C2" w:rsidRDefault="007E04C2"/>
    <w:p w14:paraId="5048B42C" w14:textId="77777777" w:rsidR="007E04C2" w:rsidRDefault="007E04C2"/>
    <w:p w14:paraId="597F88D8" w14:textId="77777777" w:rsidR="007E04C2" w:rsidRDefault="007E04C2"/>
    <w:p w14:paraId="17795031" w14:textId="77777777" w:rsidR="007E04C2" w:rsidRDefault="007E04C2"/>
    <w:p w14:paraId="18BEAB10" w14:textId="77777777" w:rsidR="007E04C2" w:rsidRDefault="007E04C2"/>
    <w:p w14:paraId="76EC41A5" w14:textId="77777777" w:rsidR="007E04C2" w:rsidRDefault="007E04C2"/>
    <w:p w14:paraId="57EE0581" w14:textId="77777777" w:rsidR="007E04C2" w:rsidRDefault="007E04C2"/>
    <w:p w14:paraId="3F3BE027" w14:textId="77777777" w:rsidR="007E04C2" w:rsidRDefault="007E04C2"/>
    <w:p w14:paraId="30CF1219" w14:textId="77777777" w:rsidR="007E04C2" w:rsidRDefault="007E04C2"/>
    <w:p w14:paraId="07EB864E" w14:textId="77777777" w:rsidR="007E04C2" w:rsidRDefault="007E04C2"/>
    <w:p w14:paraId="27EFCF14" w14:textId="77777777" w:rsidR="007E04C2" w:rsidRDefault="007E04C2"/>
    <w:p w14:paraId="2B29AB4E" w14:textId="718C218B" w:rsidR="00C75DB1" w:rsidRPr="007E04C2" w:rsidRDefault="00A41B6E">
      <w:r w:rsidRPr="007E04C2">
        <w:t>References</w:t>
      </w:r>
    </w:p>
    <w:p w14:paraId="5E44940E" w14:textId="07F0CDA2" w:rsidR="00605E36" w:rsidRPr="007E04C2" w:rsidRDefault="00605E36"/>
    <w:p w14:paraId="3C0D6C96" w14:textId="3155C822" w:rsidR="00605E36" w:rsidRPr="007E04C2" w:rsidRDefault="00605E36">
      <w:r w:rsidRPr="007E04C2">
        <w:t xml:space="preserve">Coulson, N.J., (1964), ‘A History of Islamic Law’, (repr.1990), </w:t>
      </w:r>
      <w:r w:rsidR="004E7669" w:rsidRPr="007E04C2">
        <w:t>Edinburgh University Press, Edinburgh</w:t>
      </w:r>
    </w:p>
    <w:p w14:paraId="526780EB" w14:textId="5CDDD68A" w:rsidR="00C75DB1" w:rsidRPr="007E04C2" w:rsidRDefault="004E7669">
      <w:r w:rsidRPr="007E04C2">
        <w:t>Dutton, Y.</w:t>
      </w:r>
      <w:r w:rsidR="006E235D" w:rsidRPr="007E04C2">
        <w:t xml:space="preserve">, (1999), ‘The Origins of Islamic Law’; </w:t>
      </w:r>
      <w:r w:rsidR="006E235D" w:rsidRPr="007E04C2">
        <w:rPr>
          <w:i/>
        </w:rPr>
        <w:t>The Qur’an, the Muwatta</w:t>
      </w:r>
      <w:r w:rsidR="00BA5778" w:rsidRPr="007E04C2">
        <w:rPr>
          <w:i/>
        </w:rPr>
        <w:t>’</w:t>
      </w:r>
      <w:r w:rsidR="006E235D" w:rsidRPr="007E04C2">
        <w:rPr>
          <w:i/>
        </w:rPr>
        <w:t xml:space="preserve"> and the Madinan </w:t>
      </w:r>
      <w:r w:rsidR="00BA5778" w:rsidRPr="007E04C2">
        <w:rPr>
          <w:i/>
        </w:rPr>
        <w:t>‘</w:t>
      </w:r>
      <w:r w:rsidR="006E235D" w:rsidRPr="007E04C2">
        <w:rPr>
          <w:i/>
        </w:rPr>
        <w:t>Amal</w:t>
      </w:r>
      <w:r w:rsidR="006E235D" w:rsidRPr="007E04C2">
        <w:t xml:space="preserve">, </w:t>
      </w:r>
      <w:r w:rsidR="00BA5778" w:rsidRPr="007E04C2">
        <w:t>(repr 2002), Oxon, England</w:t>
      </w:r>
    </w:p>
    <w:p w14:paraId="450E72E4" w14:textId="095A8DD7" w:rsidR="00726E5B" w:rsidRPr="007E04C2" w:rsidRDefault="00726E5B">
      <w:r w:rsidRPr="007E04C2">
        <w:t xml:space="preserve">Esposito, J. L. and Delong-Bas, N.J., (2018), ‘Sharia’, </w:t>
      </w:r>
      <w:r w:rsidRPr="007E04C2">
        <w:rPr>
          <w:i/>
        </w:rPr>
        <w:t>What Everyone Needs To Know</w:t>
      </w:r>
      <w:r w:rsidRPr="007E04C2">
        <w:t xml:space="preserve">, </w:t>
      </w:r>
      <w:r w:rsidR="004F1C50" w:rsidRPr="007E04C2">
        <w:t>Oxford University Press, England</w:t>
      </w:r>
    </w:p>
    <w:p w14:paraId="720022B5" w14:textId="22B6D6D2" w:rsidR="004F1C50" w:rsidRPr="007E04C2" w:rsidRDefault="004F1C50">
      <w:r w:rsidRPr="007E04C2">
        <w:t xml:space="preserve">Hallaq, W.B., (1997), </w:t>
      </w:r>
      <w:r w:rsidR="0047765B" w:rsidRPr="007E04C2">
        <w:t xml:space="preserve">‘A History of Islamic Legal Theories’, </w:t>
      </w:r>
      <w:r w:rsidR="0047765B" w:rsidRPr="007E04C2">
        <w:rPr>
          <w:i/>
        </w:rPr>
        <w:t>An Introduction to Sunni usu</w:t>
      </w:r>
      <w:r w:rsidR="0027088E" w:rsidRPr="007E04C2">
        <w:rPr>
          <w:i/>
        </w:rPr>
        <w:t>l al-fiqh</w:t>
      </w:r>
      <w:r w:rsidR="0027088E" w:rsidRPr="007E04C2">
        <w:t xml:space="preserve">, </w:t>
      </w:r>
      <w:r w:rsidRPr="007E04C2">
        <w:t>(repr.2008)</w:t>
      </w:r>
      <w:r w:rsidR="0047765B" w:rsidRPr="007E04C2">
        <w:t>, Cambridge University Press, England</w:t>
      </w:r>
    </w:p>
    <w:p w14:paraId="75177CD7" w14:textId="77777777" w:rsidR="007E04C2" w:rsidRPr="007E04C2" w:rsidRDefault="007E04C2" w:rsidP="007E04C2">
      <w:r w:rsidRPr="007E04C2">
        <w:t>Hendrickson, J. (2009), "Qiyas." In The Oxford Encyclopedia of the Islamic World. Oxford Islamic Studies Online, http://www.oxfordislamicstudies.com.ezproxy.uwtsd.ac.uk/article/opr/t236/e1233 (last accessed 03-May-2019).</w:t>
      </w:r>
    </w:p>
    <w:p w14:paraId="5B5C0ACF" w14:textId="77777777" w:rsidR="007E04C2" w:rsidRPr="00D02E63" w:rsidRDefault="007E04C2">
      <w:pPr>
        <w:rPr>
          <w:sz w:val="20"/>
          <w:szCs w:val="20"/>
        </w:rPr>
      </w:pPr>
    </w:p>
    <w:sectPr w:rsidR="007E04C2" w:rsidRPr="00D02E6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84B00" w14:textId="77777777" w:rsidR="0016494A" w:rsidRDefault="0016494A" w:rsidP="00097D31">
      <w:pPr>
        <w:spacing w:after="0" w:line="240" w:lineRule="auto"/>
      </w:pPr>
      <w:r>
        <w:separator/>
      </w:r>
    </w:p>
  </w:endnote>
  <w:endnote w:type="continuationSeparator" w:id="0">
    <w:p w14:paraId="4B7E2121" w14:textId="77777777" w:rsidR="0016494A" w:rsidRDefault="0016494A" w:rsidP="0009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97551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DB6D02" w14:textId="49B12D7B" w:rsidR="000A4D91" w:rsidRDefault="000A4D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00D2CF" w14:textId="77777777" w:rsidR="000A4D91" w:rsidRDefault="000A4D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EE2DE" w14:textId="77777777" w:rsidR="0016494A" w:rsidRDefault="0016494A" w:rsidP="00097D31">
      <w:pPr>
        <w:spacing w:after="0" w:line="240" w:lineRule="auto"/>
      </w:pPr>
      <w:r>
        <w:separator/>
      </w:r>
    </w:p>
  </w:footnote>
  <w:footnote w:type="continuationSeparator" w:id="0">
    <w:p w14:paraId="34B2C706" w14:textId="77777777" w:rsidR="0016494A" w:rsidRDefault="0016494A" w:rsidP="00097D31">
      <w:pPr>
        <w:spacing w:after="0" w:line="240" w:lineRule="auto"/>
      </w:pPr>
      <w:r>
        <w:continuationSeparator/>
      </w:r>
    </w:p>
  </w:footnote>
  <w:footnote w:id="1">
    <w:p w14:paraId="5DE6B055" w14:textId="2A7C5D25" w:rsidR="00097D31" w:rsidRPr="007E04C2" w:rsidRDefault="00097D31" w:rsidP="007135BB">
      <w:pPr>
        <w:pStyle w:val="FootnoteText"/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="0092122D" w:rsidRPr="007E04C2">
        <w:rPr>
          <w:sz w:val="18"/>
          <w:szCs w:val="18"/>
        </w:rPr>
        <w:t>Hendrickson, J. (2009), "Qiyas." In The Oxford Encyclopedia of the Islamic World. Oxford Islamic Studies Online</w:t>
      </w:r>
    </w:p>
  </w:footnote>
  <w:footnote w:id="2">
    <w:p w14:paraId="151738A9" w14:textId="50DDB1E7" w:rsidR="00570E74" w:rsidRPr="007E04C2" w:rsidRDefault="00570E74" w:rsidP="0092122D">
      <w:pPr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</w:t>
      </w:r>
      <w:r w:rsidR="0092122D" w:rsidRPr="007E04C2">
        <w:rPr>
          <w:sz w:val="18"/>
          <w:szCs w:val="18"/>
        </w:rPr>
        <w:t xml:space="preserve">Esposito, J. L. and Delong-Bas, N.J., (2018), ‘Sharia’, </w:t>
      </w:r>
      <w:r w:rsidR="0092122D" w:rsidRPr="007E04C2">
        <w:rPr>
          <w:i/>
          <w:sz w:val="18"/>
          <w:szCs w:val="18"/>
        </w:rPr>
        <w:t>What Everyone Needs To Know</w:t>
      </w:r>
      <w:r w:rsidR="0092122D" w:rsidRPr="007E04C2">
        <w:rPr>
          <w:sz w:val="18"/>
          <w:szCs w:val="18"/>
        </w:rPr>
        <w:t>, Oxford University Press, England</w:t>
      </w:r>
      <w:r w:rsidR="0092122D" w:rsidRPr="007E04C2">
        <w:rPr>
          <w:sz w:val="18"/>
          <w:szCs w:val="18"/>
        </w:rPr>
        <w:t xml:space="preserve">, </w:t>
      </w:r>
      <w:r w:rsidRPr="007E04C2">
        <w:rPr>
          <w:sz w:val="18"/>
          <w:szCs w:val="18"/>
        </w:rPr>
        <w:t>p 37</w:t>
      </w:r>
    </w:p>
  </w:footnote>
  <w:footnote w:id="3">
    <w:p w14:paraId="7FE443B0" w14:textId="2FF873D9" w:rsidR="004F57E6" w:rsidRPr="007E04C2" w:rsidRDefault="004F57E6" w:rsidP="007135BB">
      <w:pPr>
        <w:pStyle w:val="FootnoteText"/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Hendrickson</w:t>
      </w:r>
    </w:p>
  </w:footnote>
  <w:footnote w:id="4">
    <w:p w14:paraId="7FC3F831" w14:textId="445EC72A" w:rsidR="00F44C89" w:rsidRPr="007E04C2" w:rsidRDefault="00F44C89" w:rsidP="007135BB">
      <w:pPr>
        <w:spacing w:line="240" w:lineRule="auto"/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</w:t>
      </w:r>
      <w:r w:rsidR="007135BB" w:rsidRPr="007E04C2">
        <w:rPr>
          <w:sz w:val="18"/>
          <w:szCs w:val="18"/>
        </w:rPr>
        <w:t>Coulson, N.J., (1964), ‘A History of Islamic Law’, (repr.1990), Edinburgh University Press, Edinburgh</w:t>
      </w:r>
      <w:r w:rsidRPr="007E04C2">
        <w:rPr>
          <w:sz w:val="18"/>
          <w:szCs w:val="18"/>
        </w:rPr>
        <w:t>, p.60</w:t>
      </w:r>
    </w:p>
  </w:footnote>
  <w:footnote w:id="5">
    <w:p w14:paraId="3E8E4177" w14:textId="145E762E" w:rsidR="000E6A39" w:rsidRPr="007E04C2" w:rsidRDefault="000E6A39" w:rsidP="0092122D">
      <w:pPr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</w:t>
      </w:r>
      <w:r w:rsidR="0092122D" w:rsidRPr="007E04C2">
        <w:rPr>
          <w:sz w:val="18"/>
          <w:szCs w:val="18"/>
        </w:rPr>
        <w:t xml:space="preserve">Dutton, Y., (1999), ‘The Origins of Islamic Law’; </w:t>
      </w:r>
      <w:r w:rsidR="0092122D" w:rsidRPr="007E04C2">
        <w:rPr>
          <w:i/>
          <w:sz w:val="18"/>
          <w:szCs w:val="18"/>
        </w:rPr>
        <w:t>The Qur’an, the Muwatta’ and the Madinan ‘Amal</w:t>
      </w:r>
      <w:r w:rsidR="0092122D" w:rsidRPr="007E04C2">
        <w:rPr>
          <w:sz w:val="18"/>
          <w:szCs w:val="18"/>
        </w:rPr>
        <w:t>, (repr 2002), Oxon, England</w:t>
      </w:r>
      <w:r w:rsidR="0092122D" w:rsidRPr="007E04C2">
        <w:rPr>
          <w:sz w:val="18"/>
          <w:szCs w:val="18"/>
        </w:rPr>
        <w:t>,</w:t>
      </w:r>
      <w:r w:rsidR="007E04C2">
        <w:rPr>
          <w:sz w:val="18"/>
          <w:szCs w:val="18"/>
        </w:rPr>
        <w:t xml:space="preserve"> </w:t>
      </w:r>
      <w:r w:rsidRPr="007E04C2">
        <w:rPr>
          <w:sz w:val="18"/>
          <w:szCs w:val="18"/>
        </w:rPr>
        <w:t>p.234</w:t>
      </w:r>
    </w:p>
  </w:footnote>
  <w:footnote w:id="6">
    <w:p w14:paraId="7C5CB5E6" w14:textId="77777777" w:rsidR="000E6A39" w:rsidRPr="007E04C2" w:rsidRDefault="000E6A39" w:rsidP="007135BB">
      <w:pPr>
        <w:pStyle w:val="FootnoteText"/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Dutton, p.34</w:t>
      </w:r>
    </w:p>
  </w:footnote>
  <w:footnote w:id="7">
    <w:p w14:paraId="0B5D5B7C" w14:textId="5E9A3B44" w:rsidR="00EC7D76" w:rsidRPr="007E04C2" w:rsidRDefault="00EC7D76" w:rsidP="007E04C2">
      <w:pPr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</w:t>
      </w:r>
      <w:r w:rsidR="007E04C2" w:rsidRPr="007E04C2">
        <w:rPr>
          <w:sz w:val="18"/>
          <w:szCs w:val="18"/>
        </w:rPr>
        <w:t xml:space="preserve">Hallaq, W.B., (1997), ‘A History of Islamic Legal Theories’, </w:t>
      </w:r>
      <w:r w:rsidR="007E04C2" w:rsidRPr="007E04C2">
        <w:rPr>
          <w:i/>
          <w:sz w:val="18"/>
          <w:szCs w:val="18"/>
        </w:rPr>
        <w:t>An Introduction to Sunni usul al-fiqh</w:t>
      </w:r>
      <w:r w:rsidR="007E04C2" w:rsidRPr="007E04C2">
        <w:rPr>
          <w:sz w:val="18"/>
          <w:szCs w:val="18"/>
        </w:rPr>
        <w:t>, (repr.2008), Cambridge University Press, England</w:t>
      </w:r>
      <w:r w:rsidR="007E04C2" w:rsidRPr="007E04C2">
        <w:rPr>
          <w:sz w:val="18"/>
          <w:szCs w:val="18"/>
        </w:rPr>
        <w:t xml:space="preserve">, </w:t>
      </w:r>
      <w:r w:rsidRPr="007E04C2">
        <w:rPr>
          <w:sz w:val="18"/>
          <w:szCs w:val="18"/>
        </w:rPr>
        <w:t>p.83</w:t>
      </w:r>
    </w:p>
  </w:footnote>
  <w:footnote w:id="8">
    <w:p w14:paraId="756B1338" w14:textId="1EB87A14" w:rsidR="00EA2624" w:rsidRPr="007135BB" w:rsidRDefault="00EA2624" w:rsidP="007135BB">
      <w:pPr>
        <w:pStyle w:val="FootnoteText"/>
        <w:rPr>
          <w:sz w:val="18"/>
          <w:szCs w:val="18"/>
        </w:rPr>
      </w:pPr>
      <w:r w:rsidRPr="007E04C2">
        <w:rPr>
          <w:rStyle w:val="FootnoteReference"/>
          <w:sz w:val="18"/>
          <w:szCs w:val="18"/>
        </w:rPr>
        <w:footnoteRef/>
      </w:r>
      <w:r w:rsidRPr="007E04C2">
        <w:rPr>
          <w:sz w:val="18"/>
          <w:szCs w:val="18"/>
        </w:rPr>
        <w:t xml:space="preserve"> Hendrickson</w:t>
      </w:r>
    </w:p>
  </w:footnote>
  <w:footnote w:id="9">
    <w:p w14:paraId="12DD8491" w14:textId="6BB53A91" w:rsidR="00A055EE" w:rsidRPr="008B472E" w:rsidRDefault="00A055EE" w:rsidP="007135BB">
      <w:pPr>
        <w:pStyle w:val="FootnoteText"/>
        <w:rPr>
          <w:sz w:val="18"/>
          <w:szCs w:val="18"/>
        </w:rPr>
      </w:pPr>
      <w:r w:rsidRPr="008B472E">
        <w:rPr>
          <w:rStyle w:val="FootnoteReference"/>
          <w:sz w:val="18"/>
          <w:szCs w:val="18"/>
        </w:rPr>
        <w:footnoteRef/>
      </w:r>
      <w:r w:rsidRPr="008B472E">
        <w:rPr>
          <w:sz w:val="18"/>
          <w:szCs w:val="18"/>
        </w:rPr>
        <w:t xml:space="preserve"> Hendrickson</w:t>
      </w:r>
    </w:p>
  </w:footnote>
  <w:footnote w:id="10">
    <w:p w14:paraId="464BC584" w14:textId="1C67C0F4" w:rsidR="00CD0EE5" w:rsidRPr="008B472E" w:rsidRDefault="00CD0EE5">
      <w:pPr>
        <w:pStyle w:val="FootnoteText"/>
        <w:rPr>
          <w:sz w:val="18"/>
          <w:szCs w:val="18"/>
        </w:rPr>
      </w:pPr>
      <w:r w:rsidRPr="008B472E">
        <w:rPr>
          <w:rStyle w:val="FootnoteReference"/>
          <w:sz w:val="18"/>
          <w:szCs w:val="18"/>
        </w:rPr>
        <w:footnoteRef/>
      </w:r>
      <w:r w:rsidRPr="008B472E">
        <w:rPr>
          <w:sz w:val="18"/>
          <w:szCs w:val="18"/>
        </w:rPr>
        <w:t xml:space="preserve"> Hallaq, p.105</w:t>
      </w:r>
    </w:p>
  </w:footnote>
  <w:footnote w:id="11">
    <w:p w14:paraId="04E2EA9B" w14:textId="0FE7B28E" w:rsidR="00F457A7" w:rsidRPr="008B472E" w:rsidRDefault="00F457A7">
      <w:pPr>
        <w:pStyle w:val="FootnoteText"/>
        <w:rPr>
          <w:sz w:val="18"/>
          <w:szCs w:val="18"/>
        </w:rPr>
      </w:pPr>
      <w:r w:rsidRPr="008B472E">
        <w:rPr>
          <w:rStyle w:val="FootnoteReference"/>
          <w:sz w:val="18"/>
          <w:szCs w:val="18"/>
        </w:rPr>
        <w:footnoteRef/>
      </w:r>
      <w:r w:rsidRPr="008B472E">
        <w:rPr>
          <w:sz w:val="18"/>
          <w:szCs w:val="18"/>
        </w:rPr>
        <w:t xml:space="preserve"> </w:t>
      </w:r>
      <w:r w:rsidR="00496BB3" w:rsidRPr="008B472E">
        <w:rPr>
          <w:sz w:val="18"/>
          <w:szCs w:val="18"/>
        </w:rPr>
        <w:t>ibid</w:t>
      </w:r>
      <w:r w:rsidRPr="008B472E">
        <w:rPr>
          <w:sz w:val="18"/>
          <w:szCs w:val="18"/>
        </w:rPr>
        <w:t>, p.106</w:t>
      </w:r>
    </w:p>
  </w:footnote>
  <w:footnote w:id="12">
    <w:p w14:paraId="40CD0E9C" w14:textId="58A0EBA4" w:rsidR="007C69EB" w:rsidRDefault="007C69EB">
      <w:pPr>
        <w:pStyle w:val="FootnoteText"/>
      </w:pPr>
      <w:r w:rsidRPr="008B472E">
        <w:rPr>
          <w:rStyle w:val="FootnoteReference"/>
          <w:sz w:val="18"/>
          <w:szCs w:val="18"/>
        </w:rPr>
        <w:footnoteRef/>
      </w:r>
      <w:r w:rsidRPr="008B472E">
        <w:rPr>
          <w:sz w:val="18"/>
          <w:szCs w:val="18"/>
        </w:rPr>
        <w:t xml:space="preserve"> </w:t>
      </w:r>
      <w:r w:rsidR="004722D7" w:rsidRPr="008B472E">
        <w:rPr>
          <w:sz w:val="18"/>
          <w:szCs w:val="18"/>
        </w:rPr>
        <w:t>ibid</w:t>
      </w:r>
      <w:r w:rsidRPr="008B472E">
        <w:rPr>
          <w:sz w:val="18"/>
          <w:szCs w:val="18"/>
        </w:rPr>
        <w:t>, p.107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B225B1" w14:textId="7E6EAB02" w:rsidR="000B695B" w:rsidRDefault="000B695B">
    <w:pPr>
      <w:pStyle w:val="Header"/>
    </w:pPr>
    <w:r>
      <w:t>Graham Lowe 1807689</w:t>
    </w:r>
    <w:r>
      <w:ptab w:relativeTo="margin" w:alignment="center" w:leader="none"/>
    </w:r>
    <w:r>
      <w:t>TRDL7064 Ency</w:t>
    </w:r>
    <w:r w:rsidR="004B5DF1">
      <w:t>c</w:t>
    </w:r>
    <w:r>
      <w:t>lo</w:t>
    </w:r>
    <w:r w:rsidR="004B5DF1">
      <w:t>paedia part 1</w:t>
    </w:r>
    <w:r>
      <w:ptab w:relativeTo="margin" w:alignment="right" w:leader="none"/>
    </w:r>
    <w:r w:rsidR="004B5DF1">
      <w:t>24</w:t>
    </w:r>
    <w:r w:rsidR="004B5DF1" w:rsidRPr="004B5DF1">
      <w:rPr>
        <w:vertAlign w:val="superscript"/>
      </w:rPr>
      <w:t>th</w:t>
    </w:r>
    <w:r w:rsidR="004B5DF1">
      <w:t xml:space="preserve"> May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A48BD"/>
    <w:multiLevelType w:val="multilevel"/>
    <w:tmpl w:val="90B61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DAB"/>
    <w:rsid w:val="00015E22"/>
    <w:rsid w:val="00021457"/>
    <w:rsid w:val="00097D31"/>
    <w:rsid w:val="000A3B4E"/>
    <w:rsid w:val="000A4D91"/>
    <w:rsid w:val="000B695B"/>
    <w:rsid w:val="000D2AAD"/>
    <w:rsid w:val="000E37FC"/>
    <w:rsid w:val="000E66F1"/>
    <w:rsid w:val="000E6A39"/>
    <w:rsid w:val="000E7B21"/>
    <w:rsid w:val="001374CE"/>
    <w:rsid w:val="0016494A"/>
    <w:rsid w:val="001D08EB"/>
    <w:rsid w:val="001D3AE3"/>
    <w:rsid w:val="00207DE8"/>
    <w:rsid w:val="002102FD"/>
    <w:rsid w:val="00261563"/>
    <w:rsid w:val="0027088E"/>
    <w:rsid w:val="00272A79"/>
    <w:rsid w:val="0028448D"/>
    <w:rsid w:val="00293B5C"/>
    <w:rsid w:val="00295DB9"/>
    <w:rsid w:val="002C07A4"/>
    <w:rsid w:val="002C4660"/>
    <w:rsid w:val="002D4604"/>
    <w:rsid w:val="002D62CC"/>
    <w:rsid w:val="0035137F"/>
    <w:rsid w:val="00372607"/>
    <w:rsid w:val="003B0125"/>
    <w:rsid w:val="003F2E23"/>
    <w:rsid w:val="003F7E51"/>
    <w:rsid w:val="004002D0"/>
    <w:rsid w:val="00413DF3"/>
    <w:rsid w:val="004722D7"/>
    <w:rsid w:val="00474DF5"/>
    <w:rsid w:val="0047765B"/>
    <w:rsid w:val="004876B0"/>
    <w:rsid w:val="00490C41"/>
    <w:rsid w:val="0049609C"/>
    <w:rsid w:val="00496612"/>
    <w:rsid w:val="00496BB3"/>
    <w:rsid w:val="004B5DF1"/>
    <w:rsid w:val="004E7669"/>
    <w:rsid w:val="004F1C50"/>
    <w:rsid w:val="004F57E6"/>
    <w:rsid w:val="00500B24"/>
    <w:rsid w:val="0050228C"/>
    <w:rsid w:val="0052214A"/>
    <w:rsid w:val="00522A9D"/>
    <w:rsid w:val="00526712"/>
    <w:rsid w:val="00540AE7"/>
    <w:rsid w:val="00560B9D"/>
    <w:rsid w:val="00563E46"/>
    <w:rsid w:val="005677BA"/>
    <w:rsid w:val="00570E74"/>
    <w:rsid w:val="005A25B2"/>
    <w:rsid w:val="005B72F4"/>
    <w:rsid w:val="005C2F89"/>
    <w:rsid w:val="005C3B30"/>
    <w:rsid w:val="00605E36"/>
    <w:rsid w:val="006158A0"/>
    <w:rsid w:val="00653567"/>
    <w:rsid w:val="00692F3A"/>
    <w:rsid w:val="006B364F"/>
    <w:rsid w:val="006C7C51"/>
    <w:rsid w:val="006E235D"/>
    <w:rsid w:val="006F1339"/>
    <w:rsid w:val="006F7A62"/>
    <w:rsid w:val="00704DAB"/>
    <w:rsid w:val="007053CE"/>
    <w:rsid w:val="007135BB"/>
    <w:rsid w:val="00716FCF"/>
    <w:rsid w:val="00726E5B"/>
    <w:rsid w:val="007660C2"/>
    <w:rsid w:val="007723D7"/>
    <w:rsid w:val="00784F25"/>
    <w:rsid w:val="007932AA"/>
    <w:rsid w:val="007A1914"/>
    <w:rsid w:val="007A1F65"/>
    <w:rsid w:val="007A669D"/>
    <w:rsid w:val="007C198D"/>
    <w:rsid w:val="007C69EB"/>
    <w:rsid w:val="007D7214"/>
    <w:rsid w:val="007E04C2"/>
    <w:rsid w:val="007E2C7A"/>
    <w:rsid w:val="0082040C"/>
    <w:rsid w:val="00825CE7"/>
    <w:rsid w:val="00846DBA"/>
    <w:rsid w:val="00853C26"/>
    <w:rsid w:val="008A04B8"/>
    <w:rsid w:val="008B472E"/>
    <w:rsid w:val="008E022E"/>
    <w:rsid w:val="008E2456"/>
    <w:rsid w:val="008F65D6"/>
    <w:rsid w:val="00902E08"/>
    <w:rsid w:val="0092122D"/>
    <w:rsid w:val="00975C5A"/>
    <w:rsid w:val="00990D42"/>
    <w:rsid w:val="00A055EE"/>
    <w:rsid w:val="00A31C92"/>
    <w:rsid w:val="00A33B72"/>
    <w:rsid w:val="00A41B6E"/>
    <w:rsid w:val="00A54C12"/>
    <w:rsid w:val="00AA3E8B"/>
    <w:rsid w:val="00AB628F"/>
    <w:rsid w:val="00AC7486"/>
    <w:rsid w:val="00AF3360"/>
    <w:rsid w:val="00B001C2"/>
    <w:rsid w:val="00B137F4"/>
    <w:rsid w:val="00B16CED"/>
    <w:rsid w:val="00B45638"/>
    <w:rsid w:val="00B5641D"/>
    <w:rsid w:val="00B65741"/>
    <w:rsid w:val="00B658C1"/>
    <w:rsid w:val="00B66B1D"/>
    <w:rsid w:val="00B96E60"/>
    <w:rsid w:val="00BA5778"/>
    <w:rsid w:val="00BC2449"/>
    <w:rsid w:val="00BF5814"/>
    <w:rsid w:val="00C62F30"/>
    <w:rsid w:val="00C75DB1"/>
    <w:rsid w:val="00C77272"/>
    <w:rsid w:val="00C8029D"/>
    <w:rsid w:val="00CD0EE5"/>
    <w:rsid w:val="00CF6710"/>
    <w:rsid w:val="00D02E63"/>
    <w:rsid w:val="00D03C32"/>
    <w:rsid w:val="00D30B7D"/>
    <w:rsid w:val="00D31D01"/>
    <w:rsid w:val="00D341DE"/>
    <w:rsid w:val="00D823BE"/>
    <w:rsid w:val="00D91479"/>
    <w:rsid w:val="00DA750C"/>
    <w:rsid w:val="00DB2D4B"/>
    <w:rsid w:val="00E03811"/>
    <w:rsid w:val="00E140C6"/>
    <w:rsid w:val="00E4337D"/>
    <w:rsid w:val="00EA0340"/>
    <w:rsid w:val="00EA2624"/>
    <w:rsid w:val="00EC61C6"/>
    <w:rsid w:val="00EC7D76"/>
    <w:rsid w:val="00EF4403"/>
    <w:rsid w:val="00F422E7"/>
    <w:rsid w:val="00F44C89"/>
    <w:rsid w:val="00F457A7"/>
    <w:rsid w:val="00F5321E"/>
    <w:rsid w:val="00F5758F"/>
    <w:rsid w:val="00FA4555"/>
    <w:rsid w:val="00FE3F89"/>
    <w:rsid w:val="00FF5EFB"/>
    <w:rsid w:val="00FF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0FD60"/>
  <w15:chartTrackingRefBased/>
  <w15:docId w15:val="{9F083E23-AEAA-40BF-9D4D-D940A7ABD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75D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75DB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75D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97D3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7D3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97D31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0A4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D91"/>
  </w:style>
  <w:style w:type="paragraph" w:styleId="Footer">
    <w:name w:val="footer"/>
    <w:basedOn w:val="Normal"/>
    <w:link w:val="FooterChar"/>
    <w:uiPriority w:val="99"/>
    <w:unhideWhenUsed/>
    <w:rsid w:val="000A4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1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E23D7-DED3-4675-8ADC-0E26B8564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Lowe</dc:creator>
  <cp:keywords/>
  <dc:description/>
  <cp:lastModifiedBy>Graham Lowe</cp:lastModifiedBy>
  <cp:revision>2</cp:revision>
  <dcterms:created xsi:type="dcterms:W3CDTF">2019-05-19T16:22:00Z</dcterms:created>
  <dcterms:modified xsi:type="dcterms:W3CDTF">2019-05-19T16:22:00Z</dcterms:modified>
</cp:coreProperties>
</file>