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3C07DC" w14:textId="77777777" w:rsidR="001057A3" w:rsidRPr="00C729C0" w:rsidRDefault="001057A3" w:rsidP="0045227F">
      <w:pPr>
        <w:pStyle w:val="Heading1"/>
        <w:spacing w:line="360" w:lineRule="auto"/>
        <w:jc w:val="center"/>
        <w:rPr>
          <w:rFonts w:ascii="Arial" w:eastAsia="Times New Roman" w:hAnsi="Arial" w:cs="Arial"/>
          <w:b/>
          <w:bCs/>
          <w:color w:val="000000" w:themeColor="text1"/>
          <w:kern w:val="36"/>
          <w:sz w:val="24"/>
          <w:szCs w:val="24"/>
          <w:lang w:eastAsia="en-GB"/>
          <w14:ligatures w14:val="none"/>
        </w:rPr>
      </w:pPr>
      <w:bookmarkStart w:id="0" w:name="_Toc224822914"/>
      <w:r w:rsidRPr="00C729C0">
        <w:rPr>
          <w:rFonts w:ascii="Arial" w:eastAsiaTheme="minorHAnsi" w:hAnsi="Arial" w:cs="Arial"/>
          <w:b/>
          <w:bCs/>
          <w:noProof/>
          <w:color w:val="000000" w:themeColor="text1"/>
          <w:sz w:val="24"/>
          <w:szCs w:val="24"/>
        </w:rPr>
        <w:drawing>
          <wp:anchor distT="0" distB="0" distL="114300" distR="114300" simplePos="0" relativeHeight="251659264" behindDoc="0" locked="0" layoutInCell="1" allowOverlap="1" wp14:anchorId="0D7D0DE8" wp14:editId="118B3448">
            <wp:simplePos x="0" y="0"/>
            <wp:positionH relativeFrom="column">
              <wp:posOffset>925797</wp:posOffset>
            </wp:positionH>
            <wp:positionV relativeFrom="paragraph">
              <wp:posOffset>0</wp:posOffset>
            </wp:positionV>
            <wp:extent cx="3609340" cy="1551305"/>
            <wp:effectExtent l="0" t="0" r="0" b="0"/>
            <wp:wrapTopAndBottom/>
            <wp:docPr id="569317303"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69317303" name="Picture 569317303"/>
                    <pic:cNvPicPr/>
                  </pic:nvPicPr>
                  <pic:blipFill rotWithShape="1">
                    <a:blip r:embed="rId8">
                      <a:extLst>
                        <a:ext uri="{28A0092B-C50C-407E-A947-70E740481C1C}">
                          <a14:useLocalDpi xmlns:a14="http://schemas.microsoft.com/office/drawing/2010/main" val="0"/>
                        </a:ext>
                      </a:extLst>
                    </a:blip>
                    <a:srcRect l="8068" t="32736" r="14060" b="31076"/>
                    <a:stretch>
                      <a:fillRect/>
                    </a:stretch>
                  </pic:blipFill>
                  <pic:spPr bwMode="auto">
                    <a:xfrm>
                      <a:off x="0" y="0"/>
                      <a:ext cx="3609340" cy="15513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729C0">
        <w:rPr>
          <w:rFonts w:ascii="Arial" w:eastAsia="Times New Roman" w:hAnsi="Arial" w:cs="Arial"/>
          <w:b/>
          <w:bCs/>
          <w:color w:val="000000" w:themeColor="text1"/>
          <w:kern w:val="36"/>
          <w:sz w:val="24"/>
          <w:szCs w:val="24"/>
          <w:lang w:eastAsia="en-GB"/>
          <w14:ligatures w14:val="none"/>
        </w:rPr>
        <w:t>Financial Management</w:t>
      </w:r>
      <w:bookmarkEnd w:id="0"/>
    </w:p>
    <w:p w14:paraId="2D065D70" w14:textId="77777777" w:rsidR="001057A3" w:rsidRPr="00C729C0" w:rsidRDefault="001057A3" w:rsidP="0045227F">
      <w:pPr>
        <w:spacing w:after="0" w:line="360" w:lineRule="auto"/>
        <w:jc w:val="center"/>
        <w:rPr>
          <w:rFonts w:ascii="Arial" w:eastAsia="Times New Roman" w:hAnsi="Arial" w:cs="Arial"/>
          <w:b/>
          <w:bCs/>
          <w:color w:val="000000" w:themeColor="text1"/>
          <w:kern w:val="0"/>
          <w:lang w:eastAsia="en-GB"/>
          <w14:ligatures w14:val="none"/>
        </w:rPr>
      </w:pPr>
      <w:r w:rsidRPr="00C729C0">
        <w:rPr>
          <w:rFonts w:ascii="Arial" w:eastAsia="Times New Roman" w:hAnsi="Arial" w:cs="Arial"/>
          <w:b/>
          <w:bCs/>
          <w:color w:val="000000" w:themeColor="text1"/>
          <w:kern w:val="0"/>
          <w:lang w:eastAsia="en-GB"/>
          <w14:ligatures w14:val="none"/>
        </w:rPr>
        <w:t>Financial performance and</w:t>
      </w:r>
      <w:r w:rsidR="009E1F7D" w:rsidRPr="00C729C0">
        <w:rPr>
          <w:rFonts w:ascii="Arial" w:eastAsia="Times New Roman" w:hAnsi="Arial" w:cs="Arial"/>
          <w:b/>
          <w:bCs/>
          <w:color w:val="000000" w:themeColor="text1"/>
          <w:kern w:val="0"/>
          <w:lang w:eastAsia="en-GB"/>
          <w14:ligatures w14:val="none"/>
        </w:rPr>
        <w:t xml:space="preserve"> </w:t>
      </w:r>
      <w:r w:rsidRPr="00C729C0">
        <w:rPr>
          <w:rFonts w:ascii="Arial" w:eastAsia="Times New Roman" w:hAnsi="Arial" w:cs="Arial"/>
          <w:b/>
          <w:bCs/>
          <w:color w:val="000000" w:themeColor="text1"/>
          <w:kern w:val="0"/>
          <w:lang w:eastAsia="en-GB"/>
          <w14:ligatures w14:val="none"/>
        </w:rPr>
        <w:t>management</w:t>
      </w:r>
    </w:p>
    <w:p w14:paraId="683B5558" w14:textId="77777777" w:rsidR="001057A3" w:rsidRPr="00C729C0" w:rsidRDefault="00276D17" w:rsidP="0045227F">
      <w:pPr>
        <w:spacing w:after="0" w:line="360" w:lineRule="auto"/>
        <w:jc w:val="center"/>
        <w:rPr>
          <w:rFonts w:ascii="Arial" w:eastAsia="Times New Roman" w:hAnsi="Arial" w:cs="Arial"/>
          <w:color w:val="000000" w:themeColor="text1"/>
          <w:kern w:val="0"/>
          <w:lang w:eastAsia="en-GB"/>
          <w14:ligatures w14:val="none"/>
        </w:rPr>
      </w:pPr>
      <w:r w:rsidRPr="00C729C0">
        <w:rPr>
          <w:rFonts w:ascii="Arial" w:hAnsi="Arial" w:cs="Arial"/>
        </w:rPr>
      </w:r>
      <w:r w:rsidRPr="00C729C0">
        <w:rPr>
          <w:rFonts w:ascii="Arial" w:hAnsi="Arial" w:cs="Arial"/>
        </w:rPr>
        <w:pict w14:anchorId="48C8800E">
          <v:rect id="Horizontal Line 1" o:spid="_x0000_s1026" alt="" style="width:451.3pt;height:.05pt;visibility:visible;mso-width-percent:0;mso-height-percent:0;mso-left-percent:-10001;mso-top-percent:-10001;mso-position-horizontal:absolute;mso-position-horizontal-relative:char;mso-position-vertical:absolute;mso-position-vertical-relative:line;mso-width-percent:0;mso-height-percent:0;mso-left-percent:-10001;mso-top-percent:-10001" filled="f">
            <o:lock v:ext="edit" aspectratio="t" verticies="t" text="t" shapetype="t"/>
            <w10:wrap type="none"/>
            <w10:anchorlock/>
          </v:rect>
        </w:pict>
      </w:r>
    </w:p>
    <w:p w14:paraId="474611FF" w14:textId="77777777" w:rsidR="001057A3" w:rsidRPr="00C729C0" w:rsidRDefault="001057A3" w:rsidP="0045227F">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C729C0">
        <w:rPr>
          <w:rFonts w:ascii="Arial" w:eastAsia="Times New Roman" w:hAnsi="Arial" w:cs="Arial"/>
          <w:b/>
          <w:bCs/>
          <w:color w:val="000000" w:themeColor="text1"/>
          <w:kern w:val="0"/>
          <w:lang w:eastAsia="en-GB"/>
          <w14:ligatures w14:val="none"/>
        </w:rPr>
        <w:t>Module Name:</w:t>
      </w:r>
      <w:r w:rsidRPr="00C729C0">
        <w:rPr>
          <w:rFonts w:ascii="Arial" w:eastAsia="Times New Roman" w:hAnsi="Arial" w:cs="Arial"/>
          <w:color w:val="000000" w:themeColor="text1"/>
          <w:kern w:val="0"/>
          <w:lang w:eastAsia="en-GB"/>
          <w14:ligatures w14:val="none"/>
        </w:rPr>
        <w:t xml:space="preserve"> Financial Management</w:t>
      </w:r>
    </w:p>
    <w:p w14:paraId="662D353B" w14:textId="77777777" w:rsidR="001057A3" w:rsidRPr="00C729C0" w:rsidRDefault="001057A3" w:rsidP="0045227F">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C729C0">
        <w:rPr>
          <w:rFonts w:ascii="Arial" w:eastAsia="Times New Roman" w:hAnsi="Arial" w:cs="Arial"/>
          <w:b/>
          <w:bCs/>
          <w:color w:val="000000" w:themeColor="text1"/>
          <w:kern w:val="0"/>
          <w:lang w:eastAsia="en-GB"/>
          <w14:ligatures w14:val="none"/>
        </w:rPr>
        <w:t>Module Code:</w:t>
      </w:r>
      <w:r w:rsidRPr="00C729C0">
        <w:rPr>
          <w:rFonts w:ascii="Arial" w:eastAsia="Times New Roman" w:hAnsi="Arial" w:cs="Arial"/>
          <w:color w:val="000000" w:themeColor="text1"/>
          <w:kern w:val="0"/>
          <w:lang w:eastAsia="en-GB"/>
          <w14:ligatures w14:val="none"/>
        </w:rPr>
        <w:t xml:space="preserve"> LCMB7002</w:t>
      </w:r>
    </w:p>
    <w:p w14:paraId="6F601137" w14:textId="77777777" w:rsidR="001057A3" w:rsidRPr="00C729C0" w:rsidRDefault="001057A3" w:rsidP="0045227F">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C729C0">
        <w:rPr>
          <w:rFonts w:ascii="Arial" w:eastAsia="Times New Roman" w:hAnsi="Arial" w:cs="Arial"/>
          <w:b/>
          <w:bCs/>
          <w:color w:val="000000" w:themeColor="text1"/>
          <w:kern w:val="0"/>
          <w:lang w:eastAsia="en-GB"/>
          <w14:ligatures w14:val="none"/>
        </w:rPr>
        <w:t>Student Name:</w:t>
      </w:r>
      <w:r w:rsidRPr="00C729C0">
        <w:rPr>
          <w:rFonts w:ascii="Arial" w:eastAsia="Times New Roman" w:hAnsi="Arial" w:cs="Arial"/>
          <w:color w:val="000000" w:themeColor="text1"/>
          <w:kern w:val="0"/>
          <w:lang w:eastAsia="en-GB"/>
          <w14:ligatures w14:val="none"/>
        </w:rPr>
        <w:t xml:space="preserve"> Prince Laurence Sade</w:t>
      </w:r>
    </w:p>
    <w:p w14:paraId="538163B0" w14:textId="77777777" w:rsidR="001057A3" w:rsidRPr="00C729C0" w:rsidRDefault="001057A3" w:rsidP="0045227F">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C729C0">
        <w:rPr>
          <w:rFonts w:ascii="Arial" w:eastAsia="Times New Roman" w:hAnsi="Arial" w:cs="Arial"/>
          <w:b/>
          <w:bCs/>
          <w:color w:val="000000" w:themeColor="text1"/>
          <w:kern w:val="0"/>
          <w:lang w:eastAsia="en-GB"/>
          <w14:ligatures w14:val="none"/>
        </w:rPr>
        <w:t>Student ID:</w:t>
      </w:r>
      <w:r w:rsidRPr="00C729C0">
        <w:rPr>
          <w:rFonts w:ascii="Arial" w:eastAsia="Times New Roman" w:hAnsi="Arial" w:cs="Arial"/>
          <w:color w:val="000000" w:themeColor="text1"/>
          <w:kern w:val="0"/>
          <w:lang w:eastAsia="en-GB"/>
          <w14:ligatures w14:val="none"/>
        </w:rPr>
        <w:t xml:space="preserve"> 2525510</w:t>
      </w:r>
    </w:p>
    <w:p w14:paraId="25DA48C1" w14:textId="77777777" w:rsidR="001057A3" w:rsidRPr="00C729C0" w:rsidRDefault="001057A3" w:rsidP="0045227F">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C729C0">
        <w:rPr>
          <w:rFonts w:ascii="Arial" w:eastAsia="Times New Roman" w:hAnsi="Arial" w:cs="Arial"/>
          <w:b/>
          <w:bCs/>
          <w:color w:val="000000" w:themeColor="text1"/>
          <w:kern w:val="0"/>
          <w:lang w:eastAsia="en-GB"/>
          <w14:ligatures w14:val="none"/>
        </w:rPr>
        <w:t>Programme:</w:t>
      </w:r>
      <w:r w:rsidRPr="00C729C0">
        <w:rPr>
          <w:rFonts w:ascii="Arial" w:eastAsia="Times New Roman" w:hAnsi="Arial" w:cs="Arial"/>
          <w:color w:val="000000" w:themeColor="text1"/>
          <w:kern w:val="0"/>
          <w:lang w:eastAsia="en-GB"/>
          <w14:ligatures w14:val="none"/>
        </w:rPr>
        <w:t xml:space="preserve"> Master of Business Administration (MBA)</w:t>
      </w:r>
    </w:p>
    <w:p w14:paraId="4225EA95" w14:textId="77777777" w:rsidR="001057A3" w:rsidRPr="00C729C0" w:rsidRDefault="001057A3" w:rsidP="0045227F">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C729C0">
        <w:rPr>
          <w:rFonts w:ascii="Arial" w:eastAsia="Times New Roman" w:hAnsi="Arial" w:cs="Arial"/>
          <w:b/>
          <w:bCs/>
          <w:color w:val="000000" w:themeColor="text1"/>
          <w:kern w:val="0"/>
          <w:lang w:eastAsia="en-GB"/>
          <w14:ligatures w14:val="none"/>
        </w:rPr>
        <w:t>University:</w:t>
      </w:r>
      <w:r w:rsidRPr="00C729C0">
        <w:rPr>
          <w:rFonts w:ascii="Arial" w:eastAsia="Times New Roman" w:hAnsi="Arial" w:cs="Arial"/>
          <w:color w:val="000000" w:themeColor="text1"/>
          <w:kern w:val="0"/>
          <w:lang w:eastAsia="en-GB"/>
          <w14:ligatures w14:val="none"/>
        </w:rPr>
        <w:t xml:space="preserve"> University of Wales Trinity Saint David</w:t>
      </w:r>
    </w:p>
    <w:p w14:paraId="43A52122" w14:textId="77777777" w:rsidR="001057A3" w:rsidRPr="00C729C0" w:rsidRDefault="001057A3" w:rsidP="0045227F">
      <w:pPr>
        <w:spacing w:line="360" w:lineRule="auto"/>
        <w:jc w:val="center"/>
        <w:rPr>
          <w:rFonts w:ascii="Arial" w:hAnsi="Arial" w:cs="Arial"/>
          <w:color w:val="000000" w:themeColor="text1"/>
        </w:rPr>
      </w:pPr>
      <w:r w:rsidRPr="00C729C0">
        <w:rPr>
          <w:rFonts w:ascii="Arial" w:eastAsia="Times New Roman" w:hAnsi="Arial" w:cs="Arial"/>
          <w:b/>
          <w:bCs/>
          <w:color w:val="000000" w:themeColor="text1"/>
          <w:kern w:val="0"/>
          <w:lang w:eastAsia="en-GB"/>
          <w14:ligatures w14:val="none"/>
        </w:rPr>
        <w:t>Lecturer Name:</w:t>
      </w:r>
      <w:r w:rsidRPr="00C729C0">
        <w:rPr>
          <w:rFonts w:ascii="Arial" w:eastAsia="Times New Roman" w:hAnsi="Arial" w:cs="Arial"/>
          <w:color w:val="000000" w:themeColor="text1"/>
          <w:kern w:val="0"/>
          <w:lang w:eastAsia="en-GB"/>
          <w14:ligatures w14:val="none"/>
        </w:rPr>
        <w:t xml:space="preserve"> </w:t>
      </w:r>
      <w:proofErr w:type="spellStart"/>
      <w:r w:rsidR="00FD0E0C" w:rsidRPr="00C729C0">
        <w:rPr>
          <w:rFonts w:ascii="Arial" w:hAnsi="Arial" w:cs="Arial"/>
          <w:color w:val="000000" w:themeColor="text1"/>
        </w:rPr>
        <w:t>Shengfeng</w:t>
      </w:r>
      <w:proofErr w:type="spellEnd"/>
      <w:r w:rsidR="00FD0E0C" w:rsidRPr="00C729C0">
        <w:rPr>
          <w:rFonts w:ascii="Arial" w:hAnsi="Arial" w:cs="Arial"/>
          <w:color w:val="000000" w:themeColor="text1"/>
        </w:rPr>
        <w:t xml:space="preserve"> Mei &amp; Patrick Yeboah</w:t>
      </w:r>
    </w:p>
    <w:p w14:paraId="30F4E860" w14:textId="77777777" w:rsidR="001057A3" w:rsidRPr="00C729C0" w:rsidRDefault="001057A3" w:rsidP="0045227F">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C729C0">
        <w:rPr>
          <w:rFonts w:ascii="Arial" w:eastAsia="Times New Roman" w:hAnsi="Arial" w:cs="Arial"/>
          <w:b/>
          <w:bCs/>
          <w:color w:val="000000" w:themeColor="text1"/>
          <w:kern w:val="0"/>
          <w:lang w:eastAsia="en-GB"/>
          <w14:ligatures w14:val="none"/>
        </w:rPr>
        <w:t>Assessment Title:</w:t>
      </w:r>
      <w:r w:rsidRPr="00C729C0">
        <w:rPr>
          <w:rFonts w:ascii="Arial" w:eastAsia="Times New Roman" w:hAnsi="Arial" w:cs="Arial"/>
          <w:color w:val="000000" w:themeColor="text1"/>
          <w:kern w:val="0"/>
          <w:lang w:eastAsia="en-GB"/>
          <w14:ligatures w14:val="none"/>
        </w:rPr>
        <w:t xml:space="preserve"> Financial performance and management</w:t>
      </w:r>
    </w:p>
    <w:p w14:paraId="3E83683E" w14:textId="4FCAF62C" w:rsidR="001057A3" w:rsidRPr="00C729C0" w:rsidRDefault="001057A3" w:rsidP="0045227F">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C729C0">
        <w:rPr>
          <w:rFonts w:ascii="Arial" w:eastAsia="Times New Roman" w:hAnsi="Arial" w:cs="Arial"/>
          <w:b/>
          <w:bCs/>
          <w:color w:val="000000" w:themeColor="text1"/>
          <w:kern w:val="0"/>
          <w:lang w:eastAsia="en-GB"/>
          <w14:ligatures w14:val="none"/>
        </w:rPr>
        <w:t>Word Count:</w:t>
      </w:r>
      <w:r w:rsidRPr="00C729C0">
        <w:rPr>
          <w:rFonts w:ascii="Arial" w:eastAsia="Times New Roman" w:hAnsi="Arial" w:cs="Arial"/>
          <w:color w:val="000000" w:themeColor="text1"/>
          <w:kern w:val="0"/>
          <w:lang w:eastAsia="en-GB"/>
          <w14:ligatures w14:val="none"/>
        </w:rPr>
        <w:t xml:space="preserve"> </w:t>
      </w:r>
      <w:r w:rsidR="00F4685A">
        <w:rPr>
          <w:rFonts w:ascii="Arial" w:eastAsia="Times New Roman" w:hAnsi="Arial" w:cs="Arial"/>
          <w:color w:val="000000" w:themeColor="text1"/>
          <w:kern w:val="0"/>
          <w:lang w:eastAsia="en-GB"/>
          <w14:ligatures w14:val="none"/>
        </w:rPr>
        <w:t>5171</w:t>
      </w:r>
      <w:r w:rsidRPr="00C729C0">
        <w:rPr>
          <w:rFonts w:ascii="Arial" w:eastAsia="Times New Roman" w:hAnsi="Arial" w:cs="Arial"/>
          <w:color w:val="000000" w:themeColor="text1"/>
          <w:kern w:val="0"/>
          <w:lang w:eastAsia="en-GB"/>
          <w14:ligatures w14:val="none"/>
        </w:rPr>
        <w:t xml:space="preserve"> words (excluding references)</w:t>
      </w:r>
    </w:p>
    <w:p w14:paraId="5242E34C" w14:textId="77777777" w:rsidR="001057A3" w:rsidRPr="00C729C0" w:rsidRDefault="001057A3" w:rsidP="0045227F">
      <w:pPr>
        <w:spacing w:line="360" w:lineRule="auto"/>
        <w:jc w:val="center"/>
        <w:rPr>
          <w:rFonts w:ascii="Arial" w:hAnsi="Arial" w:cs="Arial"/>
          <w:color w:val="000000" w:themeColor="text1"/>
        </w:rPr>
      </w:pPr>
      <w:r w:rsidRPr="00C729C0">
        <w:rPr>
          <w:rFonts w:ascii="Arial" w:eastAsia="Times New Roman" w:hAnsi="Arial" w:cs="Arial"/>
          <w:b/>
          <w:bCs/>
          <w:color w:val="000000" w:themeColor="text1"/>
          <w:kern w:val="0"/>
          <w:lang w:eastAsia="en-GB"/>
          <w14:ligatures w14:val="none"/>
        </w:rPr>
        <w:t>Submission Date:</w:t>
      </w:r>
      <w:r w:rsidRPr="00C729C0">
        <w:rPr>
          <w:rFonts w:ascii="Arial" w:eastAsia="Times New Roman" w:hAnsi="Arial" w:cs="Arial"/>
          <w:color w:val="000000" w:themeColor="text1"/>
          <w:kern w:val="0"/>
          <w:lang w:eastAsia="en-GB"/>
          <w14:ligatures w14:val="none"/>
        </w:rPr>
        <w:t xml:space="preserve"> </w:t>
      </w:r>
      <w:r w:rsidRPr="00C729C0">
        <w:rPr>
          <w:rFonts w:ascii="Arial" w:hAnsi="Arial" w:cs="Arial"/>
          <w:color w:val="000000" w:themeColor="text1"/>
        </w:rPr>
        <w:t>2</w:t>
      </w:r>
      <w:r w:rsidR="00FD0E0C" w:rsidRPr="00C729C0">
        <w:rPr>
          <w:rFonts w:ascii="Arial" w:hAnsi="Arial" w:cs="Arial"/>
          <w:color w:val="000000" w:themeColor="text1"/>
        </w:rPr>
        <w:t>7</w:t>
      </w:r>
      <w:r w:rsidRPr="00C729C0">
        <w:rPr>
          <w:rFonts w:ascii="Arial" w:hAnsi="Arial" w:cs="Arial"/>
          <w:color w:val="000000" w:themeColor="text1"/>
        </w:rPr>
        <w:t xml:space="preserve"> </w:t>
      </w:r>
      <w:r w:rsidR="00FD0E0C" w:rsidRPr="00C729C0">
        <w:rPr>
          <w:rFonts w:ascii="Arial" w:hAnsi="Arial" w:cs="Arial"/>
          <w:color w:val="000000" w:themeColor="text1"/>
        </w:rPr>
        <w:t>March</w:t>
      </w:r>
      <w:r w:rsidRPr="00C729C0">
        <w:rPr>
          <w:rFonts w:ascii="Arial" w:hAnsi="Arial" w:cs="Arial"/>
          <w:color w:val="000000" w:themeColor="text1"/>
        </w:rPr>
        <w:t xml:space="preserve"> 2026</w:t>
      </w:r>
    </w:p>
    <w:p w14:paraId="6B16AD1A" w14:textId="77777777" w:rsidR="001057A3" w:rsidRPr="00C729C0" w:rsidRDefault="001057A3" w:rsidP="0045227F">
      <w:pPr>
        <w:pStyle w:val="TOCHeading"/>
        <w:spacing w:line="360" w:lineRule="auto"/>
        <w:rPr>
          <w:rFonts w:ascii="Arial" w:hAnsi="Arial" w:cs="Arial"/>
          <w:sz w:val="24"/>
          <w:szCs w:val="24"/>
        </w:rPr>
      </w:pPr>
    </w:p>
    <w:p w14:paraId="5FFBBE1F" w14:textId="77777777" w:rsidR="009E1F7D" w:rsidRPr="00C729C0" w:rsidRDefault="009E1F7D" w:rsidP="0045227F">
      <w:pPr>
        <w:spacing w:line="360" w:lineRule="auto"/>
        <w:rPr>
          <w:rFonts w:ascii="Arial" w:hAnsi="Arial" w:cs="Arial"/>
          <w:lang w:val="en-US"/>
        </w:rPr>
      </w:pPr>
    </w:p>
    <w:p w14:paraId="57B998E1" w14:textId="77777777" w:rsidR="009E1F7D" w:rsidRPr="00C729C0" w:rsidRDefault="009E1F7D" w:rsidP="0045227F">
      <w:pPr>
        <w:spacing w:line="360" w:lineRule="auto"/>
        <w:rPr>
          <w:rFonts w:ascii="Arial" w:hAnsi="Arial" w:cs="Arial"/>
          <w:lang w:val="en-US"/>
        </w:rPr>
      </w:pPr>
    </w:p>
    <w:sdt>
      <w:sdtPr>
        <w:rPr>
          <w:rFonts w:ascii="Arial" w:hAnsi="Arial" w:cs="Arial"/>
          <w:sz w:val="24"/>
          <w:szCs w:val="24"/>
        </w:rPr>
        <w:id w:val="313614747"/>
        <w:docPartObj>
          <w:docPartGallery w:val="Table of Contents"/>
          <w:docPartUnique/>
        </w:docPartObj>
      </w:sdtPr>
      <w:sdtEndPr>
        <w:rPr>
          <w:rFonts w:eastAsiaTheme="minorHAnsi"/>
          <w:noProof/>
          <w:color w:val="auto"/>
          <w:kern w:val="2"/>
          <w:lang w:val="en-IN"/>
          <w14:ligatures w14:val="standardContextual"/>
        </w:rPr>
      </w:sdtEndPr>
      <w:sdtContent>
        <w:p w14:paraId="75BAAE85" w14:textId="00070628" w:rsidR="0096027B" w:rsidRPr="00C729C0" w:rsidRDefault="00C729C0" w:rsidP="0045227F">
          <w:pPr>
            <w:pStyle w:val="TOCHeading"/>
            <w:spacing w:line="360" w:lineRule="auto"/>
            <w:rPr>
              <w:rFonts w:ascii="Arial" w:hAnsi="Arial" w:cs="Arial"/>
              <w:sz w:val="24"/>
              <w:szCs w:val="24"/>
            </w:rPr>
          </w:pPr>
          <w:r w:rsidRPr="00C729C0">
            <w:rPr>
              <w:rFonts w:ascii="Arial" w:hAnsi="Arial" w:cs="Arial"/>
              <w:sz w:val="24"/>
              <w:szCs w:val="24"/>
            </w:rPr>
            <w:t xml:space="preserve">Table Of </w:t>
          </w:r>
          <w:r w:rsidR="0096027B" w:rsidRPr="00C729C0">
            <w:rPr>
              <w:rFonts w:ascii="Arial" w:hAnsi="Arial" w:cs="Arial"/>
              <w:sz w:val="24"/>
              <w:szCs w:val="24"/>
            </w:rPr>
            <w:t>Contents</w:t>
          </w:r>
        </w:p>
        <w:p w14:paraId="6F7F4898" w14:textId="6184129E" w:rsidR="0045227F" w:rsidRDefault="0096027B">
          <w:pPr>
            <w:pStyle w:val="TOC1"/>
            <w:tabs>
              <w:tab w:val="right" w:leader="dot" w:pos="9016"/>
            </w:tabs>
            <w:rPr>
              <w:rFonts w:eastAsiaTheme="minorEastAsia" w:cstheme="minorBidi"/>
              <w:b w:val="0"/>
              <w:bCs w:val="0"/>
              <w:i w:val="0"/>
              <w:iCs w:val="0"/>
              <w:noProof/>
              <w:kern w:val="0"/>
              <w:sz w:val="22"/>
              <w:szCs w:val="22"/>
              <w:lang w:eastAsia="en-IN"/>
              <w14:ligatures w14:val="none"/>
            </w:rPr>
          </w:pPr>
          <w:r w:rsidRPr="00C729C0">
            <w:rPr>
              <w:rFonts w:ascii="Arial" w:hAnsi="Arial" w:cs="Arial"/>
            </w:rPr>
            <w:fldChar w:fldCharType="begin"/>
          </w:r>
          <w:r w:rsidRPr="00C729C0">
            <w:rPr>
              <w:rFonts w:ascii="Arial" w:hAnsi="Arial" w:cs="Arial"/>
            </w:rPr>
            <w:instrText xml:space="preserve"> TOC \o "1-3" \h \z \u </w:instrText>
          </w:r>
          <w:r w:rsidRPr="00C729C0">
            <w:rPr>
              <w:rFonts w:ascii="Arial" w:hAnsi="Arial" w:cs="Arial"/>
            </w:rPr>
            <w:fldChar w:fldCharType="separate"/>
          </w:r>
          <w:hyperlink w:anchor="_Toc224822914" w:history="1">
            <w:r w:rsidR="0045227F" w:rsidRPr="00A141B0">
              <w:rPr>
                <w:rStyle w:val="Hyperlink"/>
                <w:rFonts w:ascii="Arial" w:eastAsia="Times New Roman" w:hAnsi="Arial" w:cs="Arial"/>
                <w:noProof/>
                <w:kern w:val="36"/>
                <w:lang w:eastAsia="en-GB"/>
              </w:rPr>
              <w:t>Financial Management</w:t>
            </w:r>
            <w:r w:rsidR="0045227F">
              <w:rPr>
                <w:noProof/>
                <w:webHidden/>
              </w:rPr>
              <w:tab/>
            </w:r>
            <w:r w:rsidR="0045227F">
              <w:rPr>
                <w:noProof/>
                <w:webHidden/>
              </w:rPr>
              <w:fldChar w:fldCharType="begin"/>
            </w:r>
            <w:r w:rsidR="0045227F">
              <w:rPr>
                <w:noProof/>
                <w:webHidden/>
              </w:rPr>
              <w:instrText xml:space="preserve"> PAGEREF _Toc224822914 \h </w:instrText>
            </w:r>
            <w:r w:rsidR="0045227F">
              <w:rPr>
                <w:noProof/>
                <w:webHidden/>
              </w:rPr>
            </w:r>
            <w:r w:rsidR="0045227F">
              <w:rPr>
                <w:noProof/>
                <w:webHidden/>
              </w:rPr>
              <w:fldChar w:fldCharType="separate"/>
            </w:r>
            <w:r w:rsidR="0045227F">
              <w:rPr>
                <w:noProof/>
                <w:webHidden/>
              </w:rPr>
              <w:t>0</w:t>
            </w:r>
            <w:r w:rsidR="0045227F">
              <w:rPr>
                <w:noProof/>
                <w:webHidden/>
              </w:rPr>
              <w:fldChar w:fldCharType="end"/>
            </w:r>
          </w:hyperlink>
        </w:p>
        <w:p w14:paraId="0110D799" w14:textId="05BAF1F9" w:rsidR="0045227F" w:rsidRDefault="0045227F">
          <w:pPr>
            <w:pStyle w:val="TOC1"/>
            <w:tabs>
              <w:tab w:val="right" w:leader="dot" w:pos="9016"/>
            </w:tabs>
            <w:rPr>
              <w:rFonts w:eastAsiaTheme="minorEastAsia" w:cstheme="minorBidi"/>
              <w:b w:val="0"/>
              <w:bCs w:val="0"/>
              <w:i w:val="0"/>
              <w:iCs w:val="0"/>
              <w:noProof/>
              <w:kern w:val="0"/>
              <w:sz w:val="22"/>
              <w:szCs w:val="22"/>
              <w:lang w:eastAsia="en-IN"/>
              <w14:ligatures w14:val="none"/>
            </w:rPr>
          </w:pPr>
          <w:hyperlink w:anchor="_Toc224822915" w:history="1">
            <w:r w:rsidRPr="00A141B0">
              <w:rPr>
                <w:rStyle w:val="Hyperlink"/>
                <w:rFonts w:ascii="Arial" w:eastAsia="Times New Roman" w:hAnsi="Arial" w:cs="Arial"/>
                <w:noProof/>
                <w:kern w:val="36"/>
                <w:lang w:eastAsia="en-GB"/>
              </w:rPr>
              <w:t>Executive Summary</w:t>
            </w:r>
            <w:r>
              <w:rPr>
                <w:noProof/>
                <w:webHidden/>
              </w:rPr>
              <w:tab/>
            </w:r>
            <w:r>
              <w:rPr>
                <w:noProof/>
                <w:webHidden/>
              </w:rPr>
              <w:fldChar w:fldCharType="begin"/>
            </w:r>
            <w:r>
              <w:rPr>
                <w:noProof/>
                <w:webHidden/>
              </w:rPr>
              <w:instrText xml:space="preserve"> PAGEREF _Toc224822915 \h </w:instrText>
            </w:r>
            <w:r>
              <w:rPr>
                <w:noProof/>
                <w:webHidden/>
              </w:rPr>
            </w:r>
            <w:r>
              <w:rPr>
                <w:noProof/>
                <w:webHidden/>
              </w:rPr>
              <w:fldChar w:fldCharType="separate"/>
            </w:r>
            <w:r>
              <w:rPr>
                <w:noProof/>
                <w:webHidden/>
              </w:rPr>
              <w:t>2</w:t>
            </w:r>
            <w:r>
              <w:rPr>
                <w:noProof/>
                <w:webHidden/>
              </w:rPr>
              <w:fldChar w:fldCharType="end"/>
            </w:r>
          </w:hyperlink>
        </w:p>
        <w:p w14:paraId="7E2BBD1A" w14:textId="471CB622" w:rsidR="0045227F" w:rsidRDefault="0045227F">
          <w:pPr>
            <w:pStyle w:val="TOC1"/>
            <w:tabs>
              <w:tab w:val="right" w:leader="dot" w:pos="9016"/>
            </w:tabs>
            <w:rPr>
              <w:rFonts w:eastAsiaTheme="minorEastAsia" w:cstheme="minorBidi"/>
              <w:b w:val="0"/>
              <w:bCs w:val="0"/>
              <w:i w:val="0"/>
              <w:iCs w:val="0"/>
              <w:noProof/>
              <w:kern w:val="0"/>
              <w:sz w:val="22"/>
              <w:szCs w:val="22"/>
              <w:lang w:eastAsia="en-IN"/>
              <w14:ligatures w14:val="none"/>
            </w:rPr>
          </w:pPr>
          <w:hyperlink w:anchor="_Toc224822916" w:history="1">
            <w:r w:rsidRPr="00A141B0">
              <w:rPr>
                <w:rStyle w:val="Hyperlink"/>
                <w:rFonts w:ascii="Arial" w:eastAsia="Times New Roman" w:hAnsi="Arial" w:cs="Arial"/>
                <w:noProof/>
                <w:kern w:val="36"/>
                <w:lang w:eastAsia="en-GB"/>
              </w:rPr>
              <w:t>CFO Strategic Financial Management Report</w:t>
            </w:r>
            <w:r>
              <w:rPr>
                <w:noProof/>
                <w:webHidden/>
              </w:rPr>
              <w:tab/>
            </w:r>
            <w:r>
              <w:rPr>
                <w:noProof/>
                <w:webHidden/>
              </w:rPr>
              <w:fldChar w:fldCharType="begin"/>
            </w:r>
            <w:r>
              <w:rPr>
                <w:noProof/>
                <w:webHidden/>
              </w:rPr>
              <w:instrText xml:space="preserve"> PAGEREF _Toc224822916 \h </w:instrText>
            </w:r>
            <w:r>
              <w:rPr>
                <w:noProof/>
                <w:webHidden/>
              </w:rPr>
            </w:r>
            <w:r>
              <w:rPr>
                <w:noProof/>
                <w:webHidden/>
              </w:rPr>
              <w:fldChar w:fldCharType="separate"/>
            </w:r>
            <w:r>
              <w:rPr>
                <w:noProof/>
                <w:webHidden/>
              </w:rPr>
              <w:t>2</w:t>
            </w:r>
            <w:r>
              <w:rPr>
                <w:noProof/>
                <w:webHidden/>
              </w:rPr>
              <w:fldChar w:fldCharType="end"/>
            </w:r>
          </w:hyperlink>
        </w:p>
        <w:p w14:paraId="6F029B4F" w14:textId="3725AC6E" w:rsidR="0045227F" w:rsidRDefault="0045227F">
          <w:pPr>
            <w:pStyle w:val="TOC1"/>
            <w:tabs>
              <w:tab w:val="right" w:leader="dot" w:pos="9016"/>
            </w:tabs>
            <w:rPr>
              <w:rFonts w:eastAsiaTheme="minorEastAsia" w:cstheme="minorBidi"/>
              <w:b w:val="0"/>
              <w:bCs w:val="0"/>
              <w:i w:val="0"/>
              <w:iCs w:val="0"/>
              <w:noProof/>
              <w:kern w:val="0"/>
              <w:sz w:val="22"/>
              <w:szCs w:val="22"/>
              <w:lang w:eastAsia="en-IN"/>
              <w14:ligatures w14:val="none"/>
            </w:rPr>
          </w:pPr>
          <w:hyperlink w:anchor="_Toc224822917" w:history="1">
            <w:r w:rsidRPr="00A141B0">
              <w:rPr>
                <w:rStyle w:val="Hyperlink"/>
                <w:rFonts w:ascii="Arial" w:eastAsia="Times New Roman" w:hAnsi="Arial" w:cs="Arial"/>
                <w:noProof/>
                <w:kern w:val="36"/>
                <w:lang w:eastAsia="en-GB"/>
              </w:rPr>
              <w:t>Company: Tesla Inc.</w:t>
            </w:r>
            <w:r>
              <w:rPr>
                <w:noProof/>
                <w:webHidden/>
              </w:rPr>
              <w:tab/>
            </w:r>
            <w:r>
              <w:rPr>
                <w:noProof/>
                <w:webHidden/>
              </w:rPr>
              <w:fldChar w:fldCharType="begin"/>
            </w:r>
            <w:r>
              <w:rPr>
                <w:noProof/>
                <w:webHidden/>
              </w:rPr>
              <w:instrText xml:space="preserve"> PAGEREF _Toc224822917 \h </w:instrText>
            </w:r>
            <w:r>
              <w:rPr>
                <w:noProof/>
                <w:webHidden/>
              </w:rPr>
            </w:r>
            <w:r>
              <w:rPr>
                <w:noProof/>
                <w:webHidden/>
              </w:rPr>
              <w:fldChar w:fldCharType="separate"/>
            </w:r>
            <w:r>
              <w:rPr>
                <w:noProof/>
                <w:webHidden/>
              </w:rPr>
              <w:t>2</w:t>
            </w:r>
            <w:r>
              <w:rPr>
                <w:noProof/>
                <w:webHidden/>
              </w:rPr>
              <w:fldChar w:fldCharType="end"/>
            </w:r>
          </w:hyperlink>
        </w:p>
        <w:p w14:paraId="520D1DA9" w14:textId="1D4C6E8D" w:rsidR="0045227F" w:rsidRDefault="0045227F">
          <w:pPr>
            <w:pStyle w:val="TOC1"/>
            <w:tabs>
              <w:tab w:val="right" w:leader="dot" w:pos="9016"/>
            </w:tabs>
            <w:rPr>
              <w:rFonts w:eastAsiaTheme="minorEastAsia" w:cstheme="minorBidi"/>
              <w:b w:val="0"/>
              <w:bCs w:val="0"/>
              <w:i w:val="0"/>
              <w:iCs w:val="0"/>
              <w:noProof/>
              <w:kern w:val="0"/>
              <w:sz w:val="22"/>
              <w:szCs w:val="22"/>
              <w:lang w:eastAsia="en-IN"/>
              <w14:ligatures w14:val="none"/>
            </w:rPr>
          </w:pPr>
          <w:hyperlink w:anchor="_Toc224822918" w:history="1">
            <w:r w:rsidRPr="00A141B0">
              <w:rPr>
                <w:rStyle w:val="Hyperlink"/>
                <w:rFonts w:ascii="Arial" w:eastAsia="Times New Roman" w:hAnsi="Arial" w:cs="Arial"/>
                <w:noProof/>
                <w:kern w:val="36"/>
                <w:lang w:eastAsia="en-GB"/>
              </w:rPr>
              <w:t>Section 1: Financial Health Check (2019–2023)</w:t>
            </w:r>
            <w:r>
              <w:rPr>
                <w:noProof/>
                <w:webHidden/>
              </w:rPr>
              <w:tab/>
            </w:r>
            <w:r>
              <w:rPr>
                <w:noProof/>
                <w:webHidden/>
              </w:rPr>
              <w:fldChar w:fldCharType="begin"/>
            </w:r>
            <w:r>
              <w:rPr>
                <w:noProof/>
                <w:webHidden/>
              </w:rPr>
              <w:instrText xml:space="preserve"> PAGEREF _Toc224822918 \h </w:instrText>
            </w:r>
            <w:r>
              <w:rPr>
                <w:noProof/>
                <w:webHidden/>
              </w:rPr>
            </w:r>
            <w:r>
              <w:rPr>
                <w:noProof/>
                <w:webHidden/>
              </w:rPr>
              <w:fldChar w:fldCharType="separate"/>
            </w:r>
            <w:r>
              <w:rPr>
                <w:noProof/>
                <w:webHidden/>
              </w:rPr>
              <w:t>3</w:t>
            </w:r>
            <w:r>
              <w:rPr>
                <w:noProof/>
                <w:webHidden/>
              </w:rPr>
              <w:fldChar w:fldCharType="end"/>
            </w:r>
          </w:hyperlink>
        </w:p>
        <w:p w14:paraId="5C37AEE4" w14:textId="48BB7356" w:rsidR="0045227F" w:rsidRDefault="0045227F">
          <w:pPr>
            <w:pStyle w:val="TOC1"/>
            <w:tabs>
              <w:tab w:val="right" w:leader="dot" w:pos="9016"/>
            </w:tabs>
            <w:rPr>
              <w:rFonts w:eastAsiaTheme="minorEastAsia" w:cstheme="minorBidi"/>
              <w:b w:val="0"/>
              <w:bCs w:val="0"/>
              <w:i w:val="0"/>
              <w:iCs w:val="0"/>
              <w:noProof/>
              <w:kern w:val="0"/>
              <w:sz w:val="22"/>
              <w:szCs w:val="22"/>
              <w:lang w:eastAsia="en-IN"/>
              <w14:ligatures w14:val="none"/>
            </w:rPr>
          </w:pPr>
          <w:hyperlink w:anchor="_Toc224822919" w:history="1">
            <w:r w:rsidRPr="00A141B0">
              <w:rPr>
                <w:rStyle w:val="Hyperlink"/>
                <w:rFonts w:ascii="Arial" w:eastAsia="Times New Roman" w:hAnsi="Arial" w:cs="Arial"/>
                <w:noProof/>
                <w:kern w:val="36"/>
                <w:lang w:eastAsia="en-GB"/>
              </w:rPr>
              <w:t>Section 2: Working Capital Management Analysis</w:t>
            </w:r>
            <w:r>
              <w:rPr>
                <w:noProof/>
                <w:webHidden/>
              </w:rPr>
              <w:tab/>
            </w:r>
            <w:r>
              <w:rPr>
                <w:noProof/>
                <w:webHidden/>
              </w:rPr>
              <w:fldChar w:fldCharType="begin"/>
            </w:r>
            <w:r>
              <w:rPr>
                <w:noProof/>
                <w:webHidden/>
              </w:rPr>
              <w:instrText xml:space="preserve"> PAGEREF _Toc224822919 \h </w:instrText>
            </w:r>
            <w:r>
              <w:rPr>
                <w:noProof/>
                <w:webHidden/>
              </w:rPr>
            </w:r>
            <w:r>
              <w:rPr>
                <w:noProof/>
                <w:webHidden/>
              </w:rPr>
              <w:fldChar w:fldCharType="separate"/>
            </w:r>
            <w:r>
              <w:rPr>
                <w:noProof/>
                <w:webHidden/>
              </w:rPr>
              <w:t>13</w:t>
            </w:r>
            <w:r>
              <w:rPr>
                <w:noProof/>
                <w:webHidden/>
              </w:rPr>
              <w:fldChar w:fldCharType="end"/>
            </w:r>
          </w:hyperlink>
        </w:p>
        <w:p w14:paraId="5F3D3A24" w14:textId="146DAB0A" w:rsidR="0045227F" w:rsidRDefault="0045227F">
          <w:pPr>
            <w:pStyle w:val="TOC1"/>
            <w:tabs>
              <w:tab w:val="right" w:leader="dot" w:pos="9016"/>
            </w:tabs>
            <w:rPr>
              <w:rFonts w:eastAsiaTheme="minorEastAsia" w:cstheme="minorBidi"/>
              <w:b w:val="0"/>
              <w:bCs w:val="0"/>
              <w:i w:val="0"/>
              <w:iCs w:val="0"/>
              <w:noProof/>
              <w:kern w:val="0"/>
              <w:sz w:val="22"/>
              <w:szCs w:val="22"/>
              <w:lang w:eastAsia="en-IN"/>
              <w14:ligatures w14:val="none"/>
            </w:rPr>
          </w:pPr>
          <w:hyperlink w:anchor="_Toc224822920" w:history="1">
            <w:r w:rsidRPr="00A141B0">
              <w:rPr>
                <w:rStyle w:val="Hyperlink"/>
                <w:rFonts w:ascii="Arial" w:eastAsia="Times New Roman" w:hAnsi="Arial" w:cs="Arial"/>
                <w:noProof/>
                <w:kern w:val="36"/>
                <w:lang w:eastAsia="en-GB"/>
              </w:rPr>
              <w:t>Section 3: Strategic Financial Restructuring Analysis</w:t>
            </w:r>
            <w:r>
              <w:rPr>
                <w:noProof/>
                <w:webHidden/>
              </w:rPr>
              <w:tab/>
            </w:r>
            <w:r>
              <w:rPr>
                <w:noProof/>
                <w:webHidden/>
              </w:rPr>
              <w:fldChar w:fldCharType="begin"/>
            </w:r>
            <w:r>
              <w:rPr>
                <w:noProof/>
                <w:webHidden/>
              </w:rPr>
              <w:instrText xml:space="preserve"> PAGEREF _Toc224822920 \h </w:instrText>
            </w:r>
            <w:r>
              <w:rPr>
                <w:noProof/>
                <w:webHidden/>
              </w:rPr>
            </w:r>
            <w:r>
              <w:rPr>
                <w:noProof/>
                <w:webHidden/>
              </w:rPr>
              <w:fldChar w:fldCharType="separate"/>
            </w:r>
            <w:r>
              <w:rPr>
                <w:noProof/>
                <w:webHidden/>
              </w:rPr>
              <w:t>20</w:t>
            </w:r>
            <w:r>
              <w:rPr>
                <w:noProof/>
                <w:webHidden/>
              </w:rPr>
              <w:fldChar w:fldCharType="end"/>
            </w:r>
          </w:hyperlink>
        </w:p>
        <w:p w14:paraId="4AEC64B3" w14:textId="5E2CBBCA" w:rsidR="0045227F" w:rsidRDefault="0045227F">
          <w:pPr>
            <w:pStyle w:val="TOC1"/>
            <w:tabs>
              <w:tab w:val="right" w:leader="dot" w:pos="9016"/>
            </w:tabs>
            <w:rPr>
              <w:rFonts w:eastAsiaTheme="minorEastAsia" w:cstheme="minorBidi"/>
              <w:b w:val="0"/>
              <w:bCs w:val="0"/>
              <w:i w:val="0"/>
              <w:iCs w:val="0"/>
              <w:noProof/>
              <w:kern w:val="0"/>
              <w:sz w:val="22"/>
              <w:szCs w:val="22"/>
              <w:lang w:eastAsia="en-IN"/>
              <w14:ligatures w14:val="none"/>
            </w:rPr>
          </w:pPr>
          <w:hyperlink w:anchor="_Toc224822921" w:history="1">
            <w:r w:rsidRPr="00A141B0">
              <w:rPr>
                <w:rStyle w:val="Hyperlink"/>
                <w:rFonts w:ascii="Arial" w:eastAsia="Times New Roman" w:hAnsi="Arial" w:cs="Arial"/>
                <w:noProof/>
                <w:lang w:eastAsia="en-GB"/>
              </w:rPr>
              <w:t>3.1 Introduction</w:t>
            </w:r>
            <w:r>
              <w:rPr>
                <w:noProof/>
                <w:webHidden/>
              </w:rPr>
              <w:tab/>
            </w:r>
            <w:r>
              <w:rPr>
                <w:noProof/>
                <w:webHidden/>
              </w:rPr>
              <w:fldChar w:fldCharType="begin"/>
            </w:r>
            <w:r>
              <w:rPr>
                <w:noProof/>
                <w:webHidden/>
              </w:rPr>
              <w:instrText xml:space="preserve"> PAGEREF _Toc224822921 \h </w:instrText>
            </w:r>
            <w:r>
              <w:rPr>
                <w:noProof/>
                <w:webHidden/>
              </w:rPr>
            </w:r>
            <w:r>
              <w:rPr>
                <w:noProof/>
                <w:webHidden/>
              </w:rPr>
              <w:fldChar w:fldCharType="separate"/>
            </w:r>
            <w:r>
              <w:rPr>
                <w:noProof/>
                <w:webHidden/>
              </w:rPr>
              <w:t>20</w:t>
            </w:r>
            <w:r>
              <w:rPr>
                <w:noProof/>
                <w:webHidden/>
              </w:rPr>
              <w:fldChar w:fldCharType="end"/>
            </w:r>
          </w:hyperlink>
        </w:p>
        <w:p w14:paraId="69DFF6E6" w14:textId="4C0FE418" w:rsidR="0045227F" w:rsidRDefault="0045227F">
          <w:pPr>
            <w:pStyle w:val="TOC1"/>
            <w:tabs>
              <w:tab w:val="right" w:leader="dot" w:pos="9016"/>
            </w:tabs>
            <w:rPr>
              <w:rFonts w:eastAsiaTheme="minorEastAsia" w:cstheme="minorBidi"/>
              <w:b w:val="0"/>
              <w:bCs w:val="0"/>
              <w:i w:val="0"/>
              <w:iCs w:val="0"/>
              <w:noProof/>
              <w:kern w:val="0"/>
              <w:sz w:val="22"/>
              <w:szCs w:val="22"/>
              <w:lang w:eastAsia="en-IN"/>
              <w14:ligatures w14:val="none"/>
            </w:rPr>
          </w:pPr>
          <w:hyperlink w:anchor="_Toc224822922" w:history="1">
            <w:r w:rsidRPr="00A141B0">
              <w:rPr>
                <w:rStyle w:val="Hyperlink"/>
                <w:rFonts w:ascii="Arial" w:eastAsia="Times New Roman" w:hAnsi="Arial" w:cs="Arial"/>
                <w:noProof/>
                <w:kern w:val="36"/>
                <w:lang w:eastAsia="en-GB"/>
              </w:rPr>
              <w:t>Section 4: Investment Appraisal and Capital Rationing</w:t>
            </w:r>
            <w:r>
              <w:rPr>
                <w:noProof/>
                <w:webHidden/>
              </w:rPr>
              <w:tab/>
            </w:r>
            <w:r>
              <w:rPr>
                <w:noProof/>
                <w:webHidden/>
              </w:rPr>
              <w:fldChar w:fldCharType="begin"/>
            </w:r>
            <w:r>
              <w:rPr>
                <w:noProof/>
                <w:webHidden/>
              </w:rPr>
              <w:instrText xml:space="preserve"> PAGEREF _Toc224822922 \h </w:instrText>
            </w:r>
            <w:r>
              <w:rPr>
                <w:noProof/>
                <w:webHidden/>
              </w:rPr>
            </w:r>
            <w:r>
              <w:rPr>
                <w:noProof/>
                <w:webHidden/>
              </w:rPr>
              <w:fldChar w:fldCharType="separate"/>
            </w:r>
            <w:r>
              <w:rPr>
                <w:noProof/>
                <w:webHidden/>
              </w:rPr>
              <w:t>23</w:t>
            </w:r>
            <w:r>
              <w:rPr>
                <w:noProof/>
                <w:webHidden/>
              </w:rPr>
              <w:fldChar w:fldCharType="end"/>
            </w:r>
          </w:hyperlink>
        </w:p>
        <w:p w14:paraId="500FC785" w14:textId="06A7D04E" w:rsidR="0045227F" w:rsidRDefault="0045227F">
          <w:pPr>
            <w:pStyle w:val="TOC1"/>
            <w:tabs>
              <w:tab w:val="right" w:leader="dot" w:pos="9016"/>
            </w:tabs>
            <w:rPr>
              <w:rFonts w:eastAsiaTheme="minorEastAsia" w:cstheme="minorBidi"/>
              <w:b w:val="0"/>
              <w:bCs w:val="0"/>
              <w:i w:val="0"/>
              <w:iCs w:val="0"/>
              <w:noProof/>
              <w:kern w:val="0"/>
              <w:sz w:val="22"/>
              <w:szCs w:val="22"/>
              <w:lang w:eastAsia="en-IN"/>
              <w14:ligatures w14:val="none"/>
            </w:rPr>
          </w:pPr>
          <w:hyperlink w:anchor="_Toc224822923" w:history="1">
            <w:r w:rsidRPr="00A141B0">
              <w:rPr>
                <w:rStyle w:val="Hyperlink"/>
                <w:rFonts w:ascii="Arial" w:eastAsia="Times New Roman" w:hAnsi="Arial" w:cs="Arial"/>
                <w:noProof/>
                <w:kern w:val="36"/>
                <w:lang w:eastAsia="en-GB"/>
              </w:rPr>
              <w:t>References</w:t>
            </w:r>
            <w:r>
              <w:rPr>
                <w:noProof/>
                <w:webHidden/>
              </w:rPr>
              <w:tab/>
            </w:r>
            <w:r>
              <w:rPr>
                <w:noProof/>
                <w:webHidden/>
              </w:rPr>
              <w:fldChar w:fldCharType="begin"/>
            </w:r>
            <w:r>
              <w:rPr>
                <w:noProof/>
                <w:webHidden/>
              </w:rPr>
              <w:instrText xml:space="preserve"> PAGEREF _Toc224822923 \h </w:instrText>
            </w:r>
            <w:r>
              <w:rPr>
                <w:noProof/>
                <w:webHidden/>
              </w:rPr>
            </w:r>
            <w:r>
              <w:rPr>
                <w:noProof/>
                <w:webHidden/>
              </w:rPr>
              <w:fldChar w:fldCharType="separate"/>
            </w:r>
            <w:r>
              <w:rPr>
                <w:noProof/>
                <w:webHidden/>
              </w:rPr>
              <w:t>33</w:t>
            </w:r>
            <w:r>
              <w:rPr>
                <w:noProof/>
                <w:webHidden/>
              </w:rPr>
              <w:fldChar w:fldCharType="end"/>
            </w:r>
          </w:hyperlink>
        </w:p>
        <w:p w14:paraId="08661DB9" w14:textId="200934D6" w:rsidR="0045227F" w:rsidRDefault="0045227F">
          <w:pPr>
            <w:pStyle w:val="TOC1"/>
            <w:tabs>
              <w:tab w:val="right" w:leader="dot" w:pos="9016"/>
            </w:tabs>
            <w:rPr>
              <w:rFonts w:eastAsiaTheme="minorEastAsia" w:cstheme="minorBidi"/>
              <w:b w:val="0"/>
              <w:bCs w:val="0"/>
              <w:i w:val="0"/>
              <w:iCs w:val="0"/>
              <w:noProof/>
              <w:kern w:val="0"/>
              <w:sz w:val="22"/>
              <w:szCs w:val="22"/>
              <w:lang w:eastAsia="en-IN"/>
              <w14:ligatures w14:val="none"/>
            </w:rPr>
          </w:pPr>
          <w:hyperlink w:anchor="_Toc224822924" w:history="1">
            <w:r w:rsidRPr="00A141B0">
              <w:rPr>
                <w:rStyle w:val="Hyperlink"/>
                <w:rFonts w:ascii="Arial" w:eastAsia="Times New Roman" w:hAnsi="Arial" w:cs="Arial"/>
                <w:noProof/>
                <w:kern w:val="36"/>
                <w:lang w:eastAsia="en-GB"/>
              </w:rPr>
              <w:t>Appendix : Financial Ratio Calculations (Tesla Inc. 2019–2023)</w:t>
            </w:r>
            <w:r>
              <w:rPr>
                <w:noProof/>
                <w:webHidden/>
              </w:rPr>
              <w:tab/>
            </w:r>
            <w:r>
              <w:rPr>
                <w:noProof/>
                <w:webHidden/>
              </w:rPr>
              <w:fldChar w:fldCharType="begin"/>
            </w:r>
            <w:r>
              <w:rPr>
                <w:noProof/>
                <w:webHidden/>
              </w:rPr>
              <w:instrText xml:space="preserve"> PAGEREF _Toc224822924 \h </w:instrText>
            </w:r>
            <w:r>
              <w:rPr>
                <w:noProof/>
                <w:webHidden/>
              </w:rPr>
            </w:r>
            <w:r>
              <w:rPr>
                <w:noProof/>
                <w:webHidden/>
              </w:rPr>
              <w:fldChar w:fldCharType="separate"/>
            </w:r>
            <w:r>
              <w:rPr>
                <w:noProof/>
                <w:webHidden/>
              </w:rPr>
              <w:t>37</w:t>
            </w:r>
            <w:r>
              <w:rPr>
                <w:noProof/>
                <w:webHidden/>
              </w:rPr>
              <w:fldChar w:fldCharType="end"/>
            </w:r>
          </w:hyperlink>
        </w:p>
        <w:p w14:paraId="508F04F8" w14:textId="464B68D5" w:rsidR="0045227F" w:rsidRDefault="0045227F">
          <w:pPr>
            <w:pStyle w:val="TOC1"/>
            <w:tabs>
              <w:tab w:val="right" w:leader="dot" w:pos="9016"/>
            </w:tabs>
            <w:rPr>
              <w:rFonts w:eastAsiaTheme="minorEastAsia" w:cstheme="minorBidi"/>
              <w:b w:val="0"/>
              <w:bCs w:val="0"/>
              <w:i w:val="0"/>
              <w:iCs w:val="0"/>
              <w:noProof/>
              <w:kern w:val="0"/>
              <w:sz w:val="22"/>
              <w:szCs w:val="22"/>
              <w:lang w:eastAsia="en-IN"/>
              <w14:ligatures w14:val="none"/>
            </w:rPr>
          </w:pPr>
          <w:hyperlink w:anchor="_Toc224822925" w:history="1">
            <w:r w:rsidRPr="00A141B0">
              <w:rPr>
                <w:rStyle w:val="Hyperlink"/>
                <w:rFonts w:ascii="Arial" w:eastAsia="Times New Roman" w:hAnsi="Arial" w:cs="Arial"/>
                <w:noProof/>
                <w:kern w:val="36"/>
                <w:lang w:eastAsia="en-GB"/>
              </w:rPr>
              <w:t>A1 Profitability Ratios</w:t>
            </w:r>
            <w:r>
              <w:rPr>
                <w:noProof/>
                <w:webHidden/>
              </w:rPr>
              <w:tab/>
            </w:r>
            <w:r>
              <w:rPr>
                <w:noProof/>
                <w:webHidden/>
              </w:rPr>
              <w:fldChar w:fldCharType="begin"/>
            </w:r>
            <w:r>
              <w:rPr>
                <w:noProof/>
                <w:webHidden/>
              </w:rPr>
              <w:instrText xml:space="preserve"> PAGEREF _Toc224822925 \h </w:instrText>
            </w:r>
            <w:r>
              <w:rPr>
                <w:noProof/>
                <w:webHidden/>
              </w:rPr>
            </w:r>
            <w:r>
              <w:rPr>
                <w:noProof/>
                <w:webHidden/>
              </w:rPr>
              <w:fldChar w:fldCharType="separate"/>
            </w:r>
            <w:r>
              <w:rPr>
                <w:noProof/>
                <w:webHidden/>
              </w:rPr>
              <w:t>37</w:t>
            </w:r>
            <w:r>
              <w:rPr>
                <w:noProof/>
                <w:webHidden/>
              </w:rPr>
              <w:fldChar w:fldCharType="end"/>
            </w:r>
          </w:hyperlink>
        </w:p>
        <w:p w14:paraId="19BE71DE" w14:textId="4FD76F6E" w:rsidR="0045227F" w:rsidRDefault="0045227F">
          <w:pPr>
            <w:pStyle w:val="TOC2"/>
            <w:tabs>
              <w:tab w:val="right" w:leader="dot" w:pos="9016"/>
            </w:tabs>
            <w:rPr>
              <w:rFonts w:eastAsiaTheme="minorEastAsia" w:cstheme="minorBidi"/>
              <w:b w:val="0"/>
              <w:bCs w:val="0"/>
              <w:noProof/>
              <w:kern w:val="0"/>
              <w:lang w:eastAsia="en-IN"/>
              <w14:ligatures w14:val="none"/>
            </w:rPr>
          </w:pPr>
          <w:hyperlink w:anchor="_Toc224822926" w:history="1">
            <w:r w:rsidRPr="00A141B0">
              <w:rPr>
                <w:rStyle w:val="Hyperlink"/>
                <w:rFonts w:ascii="Arial" w:eastAsia="Times New Roman" w:hAnsi="Arial" w:cs="Arial"/>
                <w:noProof/>
                <w:lang w:eastAsia="en-GB"/>
              </w:rPr>
              <w:t>Gross Profit Margin</w:t>
            </w:r>
            <w:r>
              <w:rPr>
                <w:noProof/>
                <w:webHidden/>
              </w:rPr>
              <w:tab/>
            </w:r>
            <w:r>
              <w:rPr>
                <w:noProof/>
                <w:webHidden/>
              </w:rPr>
              <w:fldChar w:fldCharType="begin"/>
            </w:r>
            <w:r>
              <w:rPr>
                <w:noProof/>
                <w:webHidden/>
              </w:rPr>
              <w:instrText xml:space="preserve"> PAGEREF _Toc224822926 \h </w:instrText>
            </w:r>
            <w:r>
              <w:rPr>
                <w:noProof/>
                <w:webHidden/>
              </w:rPr>
            </w:r>
            <w:r>
              <w:rPr>
                <w:noProof/>
                <w:webHidden/>
              </w:rPr>
              <w:fldChar w:fldCharType="separate"/>
            </w:r>
            <w:r>
              <w:rPr>
                <w:noProof/>
                <w:webHidden/>
              </w:rPr>
              <w:t>37</w:t>
            </w:r>
            <w:r>
              <w:rPr>
                <w:noProof/>
                <w:webHidden/>
              </w:rPr>
              <w:fldChar w:fldCharType="end"/>
            </w:r>
          </w:hyperlink>
        </w:p>
        <w:p w14:paraId="3A2307F9" w14:textId="670012F4" w:rsidR="0045227F" w:rsidRDefault="0045227F">
          <w:pPr>
            <w:pStyle w:val="TOC2"/>
            <w:tabs>
              <w:tab w:val="right" w:leader="dot" w:pos="9016"/>
            </w:tabs>
            <w:rPr>
              <w:rFonts w:eastAsiaTheme="minorEastAsia" w:cstheme="minorBidi"/>
              <w:b w:val="0"/>
              <w:bCs w:val="0"/>
              <w:noProof/>
              <w:kern w:val="0"/>
              <w:lang w:eastAsia="en-IN"/>
              <w14:ligatures w14:val="none"/>
            </w:rPr>
          </w:pPr>
          <w:hyperlink w:anchor="_Toc224822927" w:history="1">
            <w:r w:rsidRPr="00A141B0">
              <w:rPr>
                <w:rStyle w:val="Hyperlink"/>
                <w:rFonts w:ascii="Arial" w:eastAsia="Times New Roman" w:hAnsi="Arial" w:cs="Arial"/>
                <w:noProof/>
                <w:lang w:eastAsia="en-GB"/>
              </w:rPr>
              <w:t>Net Profit Margin</w:t>
            </w:r>
            <w:r>
              <w:rPr>
                <w:noProof/>
                <w:webHidden/>
              </w:rPr>
              <w:tab/>
            </w:r>
            <w:r>
              <w:rPr>
                <w:noProof/>
                <w:webHidden/>
              </w:rPr>
              <w:fldChar w:fldCharType="begin"/>
            </w:r>
            <w:r>
              <w:rPr>
                <w:noProof/>
                <w:webHidden/>
              </w:rPr>
              <w:instrText xml:space="preserve"> PAGEREF _Toc224822927 \h </w:instrText>
            </w:r>
            <w:r>
              <w:rPr>
                <w:noProof/>
                <w:webHidden/>
              </w:rPr>
            </w:r>
            <w:r>
              <w:rPr>
                <w:noProof/>
                <w:webHidden/>
              </w:rPr>
              <w:fldChar w:fldCharType="separate"/>
            </w:r>
            <w:r>
              <w:rPr>
                <w:noProof/>
                <w:webHidden/>
              </w:rPr>
              <w:t>37</w:t>
            </w:r>
            <w:r>
              <w:rPr>
                <w:noProof/>
                <w:webHidden/>
              </w:rPr>
              <w:fldChar w:fldCharType="end"/>
            </w:r>
          </w:hyperlink>
        </w:p>
        <w:p w14:paraId="6CF5A961" w14:textId="3F181359" w:rsidR="0045227F" w:rsidRDefault="0045227F">
          <w:pPr>
            <w:pStyle w:val="TOC1"/>
            <w:tabs>
              <w:tab w:val="right" w:leader="dot" w:pos="9016"/>
            </w:tabs>
            <w:rPr>
              <w:rFonts w:eastAsiaTheme="minorEastAsia" w:cstheme="minorBidi"/>
              <w:b w:val="0"/>
              <w:bCs w:val="0"/>
              <w:i w:val="0"/>
              <w:iCs w:val="0"/>
              <w:noProof/>
              <w:kern w:val="0"/>
              <w:sz w:val="22"/>
              <w:szCs w:val="22"/>
              <w:lang w:eastAsia="en-IN"/>
              <w14:ligatures w14:val="none"/>
            </w:rPr>
          </w:pPr>
          <w:hyperlink w:anchor="_Toc224822928" w:history="1">
            <w:r w:rsidRPr="00A141B0">
              <w:rPr>
                <w:rStyle w:val="Hyperlink"/>
                <w:rFonts w:ascii="Arial" w:eastAsia="Times New Roman" w:hAnsi="Arial" w:cs="Arial"/>
                <w:noProof/>
                <w:kern w:val="36"/>
                <w:lang w:eastAsia="en-GB"/>
              </w:rPr>
              <w:t>A2 Liquidity Ratios</w:t>
            </w:r>
            <w:r>
              <w:rPr>
                <w:noProof/>
                <w:webHidden/>
              </w:rPr>
              <w:tab/>
            </w:r>
            <w:r>
              <w:rPr>
                <w:noProof/>
                <w:webHidden/>
              </w:rPr>
              <w:fldChar w:fldCharType="begin"/>
            </w:r>
            <w:r>
              <w:rPr>
                <w:noProof/>
                <w:webHidden/>
              </w:rPr>
              <w:instrText xml:space="preserve"> PAGEREF _Toc224822928 \h </w:instrText>
            </w:r>
            <w:r>
              <w:rPr>
                <w:noProof/>
                <w:webHidden/>
              </w:rPr>
            </w:r>
            <w:r>
              <w:rPr>
                <w:noProof/>
                <w:webHidden/>
              </w:rPr>
              <w:fldChar w:fldCharType="separate"/>
            </w:r>
            <w:r>
              <w:rPr>
                <w:noProof/>
                <w:webHidden/>
              </w:rPr>
              <w:t>38</w:t>
            </w:r>
            <w:r>
              <w:rPr>
                <w:noProof/>
                <w:webHidden/>
              </w:rPr>
              <w:fldChar w:fldCharType="end"/>
            </w:r>
          </w:hyperlink>
        </w:p>
        <w:p w14:paraId="276FEAD9" w14:textId="0D04F997" w:rsidR="0045227F" w:rsidRDefault="0045227F">
          <w:pPr>
            <w:pStyle w:val="TOC2"/>
            <w:tabs>
              <w:tab w:val="right" w:leader="dot" w:pos="9016"/>
            </w:tabs>
            <w:rPr>
              <w:rFonts w:eastAsiaTheme="minorEastAsia" w:cstheme="minorBidi"/>
              <w:b w:val="0"/>
              <w:bCs w:val="0"/>
              <w:noProof/>
              <w:kern w:val="0"/>
              <w:lang w:eastAsia="en-IN"/>
              <w14:ligatures w14:val="none"/>
            </w:rPr>
          </w:pPr>
          <w:hyperlink w:anchor="_Toc224822929" w:history="1">
            <w:r w:rsidRPr="00A141B0">
              <w:rPr>
                <w:rStyle w:val="Hyperlink"/>
                <w:rFonts w:ascii="Arial" w:eastAsia="Times New Roman" w:hAnsi="Arial" w:cs="Arial"/>
                <w:noProof/>
                <w:lang w:eastAsia="en-GB"/>
              </w:rPr>
              <w:t>Current Ratio</w:t>
            </w:r>
            <w:r>
              <w:rPr>
                <w:noProof/>
                <w:webHidden/>
              </w:rPr>
              <w:tab/>
            </w:r>
            <w:r>
              <w:rPr>
                <w:noProof/>
                <w:webHidden/>
              </w:rPr>
              <w:fldChar w:fldCharType="begin"/>
            </w:r>
            <w:r>
              <w:rPr>
                <w:noProof/>
                <w:webHidden/>
              </w:rPr>
              <w:instrText xml:space="preserve"> PAGEREF _Toc224822929 \h </w:instrText>
            </w:r>
            <w:r>
              <w:rPr>
                <w:noProof/>
                <w:webHidden/>
              </w:rPr>
            </w:r>
            <w:r>
              <w:rPr>
                <w:noProof/>
                <w:webHidden/>
              </w:rPr>
              <w:fldChar w:fldCharType="separate"/>
            </w:r>
            <w:r>
              <w:rPr>
                <w:noProof/>
                <w:webHidden/>
              </w:rPr>
              <w:t>38</w:t>
            </w:r>
            <w:r>
              <w:rPr>
                <w:noProof/>
                <w:webHidden/>
              </w:rPr>
              <w:fldChar w:fldCharType="end"/>
            </w:r>
          </w:hyperlink>
        </w:p>
        <w:p w14:paraId="0B913D02" w14:textId="099FECCE" w:rsidR="0045227F" w:rsidRDefault="0045227F">
          <w:pPr>
            <w:pStyle w:val="TOC2"/>
            <w:tabs>
              <w:tab w:val="right" w:leader="dot" w:pos="9016"/>
            </w:tabs>
            <w:rPr>
              <w:rFonts w:eastAsiaTheme="minorEastAsia" w:cstheme="minorBidi"/>
              <w:b w:val="0"/>
              <w:bCs w:val="0"/>
              <w:noProof/>
              <w:kern w:val="0"/>
              <w:lang w:eastAsia="en-IN"/>
              <w14:ligatures w14:val="none"/>
            </w:rPr>
          </w:pPr>
          <w:hyperlink w:anchor="_Toc224822930" w:history="1">
            <w:r w:rsidRPr="00A141B0">
              <w:rPr>
                <w:rStyle w:val="Hyperlink"/>
                <w:rFonts w:ascii="Arial" w:eastAsia="Times New Roman" w:hAnsi="Arial" w:cs="Arial"/>
                <w:noProof/>
                <w:lang w:eastAsia="en-GB"/>
              </w:rPr>
              <w:t>Quick Ratio</w:t>
            </w:r>
            <w:r>
              <w:rPr>
                <w:noProof/>
                <w:webHidden/>
              </w:rPr>
              <w:tab/>
            </w:r>
            <w:r>
              <w:rPr>
                <w:noProof/>
                <w:webHidden/>
              </w:rPr>
              <w:fldChar w:fldCharType="begin"/>
            </w:r>
            <w:r>
              <w:rPr>
                <w:noProof/>
                <w:webHidden/>
              </w:rPr>
              <w:instrText xml:space="preserve"> PAGEREF _Toc224822930 \h </w:instrText>
            </w:r>
            <w:r>
              <w:rPr>
                <w:noProof/>
                <w:webHidden/>
              </w:rPr>
            </w:r>
            <w:r>
              <w:rPr>
                <w:noProof/>
                <w:webHidden/>
              </w:rPr>
              <w:fldChar w:fldCharType="separate"/>
            </w:r>
            <w:r>
              <w:rPr>
                <w:noProof/>
                <w:webHidden/>
              </w:rPr>
              <w:t>38</w:t>
            </w:r>
            <w:r>
              <w:rPr>
                <w:noProof/>
                <w:webHidden/>
              </w:rPr>
              <w:fldChar w:fldCharType="end"/>
            </w:r>
          </w:hyperlink>
        </w:p>
        <w:p w14:paraId="5DDE35B7" w14:textId="199289F0" w:rsidR="0045227F" w:rsidRDefault="0045227F">
          <w:pPr>
            <w:pStyle w:val="TOC1"/>
            <w:tabs>
              <w:tab w:val="right" w:leader="dot" w:pos="9016"/>
            </w:tabs>
            <w:rPr>
              <w:rFonts w:eastAsiaTheme="minorEastAsia" w:cstheme="minorBidi"/>
              <w:b w:val="0"/>
              <w:bCs w:val="0"/>
              <w:i w:val="0"/>
              <w:iCs w:val="0"/>
              <w:noProof/>
              <w:kern w:val="0"/>
              <w:sz w:val="22"/>
              <w:szCs w:val="22"/>
              <w:lang w:eastAsia="en-IN"/>
              <w14:ligatures w14:val="none"/>
            </w:rPr>
          </w:pPr>
          <w:hyperlink w:anchor="_Toc224822931" w:history="1">
            <w:r w:rsidRPr="00A141B0">
              <w:rPr>
                <w:rStyle w:val="Hyperlink"/>
                <w:rFonts w:ascii="Arial" w:eastAsia="Times New Roman" w:hAnsi="Arial" w:cs="Arial"/>
                <w:noProof/>
                <w:kern w:val="36"/>
                <w:lang w:eastAsia="en-GB"/>
              </w:rPr>
              <w:t>A3 Efficiency Ratios</w:t>
            </w:r>
            <w:r>
              <w:rPr>
                <w:noProof/>
                <w:webHidden/>
              </w:rPr>
              <w:tab/>
            </w:r>
            <w:r>
              <w:rPr>
                <w:noProof/>
                <w:webHidden/>
              </w:rPr>
              <w:fldChar w:fldCharType="begin"/>
            </w:r>
            <w:r>
              <w:rPr>
                <w:noProof/>
                <w:webHidden/>
              </w:rPr>
              <w:instrText xml:space="preserve"> PAGEREF _Toc224822931 \h </w:instrText>
            </w:r>
            <w:r>
              <w:rPr>
                <w:noProof/>
                <w:webHidden/>
              </w:rPr>
            </w:r>
            <w:r>
              <w:rPr>
                <w:noProof/>
                <w:webHidden/>
              </w:rPr>
              <w:fldChar w:fldCharType="separate"/>
            </w:r>
            <w:r>
              <w:rPr>
                <w:noProof/>
                <w:webHidden/>
              </w:rPr>
              <w:t>39</w:t>
            </w:r>
            <w:r>
              <w:rPr>
                <w:noProof/>
                <w:webHidden/>
              </w:rPr>
              <w:fldChar w:fldCharType="end"/>
            </w:r>
          </w:hyperlink>
        </w:p>
        <w:p w14:paraId="30BF8BF7" w14:textId="651ED682" w:rsidR="0045227F" w:rsidRDefault="0045227F">
          <w:pPr>
            <w:pStyle w:val="TOC2"/>
            <w:tabs>
              <w:tab w:val="right" w:leader="dot" w:pos="9016"/>
            </w:tabs>
            <w:rPr>
              <w:rFonts w:eastAsiaTheme="minorEastAsia" w:cstheme="minorBidi"/>
              <w:b w:val="0"/>
              <w:bCs w:val="0"/>
              <w:noProof/>
              <w:kern w:val="0"/>
              <w:lang w:eastAsia="en-IN"/>
              <w14:ligatures w14:val="none"/>
            </w:rPr>
          </w:pPr>
          <w:hyperlink w:anchor="_Toc224822932" w:history="1">
            <w:r w:rsidRPr="00A141B0">
              <w:rPr>
                <w:rStyle w:val="Hyperlink"/>
                <w:rFonts w:ascii="Arial" w:eastAsia="Times New Roman" w:hAnsi="Arial" w:cs="Arial"/>
                <w:noProof/>
                <w:lang w:eastAsia="en-GB"/>
              </w:rPr>
              <w:t>Inventory Days</w:t>
            </w:r>
            <w:r>
              <w:rPr>
                <w:noProof/>
                <w:webHidden/>
              </w:rPr>
              <w:tab/>
            </w:r>
            <w:r>
              <w:rPr>
                <w:noProof/>
                <w:webHidden/>
              </w:rPr>
              <w:fldChar w:fldCharType="begin"/>
            </w:r>
            <w:r>
              <w:rPr>
                <w:noProof/>
                <w:webHidden/>
              </w:rPr>
              <w:instrText xml:space="preserve"> PAGEREF _Toc224822932 \h </w:instrText>
            </w:r>
            <w:r>
              <w:rPr>
                <w:noProof/>
                <w:webHidden/>
              </w:rPr>
            </w:r>
            <w:r>
              <w:rPr>
                <w:noProof/>
                <w:webHidden/>
              </w:rPr>
              <w:fldChar w:fldCharType="separate"/>
            </w:r>
            <w:r>
              <w:rPr>
                <w:noProof/>
                <w:webHidden/>
              </w:rPr>
              <w:t>39</w:t>
            </w:r>
            <w:r>
              <w:rPr>
                <w:noProof/>
                <w:webHidden/>
              </w:rPr>
              <w:fldChar w:fldCharType="end"/>
            </w:r>
          </w:hyperlink>
        </w:p>
        <w:p w14:paraId="3F695E71" w14:textId="4F6AFC1E" w:rsidR="0045227F" w:rsidRDefault="0045227F">
          <w:pPr>
            <w:pStyle w:val="TOC2"/>
            <w:tabs>
              <w:tab w:val="right" w:leader="dot" w:pos="9016"/>
            </w:tabs>
            <w:rPr>
              <w:rFonts w:eastAsiaTheme="minorEastAsia" w:cstheme="minorBidi"/>
              <w:b w:val="0"/>
              <w:bCs w:val="0"/>
              <w:noProof/>
              <w:kern w:val="0"/>
              <w:lang w:eastAsia="en-IN"/>
              <w14:ligatures w14:val="none"/>
            </w:rPr>
          </w:pPr>
          <w:hyperlink w:anchor="_Toc224822933" w:history="1">
            <w:r w:rsidRPr="00A141B0">
              <w:rPr>
                <w:rStyle w:val="Hyperlink"/>
                <w:rFonts w:ascii="Arial" w:eastAsia="Times New Roman" w:hAnsi="Arial" w:cs="Arial"/>
                <w:noProof/>
                <w:lang w:eastAsia="en-GB"/>
              </w:rPr>
              <w:t>Receivable Days</w:t>
            </w:r>
            <w:r>
              <w:rPr>
                <w:noProof/>
                <w:webHidden/>
              </w:rPr>
              <w:tab/>
            </w:r>
            <w:r>
              <w:rPr>
                <w:noProof/>
                <w:webHidden/>
              </w:rPr>
              <w:fldChar w:fldCharType="begin"/>
            </w:r>
            <w:r>
              <w:rPr>
                <w:noProof/>
                <w:webHidden/>
              </w:rPr>
              <w:instrText xml:space="preserve"> PAGEREF _Toc224822933 \h </w:instrText>
            </w:r>
            <w:r>
              <w:rPr>
                <w:noProof/>
                <w:webHidden/>
              </w:rPr>
            </w:r>
            <w:r>
              <w:rPr>
                <w:noProof/>
                <w:webHidden/>
              </w:rPr>
              <w:fldChar w:fldCharType="separate"/>
            </w:r>
            <w:r>
              <w:rPr>
                <w:noProof/>
                <w:webHidden/>
              </w:rPr>
              <w:t>39</w:t>
            </w:r>
            <w:r>
              <w:rPr>
                <w:noProof/>
                <w:webHidden/>
              </w:rPr>
              <w:fldChar w:fldCharType="end"/>
            </w:r>
          </w:hyperlink>
        </w:p>
        <w:p w14:paraId="4858FB7A" w14:textId="32FCFC27" w:rsidR="0045227F" w:rsidRDefault="0045227F">
          <w:pPr>
            <w:pStyle w:val="TOC2"/>
            <w:tabs>
              <w:tab w:val="right" w:leader="dot" w:pos="9016"/>
            </w:tabs>
            <w:rPr>
              <w:rFonts w:eastAsiaTheme="minorEastAsia" w:cstheme="minorBidi"/>
              <w:b w:val="0"/>
              <w:bCs w:val="0"/>
              <w:noProof/>
              <w:kern w:val="0"/>
              <w:lang w:eastAsia="en-IN"/>
              <w14:ligatures w14:val="none"/>
            </w:rPr>
          </w:pPr>
          <w:hyperlink w:anchor="_Toc224822934" w:history="1">
            <w:r w:rsidRPr="00A141B0">
              <w:rPr>
                <w:rStyle w:val="Hyperlink"/>
                <w:rFonts w:ascii="Arial" w:eastAsia="Times New Roman" w:hAnsi="Arial" w:cs="Arial"/>
                <w:noProof/>
                <w:lang w:eastAsia="en-GB"/>
              </w:rPr>
              <w:t>Payable Days</w:t>
            </w:r>
            <w:r>
              <w:rPr>
                <w:noProof/>
                <w:webHidden/>
              </w:rPr>
              <w:tab/>
            </w:r>
            <w:r>
              <w:rPr>
                <w:noProof/>
                <w:webHidden/>
              </w:rPr>
              <w:fldChar w:fldCharType="begin"/>
            </w:r>
            <w:r>
              <w:rPr>
                <w:noProof/>
                <w:webHidden/>
              </w:rPr>
              <w:instrText xml:space="preserve"> PAGEREF _Toc224822934 \h </w:instrText>
            </w:r>
            <w:r>
              <w:rPr>
                <w:noProof/>
                <w:webHidden/>
              </w:rPr>
            </w:r>
            <w:r>
              <w:rPr>
                <w:noProof/>
                <w:webHidden/>
              </w:rPr>
              <w:fldChar w:fldCharType="separate"/>
            </w:r>
            <w:r>
              <w:rPr>
                <w:noProof/>
                <w:webHidden/>
              </w:rPr>
              <w:t>39</w:t>
            </w:r>
            <w:r>
              <w:rPr>
                <w:noProof/>
                <w:webHidden/>
              </w:rPr>
              <w:fldChar w:fldCharType="end"/>
            </w:r>
          </w:hyperlink>
        </w:p>
        <w:p w14:paraId="18B45CC7" w14:textId="4356E959" w:rsidR="0045227F" w:rsidRDefault="0045227F">
          <w:pPr>
            <w:pStyle w:val="TOC1"/>
            <w:tabs>
              <w:tab w:val="right" w:leader="dot" w:pos="9016"/>
            </w:tabs>
            <w:rPr>
              <w:rFonts w:eastAsiaTheme="minorEastAsia" w:cstheme="minorBidi"/>
              <w:b w:val="0"/>
              <w:bCs w:val="0"/>
              <w:i w:val="0"/>
              <w:iCs w:val="0"/>
              <w:noProof/>
              <w:kern w:val="0"/>
              <w:sz w:val="22"/>
              <w:szCs w:val="22"/>
              <w:lang w:eastAsia="en-IN"/>
              <w14:ligatures w14:val="none"/>
            </w:rPr>
          </w:pPr>
          <w:hyperlink w:anchor="_Toc224822935" w:history="1">
            <w:r w:rsidRPr="00A141B0">
              <w:rPr>
                <w:rStyle w:val="Hyperlink"/>
                <w:rFonts w:ascii="Arial" w:eastAsia="Times New Roman" w:hAnsi="Arial" w:cs="Arial"/>
                <w:noProof/>
                <w:kern w:val="36"/>
                <w:lang w:eastAsia="en-GB"/>
              </w:rPr>
              <w:t>A4 Working Capital Calculation</w:t>
            </w:r>
            <w:r>
              <w:rPr>
                <w:noProof/>
                <w:webHidden/>
              </w:rPr>
              <w:tab/>
            </w:r>
            <w:r>
              <w:rPr>
                <w:noProof/>
                <w:webHidden/>
              </w:rPr>
              <w:fldChar w:fldCharType="begin"/>
            </w:r>
            <w:r>
              <w:rPr>
                <w:noProof/>
                <w:webHidden/>
              </w:rPr>
              <w:instrText xml:space="preserve"> PAGEREF _Toc224822935 \h </w:instrText>
            </w:r>
            <w:r>
              <w:rPr>
                <w:noProof/>
                <w:webHidden/>
              </w:rPr>
            </w:r>
            <w:r>
              <w:rPr>
                <w:noProof/>
                <w:webHidden/>
              </w:rPr>
              <w:fldChar w:fldCharType="separate"/>
            </w:r>
            <w:r>
              <w:rPr>
                <w:noProof/>
                <w:webHidden/>
              </w:rPr>
              <w:t>40</w:t>
            </w:r>
            <w:r>
              <w:rPr>
                <w:noProof/>
                <w:webHidden/>
              </w:rPr>
              <w:fldChar w:fldCharType="end"/>
            </w:r>
          </w:hyperlink>
        </w:p>
        <w:p w14:paraId="15C610D1" w14:textId="5A57EF85" w:rsidR="0096027B" w:rsidRPr="00C729C0" w:rsidRDefault="0096027B" w:rsidP="0045227F">
          <w:pPr>
            <w:spacing w:line="360" w:lineRule="auto"/>
            <w:rPr>
              <w:rFonts w:ascii="Arial" w:hAnsi="Arial" w:cs="Arial"/>
            </w:rPr>
          </w:pPr>
          <w:r w:rsidRPr="00C729C0">
            <w:rPr>
              <w:rFonts w:ascii="Arial" w:hAnsi="Arial" w:cs="Arial"/>
              <w:b/>
              <w:bCs/>
              <w:noProof/>
            </w:rPr>
            <w:fldChar w:fldCharType="end"/>
          </w:r>
        </w:p>
      </w:sdtContent>
    </w:sdt>
    <w:p w14:paraId="21934780" w14:textId="77777777" w:rsidR="001057A3" w:rsidRPr="00C729C0" w:rsidRDefault="001057A3" w:rsidP="0045227F">
      <w:pPr>
        <w:spacing w:before="100" w:beforeAutospacing="1" w:after="100" w:afterAutospacing="1" w:line="360" w:lineRule="auto"/>
        <w:outlineLvl w:val="0"/>
        <w:rPr>
          <w:rFonts w:ascii="Arial" w:eastAsia="Times New Roman" w:hAnsi="Arial" w:cs="Arial"/>
          <w:b/>
          <w:bCs/>
          <w:kern w:val="36"/>
          <w:lang w:eastAsia="en-GB"/>
          <w14:ligatures w14:val="none"/>
        </w:rPr>
      </w:pPr>
    </w:p>
    <w:p w14:paraId="2A2AB9DD" w14:textId="77777777" w:rsidR="00673666" w:rsidRPr="00C729C0" w:rsidRDefault="00673666" w:rsidP="0045227F">
      <w:pPr>
        <w:spacing w:before="100" w:beforeAutospacing="1" w:after="100" w:afterAutospacing="1" w:line="360" w:lineRule="auto"/>
        <w:outlineLvl w:val="0"/>
        <w:rPr>
          <w:rFonts w:ascii="Arial" w:eastAsia="Times New Roman" w:hAnsi="Arial" w:cs="Arial"/>
          <w:b/>
          <w:bCs/>
          <w:kern w:val="36"/>
          <w:lang w:eastAsia="en-GB"/>
          <w14:ligatures w14:val="none"/>
        </w:rPr>
      </w:pPr>
    </w:p>
    <w:p w14:paraId="032E0EC7" w14:textId="77777777" w:rsidR="0096027B" w:rsidRPr="00C729C0" w:rsidRDefault="0096027B" w:rsidP="0045227F">
      <w:pPr>
        <w:spacing w:before="100" w:beforeAutospacing="1" w:after="100" w:afterAutospacing="1" w:line="360" w:lineRule="auto"/>
        <w:outlineLvl w:val="0"/>
        <w:rPr>
          <w:rFonts w:ascii="Arial" w:eastAsia="Times New Roman" w:hAnsi="Arial" w:cs="Arial"/>
          <w:b/>
          <w:bCs/>
          <w:kern w:val="36"/>
          <w:lang w:eastAsia="en-GB"/>
          <w14:ligatures w14:val="none"/>
        </w:rPr>
      </w:pPr>
    </w:p>
    <w:p w14:paraId="34F08211" w14:textId="77777777" w:rsidR="0045227F" w:rsidRDefault="0045227F" w:rsidP="0045227F">
      <w:pPr>
        <w:spacing w:before="100" w:beforeAutospacing="1" w:after="100" w:afterAutospacing="1" w:line="360" w:lineRule="auto"/>
        <w:outlineLvl w:val="0"/>
        <w:rPr>
          <w:rFonts w:ascii="Arial" w:eastAsia="Times New Roman" w:hAnsi="Arial" w:cs="Arial"/>
          <w:b/>
          <w:bCs/>
          <w:kern w:val="36"/>
          <w:lang w:eastAsia="en-GB"/>
          <w14:ligatures w14:val="none"/>
        </w:rPr>
      </w:pPr>
      <w:bookmarkStart w:id="1" w:name="_Toc224822915"/>
    </w:p>
    <w:p w14:paraId="44292E40" w14:textId="7842C79B" w:rsidR="002A54AB" w:rsidRPr="00C729C0" w:rsidRDefault="002A54AB" w:rsidP="0045227F">
      <w:pPr>
        <w:spacing w:before="100" w:beforeAutospacing="1" w:after="100" w:afterAutospacing="1" w:line="360" w:lineRule="auto"/>
        <w:outlineLvl w:val="0"/>
        <w:rPr>
          <w:rFonts w:ascii="Arial" w:eastAsia="Times New Roman" w:hAnsi="Arial" w:cs="Arial"/>
          <w:b/>
          <w:bCs/>
          <w:kern w:val="36"/>
          <w:lang w:eastAsia="en-GB"/>
          <w14:ligatures w14:val="none"/>
        </w:rPr>
      </w:pPr>
      <w:r w:rsidRPr="00C729C0">
        <w:rPr>
          <w:rFonts w:ascii="Arial" w:eastAsia="Times New Roman" w:hAnsi="Arial" w:cs="Arial"/>
          <w:b/>
          <w:bCs/>
          <w:kern w:val="36"/>
          <w:lang w:eastAsia="en-GB"/>
          <w14:ligatures w14:val="none"/>
        </w:rPr>
        <w:lastRenderedPageBreak/>
        <w:t>Executive Summary</w:t>
      </w:r>
      <w:bookmarkEnd w:id="1"/>
    </w:p>
    <w:p w14:paraId="7AE0145B" w14:textId="77777777" w:rsidR="003D550C" w:rsidRPr="00C729C0" w:rsidRDefault="003D550C" w:rsidP="0045227F">
      <w:pPr>
        <w:pStyle w:val="NormalWeb"/>
        <w:spacing w:line="360" w:lineRule="auto"/>
        <w:rPr>
          <w:rFonts w:ascii="Arial" w:hAnsi="Arial" w:cs="Arial"/>
        </w:rPr>
      </w:pPr>
      <w:r w:rsidRPr="00C729C0">
        <w:rPr>
          <w:rFonts w:ascii="Arial" w:hAnsi="Arial" w:cs="Arial"/>
        </w:rPr>
        <w:t>This report evaluates the financial performance and strategic financial position of Tesla Inc. over the five-year period from 2019 to 2023. The analysis applies financial ratio analysis, working capital management evaluation, capital structure assessment, and investment appraisal techniques to support strategic financial decision-making.</w:t>
      </w:r>
    </w:p>
    <w:p w14:paraId="0179CF5D" w14:textId="77777777" w:rsidR="003D550C" w:rsidRPr="00C729C0" w:rsidRDefault="0028572A" w:rsidP="0045227F">
      <w:pPr>
        <w:pStyle w:val="NormalWeb"/>
        <w:spacing w:line="360" w:lineRule="auto"/>
        <w:rPr>
          <w:rFonts w:ascii="Arial" w:hAnsi="Arial" w:cs="Arial"/>
        </w:rPr>
      </w:pPr>
      <w:r w:rsidRPr="00C729C0">
        <w:rPr>
          <w:rFonts w:ascii="Arial" w:hAnsi="Arial" w:cs="Arial"/>
        </w:rPr>
        <w:t>Financial ratio evaluation shows that Tesla’s financial performance improved substantially over the five-year period.</w:t>
      </w:r>
      <w:r w:rsidR="003D550C" w:rsidRPr="00C729C0">
        <w:rPr>
          <w:rFonts w:ascii="Arial" w:hAnsi="Arial" w:cs="Arial"/>
        </w:rPr>
        <w:t xml:space="preserve"> Profitability increased substantially, with net profit margin rising from negative levels in 2019 to over 15% in 2023. Return on equity also increased significantly, demonstrating Tesla’s ability to generate strong returns for shareholders. Liquidity strengthened over time, with the current ratio reaching 1.48 in 2023, indicating that Tesla can comfortably meet its short-term financial obligations.</w:t>
      </w:r>
    </w:p>
    <w:p w14:paraId="3914D044" w14:textId="77777777" w:rsidR="003D550C" w:rsidRPr="00C729C0" w:rsidRDefault="003D550C" w:rsidP="0045227F">
      <w:pPr>
        <w:pStyle w:val="NormalWeb"/>
        <w:spacing w:line="360" w:lineRule="auto"/>
        <w:rPr>
          <w:rFonts w:ascii="Arial" w:hAnsi="Arial" w:cs="Arial"/>
        </w:rPr>
      </w:pPr>
      <w:r w:rsidRPr="00C729C0">
        <w:rPr>
          <w:rFonts w:ascii="Arial" w:hAnsi="Arial" w:cs="Arial"/>
        </w:rPr>
        <w:t>Working capital analysis shows that Tesla manages its operating cycle efficiently. Rapid receivable collection and favourable supplier credit terms contribute to a short or negative working capital cycle in several years. This improves cash flow and reduces the need for external financing.</w:t>
      </w:r>
    </w:p>
    <w:p w14:paraId="6E86A45B" w14:textId="77777777" w:rsidR="00494F50" w:rsidRPr="00C729C0" w:rsidRDefault="00494F50" w:rsidP="0045227F">
      <w:pPr>
        <w:pStyle w:val="NormalWeb"/>
        <w:spacing w:line="360" w:lineRule="auto"/>
        <w:rPr>
          <w:rFonts w:ascii="Arial" w:hAnsi="Arial" w:cs="Arial"/>
        </w:rPr>
      </w:pPr>
      <w:r w:rsidRPr="00C729C0">
        <w:rPr>
          <w:rFonts w:ascii="Arial" w:hAnsi="Arial" w:cs="Arial"/>
        </w:rPr>
        <w:t>Investment appraisal analysis indicates that Project C demonstrates the strongest individual financial performance across multiple evaluation methods, including payback period, accounting rate of return, and profitability index. However, under the capital rationing constraint of £100 million, the optimal investment strategy is to undertake Projects B and C, as this combination maximises overall financial returns within the available investment budget.</w:t>
      </w:r>
    </w:p>
    <w:p w14:paraId="3E5C32B1" w14:textId="77777777" w:rsidR="003D550C" w:rsidRPr="00C729C0" w:rsidRDefault="003D550C" w:rsidP="0045227F">
      <w:pPr>
        <w:pStyle w:val="NormalWeb"/>
        <w:spacing w:line="360" w:lineRule="auto"/>
        <w:rPr>
          <w:rFonts w:ascii="Arial" w:hAnsi="Arial" w:cs="Arial"/>
        </w:rPr>
      </w:pPr>
      <w:r w:rsidRPr="00C729C0">
        <w:rPr>
          <w:rFonts w:ascii="Arial" w:hAnsi="Arial" w:cs="Arial"/>
        </w:rPr>
        <w:t>Overall, Tesla demonstrates strong financial health, efficient working capital management, and a stable capital structure. Strategic financial management focused on efficient investment decisions, strong liquidity management, and balanced capital structure will support Tesla’s long-term growth and shareholder value creation.</w:t>
      </w:r>
    </w:p>
    <w:p w14:paraId="72117F0C" w14:textId="77777777" w:rsidR="00D27795" w:rsidRPr="00C729C0" w:rsidRDefault="00D27795" w:rsidP="0045227F">
      <w:pPr>
        <w:spacing w:before="100" w:beforeAutospacing="1" w:after="100" w:afterAutospacing="1" w:line="360" w:lineRule="auto"/>
        <w:outlineLvl w:val="0"/>
        <w:rPr>
          <w:rFonts w:ascii="Arial" w:eastAsia="Times New Roman" w:hAnsi="Arial" w:cs="Arial"/>
          <w:b/>
          <w:bCs/>
          <w:kern w:val="36"/>
          <w:lang w:eastAsia="en-GB"/>
          <w14:ligatures w14:val="none"/>
        </w:rPr>
      </w:pPr>
      <w:bookmarkStart w:id="2" w:name="_Toc224822916"/>
      <w:r w:rsidRPr="00C729C0">
        <w:rPr>
          <w:rFonts w:ascii="Arial" w:eastAsia="Times New Roman" w:hAnsi="Arial" w:cs="Arial"/>
          <w:b/>
          <w:bCs/>
          <w:kern w:val="36"/>
          <w:lang w:eastAsia="en-GB"/>
          <w14:ligatures w14:val="none"/>
        </w:rPr>
        <w:t>CFO Strategic Financial Management Report</w:t>
      </w:r>
      <w:bookmarkEnd w:id="2"/>
    </w:p>
    <w:p w14:paraId="2443EBE4" w14:textId="77777777" w:rsidR="00D27795" w:rsidRPr="00C729C0" w:rsidRDefault="00D27795" w:rsidP="0045227F">
      <w:pPr>
        <w:spacing w:before="100" w:beforeAutospacing="1" w:after="100" w:afterAutospacing="1" w:line="360" w:lineRule="auto"/>
        <w:outlineLvl w:val="0"/>
        <w:rPr>
          <w:rFonts w:ascii="Arial" w:eastAsia="Times New Roman" w:hAnsi="Arial" w:cs="Arial"/>
          <w:b/>
          <w:bCs/>
          <w:kern w:val="36"/>
          <w:lang w:eastAsia="en-GB"/>
          <w14:ligatures w14:val="none"/>
        </w:rPr>
      </w:pPr>
      <w:bookmarkStart w:id="3" w:name="_Toc224822917"/>
      <w:r w:rsidRPr="00C729C0">
        <w:rPr>
          <w:rFonts w:ascii="Arial" w:eastAsia="Times New Roman" w:hAnsi="Arial" w:cs="Arial"/>
          <w:b/>
          <w:bCs/>
          <w:kern w:val="36"/>
          <w:lang w:eastAsia="en-GB"/>
          <w14:ligatures w14:val="none"/>
        </w:rPr>
        <w:t>Company: Tesla Inc.</w:t>
      </w:r>
      <w:bookmarkEnd w:id="3"/>
    </w:p>
    <w:p w14:paraId="5CBD5F78" w14:textId="77777777" w:rsidR="00D27795" w:rsidRPr="00C729C0" w:rsidRDefault="00D27795" w:rsidP="0045227F">
      <w:pPr>
        <w:spacing w:before="100" w:beforeAutospacing="1" w:after="100" w:afterAutospacing="1" w:line="360" w:lineRule="auto"/>
        <w:outlineLvl w:val="0"/>
        <w:rPr>
          <w:rFonts w:ascii="Arial" w:eastAsia="Times New Roman" w:hAnsi="Arial" w:cs="Arial"/>
          <w:b/>
          <w:bCs/>
          <w:kern w:val="36"/>
          <w:sz w:val="28"/>
          <w:szCs w:val="28"/>
          <w:lang w:eastAsia="en-GB"/>
          <w14:ligatures w14:val="none"/>
        </w:rPr>
      </w:pPr>
      <w:bookmarkStart w:id="4" w:name="_Toc224822918"/>
      <w:r w:rsidRPr="00C729C0">
        <w:rPr>
          <w:rFonts w:ascii="Arial" w:eastAsia="Times New Roman" w:hAnsi="Arial" w:cs="Arial"/>
          <w:b/>
          <w:bCs/>
          <w:kern w:val="36"/>
          <w:sz w:val="28"/>
          <w:szCs w:val="28"/>
          <w:lang w:eastAsia="en-GB"/>
          <w14:ligatures w14:val="none"/>
        </w:rPr>
        <w:lastRenderedPageBreak/>
        <w:t xml:space="preserve">Section 1: Financial Health Check </w:t>
      </w:r>
      <w:r w:rsidR="00D9259B" w:rsidRPr="00C729C0">
        <w:rPr>
          <w:rFonts w:ascii="Arial" w:eastAsia="Times New Roman" w:hAnsi="Arial" w:cs="Arial"/>
          <w:b/>
          <w:bCs/>
          <w:kern w:val="36"/>
          <w:sz w:val="28"/>
          <w:szCs w:val="28"/>
          <w:lang w:eastAsia="en-GB"/>
          <w14:ligatures w14:val="none"/>
        </w:rPr>
        <w:t>(2019–2023)</w:t>
      </w:r>
      <w:bookmarkEnd w:id="4"/>
    </w:p>
    <w:p w14:paraId="68047008" w14:textId="77777777" w:rsidR="00940D5A" w:rsidRPr="00C729C0" w:rsidRDefault="00940D5A"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1.1 Introduction</w:t>
      </w:r>
    </w:p>
    <w:p w14:paraId="0D4AE343"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Financial ratios are widely used to evaluate a company’s financial performance, including profitability, liquidity, efficiency, and financial risk. Ratio analysis enables comparison over time and supports informed strategic decision-making (Brealey, Myers and Allen, 2020; Ross, Westerfield and Jordan, 2022; Fraser and Ormiston, 2016).</w:t>
      </w:r>
    </w:p>
    <w:p w14:paraId="0CFD3A97"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Profitability reflects a firm’s ability to generate earnings, liquidity assesses its capacity to meet short-term obligations, efficiency measures how effectively resources are utilised, and capital structure evaluates financial risk (</w:t>
      </w:r>
      <w:proofErr w:type="spellStart"/>
      <w:r w:rsidRPr="00C729C0">
        <w:rPr>
          <w:rFonts w:ascii="Arial" w:eastAsia="Times New Roman" w:hAnsi="Arial" w:cs="Arial"/>
          <w:kern w:val="0"/>
          <w:lang w:eastAsia="en-GB"/>
          <w14:ligatures w14:val="none"/>
        </w:rPr>
        <w:t>Atrill</w:t>
      </w:r>
      <w:proofErr w:type="spellEnd"/>
      <w:r w:rsidRPr="00C729C0">
        <w:rPr>
          <w:rFonts w:ascii="Arial" w:eastAsia="Times New Roman" w:hAnsi="Arial" w:cs="Arial"/>
          <w:kern w:val="0"/>
          <w:lang w:eastAsia="en-GB"/>
          <w14:ligatures w14:val="none"/>
        </w:rPr>
        <w:t xml:space="preserve"> and McLaney, 2019; Brigham and Houston, 2022).</w:t>
      </w:r>
    </w:p>
    <w:p w14:paraId="69BD5DA3"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This analysis is based on Tesla’s income statement, statement of financial position, and cash flow statement. Profitability ratios are derived from income statement data, while liquidity and efficiency ratios are based on balance sheet figures. Cash flow analysis supports the evaluation of financial sustainability and operational performance (Penman, 2013).</w:t>
      </w:r>
    </w:p>
    <w:p w14:paraId="20BE2B8E" w14:textId="77777777" w:rsidR="00940D5A" w:rsidRPr="00C729C0" w:rsidRDefault="00940D5A"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1.2 Profitability Analysis</w:t>
      </w:r>
    </w:p>
    <w:p w14:paraId="3A99AB4C"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Profitability ratios evaluate how effectively a company converts revenue into profit and are key indicators of financial performance (</w:t>
      </w:r>
      <w:proofErr w:type="spellStart"/>
      <w:r w:rsidRPr="00C729C0">
        <w:rPr>
          <w:rFonts w:ascii="Arial" w:eastAsia="Times New Roman" w:hAnsi="Arial" w:cs="Arial"/>
          <w:kern w:val="0"/>
          <w:lang w:eastAsia="en-GB"/>
          <w14:ligatures w14:val="none"/>
        </w:rPr>
        <w:t>Atrill</w:t>
      </w:r>
      <w:proofErr w:type="spellEnd"/>
      <w:r w:rsidRPr="00C729C0">
        <w:rPr>
          <w:rFonts w:ascii="Arial" w:eastAsia="Times New Roman" w:hAnsi="Arial" w:cs="Arial"/>
          <w:kern w:val="0"/>
          <w:lang w:eastAsia="en-GB"/>
          <w14:ligatures w14:val="none"/>
        </w:rPr>
        <w:t xml:space="preserve"> and McLaney, 2019; Penman, 2013).</w:t>
      </w:r>
    </w:p>
    <w:p w14:paraId="344D4BBE" w14:textId="77777777" w:rsidR="00940D5A" w:rsidRPr="00C729C0" w:rsidRDefault="00940D5A"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1.2.1 Gross Profit Margin Analysis</w:t>
      </w:r>
    </w:p>
    <w:p w14:paraId="145F764B"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Gross Profit Margin (%) = Gross Profit / Revenue × 100</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29"/>
        <w:gridCol w:w="1654"/>
        <w:gridCol w:w="2041"/>
        <w:gridCol w:w="2336"/>
      </w:tblGrid>
      <w:tr w:rsidR="00940D5A" w:rsidRPr="00C729C0" w14:paraId="172A340A" w14:textId="77777777" w:rsidTr="00102E50">
        <w:trPr>
          <w:tblHeader/>
          <w:tblCellSpacing w:w="15" w:type="dxa"/>
        </w:trPr>
        <w:tc>
          <w:tcPr>
            <w:tcW w:w="0" w:type="auto"/>
            <w:vAlign w:val="center"/>
            <w:hideMark/>
          </w:tcPr>
          <w:p w14:paraId="2D49CC8D" w14:textId="77777777" w:rsidR="00940D5A" w:rsidRPr="00C729C0" w:rsidRDefault="00940D5A"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Year</w:t>
            </w:r>
          </w:p>
        </w:tc>
        <w:tc>
          <w:tcPr>
            <w:tcW w:w="0" w:type="auto"/>
            <w:vAlign w:val="center"/>
            <w:hideMark/>
          </w:tcPr>
          <w:p w14:paraId="033904A2" w14:textId="77777777" w:rsidR="00940D5A" w:rsidRPr="00C729C0" w:rsidRDefault="00940D5A"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Revenue ($m)</w:t>
            </w:r>
          </w:p>
        </w:tc>
        <w:tc>
          <w:tcPr>
            <w:tcW w:w="0" w:type="auto"/>
            <w:vAlign w:val="center"/>
            <w:hideMark/>
          </w:tcPr>
          <w:p w14:paraId="3D73724D" w14:textId="77777777" w:rsidR="00940D5A" w:rsidRPr="00C729C0" w:rsidRDefault="00940D5A"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Gross Profit ($m)</w:t>
            </w:r>
          </w:p>
        </w:tc>
        <w:tc>
          <w:tcPr>
            <w:tcW w:w="0" w:type="auto"/>
            <w:vAlign w:val="center"/>
            <w:hideMark/>
          </w:tcPr>
          <w:p w14:paraId="10F4B757" w14:textId="77777777" w:rsidR="00940D5A" w:rsidRPr="00C729C0" w:rsidRDefault="00940D5A"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Gross Profit Margin</w:t>
            </w:r>
          </w:p>
        </w:tc>
      </w:tr>
      <w:tr w:rsidR="00940D5A" w:rsidRPr="00C729C0" w14:paraId="7E552F7F" w14:textId="77777777" w:rsidTr="00102E50">
        <w:trPr>
          <w:tblCellSpacing w:w="15" w:type="dxa"/>
        </w:trPr>
        <w:tc>
          <w:tcPr>
            <w:tcW w:w="0" w:type="auto"/>
            <w:vAlign w:val="center"/>
            <w:hideMark/>
          </w:tcPr>
          <w:p w14:paraId="491B1649"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2019</w:t>
            </w:r>
          </w:p>
        </w:tc>
        <w:tc>
          <w:tcPr>
            <w:tcW w:w="0" w:type="auto"/>
            <w:vAlign w:val="center"/>
            <w:hideMark/>
          </w:tcPr>
          <w:p w14:paraId="2F32C045"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24,578</w:t>
            </w:r>
          </w:p>
        </w:tc>
        <w:tc>
          <w:tcPr>
            <w:tcW w:w="0" w:type="auto"/>
            <w:vAlign w:val="center"/>
            <w:hideMark/>
          </w:tcPr>
          <w:p w14:paraId="4906D110"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4,069</w:t>
            </w:r>
          </w:p>
        </w:tc>
        <w:tc>
          <w:tcPr>
            <w:tcW w:w="0" w:type="auto"/>
            <w:vAlign w:val="center"/>
            <w:hideMark/>
          </w:tcPr>
          <w:p w14:paraId="258F1CEB"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16.6%</w:t>
            </w:r>
          </w:p>
        </w:tc>
      </w:tr>
      <w:tr w:rsidR="00940D5A" w:rsidRPr="00C729C0" w14:paraId="7E1FC451" w14:textId="77777777" w:rsidTr="00102E50">
        <w:trPr>
          <w:tblCellSpacing w:w="15" w:type="dxa"/>
        </w:trPr>
        <w:tc>
          <w:tcPr>
            <w:tcW w:w="0" w:type="auto"/>
            <w:vAlign w:val="center"/>
            <w:hideMark/>
          </w:tcPr>
          <w:p w14:paraId="250C09F5"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2020</w:t>
            </w:r>
          </w:p>
        </w:tc>
        <w:tc>
          <w:tcPr>
            <w:tcW w:w="0" w:type="auto"/>
            <w:vAlign w:val="center"/>
            <w:hideMark/>
          </w:tcPr>
          <w:p w14:paraId="59E6C85B"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31,536</w:t>
            </w:r>
          </w:p>
        </w:tc>
        <w:tc>
          <w:tcPr>
            <w:tcW w:w="0" w:type="auto"/>
            <w:vAlign w:val="center"/>
            <w:hideMark/>
          </w:tcPr>
          <w:p w14:paraId="05A1286C"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6,630</w:t>
            </w:r>
          </w:p>
        </w:tc>
        <w:tc>
          <w:tcPr>
            <w:tcW w:w="0" w:type="auto"/>
            <w:vAlign w:val="center"/>
            <w:hideMark/>
          </w:tcPr>
          <w:p w14:paraId="12987727"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21.0%</w:t>
            </w:r>
          </w:p>
        </w:tc>
      </w:tr>
      <w:tr w:rsidR="00940D5A" w:rsidRPr="00C729C0" w14:paraId="1EB83DDD" w14:textId="77777777" w:rsidTr="00102E50">
        <w:trPr>
          <w:tblCellSpacing w:w="15" w:type="dxa"/>
        </w:trPr>
        <w:tc>
          <w:tcPr>
            <w:tcW w:w="0" w:type="auto"/>
            <w:vAlign w:val="center"/>
            <w:hideMark/>
          </w:tcPr>
          <w:p w14:paraId="23BB5DA0"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2021</w:t>
            </w:r>
          </w:p>
        </w:tc>
        <w:tc>
          <w:tcPr>
            <w:tcW w:w="0" w:type="auto"/>
            <w:vAlign w:val="center"/>
            <w:hideMark/>
          </w:tcPr>
          <w:p w14:paraId="660382E3"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53,823</w:t>
            </w:r>
          </w:p>
        </w:tc>
        <w:tc>
          <w:tcPr>
            <w:tcW w:w="0" w:type="auto"/>
            <w:vAlign w:val="center"/>
            <w:hideMark/>
          </w:tcPr>
          <w:p w14:paraId="2FC12E69"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13,606</w:t>
            </w:r>
          </w:p>
        </w:tc>
        <w:tc>
          <w:tcPr>
            <w:tcW w:w="0" w:type="auto"/>
            <w:vAlign w:val="center"/>
            <w:hideMark/>
          </w:tcPr>
          <w:p w14:paraId="211E33DC"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25.3%</w:t>
            </w:r>
          </w:p>
        </w:tc>
      </w:tr>
      <w:tr w:rsidR="00940D5A" w:rsidRPr="00C729C0" w14:paraId="7F5A61FD" w14:textId="77777777" w:rsidTr="00102E50">
        <w:trPr>
          <w:tblCellSpacing w:w="15" w:type="dxa"/>
        </w:trPr>
        <w:tc>
          <w:tcPr>
            <w:tcW w:w="0" w:type="auto"/>
            <w:vAlign w:val="center"/>
            <w:hideMark/>
          </w:tcPr>
          <w:p w14:paraId="1D2A10F1"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lastRenderedPageBreak/>
              <w:t>2022</w:t>
            </w:r>
          </w:p>
        </w:tc>
        <w:tc>
          <w:tcPr>
            <w:tcW w:w="0" w:type="auto"/>
            <w:vAlign w:val="center"/>
            <w:hideMark/>
          </w:tcPr>
          <w:p w14:paraId="71D8B63A"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81,462</w:t>
            </w:r>
          </w:p>
        </w:tc>
        <w:tc>
          <w:tcPr>
            <w:tcW w:w="0" w:type="auto"/>
            <w:vAlign w:val="center"/>
            <w:hideMark/>
          </w:tcPr>
          <w:p w14:paraId="21D3D69E"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20,853</w:t>
            </w:r>
          </w:p>
        </w:tc>
        <w:tc>
          <w:tcPr>
            <w:tcW w:w="0" w:type="auto"/>
            <w:vAlign w:val="center"/>
            <w:hideMark/>
          </w:tcPr>
          <w:p w14:paraId="56DD3580"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25.6%</w:t>
            </w:r>
          </w:p>
        </w:tc>
      </w:tr>
      <w:tr w:rsidR="00940D5A" w:rsidRPr="00C729C0" w14:paraId="10A80AF9" w14:textId="77777777" w:rsidTr="00102E50">
        <w:trPr>
          <w:tblCellSpacing w:w="15" w:type="dxa"/>
        </w:trPr>
        <w:tc>
          <w:tcPr>
            <w:tcW w:w="0" w:type="auto"/>
            <w:vAlign w:val="center"/>
            <w:hideMark/>
          </w:tcPr>
          <w:p w14:paraId="496E15BB"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2023</w:t>
            </w:r>
          </w:p>
        </w:tc>
        <w:tc>
          <w:tcPr>
            <w:tcW w:w="0" w:type="auto"/>
            <w:vAlign w:val="center"/>
            <w:hideMark/>
          </w:tcPr>
          <w:p w14:paraId="1F44734A"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96,773</w:t>
            </w:r>
          </w:p>
        </w:tc>
        <w:tc>
          <w:tcPr>
            <w:tcW w:w="0" w:type="auto"/>
            <w:vAlign w:val="center"/>
            <w:hideMark/>
          </w:tcPr>
          <w:p w14:paraId="200794E2"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17,660</w:t>
            </w:r>
          </w:p>
        </w:tc>
        <w:tc>
          <w:tcPr>
            <w:tcW w:w="0" w:type="auto"/>
            <w:vAlign w:val="center"/>
            <w:hideMark/>
          </w:tcPr>
          <w:p w14:paraId="5DE76204"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18.3%</w:t>
            </w:r>
          </w:p>
        </w:tc>
      </w:tr>
    </w:tbl>
    <w:p w14:paraId="19B9ABEE" w14:textId="45FF0339"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br/>
      </w:r>
      <w:r w:rsidRPr="00C729C0">
        <w:rPr>
          <w:rFonts w:ascii="Arial" w:eastAsia="Times New Roman" w:hAnsi="Arial" w:cs="Arial"/>
          <w:b/>
          <w:bCs/>
          <w:kern w:val="0"/>
          <w:lang w:eastAsia="en-GB"/>
          <w14:ligatures w14:val="none"/>
        </w:rPr>
        <w:t>Table 1: Tesla Gross Profit Margin (2019–2023)</w:t>
      </w:r>
      <w:r w:rsidRPr="00C729C0">
        <w:rPr>
          <w:rFonts w:ascii="Arial" w:eastAsia="Times New Roman" w:hAnsi="Arial" w:cs="Arial"/>
          <w:kern w:val="0"/>
          <w:lang w:eastAsia="en-GB"/>
          <w14:ligatures w14:val="none"/>
        </w:rPr>
        <w:br/>
        <w:t>(Source: Tesla Annual Reports, 2019–2023)</w:t>
      </w:r>
    </w:p>
    <w:p w14:paraId="6FA3CF3C" w14:textId="646CA2A3" w:rsidR="00015051" w:rsidRPr="00C729C0" w:rsidRDefault="00015051" w:rsidP="0045227F">
      <w:pPr>
        <w:spacing w:before="100" w:beforeAutospacing="1" w:after="100" w:afterAutospacing="1" w:line="360" w:lineRule="auto"/>
        <w:rPr>
          <w:rFonts w:ascii="Arial" w:hAnsi="Arial" w:cs="Arial"/>
        </w:rPr>
      </w:pPr>
      <w:r w:rsidRPr="00C729C0">
        <w:rPr>
          <w:rFonts w:ascii="Arial" w:hAnsi="Arial" w:cs="Arial"/>
          <w:noProof/>
        </w:rPr>
        <w:drawing>
          <wp:inline distT="0" distB="0" distL="0" distR="0" wp14:anchorId="565F60AC" wp14:editId="7F43BB12">
            <wp:extent cx="5730875" cy="5730875"/>
            <wp:effectExtent l="0" t="0" r="3175"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5730875"/>
                    </a:xfrm>
                    <a:prstGeom prst="rect">
                      <a:avLst/>
                    </a:prstGeom>
                    <a:noFill/>
                    <a:ln>
                      <a:noFill/>
                    </a:ln>
                  </pic:spPr>
                </pic:pic>
              </a:graphicData>
            </a:graphic>
          </wp:inline>
        </w:drawing>
      </w:r>
    </w:p>
    <w:p w14:paraId="632B8356" w14:textId="22FD6F4E" w:rsidR="00015051" w:rsidRPr="00C729C0" w:rsidRDefault="00015051"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hAnsi="Arial" w:cs="Arial"/>
        </w:rPr>
        <w:t>Figure 1: Tesla Profitability Trend (2019–2023)</w:t>
      </w:r>
    </w:p>
    <w:p w14:paraId="033CCD9B" w14:textId="77777777" w:rsidR="00E910DF" w:rsidRPr="00C729C0" w:rsidRDefault="00940D5A" w:rsidP="0045227F">
      <w:pPr>
        <w:spacing w:before="100" w:beforeAutospacing="1" w:after="100" w:afterAutospacing="1" w:line="360" w:lineRule="auto"/>
        <w:rPr>
          <w:rFonts w:ascii="Arial" w:hAnsi="Arial" w:cs="Arial"/>
        </w:rPr>
      </w:pPr>
      <w:r w:rsidRPr="00C729C0">
        <w:rPr>
          <w:rFonts w:ascii="Arial" w:eastAsia="Times New Roman" w:hAnsi="Arial" w:cs="Arial"/>
          <w:kern w:val="0"/>
          <w:lang w:eastAsia="en-GB"/>
          <w14:ligatures w14:val="none"/>
        </w:rPr>
        <w:lastRenderedPageBreak/>
        <w:t xml:space="preserve">Tesla’s gross profit margin increased from 16.6% in 2019 to 25.6% in 2022, representing a significant improvement driven by economies of scale, production efficiency, and expansion of manufacturing capacity. This aligns with financial theory, which suggests that increased production volume reduces unit cost and improves margins </w:t>
      </w:r>
      <w:r w:rsidR="00E910DF" w:rsidRPr="00C729C0">
        <w:rPr>
          <w:rFonts w:ascii="Arial" w:hAnsi="Arial" w:cs="Arial"/>
        </w:rPr>
        <w:t>(Brealey et al., 2020; Ross et al., 2022; Berk and DeMarzo, 2020; Watson and Head, 2019)</w:t>
      </w:r>
    </w:p>
    <w:p w14:paraId="6046417D" w14:textId="7D60BCED"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However, the margin declined to 18.3% in 2023, representing a decrease of approximately 28.5%. This decline is primarily due to Tesla’s strategic price reductions to maintain competitiveness in the electric vehicle market. This reflects the trade-off between revenue growth and profitability, where price reductions increase demand but reduce margins (Damodaran, 2021</w:t>
      </w:r>
      <w:r w:rsidR="00B55834" w:rsidRPr="00C729C0">
        <w:rPr>
          <w:rFonts w:ascii="Arial" w:eastAsia="Times New Roman" w:hAnsi="Arial" w:cs="Arial"/>
          <w:kern w:val="0"/>
          <w:lang w:eastAsia="en-GB"/>
          <w14:ligatures w14:val="none"/>
        </w:rPr>
        <w:t>;</w:t>
      </w:r>
      <w:r w:rsidR="00B55834" w:rsidRPr="00C729C0">
        <w:rPr>
          <w:rFonts w:ascii="Arial" w:hAnsi="Arial" w:cs="Arial"/>
        </w:rPr>
        <w:t xml:space="preserve"> Berk and DeMarzo, 2020; Watson and Head, 2019).</w:t>
      </w:r>
    </w:p>
    <w:p w14:paraId="024B5456" w14:textId="77777777" w:rsidR="00940D5A" w:rsidRPr="00C729C0" w:rsidRDefault="00940D5A"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1.2.2 Net Profit Margin Analysis</w:t>
      </w:r>
    </w:p>
    <w:p w14:paraId="1EEF1C12"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Net Profit Margin (%) = Net Profit / Revenue × 100</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29"/>
        <w:gridCol w:w="1734"/>
        <w:gridCol w:w="1654"/>
        <w:gridCol w:w="2029"/>
      </w:tblGrid>
      <w:tr w:rsidR="00940D5A" w:rsidRPr="00C729C0" w14:paraId="051E93CA" w14:textId="77777777" w:rsidTr="00102E50">
        <w:trPr>
          <w:tblHeader/>
          <w:tblCellSpacing w:w="15" w:type="dxa"/>
        </w:trPr>
        <w:tc>
          <w:tcPr>
            <w:tcW w:w="0" w:type="auto"/>
            <w:vAlign w:val="center"/>
            <w:hideMark/>
          </w:tcPr>
          <w:p w14:paraId="56149430" w14:textId="77777777" w:rsidR="00940D5A" w:rsidRPr="00C729C0" w:rsidRDefault="00940D5A"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Year</w:t>
            </w:r>
          </w:p>
        </w:tc>
        <w:tc>
          <w:tcPr>
            <w:tcW w:w="0" w:type="auto"/>
            <w:vAlign w:val="center"/>
            <w:hideMark/>
          </w:tcPr>
          <w:p w14:paraId="6E85E860" w14:textId="77777777" w:rsidR="00940D5A" w:rsidRPr="00C729C0" w:rsidRDefault="00940D5A"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Net Profit ($m)</w:t>
            </w:r>
          </w:p>
        </w:tc>
        <w:tc>
          <w:tcPr>
            <w:tcW w:w="0" w:type="auto"/>
            <w:vAlign w:val="center"/>
            <w:hideMark/>
          </w:tcPr>
          <w:p w14:paraId="22309D25" w14:textId="77777777" w:rsidR="00940D5A" w:rsidRPr="00C729C0" w:rsidRDefault="00940D5A"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Revenue ($m)</w:t>
            </w:r>
          </w:p>
        </w:tc>
        <w:tc>
          <w:tcPr>
            <w:tcW w:w="0" w:type="auto"/>
            <w:vAlign w:val="center"/>
            <w:hideMark/>
          </w:tcPr>
          <w:p w14:paraId="3E094811" w14:textId="77777777" w:rsidR="00940D5A" w:rsidRPr="00C729C0" w:rsidRDefault="00940D5A"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Net Profit Margin</w:t>
            </w:r>
          </w:p>
        </w:tc>
      </w:tr>
      <w:tr w:rsidR="00940D5A" w:rsidRPr="00C729C0" w14:paraId="5E23BAA7" w14:textId="77777777" w:rsidTr="00102E50">
        <w:trPr>
          <w:tblCellSpacing w:w="15" w:type="dxa"/>
        </w:trPr>
        <w:tc>
          <w:tcPr>
            <w:tcW w:w="0" w:type="auto"/>
            <w:vAlign w:val="center"/>
            <w:hideMark/>
          </w:tcPr>
          <w:p w14:paraId="0118572C"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2019</w:t>
            </w:r>
          </w:p>
        </w:tc>
        <w:tc>
          <w:tcPr>
            <w:tcW w:w="0" w:type="auto"/>
            <w:vAlign w:val="center"/>
            <w:hideMark/>
          </w:tcPr>
          <w:p w14:paraId="1DD4DB99"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(862)</w:t>
            </w:r>
          </w:p>
        </w:tc>
        <w:tc>
          <w:tcPr>
            <w:tcW w:w="0" w:type="auto"/>
            <w:vAlign w:val="center"/>
            <w:hideMark/>
          </w:tcPr>
          <w:p w14:paraId="09F9414C"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24,578</w:t>
            </w:r>
          </w:p>
        </w:tc>
        <w:tc>
          <w:tcPr>
            <w:tcW w:w="0" w:type="auto"/>
            <w:vAlign w:val="center"/>
            <w:hideMark/>
          </w:tcPr>
          <w:p w14:paraId="3A4AAEE1"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-3.5%</w:t>
            </w:r>
          </w:p>
        </w:tc>
      </w:tr>
      <w:tr w:rsidR="00940D5A" w:rsidRPr="00C729C0" w14:paraId="400CBF58" w14:textId="77777777" w:rsidTr="00102E50">
        <w:trPr>
          <w:tblCellSpacing w:w="15" w:type="dxa"/>
        </w:trPr>
        <w:tc>
          <w:tcPr>
            <w:tcW w:w="0" w:type="auto"/>
            <w:vAlign w:val="center"/>
            <w:hideMark/>
          </w:tcPr>
          <w:p w14:paraId="1BBC70C9"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2020</w:t>
            </w:r>
          </w:p>
        </w:tc>
        <w:tc>
          <w:tcPr>
            <w:tcW w:w="0" w:type="auto"/>
            <w:vAlign w:val="center"/>
            <w:hideMark/>
          </w:tcPr>
          <w:p w14:paraId="273F99E0"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721</w:t>
            </w:r>
          </w:p>
        </w:tc>
        <w:tc>
          <w:tcPr>
            <w:tcW w:w="0" w:type="auto"/>
            <w:vAlign w:val="center"/>
            <w:hideMark/>
          </w:tcPr>
          <w:p w14:paraId="4DFEEB75"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31,536</w:t>
            </w:r>
          </w:p>
        </w:tc>
        <w:tc>
          <w:tcPr>
            <w:tcW w:w="0" w:type="auto"/>
            <w:vAlign w:val="center"/>
            <w:hideMark/>
          </w:tcPr>
          <w:p w14:paraId="479BD37A"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2.3%</w:t>
            </w:r>
          </w:p>
        </w:tc>
      </w:tr>
      <w:tr w:rsidR="00940D5A" w:rsidRPr="00C729C0" w14:paraId="23760F38" w14:textId="77777777" w:rsidTr="00102E50">
        <w:trPr>
          <w:tblCellSpacing w:w="15" w:type="dxa"/>
        </w:trPr>
        <w:tc>
          <w:tcPr>
            <w:tcW w:w="0" w:type="auto"/>
            <w:vAlign w:val="center"/>
            <w:hideMark/>
          </w:tcPr>
          <w:p w14:paraId="44156C82"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2021</w:t>
            </w:r>
          </w:p>
        </w:tc>
        <w:tc>
          <w:tcPr>
            <w:tcW w:w="0" w:type="auto"/>
            <w:vAlign w:val="center"/>
            <w:hideMark/>
          </w:tcPr>
          <w:p w14:paraId="04F09364"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5,524</w:t>
            </w:r>
          </w:p>
        </w:tc>
        <w:tc>
          <w:tcPr>
            <w:tcW w:w="0" w:type="auto"/>
            <w:vAlign w:val="center"/>
            <w:hideMark/>
          </w:tcPr>
          <w:p w14:paraId="1C5326D7"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53,823</w:t>
            </w:r>
          </w:p>
        </w:tc>
        <w:tc>
          <w:tcPr>
            <w:tcW w:w="0" w:type="auto"/>
            <w:vAlign w:val="center"/>
            <w:hideMark/>
          </w:tcPr>
          <w:p w14:paraId="3D05D2D5"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10.3%</w:t>
            </w:r>
          </w:p>
        </w:tc>
      </w:tr>
      <w:tr w:rsidR="00940D5A" w:rsidRPr="00C729C0" w14:paraId="7857A44B" w14:textId="77777777" w:rsidTr="00102E50">
        <w:trPr>
          <w:tblCellSpacing w:w="15" w:type="dxa"/>
        </w:trPr>
        <w:tc>
          <w:tcPr>
            <w:tcW w:w="0" w:type="auto"/>
            <w:vAlign w:val="center"/>
            <w:hideMark/>
          </w:tcPr>
          <w:p w14:paraId="0332A905"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2022</w:t>
            </w:r>
          </w:p>
        </w:tc>
        <w:tc>
          <w:tcPr>
            <w:tcW w:w="0" w:type="auto"/>
            <w:vAlign w:val="center"/>
            <w:hideMark/>
          </w:tcPr>
          <w:p w14:paraId="498AD7D8"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12,556</w:t>
            </w:r>
          </w:p>
        </w:tc>
        <w:tc>
          <w:tcPr>
            <w:tcW w:w="0" w:type="auto"/>
            <w:vAlign w:val="center"/>
            <w:hideMark/>
          </w:tcPr>
          <w:p w14:paraId="6E8747B2"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81,462</w:t>
            </w:r>
          </w:p>
        </w:tc>
        <w:tc>
          <w:tcPr>
            <w:tcW w:w="0" w:type="auto"/>
            <w:vAlign w:val="center"/>
            <w:hideMark/>
          </w:tcPr>
          <w:p w14:paraId="56D65A6B"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15.4%</w:t>
            </w:r>
          </w:p>
        </w:tc>
      </w:tr>
      <w:tr w:rsidR="00940D5A" w:rsidRPr="00C729C0" w14:paraId="3B094671" w14:textId="77777777" w:rsidTr="00102E50">
        <w:trPr>
          <w:tblCellSpacing w:w="15" w:type="dxa"/>
        </w:trPr>
        <w:tc>
          <w:tcPr>
            <w:tcW w:w="0" w:type="auto"/>
            <w:vAlign w:val="center"/>
            <w:hideMark/>
          </w:tcPr>
          <w:p w14:paraId="5546C0E3"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2023</w:t>
            </w:r>
          </w:p>
        </w:tc>
        <w:tc>
          <w:tcPr>
            <w:tcW w:w="0" w:type="auto"/>
            <w:vAlign w:val="center"/>
            <w:hideMark/>
          </w:tcPr>
          <w:p w14:paraId="1662B72F"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14,997</w:t>
            </w:r>
          </w:p>
        </w:tc>
        <w:tc>
          <w:tcPr>
            <w:tcW w:w="0" w:type="auto"/>
            <w:vAlign w:val="center"/>
            <w:hideMark/>
          </w:tcPr>
          <w:p w14:paraId="641A3D12"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96,773</w:t>
            </w:r>
          </w:p>
        </w:tc>
        <w:tc>
          <w:tcPr>
            <w:tcW w:w="0" w:type="auto"/>
            <w:vAlign w:val="center"/>
            <w:hideMark/>
          </w:tcPr>
          <w:p w14:paraId="5DA5C1D1"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15.5%</w:t>
            </w:r>
          </w:p>
        </w:tc>
      </w:tr>
    </w:tbl>
    <w:p w14:paraId="6DE03CE2"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br/>
      </w:r>
      <w:r w:rsidRPr="00C729C0">
        <w:rPr>
          <w:rFonts w:ascii="Arial" w:eastAsia="Times New Roman" w:hAnsi="Arial" w:cs="Arial"/>
          <w:b/>
          <w:bCs/>
          <w:kern w:val="0"/>
          <w:lang w:eastAsia="en-GB"/>
          <w14:ligatures w14:val="none"/>
        </w:rPr>
        <w:t>Table 2: Tesla Net Profit Margin (2019–2023)</w:t>
      </w:r>
    </w:p>
    <w:p w14:paraId="4E8C9027" w14:textId="600D4451"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Style w:val="Strong"/>
          <w:rFonts w:ascii="Arial" w:eastAsiaTheme="majorEastAsia" w:hAnsi="Arial" w:cs="Arial"/>
          <w:noProof/>
        </w:rPr>
        <w:lastRenderedPageBreak/>
        <w:drawing>
          <wp:inline distT="0" distB="0" distL="0" distR="0" wp14:anchorId="4EE578EB" wp14:editId="545CB56C">
            <wp:extent cx="5731510" cy="4298950"/>
            <wp:effectExtent l="0" t="0" r="0" b="6350"/>
            <wp:docPr id="1156419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419493" name=""/>
                    <pic:cNvPicPr/>
                  </pic:nvPicPr>
                  <pic:blipFill>
                    <a:blip r:embed="rId10"/>
                    <a:stretch>
                      <a:fillRect/>
                    </a:stretch>
                  </pic:blipFill>
                  <pic:spPr>
                    <a:xfrm>
                      <a:off x="0" y="0"/>
                      <a:ext cx="5731510" cy="4298950"/>
                    </a:xfrm>
                    <a:prstGeom prst="rect">
                      <a:avLst/>
                    </a:prstGeom>
                  </pic:spPr>
                </pic:pic>
              </a:graphicData>
            </a:graphic>
          </wp:inline>
        </w:drawing>
      </w:r>
      <w:r w:rsidRPr="00C729C0">
        <w:rPr>
          <w:rFonts w:ascii="Arial" w:eastAsia="Times New Roman" w:hAnsi="Arial" w:cs="Arial"/>
          <w:kern w:val="0"/>
          <w:lang w:eastAsia="en-GB"/>
          <w14:ligatures w14:val="none"/>
        </w:rPr>
        <w:br/>
      </w:r>
      <w:r w:rsidRPr="00C729C0">
        <w:rPr>
          <w:rFonts w:ascii="Arial" w:eastAsia="Times New Roman" w:hAnsi="Arial" w:cs="Arial"/>
          <w:b/>
          <w:bCs/>
          <w:kern w:val="0"/>
          <w:lang w:eastAsia="en-GB"/>
          <w14:ligatures w14:val="none"/>
        </w:rPr>
        <w:t xml:space="preserve">Figure </w:t>
      </w:r>
      <w:r w:rsidR="00C729C0">
        <w:rPr>
          <w:rFonts w:ascii="Arial" w:eastAsia="Times New Roman" w:hAnsi="Arial" w:cs="Arial"/>
          <w:b/>
          <w:bCs/>
          <w:kern w:val="0"/>
          <w:lang w:eastAsia="en-GB"/>
          <w14:ligatures w14:val="none"/>
        </w:rPr>
        <w:t>2</w:t>
      </w:r>
      <w:r w:rsidRPr="00C729C0">
        <w:rPr>
          <w:rFonts w:ascii="Arial" w:eastAsia="Times New Roman" w:hAnsi="Arial" w:cs="Arial"/>
          <w:b/>
          <w:bCs/>
          <w:kern w:val="0"/>
          <w:lang w:eastAsia="en-GB"/>
          <w14:ligatures w14:val="none"/>
        </w:rPr>
        <w:t>: Tesla Net Profit Margin Trend</w:t>
      </w:r>
    </w:p>
    <w:p w14:paraId="0183114C" w14:textId="7592F529"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Tesla’s net profit margin improved significantly from -3.5% in 2019 to 15.5% in 2023, reflecting strong operational performance and cost efficiency. This improvement indicates Tesla’s successful transition from a loss-making company to a profitable organisation (Tesla Inc., 2023; Penman, 2013).</w:t>
      </w:r>
    </w:p>
    <w:p w14:paraId="21D42D71" w14:textId="3F02BE9F" w:rsidR="00B55834" w:rsidRPr="00C729C0" w:rsidRDefault="00B55834" w:rsidP="0045227F">
      <w:pPr>
        <w:spacing w:beforeAutospacing="1" w:after="100" w:afterAutospacing="1" w:line="360" w:lineRule="auto"/>
        <w:rPr>
          <w:rFonts w:ascii="Arial" w:eastAsia="Times New Roman" w:hAnsi="Arial" w:cs="Arial"/>
          <w:kern w:val="0"/>
          <w:lang w:eastAsia="en-IN"/>
          <w14:ligatures w14:val="none"/>
        </w:rPr>
      </w:pPr>
      <w:r w:rsidRPr="00C729C0">
        <w:rPr>
          <w:rFonts w:ascii="Arial" w:eastAsia="Times New Roman" w:hAnsi="Arial" w:cs="Arial"/>
          <w:kern w:val="0"/>
          <w:lang w:eastAsia="en-IN"/>
          <w14:ligatures w14:val="none"/>
        </w:rPr>
        <w:t>This reflects established financial performance frameworks which link profitability growth to operational efficiency (Fraser and Ormiston, 2016; Koller et al., 2020).</w:t>
      </w:r>
    </w:p>
    <w:p w14:paraId="1C3B3E05"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Higher net margins indicate improved cost control and operational efficiency, which are key drivers of long-term financial sustainability (</w:t>
      </w:r>
      <w:proofErr w:type="spellStart"/>
      <w:r w:rsidRPr="00C729C0">
        <w:rPr>
          <w:rFonts w:ascii="Arial" w:eastAsia="Times New Roman" w:hAnsi="Arial" w:cs="Arial"/>
          <w:kern w:val="0"/>
          <w:lang w:eastAsia="en-GB"/>
          <w14:ligatures w14:val="none"/>
        </w:rPr>
        <w:t>Atrill</w:t>
      </w:r>
      <w:proofErr w:type="spellEnd"/>
      <w:r w:rsidRPr="00C729C0">
        <w:rPr>
          <w:rFonts w:ascii="Arial" w:eastAsia="Times New Roman" w:hAnsi="Arial" w:cs="Arial"/>
          <w:kern w:val="0"/>
          <w:lang w:eastAsia="en-GB"/>
          <w14:ligatures w14:val="none"/>
        </w:rPr>
        <w:t xml:space="preserve"> and McLaney, 2019).</w:t>
      </w:r>
    </w:p>
    <w:p w14:paraId="27C6FC24"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However, the slower growth in recent years suggests that rising costs and competitive pricing strategies may limit further improvements, indicating the need for continued cost management (Brigham and Houston, 2022).</w:t>
      </w:r>
    </w:p>
    <w:p w14:paraId="17C3CA82" w14:textId="77777777" w:rsidR="00940D5A" w:rsidRPr="00C729C0" w:rsidRDefault="00940D5A"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1.2.3 Return on Equity (ROE) Analysis</w:t>
      </w:r>
    </w:p>
    <w:p w14:paraId="4D3C9BC1"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lastRenderedPageBreak/>
        <w:t>ROE (%) = Net Profit / Shareholders’ Equity × 100</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29"/>
        <w:gridCol w:w="1734"/>
        <w:gridCol w:w="1387"/>
        <w:gridCol w:w="856"/>
      </w:tblGrid>
      <w:tr w:rsidR="00940D5A" w:rsidRPr="00C729C0" w14:paraId="5C4F803E" w14:textId="77777777" w:rsidTr="00102E50">
        <w:trPr>
          <w:tblHeader/>
          <w:tblCellSpacing w:w="15" w:type="dxa"/>
        </w:trPr>
        <w:tc>
          <w:tcPr>
            <w:tcW w:w="0" w:type="auto"/>
            <w:vAlign w:val="center"/>
            <w:hideMark/>
          </w:tcPr>
          <w:p w14:paraId="293017FD" w14:textId="77777777" w:rsidR="00940D5A" w:rsidRPr="00C729C0" w:rsidRDefault="00940D5A"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Year</w:t>
            </w:r>
          </w:p>
        </w:tc>
        <w:tc>
          <w:tcPr>
            <w:tcW w:w="0" w:type="auto"/>
            <w:vAlign w:val="center"/>
            <w:hideMark/>
          </w:tcPr>
          <w:p w14:paraId="3515110A" w14:textId="77777777" w:rsidR="00940D5A" w:rsidRPr="00C729C0" w:rsidRDefault="00940D5A"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Net Profit ($m)</w:t>
            </w:r>
          </w:p>
        </w:tc>
        <w:tc>
          <w:tcPr>
            <w:tcW w:w="0" w:type="auto"/>
            <w:vAlign w:val="center"/>
            <w:hideMark/>
          </w:tcPr>
          <w:p w14:paraId="043B7518" w14:textId="77777777" w:rsidR="00940D5A" w:rsidRPr="00C729C0" w:rsidRDefault="00940D5A"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Equity ($m)</w:t>
            </w:r>
          </w:p>
        </w:tc>
        <w:tc>
          <w:tcPr>
            <w:tcW w:w="0" w:type="auto"/>
            <w:vAlign w:val="center"/>
            <w:hideMark/>
          </w:tcPr>
          <w:p w14:paraId="7807BFA1" w14:textId="77777777" w:rsidR="00940D5A" w:rsidRPr="00C729C0" w:rsidRDefault="00940D5A"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ROE</w:t>
            </w:r>
          </w:p>
        </w:tc>
      </w:tr>
      <w:tr w:rsidR="00940D5A" w:rsidRPr="00C729C0" w14:paraId="2F3DADB1" w14:textId="77777777" w:rsidTr="00102E50">
        <w:trPr>
          <w:tblCellSpacing w:w="15" w:type="dxa"/>
        </w:trPr>
        <w:tc>
          <w:tcPr>
            <w:tcW w:w="0" w:type="auto"/>
            <w:vAlign w:val="center"/>
            <w:hideMark/>
          </w:tcPr>
          <w:p w14:paraId="70F7B4FE"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2019</w:t>
            </w:r>
          </w:p>
        </w:tc>
        <w:tc>
          <w:tcPr>
            <w:tcW w:w="0" w:type="auto"/>
            <w:vAlign w:val="center"/>
            <w:hideMark/>
          </w:tcPr>
          <w:p w14:paraId="69E778BF"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(862)</w:t>
            </w:r>
          </w:p>
        </w:tc>
        <w:tc>
          <w:tcPr>
            <w:tcW w:w="0" w:type="auto"/>
            <w:vAlign w:val="center"/>
            <w:hideMark/>
          </w:tcPr>
          <w:p w14:paraId="7010169E"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6,618</w:t>
            </w:r>
          </w:p>
        </w:tc>
        <w:tc>
          <w:tcPr>
            <w:tcW w:w="0" w:type="auto"/>
            <w:vAlign w:val="center"/>
            <w:hideMark/>
          </w:tcPr>
          <w:p w14:paraId="3440A66F"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-13.0%</w:t>
            </w:r>
          </w:p>
        </w:tc>
      </w:tr>
      <w:tr w:rsidR="00940D5A" w:rsidRPr="00C729C0" w14:paraId="030E2656" w14:textId="77777777" w:rsidTr="00102E50">
        <w:trPr>
          <w:tblCellSpacing w:w="15" w:type="dxa"/>
        </w:trPr>
        <w:tc>
          <w:tcPr>
            <w:tcW w:w="0" w:type="auto"/>
            <w:vAlign w:val="center"/>
            <w:hideMark/>
          </w:tcPr>
          <w:p w14:paraId="6C3D3012"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2020</w:t>
            </w:r>
          </w:p>
        </w:tc>
        <w:tc>
          <w:tcPr>
            <w:tcW w:w="0" w:type="auto"/>
            <w:vAlign w:val="center"/>
            <w:hideMark/>
          </w:tcPr>
          <w:p w14:paraId="026A1B67"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721</w:t>
            </w:r>
          </w:p>
        </w:tc>
        <w:tc>
          <w:tcPr>
            <w:tcW w:w="0" w:type="auto"/>
            <w:vAlign w:val="center"/>
            <w:hideMark/>
          </w:tcPr>
          <w:p w14:paraId="3BA9F172"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22,225</w:t>
            </w:r>
          </w:p>
        </w:tc>
        <w:tc>
          <w:tcPr>
            <w:tcW w:w="0" w:type="auto"/>
            <w:vAlign w:val="center"/>
            <w:hideMark/>
          </w:tcPr>
          <w:p w14:paraId="01A070A5"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3.2%</w:t>
            </w:r>
          </w:p>
        </w:tc>
      </w:tr>
      <w:tr w:rsidR="00940D5A" w:rsidRPr="00C729C0" w14:paraId="133F2E92" w14:textId="77777777" w:rsidTr="00102E50">
        <w:trPr>
          <w:tblCellSpacing w:w="15" w:type="dxa"/>
        </w:trPr>
        <w:tc>
          <w:tcPr>
            <w:tcW w:w="0" w:type="auto"/>
            <w:vAlign w:val="center"/>
            <w:hideMark/>
          </w:tcPr>
          <w:p w14:paraId="50E17427"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2021</w:t>
            </w:r>
          </w:p>
        </w:tc>
        <w:tc>
          <w:tcPr>
            <w:tcW w:w="0" w:type="auto"/>
            <w:vAlign w:val="center"/>
            <w:hideMark/>
          </w:tcPr>
          <w:p w14:paraId="7431E95F"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5,524</w:t>
            </w:r>
          </w:p>
        </w:tc>
        <w:tc>
          <w:tcPr>
            <w:tcW w:w="0" w:type="auto"/>
            <w:vAlign w:val="center"/>
            <w:hideMark/>
          </w:tcPr>
          <w:p w14:paraId="39D2D401"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30,189</w:t>
            </w:r>
          </w:p>
        </w:tc>
        <w:tc>
          <w:tcPr>
            <w:tcW w:w="0" w:type="auto"/>
            <w:vAlign w:val="center"/>
            <w:hideMark/>
          </w:tcPr>
          <w:p w14:paraId="681BF2D1"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18.3%</w:t>
            </w:r>
          </w:p>
        </w:tc>
      </w:tr>
      <w:tr w:rsidR="00940D5A" w:rsidRPr="00C729C0" w14:paraId="2E2F8D7E" w14:textId="77777777" w:rsidTr="00102E50">
        <w:trPr>
          <w:tblCellSpacing w:w="15" w:type="dxa"/>
        </w:trPr>
        <w:tc>
          <w:tcPr>
            <w:tcW w:w="0" w:type="auto"/>
            <w:vAlign w:val="center"/>
            <w:hideMark/>
          </w:tcPr>
          <w:p w14:paraId="79EA4711"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2022</w:t>
            </w:r>
          </w:p>
        </w:tc>
        <w:tc>
          <w:tcPr>
            <w:tcW w:w="0" w:type="auto"/>
            <w:vAlign w:val="center"/>
            <w:hideMark/>
          </w:tcPr>
          <w:p w14:paraId="2BB54193"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12,556</w:t>
            </w:r>
          </w:p>
        </w:tc>
        <w:tc>
          <w:tcPr>
            <w:tcW w:w="0" w:type="auto"/>
            <w:vAlign w:val="center"/>
            <w:hideMark/>
          </w:tcPr>
          <w:p w14:paraId="63A17B8B"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44,704</w:t>
            </w:r>
          </w:p>
        </w:tc>
        <w:tc>
          <w:tcPr>
            <w:tcW w:w="0" w:type="auto"/>
            <w:vAlign w:val="center"/>
            <w:hideMark/>
          </w:tcPr>
          <w:p w14:paraId="450D66DA"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28.1%</w:t>
            </w:r>
          </w:p>
        </w:tc>
      </w:tr>
      <w:tr w:rsidR="00940D5A" w:rsidRPr="00C729C0" w14:paraId="4936C327" w14:textId="77777777" w:rsidTr="00102E50">
        <w:trPr>
          <w:tblCellSpacing w:w="15" w:type="dxa"/>
        </w:trPr>
        <w:tc>
          <w:tcPr>
            <w:tcW w:w="0" w:type="auto"/>
            <w:vAlign w:val="center"/>
            <w:hideMark/>
          </w:tcPr>
          <w:p w14:paraId="7153DB82"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2023</w:t>
            </w:r>
          </w:p>
        </w:tc>
        <w:tc>
          <w:tcPr>
            <w:tcW w:w="0" w:type="auto"/>
            <w:vAlign w:val="center"/>
            <w:hideMark/>
          </w:tcPr>
          <w:p w14:paraId="39190808"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14,997</w:t>
            </w:r>
          </w:p>
        </w:tc>
        <w:tc>
          <w:tcPr>
            <w:tcW w:w="0" w:type="auto"/>
            <w:vAlign w:val="center"/>
            <w:hideMark/>
          </w:tcPr>
          <w:p w14:paraId="1055F3D9"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53,420</w:t>
            </w:r>
          </w:p>
        </w:tc>
        <w:tc>
          <w:tcPr>
            <w:tcW w:w="0" w:type="auto"/>
            <w:vAlign w:val="center"/>
            <w:hideMark/>
          </w:tcPr>
          <w:p w14:paraId="4C78969C"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28.1%</w:t>
            </w:r>
          </w:p>
        </w:tc>
      </w:tr>
    </w:tbl>
    <w:p w14:paraId="54E978E5"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br/>
      </w:r>
      <w:r w:rsidRPr="00C729C0">
        <w:rPr>
          <w:rFonts w:ascii="Arial" w:eastAsia="Times New Roman" w:hAnsi="Arial" w:cs="Arial"/>
          <w:b/>
          <w:bCs/>
          <w:kern w:val="0"/>
          <w:lang w:eastAsia="en-GB"/>
          <w14:ligatures w14:val="none"/>
        </w:rPr>
        <w:t>Table 3: Tesla Return on Equity (2019–2023)</w:t>
      </w:r>
    </w:p>
    <w:p w14:paraId="1BCFDF35"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Tesla’s ROE increased from -13.0% in 2019 to 28.1% in 2023, indicating strong returns generated for shareholders. High ROE reflects efficient utilisation of shareholder capital and effective financial management (Brealey et al., 2020; Arnold, 2020).</w:t>
      </w:r>
    </w:p>
    <w:p w14:paraId="10B2AAF4"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However, stabilisation of ROE suggests that future improvements will depend on sustained profitability rather than further efficiency gains.</w:t>
      </w:r>
    </w:p>
    <w:p w14:paraId="31551D0C" w14:textId="77777777" w:rsidR="00940D5A" w:rsidRPr="00C729C0" w:rsidRDefault="00940D5A"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1.3 Liquidity Analysis</w:t>
      </w:r>
    </w:p>
    <w:p w14:paraId="29481700"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 xml:space="preserve">Liquidity ratios assess a firm’s ability to meet short-term obligations and are critical indicators of financial stability (Brigham and Houston, 2022; </w:t>
      </w:r>
      <w:proofErr w:type="spellStart"/>
      <w:r w:rsidRPr="00C729C0">
        <w:rPr>
          <w:rFonts w:ascii="Arial" w:eastAsia="Times New Roman" w:hAnsi="Arial" w:cs="Arial"/>
          <w:kern w:val="0"/>
          <w:lang w:eastAsia="en-GB"/>
          <w14:ligatures w14:val="none"/>
        </w:rPr>
        <w:t>Atrill</w:t>
      </w:r>
      <w:proofErr w:type="spellEnd"/>
      <w:r w:rsidRPr="00C729C0">
        <w:rPr>
          <w:rFonts w:ascii="Arial" w:eastAsia="Times New Roman" w:hAnsi="Arial" w:cs="Arial"/>
          <w:kern w:val="0"/>
          <w:lang w:eastAsia="en-GB"/>
          <w14:ligatures w14:val="none"/>
        </w:rPr>
        <w:t xml:space="preserve"> and McLaney, 2019).</w:t>
      </w:r>
    </w:p>
    <w:p w14:paraId="4DA712F9" w14:textId="77777777" w:rsidR="00940D5A" w:rsidRPr="00C729C0" w:rsidRDefault="00940D5A"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1.3.1 Current Ratio Analysis</w:t>
      </w:r>
    </w:p>
    <w:p w14:paraId="1D8FA83C"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Current Ratio = Current Assets / Current Liabilities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29"/>
        <w:gridCol w:w="2374"/>
        <w:gridCol w:w="2694"/>
        <w:gridCol w:w="1629"/>
      </w:tblGrid>
      <w:tr w:rsidR="00940D5A" w:rsidRPr="00C729C0" w14:paraId="13259B6E" w14:textId="77777777" w:rsidTr="00102E50">
        <w:trPr>
          <w:tblHeader/>
          <w:tblCellSpacing w:w="15" w:type="dxa"/>
        </w:trPr>
        <w:tc>
          <w:tcPr>
            <w:tcW w:w="0" w:type="auto"/>
            <w:vAlign w:val="center"/>
            <w:hideMark/>
          </w:tcPr>
          <w:p w14:paraId="2B35CE1B" w14:textId="77777777" w:rsidR="00940D5A" w:rsidRPr="00C729C0" w:rsidRDefault="00940D5A"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Year</w:t>
            </w:r>
          </w:p>
        </w:tc>
        <w:tc>
          <w:tcPr>
            <w:tcW w:w="0" w:type="auto"/>
            <w:vAlign w:val="center"/>
            <w:hideMark/>
          </w:tcPr>
          <w:p w14:paraId="4A30A026" w14:textId="77777777" w:rsidR="00940D5A" w:rsidRPr="00C729C0" w:rsidRDefault="00940D5A"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Current Assets ($m)</w:t>
            </w:r>
          </w:p>
        </w:tc>
        <w:tc>
          <w:tcPr>
            <w:tcW w:w="0" w:type="auto"/>
            <w:vAlign w:val="center"/>
            <w:hideMark/>
          </w:tcPr>
          <w:p w14:paraId="467CB070" w14:textId="77777777" w:rsidR="00940D5A" w:rsidRPr="00C729C0" w:rsidRDefault="00940D5A"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Current Liabilities ($m)</w:t>
            </w:r>
          </w:p>
        </w:tc>
        <w:tc>
          <w:tcPr>
            <w:tcW w:w="0" w:type="auto"/>
            <w:vAlign w:val="center"/>
            <w:hideMark/>
          </w:tcPr>
          <w:p w14:paraId="3889A256" w14:textId="77777777" w:rsidR="00940D5A" w:rsidRPr="00C729C0" w:rsidRDefault="00940D5A"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Current Ratio</w:t>
            </w:r>
          </w:p>
        </w:tc>
      </w:tr>
      <w:tr w:rsidR="00940D5A" w:rsidRPr="00C729C0" w14:paraId="1E8D6806" w14:textId="77777777" w:rsidTr="00102E50">
        <w:trPr>
          <w:tblCellSpacing w:w="15" w:type="dxa"/>
        </w:trPr>
        <w:tc>
          <w:tcPr>
            <w:tcW w:w="0" w:type="auto"/>
            <w:vAlign w:val="center"/>
            <w:hideMark/>
          </w:tcPr>
          <w:p w14:paraId="24C88ACD"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2019</w:t>
            </w:r>
          </w:p>
        </w:tc>
        <w:tc>
          <w:tcPr>
            <w:tcW w:w="0" w:type="auto"/>
            <w:vAlign w:val="center"/>
            <w:hideMark/>
          </w:tcPr>
          <w:p w14:paraId="3C81AB05"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12,103</w:t>
            </w:r>
          </w:p>
        </w:tc>
        <w:tc>
          <w:tcPr>
            <w:tcW w:w="0" w:type="auto"/>
            <w:vAlign w:val="center"/>
            <w:hideMark/>
          </w:tcPr>
          <w:p w14:paraId="558AC2C5"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10,667</w:t>
            </w:r>
          </w:p>
        </w:tc>
        <w:tc>
          <w:tcPr>
            <w:tcW w:w="0" w:type="auto"/>
            <w:vAlign w:val="center"/>
            <w:hideMark/>
          </w:tcPr>
          <w:p w14:paraId="475EE53E"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1.13</w:t>
            </w:r>
          </w:p>
        </w:tc>
      </w:tr>
      <w:tr w:rsidR="00940D5A" w:rsidRPr="00C729C0" w14:paraId="7E943BAC" w14:textId="77777777" w:rsidTr="00102E50">
        <w:trPr>
          <w:tblCellSpacing w:w="15" w:type="dxa"/>
        </w:trPr>
        <w:tc>
          <w:tcPr>
            <w:tcW w:w="0" w:type="auto"/>
            <w:vAlign w:val="center"/>
            <w:hideMark/>
          </w:tcPr>
          <w:p w14:paraId="31DC6242"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2020</w:t>
            </w:r>
          </w:p>
        </w:tc>
        <w:tc>
          <w:tcPr>
            <w:tcW w:w="0" w:type="auto"/>
            <w:vAlign w:val="center"/>
            <w:hideMark/>
          </w:tcPr>
          <w:p w14:paraId="6EB23AAA"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26,717</w:t>
            </w:r>
          </w:p>
        </w:tc>
        <w:tc>
          <w:tcPr>
            <w:tcW w:w="0" w:type="auto"/>
            <w:vAlign w:val="center"/>
            <w:hideMark/>
          </w:tcPr>
          <w:p w14:paraId="468190E8"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19,705</w:t>
            </w:r>
          </w:p>
        </w:tc>
        <w:tc>
          <w:tcPr>
            <w:tcW w:w="0" w:type="auto"/>
            <w:vAlign w:val="center"/>
            <w:hideMark/>
          </w:tcPr>
          <w:p w14:paraId="73A0E593"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1.36</w:t>
            </w:r>
          </w:p>
        </w:tc>
      </w:tr>
      <w:tr w:rsidR="00940D5A" w:rsidRPr="00C729C0" w14:paraId="562D37DE" w14:textId="77777777" w:rsidTr="00102E50">
        <w:trPr>
          <w:tblCellSpacing w:w="15" w:type="dxa"/>
        </w:trPr>
        <w:tc>
          <w:tcPr>
            <w:tcW w:w="0" w:type="auto"/>
            <w:vAlign w:val="center"/>
            <w:hideMark/>
          </w:tcPr>
          <w:p w14:paraId="17C23EAE"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2021</w:t>
            </w:r>
          </w:p>
        </w:tc>
        <w:tc>
          <w:tcPr>
            <w:tcW w:w="0" w:type="auto"/>
            <w:vAlign w:val="center"/>
            <w:hideMark/>
          </w:tcPr>
          <w:p w14:paraId="11EB632B"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30,548</w:t>
            </w:r>
          </w:p>
        </w:tc>
        <w:tc>
          <w:tcPr>
            <w:tcW w:w="0" w:type="auto"/>
            <w:vAlign w:val="center"/>
            <w:hideMark/>
          </w:tcPr>
          <w:p w14:paraId="0E4826D1"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27,699</w:t>
            </w:r>
          </w:p>
        </w:tc>
        <w:tc>
          <w:tcPr>
            <w:tcW w:w="0" w:type="auto"/>
            <w:vAlign w:val="center"/>
            <w:hideMark/>
          </w:tcPr>
          <w:p w14:paraId="0105CA44"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1.10</w:t>
            </w:r>
          </w:p>
        </w:tc>
      </w:tr>
      <w:tr w:rsidR="00940D5A" w:rsidRPr="00C729C0" w14:paraId="3A63B98F" w14:textId="77777777" w:rsidTr="00102E50">
        <w:trPr>
          <w:tblCellSpacing w:w="15" w:type="dxa"/>
        </w:trPr>
        <w:tc>
          <w:tcPr>
            <w:tcW w:w="0" w:type="auto"/>
            <w:vAlign w:val="center"/>
            <w:hideMark/>
          </w:tcPr>
          <w:p w14:paraId="1FC51D16"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lastRenderedPageBreak/>
              <w:t>2022</w:t>
            </w:r>
          </w:p>
        </w:tc>
        <w:tc>
          <w:tcPr>
            <w:tcW w:w="0" w:type="auto"/>
            <w:vAlign w:val="center"/>
            <w:hideMark/>
          </w:tcPr>
          <w:p w14:paraId="67F9A756"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40,917</w:t>
            </w:r>
          </w:p>
        </w:tc>
        <w:tc>
          <w:tcPr>
            <w:tcW w:w="0" w:type="auto"/>
            <w:vAlign w:val="center"/>
            <w:hideMark/>
          </w:tcPr>
          <w:p w14:paraId="6F957FFB"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28,748</w:t>
            </w:r>
          </w:p>
        </w:tc>
        <w:tc>
          <w:tcPr>
            <w:tcW w:w="0" w:type="auto"/>
            <w:vAlign w:val="center"/>
            <w:hideMark/>
          </w:tcPr>
          <w:p w14:paraId="555BB60B"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1.42</w:t>
            </w:r>
          </w:p>
        </w:tc>
      </w:tr>
      <w:tr w:rsidR="00940D5A" w:rsidRPr="00C729C0" w14:paraId="54BEEF81" w14:textId="77777777" w:rsidTr="00102E50">
        <w:trPr>
          <w:tblCellSpacing w:w="15" w:type="dxa"/>
        </w:trPr>
        <w:tc>
          <w:tcPr>
            <w:tcW w:w="0" w:type="auto"/>
            <w:vAlign w:val="center"/>
            <w:hideMark/>
          </w:tcPr>
          <w:p w14:paraId="1ED27C91"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2023</w:t>
            </w:r>
          </w:p>
        </w:tc>
        <w:tc>
          <w:tcPr>
            <w:tcW w:w="0" w:type="auto"/>
            <w:vAlign w:val="center"/>
            <w:hideMark/>
          </w:tcPr>
          <w:p w14:paraId="0C018372"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49,616</w:t>
            </w:r>
          </w:p>
        </w:tc>
        <w:tc>
          <w:tcPr>
            <w:tcW w:w="0" w:type="auto"/>
            <w:vAlign w:val="center"/>
            <w:hideMark/>
          </w:tcPr>
          <w:p w14:paraId="311C6BCE"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33,593</w:t>
            </w:r>
          </w:p>
        </w:tc>
        <w:tc>
          <w:tcPr>
            <w:tcW w:w="0" w:type="auto"/>
            <w:vAlign w:val="center"/>
            <w:hideMark/>
          </w:tcPr>
          <w:p w14:paraId="2A608AF0"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1.48</w:t>
            </w:r>
          </w:p>
        </w:tc>
      </w:tr>
    </w:tbl>
    <w:p w14:paraId="3BF70B4B"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br/>
      </w:r>
      <w:r w:rsidRPr="00C729C0">
        <w:rPr>
          <w:rFonts w:ascii="Arial" w:eastAsia="Times New Roman" w:hAnsi="Arial" w:cs="Arial"/>
          <w:b/>
          <w:bCs/>
          <w:kern w:val="0"/>
          <w:lang w:eastAsia="en-GB"/>
          <w14:ligatures w14:val="none"/>
        </w:rPr>
        <w:t>Table 4: Tesla Current Ratio (2019–2023)</w:t>
      </w:r>
    </w:p>
    <w:p w14:paraId="0F791783" w14:textId="1E28A368"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Style w:val="Strong"/>
          <w:rFonts w:ascii="Arial" w:eastAsiaTheme="majorEastAsia" w:hAnsi="Arial" w:cs="Arial"/>
          <w:noProof/>
        </w:rPr>
        <w:drawing>
          <wp:inline distT="0" distB="0" distL="0" distR="0" wp14:anchorId="03A8D937" wp14:editId="7FA1B272">
            <wp:extent cx="5731510" cy="4298950"/>
            <wp:effectExtent l="0" t="0" r="0" b="6350"/>
            <wp:docPr id="1144569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569927" name=""/>
                    <pic:cNvPicPr/>
                  </pic:nvPicPr>
                  <pic:blipFill>
                    <a:blip r:embed="rId11"/>
                    <a:stretch>
                      <a:fillRect/>
                    </a:stretch>
                  </pic:blipFill>
                  <pic:spPr>
                    <a:xfrm>
                      <a:off x="0" y="0"/>
                      <a:ext cx="5731510" cy="4298950"/>
                    </a:xfrm>
                    <a:prstGeom prst="rect">
                      <a:avLst/>
                    </a:prstGeom>
                  </pic:spPr>
                </pic:pic>
              </a:graphicData>
            </a:graphic>
          </wp:inline>
        </w:drawing>
      </w:r>
      <w:r w:rsidRPr="00C729C0">
        <w:rPr>
          <w:rFonts w:ascii="Arial" w:eastAsia="Times New Roman" w:hAnsi="Arial" w:cs="Arial"/>
          <w:b/>
          <w:bCs/>
          <w:kern w:val="0"/>
          <w:lang w:eastAsia="en-GB"/>
          <w14:ligatures w14:val="none"/>
        </w:rPr>
        <w:t xml:space="preserve">Figure </w:t>
      </w:r>
      <w:r w:rsidR="00C729C0">
        <w:rPr>
          <w:rFonts w:ascii="Arial" w:eastAsia="Times New Roman" w:hAnsi="Arial" w:cs="Arial"/>
          <w:b/>
          <w:bCs/>
          <w:kern w:val="0"/>
          <w:lang w:eastAsia="en-GB"/>
          <w14:ligatures w14:val="none"/>
        </w:rPr>
        <w:t>3</w:t>
      </w:r>
      <w:r w:rsidRPr="00C729C0">
        <w:rPr>
          <w:rFonts w:ascii="Arial" w:eastAsia="Times New Roman" w:hAnsi="Arial" w:cs="Arial"/>
          <w:b/>
          <w:bCs/>
          <w:kern w:val="0"/>
          <w:lang w:eastAsia="en-GB"/>
          <w14:ligatures w14:val="none"/>
        </w:rPr>
        <w:t>: Tesla Current Ratio Trend</w:t>
      </w:r>
    </w:p>
    <w:p w14:paraId="3387B935" w14:textId="20AA5805"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Tesla’s current ratio increased from 1.13 in 2019 to 1.48 in 2023, representing an improvement of approximately 31%. This indicates enhanced liquidity and the company’s ability to meet short-term obligations (Brigham and Houston, 2022</w:t>
      </w:r>
      <w:r w:rsidR="00CA21B0" w:rsidRPr="00C729C0">
        <w:rPr>
          <w:rFonts w:ascii="Arial" w:hAnsi="Arial" w:cs="Arial"/>
        </w:rPr>
        <w:t>; Van Horne and Wachowicz, 2008; Watson and Head, 2019).</w:t>
      </w:r>
    </w:p>
    <w:p w14:paraId="78D8FE11" w14:textId="77777777" w:rsidR="00940D5A" w:rsidRPr="00C729C0" w:rsidRDefault="00940D5A"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1.3.2 Quick Ratio Analysis</w:t>
      </w:r>
    </w:p>
    <w:p w14:paraId="3797CDE2"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Quick Ratio = (Current Assets − Inventory) / Current Liabilities</w:t>
      </w:r>
    </w:p>
    <w:p w14:paraId="55C22CBE" w14:textId="38F2D4CE"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lastRenderedPageBreak/>
        <w:t>Tesla’s quick ratio improved from 0.80 to 1.07, representing a 33.8% increase. This indicates strong liquidity without reliance on inventory, which is considered a less liquid asset (</w:t>
      </w:r>
      <w:proofErr w:type="spellStart"/>
      <w:r w:rsidRPr="00C729C0">
        <w:rPr>
          <w:rFonts w:ascii="Arial" w:eastAsia="Times New Roman" w:hAnsi="Arial" w:cs="Arial"/>
          <w:kern w:val="0"/>
          <w:lang w:eastAsia="en-GB"/>
          <w14:ligatures w14:val="none"/>
        </w:rPr>
        <w:t>Atrill</w:t>
      </w:r>
      <w:proofErr w:type="spellEnd"/>
      <w:r w:rsidRPr="00C729C0">
        <w:rPr>
          <w:rFonts w:ascii="Arial" w:eastAsia="Times New Roman" w:hAnsi="Arial" w:cs="Arial"/>
          <w:kern w:val="0"/>
          <w:lang w:eastAsia="en-GB"/>
          <w14:ligatures w14:val="none"/>
        </w:rPr>
        <w:t xml:space="preserve"> and McLaney, 2019</w:t>
      </w:r>
      <w:r w:rsidR="00CA21B0" w:rsidRPr="00C729C0">
        <w:rPr>
          <w:rFonts w:ascii="Arial" w:hAnsi="Arial" w:cs="Arial"/>
        </w:rPr>
        <w:t>; Watson and Head, 2019).</w:t>
      </w:r>
    </w:p>
    <w:p w14:paraId="153B6678" w14:textId="77777777" w:rsidR="00940D5A" w:rsidRPr="00C729C0" w:rsidRDefault="00940D5A"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1.3.3 Cash Ratio Analysis</w:t>
      </w:r>
    </w:p>
    <w:p w14:paraId="22D6BD39"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Cash Ratio = Cash and Cash Equivalents / Current Liabilities</w:t>
      </w:r>
    </w:p>
    <w:p w14:paraId="2325ECF4"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The cash ratio improved over time, reflecting increased availability of immediate cash resources. This strengthens short-term solvency; however, excessive cash holdings may reduce returns if not effectively utilised (Penman, 2013)</w:t>
      </w:r>
    </w:p>
    <w:p w14:paraId="01001DCB" w14:textId="77777777" w:rsidR="00940D5A" w:rsidRPr="00C729C0" w:rsidRDefault="00940D5A"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1.4 Efficiency Analysis</w:t>
      </w:r>
    </w:p>
    <w:p w14:paraId="7C839D5B" w14:textId="1A4DDF56"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Efficiency ratios measure how effectively a firm utilises its resources and manages operations (Palepu and Healy, 2013</w:t>
      </w:r>
      <w:r w:rsidR="00CA21B0" w:rsidRPr="00C729C0">
        <w:rPr>
          <w:rFonts w:ascii="Arial" w:hAnsi="Arial" w:cs="Arial"/>
        </w:rPr>
        <w:t>; White et al., 2003; Gitman et al., 2015).</w:t>
      </w:r>
    </w:p>
    <w:p w14:paraId="60389721" w14:textId="77777777" w:rsidR="00940D5A" w:rsidRPr="00C729C0" w:rsidRDefault="00940D5A"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1.4.1 Inventory Days Analysis</w:t>
      </w:r>
    </w:p>
    <w:p w14:paraId="760AC818"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Inventory Days = Inventory × 365 / Cost of Sales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29"/>
        <w:gridCol w:w="1734"/>
        <w:gridCol w:w="2174"/>
        <w:gridCol w:w="1816"/>
      </w:tblGrid>
      <w:tr w:rsidR="00940D5A" w:rsidRPr="00C729C0" w14:paraId="47C8C223" w14:textId="77777777" w:rsidTr="00102E50">
        <w:trPr>
          <w:tblHeader/>
          <w:tblCellSpacing w:w="15" w:type="dxa"/>
        </w:trPr>
        <w:tc>
          <w:tcPr>
            <w:tcW w:w="0" w:type="auto"/>
            <w:vAlign w:val="center"/>
            <w:hideMark/>
          </w:tcPr>
          <w:p w14:paraId="16AB2B45" w14:textId="77777777" w:rsidR="00940D5A" w:rsidRPr="00C729C0" w:rsidRDefault="00940D5A"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Year</w:t>
            </w:r>
          </w:p>
        </w:tc>
        <w:tc>
          <w:tcPr>
            <w:tcW w:w="0" w:type="auto"/>
            <w:vAlign w:val="center"/>
            <w:hideMark/>
          </w:tcPr>
          <w:p w14:paraId="3FA7B4EE" w14:textId="77777777" w:rsidR="00940D5A" w:rsidRPr="00C729C0" w:rsidRDefault="00940D5A"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Inventory ($m)</w:t>
            </w:r>
          </w:p>
        </w:tc>
        <w:tc>
          <w:tcPr>
            <w:tcW w:w="0" w:type="auto"/>
            <w:vAlign w:val="center"/>
            <w:hideMark/>
          </w:tcPr>
          <w:p w14:paraId="1FD4F783" w14:textId="77777777" w:rsidR="00940D5A" w:rsidRPr="00C729C0" w:rsidRDefault="00940D5A"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Cost of Sales ($m)</w:t>
            </w:r>
          </w:p>
        </w:tc>
        <w:tc>
          <w:tcPr>
            <w:tcW w:w="0" w:type="auto"/>
            <w:vAlign w:val="center"/>
            <w:hideMark/>
          </w:tcPr>
          <w:p w14:paraId="48282964" w14:textId="77777777" w:rsidR="00940D5A" w:rsidRPr="00C729C0" w:rsidRDefault="00940D5A"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Inventory Days</w:t>
            </w:r>
          </w:p>
        </w:tc>
      </w:tr>
      <w:tr w:rsidR="00940D5A" w:rsidRPr="00C729C0" w14:paraId="0794D1C5" w14:textId="77777777" w:rsidTr="00102E50">
        <w:trPr>
          <w:tblCellSpacing w:w="15" w:type="dxa"/>
        </w:trPr>
        <w:tc>
          <w:tcPr>
            <w:tcW w:w="0" w:type="auto"/>
            <w:vAlign w:val="center"/>
            <w:hideMark/>
          </w:tcPr>
          <w:p w14:paraId="7BCC8643"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2019</w:t>
            </w:r>
          </w:p>
        </w:tc>
        <w:tc>
          <w:tcPr>
            <w:tcW w:w="0" w:type="auto"/>
            <w:vAlign w:val="center"/>
            <w:hideMark/>
          </w:tcPr>
          <w:p w14:paraId="7047B877"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3,552</w:t>
            </w:r>
          </w:p>
        </w:tc>
        <w:tc>
          <w:tcPr>
            <w:tcW w:w="0" w:type="auto"/>
            <w:vAlign w:val="center"/>
            <w:hideMark/>
          </w:tcPr>
          <w:p w14:paraId="0A7C9E73"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20,509</w:t>
            </w:r>
          </w:p>
        </w:tc>
        <w:tc>
          <w:tcPr>
            <w:tcW w:w="0" w:type="auto"/>
            <w:vAlign w:val="center"/>
            <w:hideMark/>
          </w:tcPr>
          <w:p w14:paraId="69D766EF"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63 days</w:t>
            </w:r>
          </w:p>
        </w:tc>
      </w:tr>
      <w:tr w:rsidR="00940D5A" w:rsidRPr="00C729C0" w14:paraId="05082FEB" w14:textId="77777777" w:rsidTr="00102E50">
        <w:trPr>
          <w:tblCellSpacing w:w="15" w:type="dxa"/>
        </w:trPr>
        <w:tc>
          <w:tcPr>
            <w:tcW w:w="0" w:type="auto"/>
            <w:vAlign w:val="center"/>
            <w:hideMark/>
          </w:tcPr>
          <w:p w14:paraId="7340181A"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2020</w:t>
            </w:r>
          </w:p>
        </w:tc>
        <w:tc>
          <w:tcPr>
            <w:tcW w:w="0" w:type="auto"/>
            <w:vAlign w:val="center"/>
            <w:hideMark/>
          </w:tcPr>
          <w:p w14:paraId="7CE99DB8"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4,101</w:t>
            </w:r>
          </w:p>
        </w:tc>
        <w:tc>
          <w:tcPr>
            <w:tcW w:w="0" w:type="auto"/>
            <w:vAlign w:val="center"/>
            <w:hideMark/>
          </w:tcPr>
          <w:p w14:paraId="29549AD9"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24,906</w:t>
            </w:r>
          </w:p>
        </w:tc>
        <w:tc>
          <w:tcPr>
            <w:tcW w:w="0" w:type="auto"/>
            <w:vAlign w:val="center"/>
            <w:hideMark/>
          </w:tcPr>
          <w:p w14:paraId="2DC54C2D"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60 days</w:t>
            </w:r>
          </w:p>
        </w:tc>
      </w:tr>
      <w:tr w:rsidR="00940D5A" w:rsidRPr="00C729C0" w14:paraId="16229FC7" w14:textId="77777777" w:rsidTr="00102E50">
        <w:trPr>
          <w:tblCellSpacing w:w="15" w:type="dxa"/>
        </w:trPr>
        <w:tc>
          <w:tcPr>
            <w:tcW w:w="0" w:type="auto"/>
            <w:vAlign w:val="center"/>
            <w:hideMark/>
          </w:tcPr>
          <w:p w14:paraId="26230E7C"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2021</w:t>
            </w:r>
          </w:p>
        </w:tc>
        <w:tc>
          <w:tcPr>
            <w:tcW w:w="0" w:type="auto"/>
            <w:vAlign w:val="center"/>
            <w:hideMark/>
          </w:tcPr>
          <w:p w14:paraId="29EF62CC"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5,757</w:t>
            </w:r>
          </w:p>
        </w:tc>
        <w:tc>
          <w:tcPr>
            <w:tcW w:w="0" w:type="auto"/>
            <w:vAlign w:val="center"/>
            <w:hideMark/>
          </w:tcPr>
          <w:p w14:paraId="5FADE4FA"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40,217</w:t>
            </w:r>
          </w:p>
        </w:tc>
        <w:tc>
          <w:tcPr>
            <w:tcW w:w="0" w:type="auto"/>
            <w:vAlign w:val="center"/>
            <w:hideMark/>
          </w:tcPr>
          <w:p w14:paraId="2D3645DB"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52 days</w:t>
            </w:r>
          </w:p>
        </w:tc>
      </w:tr>
      <w:tr w:rsidR="00940D5A" w:rsidRPr="00C729C0" w14:paraId="489B712C" w14:textId="77777777" w:rsidTr="00102E50">
        <w:trPr>
          <w:tblCellSpacing w:w="15" w:type="dxa"/>
        </w:trPr>
        <w:tc>
          <w:tcPr>
            <w:tcW w:w="0" w:type="auto"/>
            <w:vAlign w:val="center"/>
            <w:hideMark/>
          </w:tcPr>
          <w:p w14:paraId="49585821"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2022</w:t>
            </w:r>
          </w:p>
        </w:tc>
        <w:tc>
          <w:tcPr>
            <w:tcW w:w="0" w:type="auto"/>
            <w:vAlign w:val="center"/>
            <w:hideMark/>
          </w:tcPr>
          <w:p w14:paraId="5D39C4BA"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12,839</w:t>
            </w:r>
          </w:p>
        </w:tc>
        <w:tc>
          <w:tcPr>
            <w:tcW w:w="0" w:type="auto"/>
            <w:vAlign w:val="center"/>
            <w:hideMark/>
          </w:tcPr>
          <w:p w14:paraId="0C3CEC24"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60,609</w:t>
            </w:r>
          </w:p>
        </w:tc>
        <w:tc>
          <w:tcPr>
            <w:tcW w:w="0" w:type="auto"/>
            <w:vAlign w:val="center"/>
            <w:hideMark/>
          </w:tcPr>
          <w:p w14:paraId="183BC905"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77 days</w:t>
            </w:r>
          </w:p>
        </w:tc>
      </w:tr>
      <w:tr w:rsidR="00940D5A" w:rsidRPr="00C729C0" w14:paraId="31A89254" w14:textId="77777777" w:rsidTr="00102E50">
        <w:trPr>
          <w:tblCellSpacing w:w="15" w:type="dxa"/>
        </w:trPr>
        <w:tc>
          <w:tcPr>
            <w:tcW w:w="0" w:type="auto"/>
            <w:vAlign w:val="center"/>
            <w:hideMark/>
          </w:tcPr>
          <w:p w14:paraId="0E519335"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2023</w:t>
            </w:r>
          </w:p>
        </w:tc>
        <w:tc>
          <w:tcPr>
            <w:tcW w:w="0" w:type="auto"/>
            <w:vAlign w:val="center"/>
            <w:hideMark/>
          </w:tcPr>
          <w:p w14:paraId="6A891325"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13,626</w:t>
            </w:r>
          </w:p>
        </w:tc>
        <w:tc>
          <w:tcPr>
            <w:tcW w:w="0" w:type="auto"/>
            <w:vAlign w:val="center"/>
            <w:hideMark/>
          </w:tcPr>
          <w:p w14:paraId="27B069CE"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79,113</w:t>
            </w:r>
          </w:p>
        </w:tc>
        <w:tc>
          <w:tcPr>
            <w:tcW w:w="0" w:type="auto"/>
            <w:vAlign w:val="center"/>
            <w:hideMark/>
          </w:tcPr>
          <w:p w14:paraId="35D7C4E0"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63 days</w:t>
            </w:r>
          </w:p>
        </w:tc>
      </w:tr>
    </w:tbl>
    <w:p w14:paraId="2B0268E6" w14:textId="533C606E" w:rsidR="00940D5A" w:rsidRPr="00C729C0" w:rsidRDefault="00940D5A"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Table 5: Tesla Inventory Days (2019–2023)</w:t>
      </w:r>
    </w:p>
    <w:p w14:paraId="4E4C4E60" w14:textId="78078F51" w:rsidR="00257539" w:rsidRPr="00C729C0" w:rsidRDefault="00257539"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hAnsi="Arial" w:cs="Arial"/>
        </w:rPr>
        <w:lastRenderedPageBreak/>
        <w:t>3: Tesla Inventory Days Trend (2019–2023)</w:t>
      </w:r>
      <w:r w:rsidRPr="00C729C0">
        <w:rPr>
          <w:rFonts w:ascii="Arial" w:eastAsia="Times New Roman" w:hAnsi="Arial" w:cs="Arial"/>
          <w:b/>
          <w:bCs/>
          <w:noProof/>
          <w:kern w:val="0"/>
          <w:lang w:eastAsia="en-GB"/>
          <w14:ligatures w14:val="none"/>
        </w:rPr>
        <w:drawing>
          <wp:inline distT="0" distB="0" distL="0" distR="0" wp14:anchorId="0C65A719" wp14:editId="5A20F8F3">
            <wp:extent cx="5721985" cy="345821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1985" cy="3458210"/>
                    </a:xfrm>
                    <a:prstGeom prst="rect">
                      <a:avLst/>
                    </a:prstGeom>
                    <a:noFill/>
                    <a:ln>
                      <a:noFill/>
                    </a:ln>
                  </pic:spPr>
                </pic:pic>
              </a:graphicData>
            </a:graphic>
          </wp:inline>
        </w:drawing>
      </w:r>
    </w:p>
    <w:p w14:paraId="6A0A9031" w14:textId="1F680B20" w:rsidR="00257539" w:rsidRPr="00C729C0" w:rsidRDefault="00257539" w:rsidP="0045227F">
      <w:pPr>
        <w:spacing w:before="100" w:beforeAutospacing="1" w:after="100" w:afterAutospacing="1" w:line="360" w:lineRule="auto"/>
        <w:rPr>
          <w:rFonts w:ascii="Arial" w:hAnsi="Arial" w:cs="Arial"/>
        </w:rPr>
      </w:pPr>
      <w:r w:rsidRPr="00C729C0">
        <w:rPr>
          <w:rFonts w:ascii="Arial" w:hAnsi="Arial" w:cs="Arial"/>
        </w:rPr>
        <w:t xml:space="preserve">Figure </w:t>
      </w:r>
      <w:r w:rsidR="00EB5B60">
        <w:rPr>
          <w:rFonts w:ascii="Arial" w:hAnsi="Arial" w:cs="Arial"/>
        </w:rPr>
        <w:t>4</w:t>
      </w:r>
      <w:r w:rsidRPr="00C729C0">
        <w:rPr>
          <w:rFonts w:ascii="Arial" w:hAnsi="Arial" w:cs="Arial"/>
        </w:rPr>
        <w:t>: Tesla Inventory Days Trend (2019–2023)</w:t>
      </w:r>
    </w:p>
    <w:p w14:paraId="167F04DE" w14:textId="1FE3323A"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Tesla’s inventory days declined initially, indicating improved efficiency, but increased to 77 days in 2022 before improving again. This reflects operational expansion and production scaling. Higher inventory levels increase working capital requirements and reduce efficiency (Gitman et al., 2015).</w:t>
      </w:r>
    </w:p>
    <w:p w14:paraId="21EA6CCD" w14:textId="77777777" w:rsidR="00940D5A" w:rsidRPr="00C729C0" w:rsidRDefault="00940D5A"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1.4.2 Receivable Days Analysis</w:t>
      </w:r>
    </w:p>
    <w:p w14:paraId="395CB822"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Receivable Days = Receivables × 365 / Revenue</w:t>
      </w:r>
    </w:p>
    <w:p w14:paraId="3510CB04"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Tesla’s receivable days decreased from 18 to 12 days, representing a 33% improvement. This indicates efficient credit control and faster cash collection, improving liquidity and reducing working capital needs (Palepu and Healy, 2013).</w:t>
      </w:r>
    </w:p>
    <w:p w14:paraId="60492A0C" w14:textId="77777777" w:rsidR="00940D5A" w:rsidRPr="00C729C0" w:rsidRDefault="00940D5A"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1.4.3 Payable Days Analysis</w:t>
      </w:r>
    </w:p>
    <w:p w14:paraId="71DF0724"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Payable Days = Payables × 365 / Cost of Sales</w:t>
      </w:r>
    </w:p>
    <w:p w14:paraId="1421E8CA"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lastRenderedPageBreak/>
        <w:t>Payable days increased from 64 to 78 days, indicating that Tesla is effectively utilising supplier credit. This improves liquidity but may create supplier-related risks if extended excessively (Gitman et al., 2015).</w:t>
      </w:r>
    </w:p>
    <w:p w14:paraId="73EC58D5" w14:textId="77777777" w:rsidR="00940D5A" w:rsidRPr="00C729C0" w:rsidRDefault="00940D5A"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1.5 Capital Structure Analysis</w:t>
      </w:r>
    </w:p>
    <w:p w14:paraId="4D18E035"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Capital structure refers to the mix of debt and equity used to finance operations (Damodaran, 2021).</w:t>
      </w:r>
    </w:p>
    <w:p w14:paraId="4E5E42C5"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Debt Ratio = Total Debt / Total Assets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29"/>
        <w:gridCol w:w="1187"/>
        <w:gridCol w:w="2081"/>
        <w:gridCol w:w="1295"/>
      </w:tblGrid>
      <w:tr w:rsidR="00940D5A" w:rsidRPr="00C729C0" w14:paraId="52BA10A8" w14:textId="77777777" w:rsidTr="00102E50">
        <w:trPr>
          <w:tblHeader/>
          <w:tblCellSpacing w:w="15" w:type="dxa"/>
        </w:trPr>
        <w:tc>
          <w:tcPr>
            <w:tcW w:w="0" w:type="auto"/>
            <w:vAlign w:val="center"/>
            <w:hideMark/>
          </w:tcPr>
          <w:p w14:paraId="11346087" w14:textId="77777777" w:rsidR="00940D5A" w:rsidRPr="00C729C0" w:rsidRDefault="00940D5A"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Year</w:t>
            </w:r>
          </w:p>
        </w:tc>
        <w:tc>
          <w:tcPr>
            <w:tcW w:w="0" w:type="auto"/>
            <w:vAlign w:val="center"/>
            <w:hideMark/>
          </w:tcPr>
          <w:p w14:paraId="2167D02B" w14:textId="77777777" w:rsidR="00940D5A" w:rsidRPr="00C729C0" w:rsidRDefault="00940D5A"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Debt ($m)</w:t>
            </w:r>
          </w:p>
        </w:tc>
        <w:tc>
          <w:tcPr>
            <w:tcW w:w="0" w:type="auto"/>
            <w:vAlign w:val="center"/>
            <w:hideMark/>
          </w:tcPr>
          <w:p w14:paraId="26A9D325" w14:textId="77777777" w:rsidR="00940D5A" w:rsidRPr="00C729C0" w:rsidRDefault="00940D5A"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Total Assets ($m)</w:t>
            </w:r>
          </w:p>
        </w:tc>
        <w:tc>
          <w:tcPr>
            <w:tcW w:w="0" w:type="auto"/>
            <w:vAlign w:val="center"/>
            <w:hideMark/>
          </w:tcPr>
          <w:p w14:paraId="5C15FDE5" w14:textId="77777777" w:rsidR="00940D5A" w:rsidRPr="00C729C0" w:rsidRDefault="00940D5A"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Debt Ratio</w:t>
            </w:r>
          </w:p>
        </w:tc>
      </w:tr>
      <w:tr w:rsidR="00940D5A" w:rsidRPr="00C729C0" w14:paraId="05CC9DA0" w14:textId="77777777" w:rsidTr="00102E50">
        <w:trPr>
          <w:tblCellSpacing w:w="15" w:type="dxa"/>
        </w:trPr>
        <w:tc>
          <w:tcPr>
            <w:tcW w:w="0" w:type="auto"/>
            <w:vAlign w:val="center"/>
            <w:hideMark/>
          </w:tcPr>
          <w:p w14:paraId="471DEE66"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2019</w:t>
            </w:r>
          </w:p>
        </w:tc>
        <w:tc>
          <w:tcPr>
            <w:tcW w:w="0" w:type="auto"/>
            <w:vAlign w:val="center"/>
            <w:hideMark/>
          </w:tcPr>
          <w:p w14:paraId="624F9213"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13,248</w:t>
            </w:r>
          </w:p>
        </w:tc>
        <w:tc>
          <w:tcPr>
            <w:tcW w:w="0" w:type="auto"/>
            <w:vAlign w:val="center"/>
            <w:hideMark/>
          </w:tcPr>
          <w:p w14:paraId="21A3C6A2"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34,309</w:t>
            </w:r>
          </w:p>
        </w:tc>
        <w:tc>
          <w:tcPr>
            <w:tcW w:w="0" w:type="auto"/>
            <w:vAlign w:val="center"/>
            <w:hideMark/>
          </w:tcPr>
          <w:p w14:paraId="230805A0"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38.6%</w:t>
            </w:r>
          </w:p>
        </w:tc>
      </w:tr>
      <w:tr w:rsidR="00940D5A" w:rsidRPr="00C729C0" w14:paraId="24B274D8" w14:textId="77777777" w:rsidTr="00102E50">
        <w:trPr>
          <w:tblCellSpacing w:w="15" w:type="dxa"/>
        </w:trPr>
        <w:tc>
          <w:tcPr>
            <w:tcW w:w="0" w:type="auto"/>
            <w:vAlign w:val="center"/>
            <w:hideMark/>
          </w:tcPr>
          <w:p w14:paraId="15C7B614"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2020</w:t>
            </w:r>
          </w:p>
        </w:tc>
        <w:tc>
          <w:tcPr>
            <w:tcW w:w="0" w:type="auto"/>
            <w:vAlign w:val="center"/>
            <w:hideMark/>
          </w:tcPr>
          <w:p w14:paraId="29A0E486"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11,634</w:t>
            </w:r>
          </w:p>
        </w:tc>
        <w:tc>
          <w:tcPr>
            <w:tcW w:w="0" w:type="auto"/>
            <w:vAlign w:val="center"/>
            <w:hideMark/>
          </w:tcPr>
          <w:p w14:paraId="1C6BB88E"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52,148</w:t>
            </w:r>
          </w:p>
        </w:tc>
        <w:tc>
          <w:tcPr>
            <w:tcW w:w="0" w:type="auto"/>
            <w:vAlign w:val="center"/>
            <w:hideMark/>
          </w:tcPr>
          <w:p w14:paraId="6B93EB30"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22.3%</w:t>
            </w:r>
          </w:p>
        </w:tc>
      </w:tr>
      <w:tr w:rsidR="00940D5A" w:rsidRPr="00C729C0" w14:paraId="5CB62A53" w14:textId="77777777" w:rsidTr="00102E50">
        <w:trPr>
          <w:tblCellSpacing w:w="15" w:type="dxa"/>
        </w:trPr>
        <w:tc>
          <w:tcPr>
            <w:tcW w:w="0" w:type="auto"/>
            <w:vAlign w:val="center"/>
            <w:hideMark/>
          </w:tcPr>
          <w:p w14:paraId="6D39453A"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2021</w:t>
            </w:r>
          </w:p>
        </w:tc>
        <w:tc>
          <w:tcPr>
            <w:tcW w:w="0" w:type="auto"/>
            <w:vAlign w:val="center"/>
            <w:hideMark/>
          </w:tcPr>
          <w:p w14:paraId="4921BC34"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8,880</w:t>
            </w:r>
          </w:p>
        </w:tc>
        <w:tc>
          <w:tcPr>
            <w:tcW w:w="0" w:type="auto"/>
            <w:vAlign w:val="center"/>
            <w:hideMark/>
          </w:tcPr>
          <w:p w14:paraId="2E3DF3BA"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62,131</w:t>
            </w:r>
          </w:p>
        </w:tc>
        <w:tc>
          <w:tcPr>
            <w:tcW w:w="0" w:type="auto"/>
            <w:vAlign w:val="center"/>
            <w:hideMark/>
          </w:tcPr>
          <w:p w14:paraId="19BC026F"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14.3%</w:t>
            </w:r>
          </w:p>
        </w:tc>
      </w:tr>
      <w:tr w:rsidR="00940D5A" w:rsidRPr="00C729C0" w14:paraId="4D41A6AB" w14:textId="77777777" w:rsidTr="00102E50">
        <w:trPr>
          <w:tblCellSpacing w:w="15" w:type="dxa"/>
        </w:trPr>
        <w:tc>
          <w:tcPr>
            <w:tcW w:w="0" w:type="auto"/>
            <w:vAlign w:val="center"/>
            <w:hideMark/>
          </w:tcPr>
          <w:p w14:paraId="53828F5D"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2022</w:t>
            </w:r>
          </w:p>
        </w:tc>
        <w:tc>
          <w:tcPr>
            <w:tcW w:w="0" w:type="auto"/>
            <w:vAlign w:val="center"/>
            <w:hideMark/>
          </w:tcPr>
          <w:p w14:paraId="52C2BB20"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5,750</w:t>
            </w:r>
          </w:p>
        </w:tc>
        <w:tc>
          <w:tcPr>
            <w:tcW w:w="0" w:type="auto"/>
            <w:vAlign w:val="center"/>
            <w:hideMark/>
          </w:tcPr>
          <w:p w14:paraId="13919A63"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82,338</w:t>
            </w:r>
          </w:p>
        </w:tc>
        <w:tc>
          <w:tcPr>
            <w:tcW w:w="0" w:type="auto"/>
            <w:vAlign w:val="center"/>
            <w:hideMark/>
          </w:tcPr>
          <w:p w14:paraId="53DC80AF"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7.0%</w:t>
            </w:r>
          </w:p>
        </w:tc>
      </w:tr>
      <w:tr w:rsidR="00940D5A" w:rsidRPr="00C729C0" w14:paraId="56087117" w14:textId="77777777" w:rsidTr="00102E50">
        <w:trPr>
          <w:tblCellSpacing w:w="15" w:type="dxa"/>
        </w:trPr>
        <w:tc>
          <w:tcPr>
            <w:tcW w:w="0" w:type="auto"/>
            <w:vAlign w:val="center"/>
            <w:hideMark/>
          </w:tcPr>
          <w:p w14:paraId="6AA3D9F1"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2023</w:t>
            </w:r>
          </w:p>
        </w:tc>
        <w:tc>
          <w:tcPr>
            <w:tcW w:w="0" w:type="auto"/>
            <w:vAlign w:val="center"/>
            <w:hideMark/>
          </w:tcPr>
          <w:p w14:paraId="2AECDB01"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5,210</w:t>
            </w:r>
          </w:p>
        </w:tc>
        <w:tc>
          <w:tcPr>
            <w:tcW w:w="0" w:type="auto"/>
            <w:vAlign w:val="center"/>
            <w:hideMark/>
          </w:tcPr>
          <w:p w14:paraId="5B9A70C8"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106,618</w:t>
            </w:r>
          </w:p>
        </w:tc>
        <w:tc>
          <w:tcPr>
            <w:tcW w:w="0" w:type="auto"/>
            <w:vAlign w:val="center"/>
            <w:hideMark/>
          </w:tcPr>
          <w:p w14:paraId="4EE58411" w14:textId="77777777" w:rsidR="00940D5A" w:rsidRPr="00C729C0" w:rsidRDefault="00940D5A"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4.9%</w:t>
            </w:r>
          </w:p>
        </w:tc>
      </w:tr>
    </w:tbl>
    <w:p w14:paraId="1CE7754C"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b/>
          <w:bCs/>
          <w:kern w:val="0"/>
          <w:lang w:eastAsia="en-GB"/>
          <w14:ligatures w14:val="none"/>
        </w:rPr>
        <w:t>Table 6: Tesla Debt Ratio (2019–2023)</w:t>
      </w:r>
    </w:p>
    <w:p w14:paraId="768B9456"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Tesla’s debt ratio declined significantly from 38.6% to 4.9%, indicating reduced financial risk and improved financial stability. Lower leverage reduces bankruptcy risk but may limit opportunities to enhance shareholder returns through financial gearing (Brealey et al., 2020).</w:t>
      </w:r>
    </w:p>
    <w:p w14:paraId="5560859D" w14:textId="1FB0D0F1" w:rsidR="00940D5A" w:rsidRPr="004E5FF3"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Style w:val="Strong"/>
          <w:rFonts w:ascii="Arial" w:eastAsiaTheme="majorEastAsia" w:hAnsi="Arial" w:cs="Arial"/>
          <w:noProof/>
        </w:rPr>
        <w:lastRenderedPageBreak/>
        <w:drawing>
          <wp:inline distT="0" distB="0" distL="0" distR="0" wp14:anchorId="7947CAB4" wp14:editId="5150B15B">
            <wp:extent cx="5731510" cy="4110273"/>
            <wp:effectExtent l="0" t="0" r="2540" b="0"/>
            <wp:docPr id="1817625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625707" name=""/>
                    <pic:cNvPicPr/>
                  </pic:nvPicPr>
                  <pic:blipFill rotWithShape="1">
                    <a:blip r:embed="rId13"/>
                    <a:srcRect l="-159" t="6616" r="-171" b="-6523"/>
                    <a:stretch/>
                  </pic:blipFill>
                  <pic:spPr>
                    <a:xfrm>
                      <a:off x="0" y="0"/>
                      <a:ext cx="5733828" cy="4111935"/>
                    </a:xfrm>
                    <a:prstGeom prst="rect">
                      <a:avLst/>
                    </a:prstGeom>
                  </pic:spPr>
                </pic:pic>
              </a:graphicData>
            </a:graphic>
          </wp:inline>
        </w:drawing>
      </w:r>
      <w:r w:rsidRPr="00C729C0">
        <w:rPr>
          <w:rStyle w:val="Strong"/>
          <w:rFonts w:ascii="Arial" w:eastAsiaTheme="majorEastAsia" w:hAnsi="Arial" w:cs="Arial"/>
        </w:rPr>
        <w:t xml:space="preserve">Figure </w:t>
      </w:r>
      <w:r w:rsidR="00EB5B60">
        <w:rPr>
          <w:rStyle w:val="Strong"/>
          <w:rFonts w:ascii="Arial" w:eastAsiaTheme="majorEastAsia" w:hAnsi="Arial" w:cs="Arial"/>
        </w:rPr>
        <w:t>5</w:t>
      </w:r>
      <w:r w:rsidRPr="00C729C0">
        <w:rPr>
          <w:rStyle w:val="Strong"/>
          <w:rFonts w:ascii="Arial" w:eastAsiaTheme="majorEastAsia" w:hAnsi="Arial" w:cs="Arial"/>
        </w:rPr>
        <w:t xml:space="preserve">: </w:t>
      </w:r>
      <w:r w:rsidRPr="00C729C0">
        <w:rPr>
          <w:rStyle w:val="Strong"/>
          <w:rFonts w:ascii="Arial" w:eastAsiaTheme="majorEastAsia" w:hAnsi="Arial" w:cs="Arial"/>
          <w:b w:val="0"/>
          <w:bCs w:val="0"/>
        </w:rPr>
        <w:t>Tesla Debt Ratio Trend (2019–2023)</w:t>
      </w:r>
    </w:p>
    <w:p w14:paraId="72F2B9E4" w14:textId="77777777" w:rsidR="00940D5A" w:rsidRPr="00C729C0" w:rsidRDefault="00940D5A"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1.6 Investment Ratio Analysis</w:t>
      </w:r>
    </w:p>
    <w:p w14:paraId="64D24235"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Investment ratios evaluate shareholder returns and market perception (Fraser and Ormiston, 2016).</w:t>
      </w:r>
    </w:p>
    <w:p w14:paraId="7142D81F"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EPS = Net Profit / Number of Shares</w:t>
      </w:r>
    </w:p>
    <w:p w14:paraId="2C6A1A8B"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P/E Ratio = Market Price per Share / EPS</w:t>
      </w:r>
    </w:p>
    <w:p w14:paraId="7D8914F1"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Tesla’s EPS increased significantly, reflecting strong profitability and improved shareholder returns. The high P/E ratio indicates strong investor confidence, although it may also suggest potential overvaluation if growth slows (Brealey et al., 2020).</w:t>
      </w:r>
    </w:p>
    <w:p w14:paraId="0EF56893"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Tesla retains earnings rather than paying dividends, supporting reinvestment and long-term growth (Arnold, 2020).</w:t>
      </w:r>
    </w:p>
    <w:p w14:paraId="77B98F2A" w14:textId="77777777" w:rsidR="00940D5A" w:rsidRPr="00C729C0" w:rsidRDefault="00940D5A"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1.7 Overall CFO Financial Assessment</w:t>
      </w:r>
    </w:p>
    <w:p w14:paraId="190D333D" w14:textId="77777777" w:rsidR="004E5FF3" w:rsidRDefault="004E5FF3" w:rsidP="0045227F">
      <w:pPr>
        <w:spacing w:before="100" w:beforeAutospacing="1" w:after="100" w:afterAutospacing="1" w:line="360" w:lineRule="auto"/>
        <w:rPr>
          <w:rFonts w:ascii="Arial" w:eastAsia="Times New Roman" w:hAnsi="Arial" w:cs="Arial"/>
          <w:kern w:val="0"/>
          <w:lang w:eastAsia="en-GB"/>
          <w14:ligatures w14:val="none"/>
        </w:rPr>
      </w:pPr>
      <w:r w:rsidRPr="004E5FF3">
        <w:rPr>
          <w:rFonts w:ascii="Arial" w:eastAsia="Times New Roman" w:hAnsi="Arial" w:cs="Arial"/>
          <w:kern w:val="0"/>
          <w:lang w:eastAsia="en-GB"/>
          <w14:ligatures w14:val="none"/>
        </w:rPr>
        <w:lastRenderedPageBreak/>
        <w:t>Tesla’s net profit margin increased from -3.5% to 15.5%, while ROE reached 28.1%, indicating substantial improvement in financial performance.</w:t>
      </w:r>
    </w:p>
    <w:p w14:paraId="7C1742C0" w14:textId="0C7FAC99"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However, declining gross profit margin indicates competitive pressure, while fluctuations in inventory suggest operational inefficiencies. Additionally, low financial leverage indicates potential underutilisation of debt to enhance returns.</w:t>
      </w:r>
    </w:p>
    <w:p w14:paraId="2368B2FE"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Future performance will depend on balancing growth, profitability, and operational efficiency.</w:t>
      </w:r>
    </w:p>
    <w:p w14:paraId="02A77BD7" w14:textId="77777777" w:rsidR="00940D5A" w:rsidRPr="00C729C0" w:rsidRDefault="00940D5A"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1.8 Industry Benchmark Comparison</w:t>
      </w:r>
    </w:p>
    <w:p w14:paraId="6E46981B"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Tesla’s net profit margin of approximately 15.5% exceeds industry averages of 5–10%, indicating superior operational efficiency. Similarly, its ROE of approximately 28% demonstrates strong capital utilisation compared to traditional automotive firms (</w:t>
      </w:r>
      <w:proofErr w:type="spellStart"/>
      <w:r w:rsidRPr="00C729C0">
        <w:rPr>
          <w:rFonts w:ascii="Arial" w:eastAsia="Times New Roman" w:hAnsi="Arial" w:cs="Arial"/>
          <w:kern w:val="0"/>
          <w:lang w:eastAsia="en-GB"/>
          <w14:ligatures w14:val="none"/>
        </w:rPr>
        <w:t>BloombergNEF</w:t>
      </w:r>
      <w:proofErr w:type="spellEnd"/>
      <w:r w:rsidRPr="00C729C0">
        <w:rPr>
          <w:rFonts w:ascii="Arial" w:eastAsia="Times New Roman" w:hAnsi="Arial" w:cs="Arial"/>
          <w:kern w:val="0"/>
          <w:lang w:eastAsia="en-GB"/>
          <w14:ligatures w14:val="none"/>
        </w:rPr>
        <w:t>, 2023; International Energy Agency, 2023).</w:t>
      </w:r>
    </w:p>
    <w:p w14:paraId="25463C13" w14:textId="77777777" w:rsidR="00940D5A" w:rsidRPr="00C729C0" w:rsidRDefault="00940D5A"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This suggests Tesla benefits from technological advantage and pricing power. However, higher inventory levels indicate the need for improved operational efficiency as the company continues to expand.</w:t>
      </w:r>
    </w:p>
    <w:p w14:paraId="127B5D7A" w14:textId="77777777" w:rsidR="00000B06" w:rsidRPr="00C729C0" w:rsidRDefault="00000B06" w:rsidP="0045227F">
      <w:pPr>
        <w:spacing w:before="100" w:beforeAutospacing="1" w:after="100" w:afterAutospacing="1" w:line="360" w:lineRule="auto"/>
        <w:rPr>
          <w:rFonts w:ascii="Arial" w:eastAsia="Times New Roman" w:hAnsi="Arial" w:cs="Arial"/>
          <w:kern w:val="0"/>
          <w:lang w:eastAsia="en-GB"/>
          <w14:ligatures w14:val="none"/>
        </w:rPr>
      </w:pPr>
    </w:p>
    <w:p w14:paraId="21BDCA1E" w14:textId="77777777" w:rsidR="00D27795" w:rsidRPr="00C729C0" w:rsidRDefault="00D27795" w:rsidP="0045227F">
      <w:pPr>
        <w:spacing w:before="100" w:beforeAutospacing="1" w:after="100" w:afterAutospacing="1" w:line="360" w:lineRule="auto"/>
        <w:outlineLvl w:val="0"/>
        <w:rPr>
          <w:rFonts w:ascii="Arial" w:eastAsia="Times New Roman" w:hAnsi="Arial" w:cs="Arial"/>
          <w:b/>
          <w:bCs/>
          <w:kern w:val="36"/>
          <w:sz w:val="28"/>
          <w:szCs w:val="28"/>
          <w:lang w:eastAsia="en-GB"/>
          <w14:ligatures w14:val="none"/>
        </w:rPr>
      </w:pPr>
      <w:bookmarkStart w:id="5" w:name="_Toc224822919"/>
      <w:r w:rsidRPr="00C729C0">
        <w:rPr>
          <w:rFonts w:ascii="Arial" w:eastAsia="Times New Roman" w:hAnsi="Arial" w:cs="Arial"/>
          <w:b/>
          <w:bCs/>
          <w:kern w:val="36"/>
          <w:sz w:val="28"/>
          <w:szCs w:val="28"/>
          <w:lang w:eastAsia="en-GB"/>
          <w14:ligatures w14:val="none"/>
        </w:rPr>
        <w:t>Section 2: Working Capital Management Analysis</w:t>
      </w:r>
      <w:bookmarkEnd w:id="5"/>
    </w:p>
    <w:p w14:paraId="08FFAE9A" w14:textId="77777777" w:rsidR="001F142D" w:rsidRPr="00C729C0" w:rsidRDefault="001F142D"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2.1 Introduction</w:t>
      </w:r>
    </w:p>
    <w:p w14:paraId="53DA0B48"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 xml:space="preserve">Working capital management involves managing short-term assets and liabilities to ensure that a firm maintains sufficient liquidity while operating efficiently. Effective working capital management improves cash flow, reduces financial risk, and enhances profitability (Gitman, </w:t>
      </w:r>
      <w:proofErr w:type="spellStart"/>
      <w:r w:rsidRPr="00C729C0">
        <w:rPr>
          <w:rFonts w:ascii="Arial" w:eastAsia="Times New Roman" w:hAnsi="Arial" w:cs="Arial"/>
          <w:kern w:val="0"/>
          <w:lang w:eastAsia="en-GB"/>
          <w14:ligatures w14:val="none"/>
        </w:rPr>
        <w:t>Juchau</w:t>
      </w:r>
      <w:proofErr w:type="spellEnd"/>
      <w:r w:rsidRPr="00C729C0">
        <w:rPr>
          <w:rFonts w:ascii="Arial" w:eastAsia="Times New Roman" w:hAnsi="Arial" w:cs="Arial"/>
          <w:kern w:val="0"/>
          <w:lang w:eastAsia="en-GB"/>
          <w14:ligatures w14:val="none"/>
        </w:rPr>
        <w:t xml:space="preserve"> and Flanagan, 2015; Deloof, 2003).</w:t>
      </w:r>
    </w:p>
    <w:p w14:paraId="6EEFB1FA"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From a financial management perspective, working capital decisions directly influence liquidity, operational efficiency, and overall financial performance. Efficient management of receivables, payables, and inventory is essential for sustaining business operations and supporting growth (Shin and Soenen, 1998).</w:t>
      </w:r>
    </w:p>
    <w:p w14:paraId="7C8BC871" w14:textId="77777777" w:rsidR="001F142D" w:rsidRPr="00C729C0" w:rsidRDefault="001F142D"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lastRenderedPageBreak/>
        <w:t>2.2 Working Capital Position</w:t>
      </w:r>
    </w:p>
    <w:p w14:paraId="19958460"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Working Capital = Current Assets − Current Liabilities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29"/>
        <w:gridCol w:w="2374"/>
        <w:gridCol w:w="2694"/>
        <w:gridCol w:w="2496"/>
      </w:tblGrid>
      <w:tr w:rsidR="001F142D" w:rsidRPr="00C729C0" w14:paraId="791492FE" w14:textId="77777777" w:rsidTr="00102E50">
        <w:trPr>
          <w:tblHeader/>
          <w:tblCellSpacing w:w="15" w:type="dxa"/>
        </w:trPr>
        <w:tc>
          <w:tcPr>
            <w:tcW w:w="0" w:type="auto"/>
            <w:vAlign w:val="center"/>
            <w:hideMark/>
          </w:tcPr>
          <w:p w14:paraId="18040AF4" w14:textId="77777777" w:rsidR="001F142D" w:rsidRPr="00C729C0" w:rsidRDefault="001F142D"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Year</w:t>
            </w:r>
          </w:p>
        </w:tc>
        <w:tc>
          <w:tcPr>
            <w:tcW w:w="0" w:type="auto"/>
            <w:vAlign w:val="center"/>
            <w:hideMark/>
          </w:tcPr>
          <w:p w14:paraId="6E24EF54" w14:textId="77777777" w:rsidR="001F142D" w:rsidRPr="00C729C0" w:rsidRDefault="001F142D"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Current Assets ($m)</w:t>
            </w:r>
          </w:p>
        </w:tc>
        <w:tc>
          <w:tcPr>
            <w:tcW w:w="0" w:type="auto"/>
            <w:vAlign w:val="center"/>
            <w:hideMark/>
          </w:tcPr>
          <w:p w14:paraId="19FE6EAA" w14:textId="77777777" w:rsidR="001F142D" w:rsidRPr="00C729C0" w:rsidRDefault="001F142D"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Current Liabilities ($m)</w:t>
            </w:r>
          </w:p>
        </w:tc>
        <w:tc>
          <w:tcPr>
            <w:tcW w:w="0" w:type="auto"/>
            <w:vAlign w:val="center"/>
            <w:hideMark/>
          </w:tcPr>
          <w:p w14:paraId="50E8410E" w14:textId="77777777" w:rsidR="001F142D" w:rsidRPr="00C729C0" w:rsidRDefault="001F142D"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Working Capital ($m)</w:t>
            </w:r>
          </w:p>
        </w:tc>
      </w:tr>
      <w:tr w:rsidR="001F142D" w:rsidRPr="00C729C0" w14:paraId="2ADA46C9" w14:textId="77777777" w:rsidTr="00102E50">
        <w:trPr>
          <w:tblCellSpacing w:w="15" w:type="dxa"/>
        </w:trPr>
        <w:tc>
          <w:tcPr>
            <w:tcW w:w="0" w:type="auto"/>
            <w:vAlign w:val="center"/>
            <w:hideMark/>
          </w:tcPr>
          <w:p w14:paraId="25582378"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2019</w:t>
            </w:r>
          </w:p>
        </w:tc>
        <w:tc>
          <w:tcPr>
            <w:tcW w:w="0" w:type="auto"/>
            <w:vAlign w:val="center"/>
            <w:hideMark/>
          </w:tcPr>
          <w:p w14:paraId="41557C8C"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12,103</w:t>
            </w:r>
          </w:p>
        </w:tc>
        <w:tc>
          <w:tcPr>
            <w:tcW w:w="0" w:type="auto"/>
            <w:vAlign w:val="center"/>
            <w:hideMark/>
          </w:tcPr>
          <w:p w14:paraId="0797EB6B"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10,667</w:t>
            </w:r>
          </w:p>
        </w:tc>
        <w:tc>
          <w:tcPr>
            <w:tcW w:w="0" w:type="auto"/>
            <w:vAlign w:val="center"/>
            <w:hideMark/>
          </w:tcPr>
          <w:p w14:paraId="6A2F1234"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1,436</w:t>
            </w:r>
          </w:p>
        </w:tc>
      </w:tr>
      <w:tr w:rsidR="001F142D" w:rsidRPr="00C729C0" w14:paraId="49FE7118" w14:textId="77777777" w:rsidTr="00102E50">
        <w:trPr>
          <w:tblCellSpacing w:w="15" w:type="dxa"/>
        </w:trPr>
        <w:tc>
          <w:tcPr>
            <w:tcW w:w="0" w:type="auto"/>
            <w:vAlign w:val="center"/>
            <w:hideMark/>
          </w:tcPr>
          <w:p w14:paraId="12DA4418"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2020</w:t>
            </w:r>
          </w:p>
        </w:tc>
        <w:tc>
          <w:tcPr>
            <w:tcW w:w="0" w:type="auto"/>
            <w:vAlign w:val="center"/>
            <w:hideMark/>
          </w:tcPr>
          <w:p w14:paraId="5A73139A"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26,717</w:t>
            </w:r>
          </w:p>
        </w:tc>
        <w:tc>
          <w:tcPr>
            <w:tcW w:w="0" w:type="auto"/>
            <w:vAlign w:val="center"/>
            <w:hideMark/>
          </w:tcPr>
          <w:p w14:paraId="0BC3CE58"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19,705</w:t>
            </w:r>
          </w:p>
        </w:tc>
        <w:tc>
          <w:tcPr>
            <w:tcW w:w="0" w:type="auto"/>
            <w:vAlign w:val="center"/>
            <w:hideMark/>
          </w:tcPr>
          <w:p w14:paraId="71CFBFD0"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7,012</w:t>
            </w:r>
          </w:p>
        </w:tc>
      </w:tr>
      <w:tr w:rsidR="001F142D" w:rsidRPr="00C729C0" w14:paraId="248768E1" w14:textId="77777777" w:rsidTr="00102E50">
        <w:trPr>
          <w:tblCellSpacing w:w="15" w:type="dxa"/>
        </w:trPr>
        <w:tc>
          <w:tcPr>
            <w:tcW w:w="0" w:type="auto"/>
            <w:vAlign w:val="center"/>
            <w:hideMark/>
          </w:tcPr>
          <w:p w14:paraId="41457A2A"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2021</w:t>
            </w:r>
          </w:p>
        </w:tc>
        <w:tc>
          <w:tcPr>
            <w:tcW w:w="0" w:type="auto"/>
            <w:vAlign w:val="center"/>
            <w:hideMark/>
          </w:tcPr>
          <w:p w14:paraId="216C6BEF"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30,548</w:t>
            </w:r>
          </w:p>
        </w:tc>
        <w:tc>
          <w:tcPr>
            <w:tcW w:w="0" w:type="auto"/>
            <w:vAlign w:val="center"/>
            <w:hideMark/>
          </w:tcPr>
          <w:p w14:paraId="57757F06"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27,699</w:t>
            </w:r>
          </w:p>
        </w:tc>
        <w:tc>
          <w:tcPr>
            <w:tcW w:w="0" w:type="auto"/>
            <w:vAlign w:val="center"/>
            <w:hideMark/>
          </w:tcPr>
          <w:p w14:paraId="5196E2CB"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2,849</w:t>
            </w:r>
          </w:p>
        </w:tc>
      </w:tr>
      <w:tr w:rsidR="001F142D" w:rsidRPr="00C729C0" w14:paraId="26A46D2A" w14:textId="77777777" w:rsidTr="00102E50">
        <w:trPr>
          <w:tblCellSpacing w:w="15" w:type="dxa"/>
        </w:trPr>
        <w:tc>
          <w:tcPr>
            <w:tcW w:w="0" w:type="auto"/>
            <w:vAlign w:val="center"/>
            <w:hideMark/>
          </w:tcPr>
          <w:p w14:paraId="79CF3F20"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2022</w:t>
            </w:r>
          </w:p>
        </w:tc>
        <w:tc>
          <w:tcPr>
            <w:tcW w:w="0" w:type="auto"/>
            <w:vAlign w:val="center"/>
            <w:hideMark/>
          </w:tcPr>
          <w:p w14:paraId="1EB5A218"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40,917</w:t>
            </w:r>
          </w:p>
        </w:tc>
        <w:tc>
          <w:tcPr>
            <w:tcW w:w="0" w:type="auto"/>
            <w:vAlign w:val="center"/>
            <w:hideMark/>
          </w:tcPr>
          <w:p w14:paraId="391822C0"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28,748</w:t>
            </w:r>
          </w:p>
        </w:tc>
        <w:tc>
          <w:tcPr>
            <w:tcW w:w="0" w:type="auto"/>
            <w:vAlign w:val="center"/>
            <w:hideMark/>
          </w:tcPr>
          <w:p w14:paraId="6DF9E3C8"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12,169</w:t>
            </w:r>
          </w:p>
        </w:tc>
      </w:tr>
      <w:tr w:rsidR="001F142D" w:rsidRPr="00C729C0" w14:paraId="2184826A" w14:textId="77777777" w:rsidTr="00102E50">
        <w:trPr>
          <w:tblCellSpacing w:w="15" w:type="dxa"/>
        </w:trPr>
        <w:tc>
          <w:tcPr>
            <w:tcW w:w="0" w:type="auto"/>
            <w:vAlign w:val="center"/>
            <w:hideMark/>
          </w:tcPr>
          <w:p w14:paraId="0CFCA154"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2023</w:t>
            </w:r>
          </w:p>
        </w:tc>
        <w:tc>
          <w:tcPr>
            <w:tcW w:w="0" w:type="auto"/>
            <w:vAlign w:val="center"/>
            <w:hideMark/>
          </w:tcPr>
          <w:p w14:paraId="52C5C86A"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49,616</w:t>
            </w:r>
          </w:p>
        </w:tc>
        <w:tc>
          <w:tcPr>
            <w:tcW w:w="0" w:type="auto"/>
            <w:vAlign w:val="center"/>
            <w:hideMark/>
          </w:tcPr>
          <w:p w14:paraId="08A66D7E"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33,593</w:t>
            </w:r>
          </w:p>
        </w:tc>
        <w:tc>
          <w:tcPr>
            <w:tcW w:w="0" w:type="auto"/>
            <w:vAlign w:val="center"/>
            <w:hideMark/>
          </w:tcPr>
          <w:p w14:paraId="73C32C39"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16,023</w:t>
            </w:r>
          </w:p>
        </w:tc>
      </w:tr>
    </w:tbl>
    <w:p w14:paraId="738BF226"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b/>
          <w:bCs/>
          <w:kern w:val="0"/>
          <w:lang w:eastAsia="en-GB"/>
          <w14:ligatures w14:val="none"/>
        </w:rPr>
        <w:t>Table 7: Tesla Working Capital (2019–2023)</w:t>
      </w:r>
    </w:p>
    <w:p w14:paraId="5AD58D3F"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Tesla’s working capital increased from $1,436 million in 2019 to $16,023 million in 2023, representing a substantial improvement in short-term financial capacity. This increase reflects growth in current assets driven by higher revenues and profitability.</w:t>
      </w:r>
    </w:p>
    <w:p w14:paraId="4D988406" w14:textId="5FC165E0" w:rsidR="001F142D" w:rsidRPr="00C729C0" w:rsidRDefault="001F142D" w:rsidP="0045227F">
      <w:pPr>
        <w:pStyle w:val="NormalWeb"/>
        <w:spacing w:line="360" w:lineRule="auto"/>
        <w:rPr>
          <w:rFonts w:ascii="Arial" w:hAnsi="Arial" w:cs="Arial"/>
          <w:lang w:eastAsia="en-IN"/>
        </w:rPr>
      </w:pPr>
      <w:r w:rsidRPr="00C729C0">
        <w:rPr>
          <w:rFonts w:ascii="Arial" w:hAnsi="Arial" w:cs="Arial"/>
        </w:rPr>
        <w:t>Positive working capital indicates that Tesla has sufficient resources to meet short-term obligations, which strengthens liquidity and operational stability (Brigham and Houston, 2022</w:t>
      </w:r>
      <w:r w:rsidR="00CA21B0" w:rsidRPr="00C729C0">
        <w:rPr>
          <w:rFonts w:ascii="Arial" w:hAnsi="Arial" w:cs="Arial"/>
          <w:lang w:eastAsia="en-IN"/>
        </w:rPr>
        <w:t>; Deloof, 2003; Enqvist et al., 2014).</w:t>
      </w:r>
      <w:r w:rsidRPr="00C729C0">
        <w:rPr>
          <w:rFonts w:ascii="Arial" w:hAnsi="Arial" w:cs="Arial"/>
        </w:rPr>
        <w:t xml:space="preserve"> However, excessively high working capital may indicate inefficient use of resources if funds are tied up in non-productive assets (Deloof, 2003).</w:t>
      </w:r>
    </w:p>
    <w:p w14:paraId="6F0DC7B9" w14:textId="77777777" w:rsidR="001F142D" w:rsidRPr="00C729C0" w:rsidRDefault="001F142D"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2.3 Liquidity Performance in Working Capital</w:t>
      </w:r>
    </w:p>
    <w:p w14:paraId="7EB3F379" w14:textId="77777777" w:rsidR="001F142D" w:rsidRPr="00C729C0" w:rsidRDefault="001F142D"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2.3.1 Current Ratio Analysis</w:t>
      </w:r>
    </w:p>
    <w:p w14:paraId="58905F1E"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Current Ratio = Current Assets / Current Liabilities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29"/>
        <w:gridCol w:w="1629"/>
      </w:tblGrid>
      <w:tr w:rsidR="001F142D" w:rsidRPr="00C729C0" w14:paraId="3046C01F" w14:textId="77777777" w:rsidTr="00102E50">
        <w:trPr>
          <w:tblHeader/>
          <w:tblCellSpacing w:w="15" w:type="dxa"/>
        </w:trPr>
        <w:tc>
          <w:tcPr>
            <w:tcW w:w="0" w:type="auto"/>
            <w:vAlign w:val="center"/>
            <w:hideMark/>
          </w:tcPr>
          <w:p w14:paraId="359DECF9" w14:textId="77777777" w:rsidR="001F142D" w:rsidRPr="00C729C0" w:rsidRDefault="001F142D"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Year</w:t>
            </w:r>
          </w:p>
        </w:tc>
        <w:tc>
          <w:tcPr>
            <w:tcW w:w="0" w:type="auto"/>
            <w:vAlign w:val="center"/>
            <w:hideMark/>
          </w:tcPr>
          <w:p w14:paraId="0698D597" w14:textId="77777777" w:rsidR="001F142D" w:rsidRPr="00C729C0" w:rsidRDefault="001F142D"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Current Ratio</w:t>
            </w:r>
          </w:p>
        </w:tc>
      </w:tr>
      <w:tr w:rsidR="001F142D" w:rsidRPr="00C729C0" w14:paraId="51354B75" w14:textId="77777777" w:rsidTr="00102E50">
        <w:trPr>
          <w:tblCellSpacing w:w="15" w:type="dxa"/>
        </w:trPr>
        <w:tc>
          <w:tcPr>
            <w:tcW w:w="0" w:type="auto"/>
            <w:vAlign w:val="center"/>
            <w:hideMark/>
          </w:tcPr>
          <w:p w14:paraId="25453CEE"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2019</w:t>
            </w:r>
          </w:p>
        </w:tc>
        <w:tc>
          <w:tcPr>
            <w:tcW w:w="0" w:type="auto"/>
            <w:vAlign w:val="center"/>
            <w:hideMark/>
          </w:tcPr>
          <w:p w14:paraId="6C3F3DDD"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1.13</w:t>
            </w:r>
          </w:p>
        </w:tc>
      </w:tr>
      <w:tr w:rsidR="001F142D" w:rsidRPr="00C729C0" w14:paraId="02E4E3CB" w14:textId="77777777" w:rsidTr="00102E50">
        <w:trPr>
          <w:tblCellSpacing w:w="15" w:type="dxa"/>
        </w:trPr>
        <w:tc>
          <w:tcPr>
            <w:tcW w:w="0" w:type="auto"/>
            <w:vAlign w:val="center"/>
            <w:hideMark/>
          </w:tcPr>
          <w:p w14:paraId="049CB13B"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2020</w:t>
            </w:r>
          </w:p>
        </w:tc>
        <w:tc>
          <w:tcPr>
            <w:tcW w:w="0" w:type="auto"/>
            <w:vAlign w:val="center"/>
            <w:hideMark/>
          </w:tcPr>
          <w:p w14:paraId="0A47E33A"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1.36</w:t>
            </w:r>
          </w:p>
        </w:tc>
      </w:tr>
      <w:tr w:rsidR="001F142D" w:rsidRPr="00C729C0" w14:paraId="1F5972A5" w14:textId="77777777" w:rsidTr="00102E50">
        <w:trPr>
          <w:tblCellSpacing w:w="15" w:type="dxa"/>
        </w:trPr>
        <w:tc>
          <w:tcPr>
            <w:tcW w:w="0" w:type="auto"/>
            <w:vAlign w:val="center"/>
            <w:hideMark/>
          </w:tcPr>
          <w:p w14:paraId="22038D4F"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2021</w:t>
            </w:r>
          </w:p>
        </w:tc>
        <w:tc>
          <w:tcPr>
            <w:tcW w:w="0" w:type="auto"/>
            <w:vAlign w:val="center"/>
            <w:hideMark/>
          </w:tcPr>
          <w:p w14:paraId="7D50C9C4"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1.10</w:t>
            </w:r>
          </w:p>
        </w:tc>
      </w:tr>
      <w:tr w:rsidR="001F142D" w:rsidRPr="00C729C0" w14:paraId="4BFF620C" w14:textId="77777777" w:rsidTr="00102E50">
        <w:trPr>
          <w:tblCellSpacing w:w="15" w:type="dxa"/>
        </w:trPr>
        <w:tc>
          <w:tcPr>
            <w:tcW w:w="0" w:type="auto"/>
            <w:vAlign w:val="center"/>
            <w:hideMark/>
          </w:tcPr>
          <w:p w14:paraId="458FE2F5"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2022</w:t>
            </w:r>
          </w:p>
        </w:tc>
        <w:tc>
          <w:tcPr>
            <w:tcW w:w="0" w:type="auto"/>
            <w:vAlign w:val="center"/>
            <w:hideMark/>
          </w:tcPr>
          <w:p w14:paraId="3C02A1A1"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1.42</w:t>
            </w:r>
          </w:p>
        </w:tc>
      </w:tr>
      <w:tr w:rsidR="001F142D" w:rsidRPr="00C729C0" w14:paraId="08F736A9" w14:textId="77777777" w:rsidTr="00102E50">
        <w:trPr>
          <w:tblCellSpacing w:w="15" w:type="dxa"/>
        </w:trPr>
        <w:tc>
          <w:tcPr>
            <w:tcW w:w="0" w:type="auto"/>
            <w:vAlign w:val="center"/>
            <w:hideMark/>
          </w:tcPr>
          <w:p w14:paraId="1F6147EB"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lastRenderedPageBreak/>
              <w:t>2023</w:t>
            </w:r>
          </w:p>
        </w:tc>
        <w:tc>
          <w:tcPr>
            <w:tcW w:w="0" w:type="auto"/>
            <w:vAlign w:val="center"/>
            <w:hideMark/>
          </w:tcPr>
          <w:p w14:paraId="7210C8E0"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1.48</w:t>
            </w:r>
          </w:p>
        </w:tc>
      </w:tr>
    </w:tbl>
    <w:p w14:paraId="0EF8997C"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br/>
      </w:r>
      <w:r w:rsidRPr="00C729C0">
        <w:rPr>
          <w:rFonts w:ascii="Arial" w:eastAsia="Times New Roman" w:hAnsi="Arial" w:cs="Arial"/>
          <w:b/>
          <w:bCs/>
          <w:kern w:val="0"/>
          <w:lang w:eastAsia="en-GB"/>
          <w14:ligatures w14:val="none"/>
        </w:rPr>
        <w:t>Table 8: Current Ratio (2019–2023)</w:t>
      </w:r>
    </w:p>
    <w:p w14:paraId="7224E457"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Tesla’s current ratio improved from 1.13 to 1.48, indicating stronger liquidity and improved ability to meet short-term obligations. A ratio above 1 suggests that the firm can comfortably cover its current liabilities (</w:t>
      </w:r>
      <w:proofErr w:type="spellStart"/>
      <w:r w:rsidRPr="00C729C0">
        <w:rPr>
          <w:rFonts w:ascii="Arial" w:eastAsia="Times New Roman" w:hAnsi="Arial" w:cs="Arial"/>
          <w:kern w:val="0"/>
          <w:lang w:eastAsia="en-GB"/>
          <w14:ligatures w14:val="none"/>
        </w:rPr>
        <w:t>Atrill</w:t>
      </w:r>
      <w:proofErr w:type="spellEnd"/>
      <w:r w:rsidRPr="00C729C0">
        <w:rPr>
          <w:rFonts w:ascii="Arial" w:eastAsia="Times New Roman" w:hAnsi="Arial" w:cs="Arial"/>
          <w:kern w:val="0"/>
          <w:lang w:eastAsia="en-GB"/>
          <w14:ligatures w14:val="none"/>
        </w:rPr>
        <w:t xml:space="preserve"> and McLaney, 2019).</w:t>
      </w:r>
    </w:p>
    <w:p w14:paraId="0C58C396" w14:textId="77777777" w:rsidR="001F142D" w:rsidRPr="00C729C0" w:rsidRDefault="001F142D"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2.3.2 Quick Ratio Analysis</w:t>
      </w:r>
    </w:p>
    <w:p w14:paraId="44540D36"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Quick Ratio = (Current Assets − Inventory) / Current Liabilities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29"/>
        <w:gridCol w:w="1429"/>
      </w:tblGrid>
      <w:tr w:rsidR="001F142D" w:rsidRPr="00C729C0" w14:paraId="72E58ABF" w14:textId="77777777" w:rsidTr="00102E50">
        <w:trPr>
          <w:tblHeader/>
          <w:tblCellSpacing w:w="15" w:type="dxa"/>
        </w:trPr>
        <w:tc>
          <w:tcPr>
            <w:tcW w:w="0" w:type="auto"/>
            <w:vAlign w:val="center"/>
            <w:hideMark/>
          </w:tcPr>
          <w:p w14:paraId="678BA18A" w14:textId="77777777" w:rsidR="001F142D" w:rsidRPr="00C729C0" w:rsidRDefault="001F142D"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Year</w:t>
            </w:r>
          </w:p>
        </w:tc>
        <w:tc>
          <w:tcPr>
            <w:tcW w:w="0" w:type="auto"/>
            <w:vAlign w:val="center"/>
            <w:hideMark/>
          </w:tcPr>
          <w:p w14:paraId="72C10B90" w14:textId="77777777" w:rsidR="001F142D" w:rsidRPr="00C729C0" w:rsidRDefault="001F142D"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Quick Ratio</w:t>
            </w:r>
          </w:p>
        </w:tc>
      </w:tr>
      <w:tr w:rsidR="001F142D" w:rsidRPr="00C729C0" w14:paraId="1063492F" w14:textId="77777777" w:rsidTr="00102E50">
        <w:trPr>
          <w:tblCellSpacing w:w="15" w:type="dxa"/>
        </w:trPr>
        <w:tc>
          <w:tcPr>
            <w:tcW w:w="0" w:type="auto"/>
            <w:vAlign w:val="center"/>
            <w:hideMark/>
          </w:tcPr>
          <w:p w14:paraId="6B08AFE7"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2019</w:t>
            </w:r>
          </w:p>
        </w:tc>
        <w:tc>
          <w:tcPr>
            <w:tcW w:w="0" w:type="auto"/>
            <w:vAlign w:val="center"/>
            <w:hideMark/>
          </w:tcPr>
          <w:p w14:paraId="47512E1F"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0.80</w:t>
            </w:r>
          </w:p>
        </w:tc>
      </w:tr>
      <w:tr w:rsidR="001F142D" w:rsidRPr="00C729C0" w14:paraId="19EB8B74" w14:textId="77777777" w:rsidTr="00102E50">
        <w:trPr>
          <w:tblCellSpacing w:w="15" w:type="dxa"/>
        </w:trPr>
        <w:tc>
          <w:tcPr>
            <w:tcW w:w="0" w:type="auto"/>
            <w:vAlign w:val="center"/>
            <w:hideMark/>
          </w:tcPr>
          <w:p w14:paraId="4BFB5575"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2020</w:t>
            </w:r>
          </w:p>
        </w:tc>
        <w:tc>
          <w:tcPr>
            <w:tcW w:w="0" w:type="auto"/>
            <w:vAlign w:val="center"/>
            <w:hideMark/>
          </w:tcPr>
          <w:p w14:paraId="040A4AFD"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1.15</w:t>
            </w:r>
          </w:p>
        </w:tc>
      </w:tr>
      <w:tr w:rsidR="001F142D" w:rsidRPr="00C729C0" w14:paraId="08E38155" w14:textId="77777777" w:rsidTr="00102E50">
        <w:trPr>
          <w:tblCellSpacing w:w="15" w:type="dxa"/>
        </w:trPr>
        <w:tc>
          <w:tcPr>
            <w:tcW w:w="0" w:type="auto"/>
            <w:vAlign w:val="center"/>
            <w:hideMark/>
          </w:tcPr>
          <w:p w14:paraId="7C5195D0"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2021</w:t>
            </w:r>
          </w:p>
        </w:tc>
        <w:tc>
          <w:tcPr>
            <w:tcW w:w="0" w:type="auto"/>
            <w:vAlign w:val="center"/>
            <w:hideMark/>
          </w:tcPr>
          <w:p w14:paraId="60ED4100"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0.89</w:t>
            </w:r>
          </w:p>
        </w:tc>
      </w:tr>
      <w:tr w:rsidR="001F142D" w:rsidRPr="00C729C0" w14:paraId="0C676231" w14:textId="77777777" w:rsidTr="00102E50">
        <w:trPr>
          <w:tblCellSpacing w:w="15" w:type="dxa"/>
        </w:trPr>
        <w:tc>
          <w:tcPr>
            <w:tcW w:w="0" w:type="auto"/>
            <w:vAlign w:val="center"/>
            <w:hideMark/>
          </w:tcPr>
          <w:p w14:paraId="1AE555AD"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2022</w:t>
            </w:r>
          </w:p>
        </w:tc>
        <w:tc>
          <w:tcPr>
            <w:tcW w:w="0" w:type="auto"/>
            <w:vAlign w:val="center"/>
            <w:hideMark/>
          </w:tcPr>
          <w:p w14:paraId="6B147F5F"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0.97</w:t>
            </w:r>
          </w:p>
        </w:tc>
      </w:tr>
      <w:tr w:rsidR="001F142D" w:rsidRPr="00C729C0" w14:paraId="3BA46904" w14:textId="77777777" w:rsidTr="00102E50">
        <w:trPr>
          <w:tblCellSpacing w:w="15" w:type="dxa"/>
        </w:trPr>
        <w:tc>
          <w:tcPr>
            <w:tcW w:w="0" w:type="auto"/>
            <w:vAlign w:val="center"/>
            <w:hideMark/>
          </w:tcPr>
          <w:p w14:paraId="752E9CE2"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2023</w:t>
            </w:r>
          </w:p>
        </w:tc>
        <w:tc>
          <w:tcPr>
            <w:tcW w:w="0" w:type="auto"/>
            <w:vAlign w:val="center"/>
            <w:hideMark/>
          </w:tcPr>
          <w:p w14:paraId="184574F4"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1.07</w:t>
            </w:r>
          </w:p>
        </w:tc>
      </w:tr>
    </w:tbl>
    <w:p w14:paraId="2D5D9705"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b/>
          <w:bCs/>
          <w:kern w:val="0"/>
          <w:lang w:eastAsia="en-GB"/>
          <w14:ligatures w14:val="none"/>
        </w:rPr>
        <w:t>Table 9: Quick Ratio (2019–2023)</w:t>
      </w:r>
    </w:p>
    <w:p w14:paraId="7A77691D"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The quick ratio improved to 1.07, indicating that Tesla can meet its obligations without relying on inventory. This reflects high-quality liquidity supported by cash and receivables (Brigham and Houston, 2022).</w:t>
      </w:r>
    </w:p>
    <w:p w14:paraId="5208769E" w14:textId="77777777" w:rsidR="001F142D" w:rsidRPr="00C729C0" w:rsidRDefault="001F142D"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2.4 Efficiency of Working Capital</w:t>
      </w:r>
    </w:p>
    <w:p w14:paraId="29BB799F" w14:textId="77777777" w:rsidR="001F142D" w:rsidRPr="00C729C0" w:rsidRDefault="001F142D"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2.4.1 Inventory Days Analysis</w:t>
      </w:r>
    </w:p>
    <w:p w14:paraId="183583A8"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Inventory Days = Inventory × 365 / Cost of Sales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29"/>
        <w:gridCol w:w="1816"/>
      </w:tblGrid>
      <w:tr w:rsidR="001F142D" w:rsidRPr="00C729C0" w14:paraId="211254DE" w14:textId="77777777" w:rsidTr="00102E50">
        <w:trPr>
          <w:tblHeader/>
          <w:tblCellSpacing w:w="15" w:type="dxa"/>
        </w:trPr>
        <w:tc>
          <w:tcPr>
            <w:tcW w:w="0" w:type="auto"/>
            <w:vAlign w:val="center"/>
            <w:hideMark/>
          </w:tcPr>
          <w:p w14:paraId="58089507" w14:textId="77777777" w:rsidR="001F142D" w:rsidRPr="00C729C0" w:rsidRDefault="001F142D"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Year</w:t>
            </w:r>
          </w:p>
        </w:tc>
        <w:tc>
          <w:tcPr>
            <w:tcW w:w="0" w:type="auto"/>
            <w:vAlign w:val="center"/>
            <w:hideMark/>
          </w:tcPr>
          <w:p w14:paraId="5C4A14F1" w14:textId="77777777" w:rsidR="001F142D" w:rsidRPr="00C729C0" w:rsidRDefault="001F142D"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Inventory Days</w:t>
            </w:r>
          </w:p>
        </w:tc>
      </w:tr>
      <w:tr w:rsidR="001F142D" w:rsidRPr="00C729C0" w14:paraId="3EB5097F" w14:textId="77777777" w:rsidTr="00102E50">
        <w:trPr>
          <w:tblCellSpacing w:w="15" w:type="dxa"/>
        </w:trPr>
        <w:tc>
          <w:tcPr>
            <w:tcW w:w="0" w:type="auto"/>
            <w:vAlign w:val="center"/>
            <w:hideMark/>
          </w:tcPr>
          <w:p w14:paraId="574E9107"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2019</w:t>
            </w:r>
          </w:p>
        </w:tc>
        <w:tc>
          <w:tcPr>
            <w:tcW w:w="0" w:type="auto"/>
            <w:vAlign w:val="center"/>
            <w:hideMark/>
          </w:tcPr>
          <w:p w14:paraId="7C1EA536"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63 days</w:t>
            </w:r>
          </w:p>
        </w:tc>
      </w:tr>
      <w:tr w:rsidR="001F142D" w:rsidRPr="00C729C0" w14:paraId="395F4987" w14:textId="77777777" w:rsidTr="00102E50">
        <w:trPr>
          <w:tblCellSpacing w:w="15" w:type="dxa"/>
        </w:trPr>
        <w:tc>
          <w:tcPr>
            <w:tcW w:w="0" w:type="auto"/>
            <w:vAlign w:val="center"/>
            <w:hideMark/>
          </w:tcPr>
          <w:p w14:paraId="423A10CC"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lastRenderedPageBreak/>
              <w:t>2020</w:t>
            </w:r>
          </w:p>
        </w:tc>
        <w:tc>
          <w:tcPr>
            <w:tcW w:w="0" w:type="auto"/>
            <w:vAlign w:val="center"/>
            <w:hideMark/>
          </w:tcPr>
          <w:p w14:paraId="48A33CC6"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60 days</w:t>
            </w:r>
          </w:p>
        </w:tc>
      </w:tr>
      <w:tr w:rsidR="001F142D" w:rsidRPr="00C729C0" w14:paraId="23804625" w14:textId="77777777" w:rsidTr="00102E50">
        <w:trPr>
          <w:tblCellSpacing w:w="15" w:type="dxa"/>
        </w:trPr>
        <w:tc>
          <w:tcPr>
            <w:tcW w:w="0" w:type="auto"/>
            <w:vAlign w:val="center"/>
            <w:hideMark/>
          </w:tcPr>
          <w:p w14:paraId="17949278"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2021</w:t>
            </w:r>
          </w:p>
        </w:tc>
        <w:tc>
          <w:tcPr>
            <w:tcW w:w="0" w:type="auto"/>
            <w:vAlign w:val="center"/>
            <w:hideMark/>
          </w:tcPr>
          <w:p w14:paraId="39C3B194"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52 days</w:t>
            </w:r>
          </w:p>
        </w:tc>
      </w:tr>
      <w:tr w:rsidR="001F142D" w:rsidRPr="00C729C0" w14:paraId="4D00837E" w14:textId="77777777" w:rsidTr="00102E50">
        <w:trPr>
          <w:tblCellSpacing w:w="15" w:type="dxa"/>
        </w:trPr>
        <w:tc>
          <w:tcPr>
            <w:tcW w:w="0" w:type="auto"/>
            <w:vAlign w:val="center"/>
            <w:hideMark/>
          </w:tcPr>
          <w:p w14:paraId="0B0FC8F2"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2022</w:t>
            </w:r>
          </w:p>
        </w:tc>
        <w:tc>
          <w:tcPr>
            <w:tcW w:w="0" w:type="auto"/>
            <w:vAlign w:val="center"/>
            <w:hideMark/>
          </w:tcPr>
          <w:p w14:paraId="779C94AC"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77 days</w:t>
            </w:r>
          </w:p>
        </w:tc>
      </w:tr>
      <w:tr w:rsidR="001F142D" w:rsidRPr="00C729C0" w14:paraId="0441C777" w14:textId="77777777" w:rsidTr="00102E50">
        <w:trPr>
          <w:tblCellSpacing w:w="15" w:type="dxa"/>
        </w:trPr>
        <w:tc>
          <w:tcPr>
            <w:tcW w:w="0" w:type="auto"/>
            <w:vAlign w:val="center"/>
            <w:hideMark/>
          </w:tcPr>
          <w:p w14:paraId="27C1601A"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2023</w:t>
            </w:r>
          </w:p>
        </w:tc>
        <w:tc>
          <w:tcPr>
            <w:tcW w:w="0" w:type="auto"/>
            <w:vAlign w:val="center"/>
            <w:hideMark/>
          </w:tcPr>
          <w:p w14:paraId="40908B6E"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63 days</w:t>
            </w:r>
          </w:p>
        </w:tc>
      </w:tr>
    </w:tbl>
    <w:p w14:paraId="6A8DE52A"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b/>
          <w:bCs/>
          <w:kern w:val="0"/>
          <w:lang w:eastAsia="en-GB"/>
          <w14:ligatures w14:val="none"/>
        </w:rPr>
        <w:t>Table 10: Inventory Days (2019–2023)</w:t>
      </w:r>
    </w:p>
    <w:p w14:paraId="609D5A4B"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Tesla’s inventory days increased significantly in 2022 before declining in 2023. This fluctuation reflects expansion in production capacity and operational adjustments. Higher inventory levels increase working capital requirements and may reduce efficiency (Gitman et al., 2015).</w:t>
      </w:r>
    </w:p>
    <w:p w14:paraId="0F9DC784" w14:textId="77777777" w:rsidR="001F142D" w:rsidRPr="00C729C0" w:rsidRDefault="001F142D"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2.4.2 Receivable Days Analysis</w:t>
      </w:r>
    </w:p>
    <w:p w14:paraId="32FBC562"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Receivable Days = Receivables × 365 / Revenue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29"/>
        <w:gridCol w:w="1990"/>
      </w:tblGrid>
      <w:tr w:rsidR="001F142D" w:rsidRPr="00C729C0" w14:paraId="0E9BA8FD" w14:textId="77777777" w:rsidTr="00102E50">
        <w:trPr>
          <w:tblHeader/>
          <w:tblCellSpacing w:w="15" w:type="dxa"/>
        </w:trPr>
        <w:tc>
          <w:tcPr>
            <w:tcW w:w="0" w:type="auto"/>
            <w:vAlign w:val="center"/>
            <w:hideMark/>
          </w:tcPr>
          <w:p w14:paraId="7FCFFD71" w14:textId="77777777" w:rsidR="001F142D" w:rsidRPr="00C729C0" w:rsidRDefault="001F142D"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Year</w:t>
            </w:r>
          </w:p>
        </w:tc>
        <w:tc>
          <w:tcPr>
            <w:tcW w:w="0" w:type="auto"/>
            <w:vAlign w:val="center"/>
            <w:hideMark/>
          </w:tcPr>
          <w:p w14:paraId="693AC4C5" w14:textId="77777777" w:rsidR="001F142D" w:rsidRPr="00C729C0" w:rsidRDefault="001F142D"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Receivable Days</w:t>
            </w:r>
          </w:p>
        </w:tc>
      </w:tr>
      <w:tr w:rsidR="001F142D" w:rsidRPr="00C729C0" w14:paraId="3EF29707" w14:textId="77777777" w:rsidTr="00102E50">
        <w:trPr>
          <w:tblCellSpacing w:w="15" w:type="dxa"/>
        </w:trPr>
        <w:tc>
          <w:tcPr>
            <w:tcW w:w="0" w:type="auto"/>
            <w:vAlign w:val="center"/>
            <w:hideMark/>
          </w:tcPr>
          <w:p w14:paraId="04AEA936"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2019</w:t>
            </w:r>
          </w:p>
        </w:tc>
        <w:tc>
          <w:tcPr>
            <w:tcW w:w="0" w:type="auto"/>
            <w:vAlign w:val="center"/>
            <w:hideMark/>
          </w:tcPr>
          <w:p w14:paraId="3B9E320B"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18 days</w:t>
            </w:r>
          </w:p>
        </w:tc>
      </w:tr>
      <w:tr w:rsidR="001F142D" w:rsidRPr="00C729C0" w14:paraId="6D291A08" w14:textId="77777777" w:rsidTr="00102E50">
        <w:trPr>
          <w:tblCellSpacing w:w="15" w:type="dxa"/>
        </w:trPr>
        <w:tc>
          <w:tcPr>
            <w:tcW w:w="0" w:type="auto"/>
            <w:vAlign w:val="center"/>
            <w:hideMark/>
          </w:tcPr>
          <w:p w14:paraId="7B98C8DF"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2020</w:t>
            </w:r>
          </w:p>
        </w:tc>
        <w:tc>
          <w:tcPr>
            <w:tcW w:w="0" w:type="auto"/>
            <w:vAlign w:val="center"/>
            <w:hideMark/>
          </w:tcPr>
          <w:p w14:paraId="2F5F1158"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16 days</w:t>
            </w:r>
          </w:p>
        </w:tc>
      </w:tr>
      <w:tr w:rsidR="001F142D" w:rsidRPr="00C729C0" w14:paraId="18F77786" w14:textId="77777777" w:rsidTr="00102E50">
        <w:trPr>
          <w:tblCellSpacing w:w="15" w:type="dxa"/>
        </w:trPr>
        <w:tc>
          <w:tcPr>
            <w:tcW w:w="0" w:type="auto"/>
            <w:vAlign w:val="center"/>
            <w:hideMark/>
          </w:tcPr>
          <w:p w14:paraId="5CD8A688"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2021</w:t>
            </w:r>
          </w:p>
        </w:tc>
        <w:tc>
          <w:tcPr>
            <w:tcW w:w="0" w:type="auto"/>
            <w:vAlign w:val="center"/>
            <w:hideMark/>
          </w:tcPr>
          <w:p w14:paraId="7E799288"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14 days</w:t>
            </w:r>
          </w:p>
        </w:tc>
      </w:tr>
      <w:tr w:rsidR="001F142D" w:rsidRPr="00C729C0" w14:paraId="099AD9AC" w14:textId="77777777" w:rsidTr="00102E50">
        <w:trPr>
          <w:tblCellSpacing w:w="15" w:type="dxa"/>
        </w:trPr>
        <w:tc>
          <w:tcPr>
            <w:tcW w:w="0" w:type="auto"/>
            <w:vAlign w:val="center"/>
            <w:hideMark/>
          </w:tcPr>
          <w:p w14:paraId="68B11CEE"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2022</w:t>
            </w:r>
          </w:p>
        </w:tc>
        <w:tc>
          <w:tcPr>
            <w:tcW w:w="0" w:type="auto"/>
            <w:vAlign w:val="center"/>
            <w:hideMark/>
          </w:tcPr>
          <w:p w14:paraId="6DAFBAB6"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13 days</w:t>
            </w:r>
          </w:p>
        </w:tc>
      </w:tr>
      <w:tr w:rsidR="001F142D" w:rsidRPr="00C729C0" w14:paraId="4C6D92BE" w14:textId="77777777" w:rsidTr="00102E50">
        <w:trPr>
          <w:tblCellSpacing w:w="15" w:type="dxa"/>
        </w:trPr>
        <w:tc>
          <w:tcPr>
            <w:tcW w:w="0" w:type="auto"/>
            <w:vAlign w:val="center"/>
            <w:hideMark/>
          </w:tcPr>
          <w:p w14:paraId="149D5136"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2023</w:t>
            </w:r>
          </w:p>
        </w:tc>
        <w:tc>
          <w:tcPr>
            <w:tcW w:w="0" w:type="auto"/>
            <w:vAlign w:val="center"/>
            <w:hideMark/>
          </w:tcPr>
          <w:p w14:paraId="72414128"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12 days</w:t>
            </w:r>
          </w:p>
        </w:tc>
      </w:tr>
    </w:tbl>
    <w:p w14:paraId="22A35C91"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b/>
          <w:bCs/>
          <w:kern w:val="0"/>
          <w:lang w:eastAsia="en-GB"/>
          <w14:ligatures w14:val="none"/>
        </w:rPr>
        <w:t>Table 11: Receivable Days (2019–2023)</w:t>
      </w:r>
    </w:p>
    <w:p w14:paraId="7022DC79"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Receivable days declined from 18 to 12 days, representing a 33% improvement. This indicates efficient credit control and faster cash collection, which improves liquidity and reduces working capital needs (Palepu and Healy, 2013).</w:t>
      </w:r>
    </w:p>
    <w:p w14:paraId="0470F7D6" w14:textId="77777777" w:rsidR="001F142D" w:rsidRPr="00C729C0" w:rsidRDefault="001F142D"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2.4.3 Payable Days Analysis</w:t>
      </w:r>
    </w:p>
    <w:p w14:paraId="7CE0732D"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Payable Days = Payables × 365 / Cost of Sales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29"/>
        <w:gridCol w:w="1643"/>
      </w:tblGrid>
      <w:tr w:rsidR="001F142D" w:rsidRPr="00C729C0" w14:paraId="3B04F96A" w14:textId="77777777" w:rsidTr="00102E50">
        <w:trPr>
          <w:tblHeader/>
          <w:tblCellSpacing w:w="15" w:type="dxa"/>
        </w:trPr>
        <w:tc>
          <w:tcPr>
            <w:tcW w:w="0" w:type="auto"/>
            <w:vAlign w:val="center"/>
            <w:hideMark/>
          </w:tcPr>
          <w:p w14:paraId="49AF8C85" w14:textId="77777777" w:rsidR="001F142D" w:rsidRPr="00C729C0" w:rsidRDefault="001F142D"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lastRenderedPageBreak/>
              <w:t>Year</w:t>
            </w:r>
          </w:p>
        </w:tc>
        <w:tc>
          <w:tcPr>
            <w:tcW w:w="0" w:type="auto"/>
            <w:vAlign w:val="center"/>
            <w:hideMark/>
          </w:tcPr>
          <w:p w14:paraId="6EAE97DD" w14:textId="77777777" w:rsidR="001F142D" w:rsidRPr="00C729C0" w:rsidRDefault="001F142D"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Payable Days</w:t>
            </w:r>
          </w:p>
        </w:tc>
      </w:tr>
      <w:tr w:rsidR="001F142D" w:rsidRPr="00C729C0" w14:paraId="3777469F" w14:textId="77777777" w:rsidTr="00102E50">
        <w:trPr>
          <w:tblCellSpacing w:w="15" w:type="dxa"/>
        </w:trPr>
        <w:tc>
          <w:tcPr>
            <w:tcW w:w="0" w:type="auto"/>
            <w:vAlign w:val="center"/>
            <w:hideMark/>
          </w:tcPr>
          <w:p w14:paraId="48E1225C"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2019</w:t>
            </w:r>
          </w:p>
        </w:tc>
        <w:tc>
          <w:tcPr>
            <w:tcW w:w="0" w:type="auto"/>
            <w:vAlign w:val="center"/>
            <w:hideMark/>
          </w:tcPr>
          <w:p w14:paraId="7FF00EDE"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64 days</w:t>
            </w:r>
          </w:p>
        </w:tc>
      </w:tr>
      <w:tr w:rsidR="001F142D" w:rsidRPr="00C729C0" w14:paraId="37F42501" w14:textId="77777777" w:rsidTr="00102E50">
        <w:trPr>
          <w:tblCellSpacing w:w="15" w:type="dxa"/>
        </w:trPr>
        <w:tc>
          <w:tcPr>
            <w:tcW w:w="0" w:type="auto"/>
            <w:vAlign w:val="center"/>
            <w:hideMark/>
          </w:tcPr>
          <w:p w14:paraId="75DD11DB"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2020</w:t>
            </w:r>
          </w:p>
        </w:tc>
        <w:tc>
          <w:tcPr>
            <w:tcW w:w="0" w:type="auto"/>
            <w:vAlign w:val="center"/>
            <w:hideMark/>
          </w:tcPr>
          <w:p w14:paraId="3D03056E"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72 days</w:t>
            </w:r>
          </w:p>
        </w:tc>
      </w:tr>
      <w:tr w:rsidR="001F142D" w:rsidRPr="00C729C0" w14:paraId="7411A0BC" w14:textId="77777777" w:rsidTr="00102E50">
        <w:trPr>
          <w:tblCellSpacing w:w="15" w:type="dxa"/>
        </w:trPr>
        <w:tc>
          <w:tcPr>
            <w:tcW w:w="0" w:type="auto"/>
            <w:vAlign w:val="center"/>
            <w:hideMark/>
          </w:tcPr>
          <w:p w14:paraId="2C3C5B40"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2021</w:t>
            </w:r>
          </w:p>
        </w:tc>
        <w:tc>
          <w:tcPr>
            <w:tcW w:w="0" w:type="auto"/>
            <w:vAlign w:val="center"/>
            <w:hideMark/>
          </w:tcPr>
          <w:p w14:paraId="22856F75"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68 days</w:t>
            </w:r>
          </w:p>
        </w:tc>
      </w:tr>
      <w:tr w:rsidR="001F142D" w:rsidRPr="00C729C0" w14:paraId="7CC33E6D" w14:textId="77777777" w:rsidTr="00102E50">
        <w:trPr>
          <w:tblCellSpacing w:w="15" w:type="dxa"/>
        </w:trPr>
        <w:tc>
          <w:tcPr>
            <w:tcW w:w="0" w:type="auto"/>
            <w:vAlign w:val="center"/>
            <w:hideMark/>
          </w:tcPr>
          <w:p w14:paraId="63504634"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2022</w:t>
            </w:r>
          </w:p>
        </w:tc>
        <w:tc>
          <w:tcPr>
            <w:tcW w:w="0" w:type="auto"/>
            <w:vAlign w:val="center"/>
            <w:hideMark/>
          </w:tcPr>
          <w:p w14:paraId="19A2271D"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75 days</w:t>
            </w:r>
          </w:p>
        </w:tc>
      </w:tr>
      <w:tr w:rsidR="001F142D" w:rsidRPr="00C729C0" w14:paraId="0AF68A9B" w14:textId="77777777" w:rsidTr="00102E50">
        <w:trPr>
          <w:tblCellSpacing w:w="15" w:type="dxa"/>
        </w:trPr>
        <w:tc>
          <w:tcPr>
            <w:tcW w:w="0" w:type="auto"/>
            <w:vAlign w:val="center"/>
            <w:hideMark/>
          </w:tcPr>
          <w:p w14:paraId="693ED2F5"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2023</w:t>
            </w:r>
          </w:p>
        </w:tc>
        <w:tc>
          <w:tcPr>
            <w:tcW w:w="0" w:type="auto"/>
            <w:vAlign w:val="center"/>
            <w:hideMark/>
          </w:tcPr>
          <w:p w14:paraId="2A2FE87B"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78 days</w:t>
            </w:r>
          </w:p>
        </w:tc>
      </w:tr>
    </w:tbl>
    <w:p w14:paraId="2F302092"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b/>
          <w:bCs/>
          <w:kern w:val="0"/>
          <w:lang w:eastAsia="en-GB"/>
          <w14:ligatures w14:val="none"/>
        </w:rPr>
        <w:t>Table 12: Payable Days (2019–2023)</w:t>
      </w:r>
    </w:p>
    <w:p w14:paraId="645E46B8"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Payable days increased from 64 to 78 days, indicating that Tesla is using supplier credit as a source of short-term financing. This improves cash flow but may create supplier relationship risks if extended excessively (Gitman et al., 2015).</w:t>
      </w:r>
    </w:p>
    <w:p w14:paraId="0FCBFE34" w14:textId="77777777" w:rsidR="001F142D" w:rsidRPr="00C729C0" w:rsidRDefault="001F142D"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2.5 Cash Conversion Cycle Analysis</w:t>
      </w:r>
    </w:p>
    <w:p w14:paraId="1FE3BFF3"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Working Capital Cycle = Inventory Days + Receivable Days − Payable Days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29"/>
        <w:gridCol w:w="2563"/>
      </w:tblGrid>
      <w:tr w:rsidR="001F142D" w:rsidRPr="00C729C0" w14:paraId="65ED059F" w14:textId="77777777" w:rsidTr="00102E50">
        <w:trPr>
          <w:tblHeader/>
          <w:tblCellSpacing w:w="15" w:type="dxa"/>
        </w:trPr>
        <w:tc>
          <w:tcPr>
            <w:tcW w:w="0" w:type="auto"/>
            <w:vAlign w:val="center"/>
            <w:hideMark/>
          </w:tcPr>
          <w:p w14:paraId="7F478372" w14:textId="77777777" w:rsidR="001F142D" w:rsidRPr="00C729C0" w:rsidRDefault="001F142D"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Year</w:t>
            </w:r>
          </w:p>
        </w:tc>
        <w:tc>
          <w:tcPr>
            <w:tcW w:w="0" w:type="auto"/>
            <w:vAlign w:val="center"/>
            <w:hideMark/>
          </w:tcPr>
          <w:p w14:paraId="758AB920" w14:textId="77777777" w:rsidR="001F142D" w:rsidRPr="00C729C0" w:rsidRDefault="001F142D"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Working Capital Days</w:t>
            </w:r>
          </w:p>
        </w:tc>
      </w:tr>
      <w:tr w:rsidR="001F142D" w:rsidRPr="00C729C0" w14:paraId="5C8A569B" w14:textId="77777777" w:rsidTr="00102E50">
        <w:trPr>
          <w:tblCellSpacing w:w="15" w:type="dxa"/>
        </w:trPr>
        <w:tc>
          <w:tcPr>
            <w:tcW w:w="0" w:type="auto"/>
            <w:vAlign w:val="center"/>
            <w:hideMark/>
          </w:tcPr>
          <w:p w14:paraId="50FD8E7C"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2019</w:t>
            </w:r>
          </w:p>
        </w:tc>
        <w:tc>
          <w:tcPr>
            <w:tcW w:w="0" w:type="auto"/>
            <w:vAlign w:val="center"/>
            <w:hideMark/>
          </w:tcPr>
          <w:p w14:paraId="2A501034"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17 days</w:t>
            </w:r>
          </w:p>
        </w:tc>
      </w:tr>
      <w:tr w:rsidR="001F142D" w:rsidRPr="00C729C0" w14:paraId="1C5EA9BE" w14:textId="77777777" w:rsidTr="00102E50">
        <w:trPr>
          <w:tblCellSpacing w:w="15" w:type="dxa"/>
        </w:trPr>
        <w:tc>
          <w:tcPr>
            <w:tcW w:w="0" w:type="auto"/>
            <w:vAlign w:val="center"/>
            <w:hideMark/>
          </w:tcPr>
          <w:p w14:paraId="42296F98"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2020</w:t>
            </w:r>
          </w:p>
        </w:tc>
        <w:tc>
          <w:tcPr>
            <w:tcW w:w="0" w:type="auto"/>
            <w:vAlign w:val="center"/>
            <w:hideMark/>
          </w:tcPr>
          <w:p w14:paraId="4AAAFAA7"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4 days</w:t>
            </w:r>
          </w:p>
        </w:tc>
      </w:tr>
      <w:tr w:rsidR="001F142D" w:rsidRPr="00C729C0" w14:paraId="16C1A06B" w14:textId="77777777" w:rsidTr="00102E50">
        <w:trPr>
          <w:tblCellSpacing w:w="15" w:type="dxa"/>
        </w:trPr>
        <w:tc>
          <w:tcPr>
            <w:tcW w:w="0" w:type="auto"/>
            <w:vAlign w:val="center"/>
            <w:hideMark/>
          </w:tcPr>
          <w:p w14:paraId="76A2A607"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2021</w:t>
            </w:r>
          </w:p>
        </w:tc>
        <w:tc>
          <w:tcPr>
            <w:tcW w:w="0" w:type="auto"/>
            <w:vAlign w:val="center"/>
            <w:hideMark/>
          </w:tcPr>
          <w:p w14:paraId="58C849BC"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 days</w:t>
            </w:r>
          </w:p>
        </w:tc>
      </w:tr>
      <w:tr w:rsidR="001F142D" w:rsidRPr="00C729C0" w14:paraId="772A44DE" w14:textId="77777777" w:rsidTr="00102E50">
        <w:trPr>
          <w:tblCellSpacing w:w="15" w:type="dxa"/>
        </w:trPr>
        <w:tc>
          <w:tcPr>
            <w:tcW w:w="0" w:type="auto"/>
            <w:vAlign w:val="center"/>
            <w:hideMark/>
          </w:tcPr>
          <w:p w14:paraId="1D33EAA9"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2022</w:t>
            </w:r>
          </w:p>
        </w:tc>
        <w:tc>
          <w:tcPr>
            <w:tcW w:w="0" w:type="auto"/>
            <w:vAlign w:val="center"/>
            <w:hideMark/>
          </w:tcPr>
          <w:p w14:paraId="6BBE1B4D"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15 days</w:t>
            </w:r>
          </w:p>
        </w:tc>
      </w:tr>
      <w:tr w:rsidR="001F142D" w:rsidRPr="00C729C0" w14:paraId="5DFD1A66" w14:textId="77777777" w:rsidTr="00102E50">
        <w:trPr>
          <w:tblCellSpacing w:w="15" w:type="dxa"/>
        </w:trPr>
        <w:tc>
          <w:tcPr>
            <w:tcW w:w="0" w:type="auto"/>
            <w:vAlign w:val="center"/>
            <w:hideMark/>
          </w:tcPr>
          <w:p w14:paraId="2BA0E812"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2023</w:t>
            </w:r>
          </w:p>
        </w:tc>
        <w:tc>
          <w:tcPr>
            <w:tcW w:w="0" w:type="auto"/>
            <w:vAlign w:val="center"/>
            <w:hideMark/>
          </w:tcPr>
          <w:p w14:paraId="56F3B1E9" w14:textId="77777777" w:rsidR="001F142D" w:rsidRPr="00C729C0" w:rsidRDefault="001F142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-3 days</w:t>
            </w:r>
          </w:p>
        </w:tc>
      </w:tr>
    </w:tbl>
    <w:p w14:paraId="51EAA454"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br/>
      </w:r>
      <w:r w:rsidRPr="00C729C0">
        <w:rPr>
          <w:rFonts w:ascii="Arial" w:eastAsia="Times New Roman" w:hAnsi="Arial" w:cs="Arial"/>
          <w:b/>
          <w:bCs/>
          <w:kern w:val="0"/>
          <w:lang w:eastAsia="en-GB"/>
          <w14:ligatures w14:val="none"/>
        </w:rPr>
        <w:t>Table 13: Working Capital Cycle (2019–2023)</w:t>
      </w:r>
    </w:p>
    <w:p w14:paraId="31AF0C39" w14:textId="5B26C22E"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Style w:val="Strong"/>
          <w:rFonts w:ascii="Arial" w:eastAsiaTheme="majorEastAsia" w:hAnsi="Arial" w:cs="Arial"/>
          <w:noProof/>
        </w:rPr>
        <w:lastRenderedPageBreak/>
        <w:drawing>
          <wp:inline distT="0" distB="0" distL="0" distR="0" wp14:anchorId="553BBDB1" wp14:editId="239C5DA9">
            <wp:extent cx="5613149" cy="3892550"/>
            <wp:effectExtent l="0" t="0" r="6985" b="0"/>
            <wp:docPr id="690949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949208" name=""/>
                    <pic:cNvPicPr/>
                  </pic:nvPicPr>
                  <pic:blipFill rotWithShape="1">
                    <a:blip r:embed="rId14"/>
                    <a:srcRect l="1579" t="6528" r="475" b="2915"/>
                    <a:stretch/>
                  </pic:blipFill>
                  <pic:spPr bwMode="auto">
                    <a:xfrm>
                      <a:off x="0" y="0"/>
                      <a:ext cx="5613783" cy="3892990"/>
                    </a:xfrm>
                    <a:prstGeom prst="rect">
                      <a:avLst/>
                    </a:prstGeom>
                    <a:ln>
                      <a:noFill/>
                    </a:ln>
                    <a:extLst>
                      <a:ext uri="{53640926-AAD7-44D8-BBD7-CCE9431645EC}">
                        <a14:shadowObscured xmlns:a14="http://schemas.microsoft.com/office/drawing/2010/main"/>
                      </a:ext>
                    </a:extLst>
                  </pic:spPr>
                </pic:pic>
              </a:graphicData>
            </a:graphic>
          </wp:inline>
        </w:drawing>
      </w:r>
      <w:r w:rsidRPr="00C729C0">
        <w:rPr>
          <w:rFonts w:ascii="Arial" w:eastAsia="Times New Roman" w:hAnsi="Arial" w:cs="Arial"/>
          <w:b/>
          <w:bCs/>
          <w:kern w:val="0"/>
          <w:lang w:eastAsia="en-GB"/>
          <w14:ligatures w14:val="none"/>
        </w:rPr>
        <w:t xml:space="preserve">Figure </w:t>
      </w:r>
      <w:r w:rsidR="004E5FF3">
        <w:rPr>
          <w:rFonts w:ascii="Arial" w:eastAsia="Times New Roman" w:hAnsi="Arial" w:cs="Arial"/>
          <w:b/>
          <w:bCs/>
          <w:kern w:val="0"/>
          <w:lang w:eastAsia="en-GB"/>
          <w14:ligatures w14:val="none"/>
        </w:rPr>
        <w:t>6</w:t>
      </w:r>
      <w:r w:rsidRPr="00C729C0">
        <w:rPr>
          <w:rFonts w:ascii="Arial" w:eastAsia="Times New Roman" w:hAnsi="Arial" w:cs="Arial"/>
          <w:b/>
          <w:bCs/>
          <w:kern w:val="0"/>
          <w:lang w:eastAsia="en-GB"/>
          <w14:ligatures w14:val="none"/>
        </w:rPr>
        <w:t>: Tesla Working Capital Cycle Trend</w:t>
      </w:r>
    </w:p>
    <w:p w14:paraId="2374BB27" w14:textId="763DA213"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Tesla’s working capital cycle became negative in certain years, indicating that the company receives cash from customers before paying suppliers. This is highly favourable, as it improves liquidity and reduces reliance on external financing (Shin and Soenen, 1998</w:t>
      </w:r>
      <w:r w:rsidR="00CA21B0" w:rsidRPr="00C729C0">
        <w:rPr>
          <w:rFonts w:ascii="Arial" w:hAnsi="Arial" w:cs="Arial"/>
        </w:rPr>
        <w:t>; Richards and Laughlin, 1980; Deloof, 2003).</w:t>
      </w:r>
    </w:p>
    <w:p w14:paraId="503C95D8"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Efficient management of the cash conversion cycle is strongly associated with improved profitability and financial performance (Deloof, 2003).</w:t>
      </w:r>
    </w:p>
    <w:p w14:paraId="3F4D4EAB" w14:textId="77777777" w:rsidR="001F142D" w:rsidRPr="00C729C0" w:rsidRDefault="001F142D"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2.6 Relationship Between Working Capital, Liquidity and Profitability</w:t>
      </w:r>
    </w:p>
    <w:p w14:paraId="13CFCFBD"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Working capital management involves a trade-off between liquidity and profitability. Higher levels of current assets improve liquidity and reduce financial risk, but may reduce profitability as funds are tied up in non-earning assets (Deloof, 2003; Gitman et al., 2015).</w:t>
      </w:r>
    </w:p>
    <w:p w14:paraId="2661426E"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In Tesla’s case, increased working capital strengthens liquidity, while efficient receivables management improves cash inflows. However, fluctuations in inventory indicate that some capital is tied up in operations, which may reduce overall returns.</w:t>
      </w:r>
    </w:p>
    <w:p w14:paraId="7C3E3559" w14:textId="77777777" w:rsidR="001F142D" w:rsidRPr="00C729C0" w:rsidRDefault="001F142D"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lastRenderedPageBreak/>
        <w:t>2.7 Working Capital and Financing Structure</w:t>
      </w:r>
    </w:p>
    <w:p w14:paraId="79918ACB"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Tesla’s working capital is primarily financed through retained earnings, which form part of shareholders’ equity. This indicates reliance on internal financing rather than external debt, reducing financial risk and interest obligations (Arnold, 2020).</w:t>
      </w:r>
    </w:p>
    <w:p w14:paraId="5F868A80"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However, excessive reliance on internal financing may limit the benefits of financial leverage, which can enhance shareholder returns (Brealey et al., 2020).</w:t>
      </w:r>
    </w:p>
    <w:p w14:paraId="477C3AF9" w14:textId="77777777" w:rsidR="001F142D" w:rsidRPr="00C729C0" w:rsidRDefault="001F142D"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2.8 Working Capital and Cash Flow Impact</w:t>
      </w:r>
    </w:p>
    <w:p w14:paraId="03EF4092"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Working capital management has a direct impact on cash flow. Tesla’s negative working capital cycle indicates strong operating cash flow, as the company receives cash before making payments.</w:t>
      </w:r>
    </w:p>
    <w:p w14:paraId="0C8CD9EA" w14:textId="77E4A764" w:rsidR="001F142D" w:rsidRPr="00C729C0" w:rsidRDefault="001F142D" w:rsidP="0045227F">
      <w:pPr>
        <w:pStyle w:val="NormalWeb"/>
        <w:spacing w:line="360" w:lineRule="auto"/>
        <w:rPr>
          <w:rFonts w:ascii="Arial" w:hAnsi="Arial" w:cs="Arial"/>
          <w:lang w:eastAsia="en-IN"/>
        </w:rPr>
      </w:pPr>
      <w:r w:rsidRPr="00C729C0">
        <w:rPr>
          <w:rFonts w:ascii="Arial" w:hAnsi="Arial" w:cs="Arial"/>
        </w:rPr>
        <w:t>This improves financial flexibility and supports reinvestment and expansion. However, fluctuations in inventory and operations may affect cash flow stability (Penman, 2013</w:t>
      </w:r>
      <w:r w:rsidR="00CA21B0" w:rsidRPr="00C729C0">
        <w:rPr>
          <w:rFonts w:ascii="Arial" w:hAnsi="Arial" w:cs="Arial"/>
          <w:lang w:eastAsia="en-IN"/>
        </w:rPr>
        <w:t>; Opler et al., 1999).</w:t>
      </w:r>
    </w:p>
    <w:p w14:paraId="12909451" w14:textId="77777777" w:rsidR="001F142D" w:rsidRPr="00C729C0" w:rsidRDefault="001F142D"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2.9 Overall CFO Evaluation of Working Capital Management</w:t>
      </w:r>
    </w:p>
    <w:p w14:paraId="4F96A4A4"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Overall, Tesla demonstrates strong working capital management supported by efficient receivables collection and effective utilisation of supplier credit. The company’s ability to achieve a negative working capital cycle in certain years reflects a highly efficient operating model and strong liquidity position.</w:t>
      </w:r>
    </w:p>
    <w:p w14:paraId="613710C7"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However, fluctuations in inventory levels highlight potential inefficiencies in operational planning. Higher inventory increases working capital requirements and may reduce profitability if not properly controlled.</w:t>
      </w:r>
    </w:p>
    <w:p w14:paraId="188B7D09"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The analysis also highlights a trade-off between liquidity and profitability. While Tesla maintains strong liquidity, excessive investment in working capital components may limit returns.</w:t>
      </w:r>
    </w:p>
    <w:p w14:paraId="3A487479"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Furthermore, reliance on internally generated funds reduces financial risk but may limit opportunities to enhance shareholder returns through financial leverage.</w:t>
      </w:r>
    </w:p>
    <w:p w14:paraId="4B400789" w14:textId="77777777" w:rsidR="005D4D6C" w:rsidRPr="00C729C0" w:rsidRDefault="005D4D6C" w:rsidP="0045227F">
      <w:pPr>
        <w:spacing w:before="100" w:beforeAutospacing="1" w:after="100" w:afterAutospacing="1" w:line="360" w:lineRule="auto"/>
        <w:outlineLvl w:val="0"/>
        <w:rPr>
          <w:rFonts w:ascii="Arial" w:eastAsia="Times New Roman" w:hAnsi="Arial" w:cs="Arial"/>
          <w:kern w:val="0"/>
          <w:lang w:eastAsia="en-GB"/>
          <w14:ligatures w14:val="none"/>
        </w:rPr>
      </w:pPr>
    </w:p>
    <w:p w14:paraId="597AFAB2" w14:textId="737ADB68" w:rsidR="001F142D" w:rsidRPr="00C729C0" w:rsidRDefault="00D27795" w:rsidP="0045227F">
      <w:pPr>
        <w:spacing w:before="100" w:beforeAutospacing="1" w:after="100" w:afterAutospacing="1" w:line="360" w:lineRule="auto"/>
        <w:outlineLvl w:val="0"/>
        <w:rPr>
          <w:rFonts w:ascii="Arial" w:eastAsia="Times New Roman" w:hAnsi="Arial" w:cs="Arial"/>
          <w:b/>
          <w:bCs/>
          <w:kern w:val="36"/>
          <w:lang w:eastAsia="en-GB"/>
          <w14:ligatures w14:val="none"/>
        </w:rPr>
      </w:pPr>
      <w:bookmarkStart w:id="6" w:name="_Toc224822920"/>
      <w:r w:rsidRPr="00C729C0">
        <w:rPr>
          <w:rFonts w:ascii="Arial" w:eastAsia="Times New Roman" w:hAnsi="Arial" w:cs="Arial"/>
          <w:b/>
          <w:bCs/>
          <w:kern w:val="36"/>
          <w:lang w:eastAsia="en-GB"/>
          <w14:ligatures w14:val="none"/>
        </w:rPr>
        <w:t xml:space="preserve">Section 3: Strategic Financial Restructuring </w:t>
      </w:r>
      <w:r w:rsidR="00467D31" w:rsidRPr="00C729C0">
        <w:rPr>
          <w:rFonts w:ascii="Arial" w:eastAsia="Times New Roman" w:hAnsi="Arial" w:cs="Arial"/>
          <w:b/>
          <w:bCs/>
          <w:kern w:val="36"/>
          <w:lang w:eastAsia="en-GB"/>
          <w14:ligatures w14:val="none"/>
        </w:rPr>
        <w:t>Analysis</w:t>
      </w:r>
      <w:bookmarkEnd w:id="6"/>
    </w:p>
    <w:p w14:paraId="5DF06CE2" w14:textId="77777777" w:rsidR="001F142D" w:rsidRPr="00C729C0" w:rsidRDefault="001F142D" w:rsidP="0045227F">
      <w:pPr>
        <w:spacing w:before="100" w:beforeAutospacing="1" w:after="100" w:afterAutospacing="1" w:line="360" w:lineRule="auto"/>
        <w:outlineLvl w:val="0"/>
        <w:rPr>
          <w:rFonts w:ascii="Arial" w:eastAsia="Times New Roman" w:hAnsi="Arial" w:cs="Arial"/>
          <w:b/>
          <w:bCs/>
          <w:kern w:val="36"/>
          <w:lang w:eastAsia="en-GB"/>
          <w14:ligatures w14:val="none"/>
        </w:rPr>
      </w:pPr>
      <w:bookmarkStart w:id="7" w:name="_Toc224822921"/>
      <w:r w:rsidRPr="00C729C0">
        <w:rPr>
          <w:rFonts w:ascii="Arial" w:eastAsia="Times New Roman" w:hAnsi="Arial" w:cs="Arial"/>
          <w:b/>
          <w:bCs/>
          <w:kern w:val="0"/>
          <w:lang w:eastAsia="en-GB"/>
          <w14:ligatures w14:val="none"/>
        </w:rPr>
        <w:t>3.1 Introduction</w:t>
      </w:r>
      <w:bookmarkEnd w:id="7"/>
    </w:p>
    <w:p w14:paraId="6B8DFB5B"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Financial restructuring involves adjusting a company’s capital structure and financial strategy to improve performance, reduce risk, and maximise shareholder value (Brealey, Myers and Allen, 2020; Arnold, 2020). It requires a critical evaluation of the firm’s current financial position and the identification of appropriate financing and operational strategies.</w:t>
      </w:r>
    </w:p>
    <w:p w14:paraId="40F0C96B"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In Tesla’s case, strong profitability, improved liquidity, and a significant reduction in debt provide a solid foundation for strategic financial decision-making. However, these factors also raise important questions regarding optimal capital structure and resource allocation.</w:t>
      </w:r>
    </w:p>
    <w:p w14:paraId="706BF558" w14:textId="77777777" w:rsidR="001F142D" w:rsidRPr="00C729C0" w:rsidRDefault="001F142D"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3.2 Evaluation of Current Financial Structure</w:t>
      </w:r>
    </w:p>
    <w:p w14:paraId="78B02B40"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Tesla’s financial structure has changed significantly over the five-year period. The debt ratio declined from 38.6% in 2019 to 4.9% in 2023, indicating a shift towards a predominantly equity-financed structure.</w:t>
      </w:r>
    </w:p>
    <w:p w14:paraId="197820E0"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This reduction in financial leverage has improved financial stability and reduced bankruptcy risk, as lower debt levels decrease fixed interest obligations (Brigham and Houston, 2022; Ross, Westerfield and Jordan, 2022). In addition, increased retained earnings have strengthened shareholders’ equity, supporting internal financing of operations (Penman, 2013).</w:t>
      </w:r>
    </w:p>
    <w:p w14:paraId="3091F722"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However, from a corporate finance perspective, an excessively low level of debt may indicate underutilisation of financial leverage. The trade-off theory suggests that firms should balance the benefits of debt, such as tax advantages, against the costs of financial distress (Brealey et al., 2020; Damodaran, 2021).</w:t>
      </w:r>
    </w:p>
    <w:p w14:paraId="6AC2B14F" w14:textId="77777777" w:rsidR="001F142D" w:rsidRPr="00C729C0" w:rsidRDefault="001F142D"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3.3 Critical Analysis of Financing Strategy</w:t>
      </w:r>
    </w:p>
    <w:p w14:paraId="4A191B5C" w14:textId="2671F87B"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lastRenderedPageBreak/>
        <w:t>Tesla’s current reliance on equity financing and retained earnings provides strong financial stability and reduces exposure to financial risk. This conservative approach is consistent with pecking order theory, which suggests that firms prefer internal financing over external borrowing (Myers and Majluf,</w:t>
      </w:r>
      <w:r w:rsidR="00CA21B0" w:rsidRPr="00C729C0">
        <w:rPr>
          <w:rFonts w:ascii="Arial" w:hAnsi="Arial" w:cs="Arial"/>
        </w:rPr>
        <w:t xml:space="preserve"> 1984; Fama and French, 2002; Myers,</w:t>
      </w:r>
      <w:r w:rsidRPr="00C729C0">
        <w:rPr>
          <w:rFonts w:ascii="Arial" w:eastAsia="Times New Roman" w:hAnsi="Arial" w:cs="Arial"/>
          <w:kern w:val="0"/>
          <w:lang w:eastAsia="en-GB"/>
          <w14:ligatures w14:val="none"/>
        </w:rPr>
        <w:t xml:space="preserve"> 1984; Arnold, 2020).</w:t>
      </w:r>
    </w:p>
    <w:p w14:paraId="403B7555"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However, this strategy may limit the company’s ability to maximise shareholder returns. Financial leverage can enhance returns on equity when returns on investment exceed the cost of debt, a concept known as positive financial gearing (Ross et al., 2022).</w:t>
      </w:r>
    </w:p>
    <w:p w14:paraId="441120B6"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Given Tesla’s strong profitability and stable cash flows, the company has the capacity to introduce a moderate level of debt without significantly increasing financial risk. This would enable Tesla to benefit from lower-cost financing and tax advantages associated with interest payments (Modigliani and Miller, 1963; Brealey et al., 2020).</w:t>
      </w:r>
    </w:p>
    <w:p w14:paraId="6020AFFF"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Nevertheless, increasing debt must be carefully managed. Excessive leverage can increase financial risk and reduce flexibility, particularly in a highly competitive and capital-intensive industry such as automotive manufacturing (Damodaran, 2021).</w:t>
      </w:r>
    </w:p>
    <w:p w14:paraId="610CA738" w14:textId="77777777" w:rsidR="001F142D" w:rsidRPr="00C729C0" w:rsidRDefault="001F142D"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3.4 Integration with Working Capital and Cash Flow</w:t>
      </w:r>
    </w:p>
    <w:p w14:paraId="3D780A87"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Tesla’s working capital analysis demonstrates efficient management of short-term assets and liabilities, particularly through rapid receivables collection and extended payables. The presence of a negative working capital cycle in certain years indicates that Tesla generates cash from operations before settling obligations, which significantly enhances liquidity (Shin and Soenen, 1998; Deloof, 2003).</w:t>
      </w:r>
    </w:p>
    <w:p w14:paraId="4138A832"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Strong operating cash flow reduces reliance on external financing and supports internal funding of growth. This aligns with financial management theory, which emphasises the importance of internally generated cash flows for sustaining long-term expansion (Penman, 2013).</w:t>
      </w:r>
    </w:p>
    <w:p w14:paraId="3599671F"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lastRenderedPageBreak/>
        <w:t>However, fluctuations in inventory levels suggest that operational inefficiencies may affect cash flow stability. Effective inventory management will therefore be essential to ensure that financial resources are utilised efficiently.</w:t>
      </w:r>
    </w:p>
    <w:p w14:paraId="5915EBBF" w14:textId="77777777" w:rsidR="001F142D" w:rsidRPr="00C729C0" w:rsidRDefault="001F142D"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3.5 Strategic Financial Direction</w:t>
      </w:r>
    </w:p>
    <w:p w14:paraId="3901F646"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From a strategic perspective, Tesla should adopt a balanced approach to financing. While maintaining a strong equity base, the company should consider the selective use of debt to support expansion and enhance shareholder returns.</w:t>
      </w:r>
    </w:p>
    <w:p w14:paraId="1B51A6E3"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A moderate level of debt would allow Tesla to benefit from financial leverage while maintaining acceptable levels of financial risk. This approach aligns with the trade-off theory of capital structure, which emphasises balancing risk and return (Brealey et al., 2020; Damodaran, 2021).</w:t>
      </w:r>
    </w:p>
    <w:p w14:paraId="267C0292"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At the same time, Tesla should focus on improving operational efficiency, particularly in inventory management, to reduce the level of capital tied up in working capital. Efficient utilisation of resources will enhance both profitability and liquidity (Gitman et al., 2015).</w:t>
      </w:r>
    </w:p>
    <w:p w14:paraId="7E7B660A"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In addition, maintaining strong and stable cash flows will be essential to support future investment and expansion. Cash flow stability reduces financial risk and increases the company’s ability to respond to market changes (Brigham and Houston, 2022).</w:t>
      </w:r>
    </w:p>
    <w:p w14:paraId="5F068704" w14:textId="77777777" w:rsidR="001F142D" w:rsidRPr="00C729C0" w:rsidRDefault="001F142D"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3.6 Impact on Shareholder Value</w:t>
      </w:r>
    </w:p>
    <w:p w14:paraId="1876882F"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The proposed financial strategy has significant implications for shareholder value. The introduction of moderate financial leverage can enhance returns on equity through financial gearing, provided that the return on investment exceeds the cost of debt (Ross et al., 2022).</w:t>
      </w:r>
    </w:p>
    <w:p w14:paraId="165343DA"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Furthermore, efficient working capital management and strong cash flow generation support sustainable growth, which is a key driver of long-term shareholder value (Penman, 2013).</w:t>
      </w:r>
    </w:p>
    <w:p w14:paraId="135EAE55"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lastRenderedPageBreak/>
        <w:t>However, excessive risk-taking must be avoided. Maintaining financial stability while pursuing growth is essential to protect shareholder interests and ensure long-term sustainability (Arnold, 2020).</w:t>
      </w:r>
    </w:p>
    <w:p w14:paraId="3252A5D5" w14:textId="77777777" w:rsidR="001F142D" w:rsidRPr="00C729C0" w:rsidRDefault="001F142D"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3.7 Conclusion</w:t>
      </w:r>
    </w:p>
    <w:p w14:paraId="27B0A3A3"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Tesla’s financial position is strong, characterised by high profitability, strong liquidity, and low financial risk. However, the current capital structure suggests underutilisation of financial leverage.</w:t>
      </w:r>
    </w:p>
    <w:p w14:paraId="3E827417"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A balanced approach that combines internal financing with selective use of debt will enable Tesla to enhance shareholder returns while maintaining financial stability. At the same time, improvements in operational efficiency and working capital management will be essential to sustain long-term financial performance.</w:t>
      </w:r>
    </w:p>
    <w:p w14:paraId="2DAC61F6" w14:textId="77777777" w:rsidR="001F142D" w:rsidRPr="00C729C0" w:rsidRDefault="001F142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Overall, strategic financial restructuring should focus on achieving an optimal balance between risk, return, and growth in order to maximise shareholder value.</w:t>
      </w:r>
    </w:p>
    <w:p w14:paraId="0791AC8B" w14:textId="77777777" w:rsidR="00684B47" w:rsidRDefault="00684B47" w:rsidP="0045227F">
      <w:pPr>
        <w:spacing w:before="100" w:beforeAutospacing="1" w:after="100" w:afterAutospacing="1" w:line="360" w:lineRule="auto"/>
        <w:outlineLvl w:val="0"/>
        <w:rPr>
          <w:rFonts w:ascii="Arial" w:eastAsia="Times New Roman" w:hAnsi="Arial" w:cs="Arial"/>
          <w:b/>
          <w:bCs/>
          <w:kern w:val="36"/>
          <w:sz w:val="28"/>
          <w:szCs w:val="28"/>
          <w:lang w:eastAsia="en-GB"/>
          <w14:ligatures w14:val="none"/>
        </w:rPr>
      </w:pPr>
    </w:p>
    <w:p w14:paraId="4936D868" w14:textId="5F241DA2" w:rsidR="000C23ED" w:rsidRPr="00684B47" w:rsidRDefault="00A1240C" w:rsidP="0045227F">
      <w:pPr>
        <w:spacing w:before="100" w:beforeAutospacing="1" w:after="100" w:afterAutospacing="1" w:line="360" w:lineRule="auto"/>
        <w:outlineLvl w:val="0"/>
        <w:rPr>
          <w:rFonts w:ascii="Arial" w:eastAsia="Times New Roman" w:hAnsi="Arial" w:cs="Arial"/>
          <w:b/>
          <w:bCs/>
          <w:kern w:val="36"/>
          <w:sz w:val="28"/>
          <w:szCs w:val="28"/>
          <w:lang w:eastAsia="en-GB"/>
          <w14:ligatures w14:val="none"/>
        </w:rPr>
      </w:pPr>
      <w:bookmarkStart w:id="8" w:name="_Toc224822922"/>
      <w:r w:rsidRPr="00684B47">
        <w:rPr>
          <w:rFonts w:ascii="Arial" w:eastAsia="Times New Roman" w:hAnsi="Arial" w:cs="Arial"/>
          <w:b/>
          <w:bCs/>
          <w:kern w:val="36"/>
          <w:sz w:val="28"/>
          <w:szCs w:val="28"/>
          <w:lang w:eastAsia="en-GB"/>
          <w14:ligatures w14:val="none"/>
        </w:rPr>
        <w:t>Section 4: Investment Appraisal and Capital Rationing</w:t>
      </w:r>
      <w:bookmarkEnd w:id="8"/>
    </w:p>
    <w:p w14:paraId="5818F6E8" w14:textId="77777777" w:rsidR="000C23ED" w:rsidRPr="00C729C0" w:rsidRDefault="000C23ED"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4.1 Introduction</w:t>
      </w:r>
    </w:p>
    <w:p w14:paraId="50C4F60D"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Investment appraisal techniques are used to evaluate the financial viability of capital investment decisions and to ensure that projects contribute to shareholder wealth maximisation (Brealey, Myers and Allen, 2020; Arnold, 2020). These techniques assess profitability, risk, and value creation by analysing expected future cash flows.</w:t>
      </w:r>
    </w:p>
    <w:p w14:paraId="2F202D69"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Common methods include Payback Period, Accounting Rate of Return (ARR), Net Present Value (NPV), Internal Rate of Return (IRR), and Profitability Index (PI). Among these, NPV is considered the most reliable as it incorporates the time value of money and directly measures value creation (Pike and Neale, 2018; Ross, Westerfield and Jordan, 2022).</w:t>
      </w:r>
    </w:p>
    <w:p w14:paraId="007AE313"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lastRenderedPageBreak/>
        <w:t>Tesla is evaluating three mutually exclusive projects, each requiring an initial investment of £50 million. The cost of capital is assumed to be 10%.</w:t>
      </w:r>
    </w:p>
    <w:p w14:paraId="0565FFC9" w14:textId="77777777" w:rsidR="000C23ED" w:rsidRPr="00C729C0" w:rsidRDefault="000C23ED"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4.1.1 Project Cash Flow Overview</w:t>
      </w:r>
    </w:p>
    <w:p w14:paraId="3512781F"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The expected annual cash inflows for each project are as follows:</w:t>
      </w:r>
    </w:p>
    <w:p w14:paraId="209701C8" w14:textId="77777777" w:rsidR="0030092B" w:rsidRPr="00C729C0" w:rsidRDefault="0030092B"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Table 14: Project Cash Flows (£ million)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16"/>
        <w:gridCol w:w="1134"/>
        <w:gridCol w:w="1134"/>
        <w:gridCol w:w="1149"/>
      </w:tblGrid>
      <w:tr w:rsidR="0030092B" w:rsidRPr="00C729C0" w14:paraId="2798BD94" w14:textId="77777777" w:rsidTr="0030092B">
        <w:trPr>
          <w:tblHeader/>
          <w:tblCellSpacing w:w="15" w:type="dxa"/>
        </w:trPr>
        <w:tc>
          <w:tcPr>
            <w:tcW w:w="0" w:type="auto"/>
            <w:vAlign w:val="center"/>
            <w:hideMark/>
          </w:tcPr>
          <w:p w14:paraId="5C2C18E7" w14:textId="77777777" w:rsidR="0030092B" w:rsidRPr="00C729C0" w:rsidRDefault="0030092B"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Year</w:t>
            </w:r>
          </w:p>
        </w:tc>
        <w:tc>
          <w:tcPr>
            <w:tcW w:w="0" w:type="auto"/>
            <w:vAlign w:val="center"/>
            <w:hideMark/>
          </w:tcPr>
          <w:p w14:paraId="22C443CD" w14:textId="77777777" w:rsidR="0030092B" w:rsidRPr="00C729C0" w:rsidRDefault="0030092B"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Project A</w:t>
            </w:r>
          </w:p>
        </w:tc>
        <w:tc>
          <w:tcPr>
            <w:tcW w:w="0" w:type="auto"/>
            <w:vAlign w:val="center"/>
            <w:hideMark/>
          </w:tcPr>
          <w:p w14:paraId="5E69E497" w14:textId="77777777" w:rsidR="0030092B" w:rsidRPr="00C729C0" w:rsidRDefault="0030092B"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Project B</w:t>
            </w:r>
          </w:p>
        </w:tc>
        <w:tc>
          <w:tcPr>
            <w:tcW w:w="0" w:type="auto"/>
            <w:vAlign w:val="center"/>
            <w:hideMark/>
          </w:tcPr>
          <w:p w14:paraId="1F735BE2" w14:textId="77777777" w:rsidR="0030092B" w:rsidRPr="00C729C0" w:rsidRDefault="0030092B"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Project C</w:t>
            </w:r>
          </w:p>
        </w:tc>
      </w:tr>
      <w:tr w:rsidR="0030092B" w:rsidRPr="00C729C0" w14:paraId="46C489D1" w14:textId="77777777" w:rsidTr="0030092B">
        <w:trPr>
          <w:tblCellSpacing w:w="15" w:type="dxa"/>
        </w:trPr>
        <w:tc>
          <w:tcPr>
            <w:tcW w:w="0" w:type="auto"/>
            <w:vAlign w:val="center"/>
            <w:hideMark/>
          </w:tcPr>
          <w:p w14:paraId="29AD8D64"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0</w:t>
            </w:r>
          </w:p>
        </w:tc>
        <w:tc>
          <w:tcPr>
            <w:tcW w:w="0" w:type="auto"/>
            <w:vAlign w:val="center"/>
            <w:hideMark/>
          </w:tcPr>
          <w:p w14:paraId="0215F8C5"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(50)</w:t>
            </w:r>
          </w:p>
        </w:tc>
        <w:tc>
          <w:tcPr>
            <w:tcW w:w="0" w:type="auto"/>
            <w:vAlign w:val="center"/>
            <w:hideMark/>
          </w:tcPr>
          <w:p w14:paraId="1FF53CF7"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(50)</w:t>
            </w:r>
          </w:p>
        </w:tc>
        <w:tc>
          <w:tcPr>
            <w:tcW w:w="0" w:type="auto"/>
            <w:vAlign w:val="center"/>
            <w:hideMark/>
          </w:tcPr>
          <w:p w14:paraId="1E308755"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(50)</w:t>
            </w:r>
          </w:p>
        </w:tc>
      </w:tr>
      <w:tr w:rsidR="0030092B" w:rsidRPr="00C729C0" w14:paraId="105840FA" w14:textId="77777777" w:rsidTr="0030092B">
        <w:trPr>
          <w:tblCellSpacing w:w="15" w:type="dxa"/>
        </w:trPr>
        <w:tc>
          <w:tcPr>
            <w:tcW w:w="0" w:type="auto"/>
            <w:vAlign w:val="center"/>
            <w:hideMark/>
          </w:tcPr>
          <w:p w14:paraId="7CE7EAC4"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w:t>
            </w:r>
          </w:p>
        </w:tc>
        <w:tc>
          <w:tcPr>
            <w:tcW w:w="0" w:type="auto"/>
            <w:vAlign w:val="center"/>
            <w:hideMark/>
          </w:tcPr>
          <w:p w14:paraId="68266B38"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10</w:t>
            </w:r>
          </w:p>
        </w:tc>
        <w:tc>
          <w:tcPr>
            <w:tcW w:w="0" w:type="auto"/>
            <w:vAlign w:val="center"/>
            <w:hideMark/>
          </w:tcPr>
          <w:p w14:paraId="24EC33AA"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8</w:t>
            </w:r>
          </w:p>
        </w:tc>
        <w:tc>
          <w:tcPr>
            <w:tcW w:w="0" w:type="auto"/>
            <w:vAlign w:val="center"/>
            <w:hideMark/>
          </w:tcPr>
          <w:p w14:paraId="1486BEF4"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12</w:t>
            </w:r>
          </w:p>
        </w:tc>
      </w:tr>
      <w:tr w:rsidR="0030092B" w:rsidRPr="00C729C0" w14:paraId="532EB831" w14:textId="77777777" w:rsidTr="0030092B">
        <w:trPr>
          <w:tblCellSpacing w:w="15" w:type="dxa"/>
        </w:trPr>
        <w:tc>
          <w:tcPr>
            <w:tcW w:w="0" w:type="auto"/>
            <w:vAlign w:val="center"/>
            <w:hideMark/>
          </w:tcPr>
          <w:p w14:paraId="24C1825A"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w:t>
            </w:r>
          </w:p>
        </w:tc>
        <w:tc>
          <w:tcPr>
            <w:tcW w:w="0" w:type="auto"/>
            <w:vAlign w:val="center"/>
            <w:hideMark/>
          </w:tcPr>
          <w:p w14:paraId="2EB26DC5"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12</w:t>
            </w:r>
          </w:p>
        </w:tc>
        <w:tc>
          <w:tcPr>
            <w:tcW w:w="0" w:type="auto"/>
            <w:vAlign w:val="center"/>
            <w:hideMark/>
          </w:tcPr>
          <w:p w14:paraId="0E29E574"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10</w:t>
            </w:r>
          </w:p>
        </w:tc>
        <w:tc>
          <w:tcPr>
            <w:tcW w:w="0" w:type="auto"/>
            <w:vAlign w:val="center"/>
            <w:hideMark/>
          </w:tcPr>
          <w:p w14:paraId="7854402B"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14</w:t>
            </w:r>
          </w:p>
        </w:tc>
      </w:tr>
      <w:tr w:rsidR="0030092B" w:rsidRPr="00C729C0" w14:paraId="248BC065" w14:textId="77777777" w:rsidTr="0030092B">
        <w:trPr>
          <w:tblCellSpacing w:w="15" w:type="dxa"/>
        </w:trPr>
        <w:tc>
          <w:tcPr>
            <w:tcW w:w="0" w:type="auto"/>
            <w:vAlign w:val="center"/>
            <w:hideMark/>
          </w:tcPr>
          <w:p w14:paraId="425D1255"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3</w:t>
            </w:r>
          </w:p>
        </w:tc>
        <w:tc>
          <w:tcPr>
            <w:tcW w:w="0" w:type="auto"/>
            <w:vAlign w:val="center"/>
            <w:hideMark/>
          </w:tcPr>
          <w:p w14:paraId="07951B40"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14</w:t>
            </w:r>
          </w:p>
        </w:tc>
        <w:tc>
          <w:tcPr>
            <w:tcW w:w="0" w:type="auto"/>
            <w:vAlign w:val="center"/>
            <w:hideMark/>
          </w:tcPr>
          <w:p w14:paraId="7E432DF4"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12</w:t>
            </w:r>
          </w:p>
        </w:tc>
        <w:tc>
          <w:tcPr>
            <w:tcW w:w="0" w:type="auto"/>
            <w:vAlign w:val="center"/>
            <w:hideMark/>
          </w:tcPr>
          <w:p w14:paraId="7246E352"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15</w:t>
            </w:r>
          </w:p>
        </w:tc>
      </w:tr>
      <w:tr w:rsidR="0030092B" w:rsidRPr="00C729C0" w14:paraId="428AE845" w14:textId="77777777" w:rsidTr="0030092B">
        <w:trPr>
          <w:tblCellSpacing w:w="15" w:type="dxa"/>
        </w:trPr>
        <w:tc>
          <w:tcPr>
            <w:tcW w:w="0" w:type="auto"/>
            <w:vAlign w:val="center"/>
            <w:hideMark/>
          </w:tcPr>
          <w:p w14:paraId="2060A30F"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4</w:t>
            </w:r>
          </w:p>
        </w:tc>
        <w:tc>
          <w:tcPr>
            <w:tcW w:w="0" w:type="auto"/>
            <w:vAlign w:val="center"/>
            <w:hideMark/>
          </w:tcPr>
          <w:p w14:paraId="365C2B0D"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16</w:t>
            </w:r>
          </w:p>
        </w:tc>
        <w:tc>
          <w:tcPr>
            <w:tcW w:w="0" w:type="auto"/>
            <w:vAlign w:val="center"/>
            <w:hideMark/>
          </w:tcPr>
          <w:p w14:paraId="08EC58D5"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14</w:t>
            </w:r>
          </w:p>
        </w:tc>
        <w:tc>
          <w:tcPr>
            <w:tcW w:w="0" w:type="auto"/>
            <w:vAlign w:val="center"/>
            <w:hideMark/>
          </w:tcPr>
          <w:p w14:paraId="6E18A550"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12</w:t>
            </w:r>
          </w:p>
        </w:tc>
      </w:tr>
      <w:tr w:rsidR="0030092B" w:rsidRPr="00C729C0" w14:paraId="1BD868D0" w14:textId="77777777" w:rsidTr="0030092B">
        <w:trPr>
          <w:tblCellSpacing w:w="15" w:type="dxa"/>
        </w:trPr>
        <w:tc>
          <w:tcPr>
            <w:tcW w:w="0" w:type="auto"/>
            <w:vAlign w:val="center"/>
            <w:hideMark/>
          </w:tcPr>
          <w:p w14:paraId="65FD82CB"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5</w:t>
            </w:r>
          </w:p>
        </w:tc>
        <w:tc>
          <w:tcPr>
            <w:tcW w:w="0" w:type="auto"/>
            <w:vAlign w:val="center"/>
            <w:hideMark/>
          </w:tcPr>
          <w:p w14:paraId="498F9CE2"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18</w:t>
            </w:r>
          </w:p>
        </w:tc>
        <w:tc>
          <w:tcPr>
            <w:tcW w:w="0" w:type="auto"/>
            <w:vAlign w:val="center"/>
            <w:hideMark/>
          </w:tcPr>
          <w:p w14:paraId="25825C99"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16</w:t>
            </w:r>
          </w:p>
        </w:tc>
        <w:tc>
          <w:tcPr>
            <w:tcW w:w="0" w:type="auto"/>
            <w:vAlign w:val="center"/>
            <w:hideMark/>
          </w:tcPr>
          <w:p w14:paraId="152732E6"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10</w:t>
            </w:r>
          </w:p>
        </w:tc>
      </w:tr>
    </w:tbl>
    <w:p w14:paraId="5839C36F"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br/>
      </w:r>
      <w:r w:rsidRPr="00C729C0">
        <w:rPr>
          <w:rFonts w:ascii="Arial" w:eastAsia="Times New Roman" w:hAnsi="Arial" w:cs="Arial"/>
          <w:b/>
          <w:bCs/>
          <w:kern w:val="0"/>
          <w:lang w:eastAsia="en-GB"/>
          <w14:ligatures w14:val="none"/>
        </w:rPr>
        <w:t>Table 14: Project Cash Flows (Projects A, B and C)</w:t>
      </w:r>
    </w:p>
    <w:p w14:paraId="401FDA49"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These cash flows form the basis for all investment appraisal calculations.</w:t>
      </w:r>
    </w:p>
    <w:p w14:paraId="21060BA5" w14:textId="77777777" w:rsidR="000C23ED" w:rsidRPr="00C729C0" w:rsidRDefault="000C23ED"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4.2 Payback Period</w:t>
      </w:r>
    </w:p>
    <w:p w14:paraId="7FF98CB5"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The Payback Period measures the time required to recover the initial investment from project cash inflows. It is a simple measure of liquidity and risk, with shorter payback periods indicating faster recovery of funds (Arnold, 2020; Brealey et al., 2020).</w:t>
      </w:r>
    </w:p>
    <w:p w14:paraId="2397FECE" w14:textId="77777777" w:rsidR="0030092B" w:rsidRPr="00C729C0" w:rsidRDefault="0030092B"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Table 15: Payback Period Calculations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09"/>
        <w:gridCol w:w="2764"/>
      </w:tblGrid>
      <w:tr w:rsidR="0030092B" w:rsidRPr="00C729C0" w14:paraId="5785E0FB" w14:textId="77777777" w:rsidTr="0030092B">
        <w:trPr>
          <w:tblHeader/>
          <w:tblCellSpacing w:w="15" w:type="dxa"/>
        </w:trPr>
        <w:tc>
          <w:tcPr>
            <w:tcW w:w="0" w:type="auto"/>
            <w:vAlign w:val="center"/>
            <w:hideMark/>
          </w:tcPr>
          <w:p w14:paraId="1916F2D7" w14:textId="77777777" w:rsidR="0030092B" w:rsidRPr="00C729C0" w:rsidRDefault="0030092B"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Project</w:t>
            </w:r>
          </w:p>
        </w:tc>
        <w:tc>
          <w:tcPr>
            <w:tcW w:w="0" w:type="auto"/>
            <w:vAlign w:val="center"/>
            <w:hideMark/>
          </w:tcPr>
          <w:p w14:paraId="206ED8F5" w14:textId="77777777" w:rsidR="0030092B" w:rsidRPr="00C729C0" w:rsidRDefault="0030092B"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Payback Period (Years)</w:t>
            </w:r>
          </w:p>
        </w:tc>
      </w:tr>
      <w:tr w:rsidR="0030092B" w:rsidRPr="00C729C0" w14:paraId="52257BF2" w14:textId="77777777" w:rsidTr="0030092B">
        <w:trPr>
          <w:tblCellSpacing w:w="15" w:type="dxa"/>
        </w:trPr>
        <w:tc>
          <w:tcPr>
            <w:tcW w:w="0" w:type="auto"/>
            <w:vAlign w:val="center"/>
            <w:hideMark/>
          </w:tcPr>
          <w:p w14:paraId="4614DCF1"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A</w:t>
            </w:r>
          </w:p>
        </w:tc>
        <w:tc>
          <w:tcPr>
            <w:tcW w:w="0" w:type="auto"/>
            <w:vAlign w:val="center"/>
            <w:hideMark/>
          </w:tcPr>
          <w:p w14:paraId="296CE8A3"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4.5</w:t>
            </w:r>
          </w:p>
        </w:tc>
      </w:tr>
      <w:tr w:rsidR="0030092B" w:rsidRPr="00C729C0" w14:paraId="1032132C" w14:textId="77777777" w:rsidTr="0030092B">
        <w:trPr>
          <w:tblCellSpacing w:w="15" w:type="dxa"/>
        </w:trPr>
        <w:tc>
          <w:tcPr>
            <w:tcW w:w="0" w:type="auto"/>
            <w:vAlign w:val="center"/>
            <w:hideMark/>
          </w:tcPr>
          <w:p w14:paraId="0310DEBD"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B</w:t>
            </w:r>
          </w:p>
        </w:tc>
        <w:tc>
          <w:tcPr>
            <w:tcW w:w="0" w:type="auto"/>
            <w:vAlign w:val="center"/>
            <w:hideMark/>
          </w:tcPr>
          <w:p w14:paraId="393DBABF"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4.55</w:t>
            </w:r>
          </w:p>
        </w:tc>
      </w:tr>
      <w:tr w:rsidR="0030092B" w:rsidRPr="00C729C0" w14:paraId="54C4F5CF" w14:textId="77777777" w:rsidTr="0030092B">
        <w:trPr>
          <w:tblCellSpacing w:w="15" w:type="dxa"/>
        </w:trPr>
        <w:tc>
          <w:tcPr>
            <w:tcW w:w="0" w:type="auto"/>
            <w:vAlign w:val="center"/>
            <w:hideMark/>
          </w:tcPr>
          <w:p w14:paraId="6C164B09"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lastRenderedPageBreak/>
              <w:t>C</w:t>
            </w:r>
          </w:p>
        </w:tc>
        <w:tc>
          <w:tcPr>
            <w:tcW w:w="0" w:type="auto"/>
            <w:vAlign w:val="center"/>
            <w:hideMark/>
          </w:tcPr>
          <w:p w14:paraId="2E49801F"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3.6</w:t>
            </w:r>
          </w:p>
        </w:tc>
      </w:tr>
    </w:tbl>
    <w:p w14:paraId="2316EA28"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br/>
      </w:r>
      <w:r w:rsidRPr="00C729C0">
        <w:rPr>
          <w:rFonts w:ascii="Arial" w:eastAsia="Times New Roman" w:hAnsi="Arial" w:cs="Arial"/>
          <w:b/>
          <w:bCs/>
          <w:kern w:val="0"/>
          <w:lang w:eastAsia="en-GB"/>
          <w14:ligatures w14:val="none"/>
        </w:rPr>
        <w:t>Table 15: Payback Period Calculations (Projects A, B and C)</w:t>
      </w:r>
    </w:p>
    <w:p w14:paraId="4121BFD9"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Project C has the shortest payback period of 3.6 years, compared to 4.5 years for Project A and 4.55 years for Project B.</w:t>
      </w:r>
    </w:p>
    <w:p w14:paraId="46C9ADF7"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Example Calculation (Project C):</w:t>
      </w:r>
    </w:p>
    <w:p w14:paraId="4223B72B"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Payback Period = 3 + (Remaining Investment / Cash Flow in Year 4)</w:t>
      </w:r>
      <w:r w:rsidRPr="00C729C0">
        <w:rPr>
          <w:rFonts w:ascii="Arial" w:eastAsia="Times New Roman" w:hAnsi="Arial" w:cs="Arial"/>
          <w:kern w:val="0"/>
          <w:lang w:eastAsia="en-GB"/>
          <w14:ligatures w14:val="none"/>
        </w:rPr>
        <w:br/>
        <w:t>= 3 + (5 / 12)</w:t>
      </w:r>
      <w:r w:rsidRPr="00C729C0">
        <w:rPr>
          <w:rFonts w:ascii="Arial" w:eastAsia="Times New Roman" w:hAnsi="Arial" w:cs="Arial"/>
          <w:kern w:val="0"/>
          <w:lang w:eastAsia="en-GB"/>
          <w14:ligatures w14:val="none"/>
        </w:rPr>
        <w:br/>
        <w:t>= 3.6 years</w:t>
      </w:r>
    </w:p>
    <w:p w14:paraId="6F36CFAC" w14:textId="6BDF5462"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This demonstrates that Project C recovers its investment more quickly, reducing risk exposure. However, the payback method ignores the time value of money and cash flows beyond the payback period, limiting its effectiveness in long-term decision-making (Ross et al., 2022</w:t>
      </w:r>
      <w:r w:rsidR="00CA21B0" w:rsidRPr="00C729C0">
        <w:rPr>
          <w:rFonts w:ascii="Arial" w:hAnsi="Arial" w:cs="Arial"/>
        </w:rPr>
        <w:t>; Pike and Neale, 2018; Peterson and Fabozzi, 2002).</w:t>
      </w:r>
    </w:p>
    <w:p w14:paraId="24C9FEA2" w14:textId="77777777" w:rsidR="000C23ED" w:rsidRPr="00C729C0" w:rsidRDefault="000C23ED"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4.3 Accounting Rate of Return (ARR)</w:t>
      </w:r>
    </w:p>
    <w:p w14:paraId="743A5E25"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The Accounting Rate of Return measures the average accounting profit as a percentage of the initial investment.</w:t>
      </w:r>
    </w:p>
    <w:p w14:paraId="7E3AB4B6"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ARR (%) = (Average Profit / Initial Investment) × 100</w:t>
      </w:r>
    </w:p>
    <w:p w14:paraId="2D33B350" w14:textId="77777777" w:rsidR="0030092B" w:rsidRPr="00C729C0" w:rsidRDefault="0030092B"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Table 16: Accounting Rate of Return (ARR)</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09"/>
        <w:gridCol w:w="2294"/>
        <w:gridCol w:w="2614"/>
        <w:gridCol w:w="1055"/>
      </w:tblGrid>
      <w:tr w:rsidR="0030092B" w:rsidRPr="00C729C0" w14:paraId="33910F10" w14:textId="77777777" w:rsidTr="0030092B">
        <w:trPr>
          <w:tblHeader/>
          <w:tblCellSpacing w:w="15" w:type="dxa"/>
        </w:trPr>
        <w:tc>
          <w:tcPr>
            <w:tcW w:w="0" w:type="auto"/>
            <w:vAlign w:val="center"/>
            <w:hideMark/>
          </w:tcPr>
          <w:p w14:paraId="3372CE05" w14:textId="77777777" w:rsidR="0030092B" w:rsidRPr="00C729C0" w:rsidRDefault="0030092B"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Project</w:t>
            </w:r>
          </w:p>
        </w:tc>
        <w:tc>
          <w:tcPr>
            <w:tcW w:w="0" w:type="auto"/>
            <w:vAlign w:val="center"/>
            <w:hideMark/>
          </w:tcPr>
          <w:p w14:paraId="56565401" w14:textId="77777777" w:rsidR="0030092B" w:rsidRPr="00C729C0" w:rsidRDefault="0030092B"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Average Profit (£m)</w:t>
            </w:r>
          </w:p>
        </w:tc>
        <w:tc>
          <w:tcPr>
            <w:tcW w:w="0" w:type="auto"/>
            <w:vAlign w:val="center"/>
            <w:hideMark/>
          </w:tcPr>
          <w:p w14:paraId="48E1A16D" w14:textId="77777777" w:rsidR="0030092B" w:rsidRPr="00C729C0" w:rsidRDefault="0030092B"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Initial Investment (£m)</w:t>
            </w:r>
          </w:p>
        </w:tc>
        <w:tc>
          <w:tcPr>
            <w:tcW w:w="0" w:type="auto"/>
            <w:vAlign w:val="center"/>
            <w:hideMark/>
          </w:tcPr>
          <w:p w14:paraId="12FA9E21" w14:textId="77777777" w:rsidR="0030092B" w:rsidRPr="00C729C0" w:rsidRDefault="0030092B"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ARR (%)</w:t>
            </w:r>
          </w:p>
        </w:tc>
      </w:tr>
      <w:tr w:rsidR="0030092B" w:rsidRPr="00C729C0" w14:paraId="341D81AF" w14:textId="77777777" w:rsidTr="0030092B">
        <w:trPr>
          <w:tblCellSpacing w:w="15" w:type="dxa"/>
        </w:trPr>
        <w:tc>
          <w:tcPr>
            <w:tcW w:w="0" w:type="auto"/>
            <w:vAlign w:val="center"/>
            <w:hideMark/>
          </w:tcPr>
          <w:p w14:paraId="5EFB9FB1"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A</w:t>
            </w:r>
          </w:p>
        </w:tc>
        <w:tc>
          <w:tcPr>
            <w:tcW w:w="0" w:type="auto"/>
            <w:vAlign w:val="center"/>
            <w:hideMark/>
          </w:tcPr>
          <w:p w14:paraId="762A430E"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0.8</w:t>
            </w:r>
          </w:p>
        </w:tc>
        <w:tc>
          <w:tcPr>
            <w:tcW w:w="0" w:type="auto"/>
            <w:vAlign w:val="center"/>
            <w:hideMark/>
          </w:tcPr>
          <w:p w14:paraId="4E5B76A8"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50</w:t>
            </w:r>
          </w:p>
        </w:tc>
        <w:tc>
          <w:tcPr>
            <w:tcW w:w="0" w:type="auto"/>
            <w:vAlign w:val="center"/>
            <w:hideMark/>
          </w:tcPr>
          <w:p w14:paraId="25E3ED90"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1.6%</w:t>
            </w:r>
          </w:p>
        </w:tc>
      </w:tr>
      <w:tr w:rsidR="0030092B" w:rsidRPr="00C729C0" w14:paraId="6A4BA3F0" w14:textId="77777777" w:rsidTr="0030092B">
        <w:trPr>
          <w:tblCellSpacing w:w="15" w:type="dxa"/>
        </w:trPr>
        <w:tc>
          <w:tcPr>
            <w:tcW w:w="0" w:type="auto"/>
            <w:vAlign w:val="center"/>
            <w:hideMark/>
          </w:tcPr>
          <w:p w14:paraId="6B04DE47"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B</w:t>
            </w:r>
          </w:p>
        </w:tc>
        <w:tc>
          <w:tcPr>
            <w:tcW w:w="0" w:type="auto"/>
            <w:vAlign w:val="center"/>
            <w:hideMark/>
          </w:tcPr>
          <w:p w14:paraId="34D0437A"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1.0</w:t>
            </w:r>
          </w:p>
        </w:tc>
        <w:tc>
          <w:tcPr>
            <w:tcW w:w="0" w:type="auto"/>
            <w:vAlign w:val="center"/>
            <w:hideMark/>
          </w:tcPr>
          <w:p w14:paraId="34B97890"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50</w:t>
            </w:r>
          </w:p>
        </w:tc>
        <w:tc>
          <w:tcPr>
            <w:tcW w:w="0" w:type="auto"/>
            <w:vAlign w:val="center"/>
            <w:hideMark/>
          </w:tcPr>
          <w:p w14:paraId="4A52EC9A"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w:t>
            </w:r>
          </w:p>
        </w:tc>
      </w:tr>
      <w:tr w:rsidR="0030092B" w:rsidRPr="00C729C0" w14:paraId="24D3C747" w14:textId="77777777" w:rsidTr="0030092B">
        <w:trPr>
          <w:tblCellSpacing w:w="15" w:type="dxa"/>
        </w:trPr>
        <w:tc>
          <w:tcPr>
            <w:tcW w:w="0" w:type="auto"/>
            <w:vAlign w:val="center"/>
            <w:hideMark/>
          </w:tcPr>
          <w:p w14:paraId="72DD1FC7"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C</w:t>
            </w:r>
          </w:p>
        </w:tc>
        <w:tc>
          <w:tcPr>
            <w:tcW w:w="0" w:type="auto"/>
            <w:vAlign w:val="center"/>
            <w:hideMark/>
          </w:tcPr>
          <w:p w14:paraId="2818FD38"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3.0</w:t>
            </w:r>
          </w:p>
        </w:tc>
        <w:tc>
          <w:tcPr>
            <w:tcW w:w="0" w:type="auto"/>
            <w:vAlign w:val="center"/>
            <w:hideMark/>
          </w:tcPr>
          <w:p w14:paraId="61B724C9"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50</w:t>
            </w:r>
          </w:p>
        </w:tc>
        <w:tc>
          <w:tcPr>
            <w:tcW w:w="0" w:type="auto"/>
            <w:vAlign w:val="center"/>
            <w:hideMark/>
          </w:tcPr>
          <w:p w14:paraId="4A0B0BE2" w14:textId="77777777" w:rsidR="0030092B" w:rsidRPr="00C729C0" w:rsidRDefault="0030092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6.0%</w:t>
            </w:r>
          </w:p>
        </w:tc>
      </w:tr>
    </w:tbl>
    <w:p w14:paraId="6B90B107"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br/>
      </w:r>
      <w:r w:rsidRPr="00C729C0">
        <w:rPr>
          <w:rFonts w:ascii="Arial" w:eastAsia="Times New Roman" w:hAnsi="Arial" w:cs="Arial"/>
          <w:b/>
          <w:bCs/>
          <w:kern w:val="0"/>
          <w:lang w:eastAsia="en-GB"/>
          <w14:ligatures w14:val="none"/>
        </w:rPr>
        <w:t>Table 16: ARR Calculations (Projects A, B and C)</w:t>
      </w:r>
    </w:p>
    <w:p w14:paraId="28E44943"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lastRenderedPageBreak/>
        <w:t>Project C generates the highest ARR of 6%, compared to 2% for Project B and 1.6% for Project A.</w:t>
      </w:r>
    </w:p>
    <w:p w14:paraId="58DB6296"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Example Calculation (Project C):</w:t>
      </w:r>
    </w:p>
    <w:p w14:paraId="7361E6C3"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ARR = (3 / 50) × 100</w:t>
      </w:r>
      <w:r w:rsidRPr="00C729C0">
        <w:rPr>
          <w:rFonts w:ascii="Arial" w:eastAsia="Times New Roman" w:hAnsi="Arial" w:cs="Arial"/>
          <w:kern w:val="0"/>
          <w:lang w:eastAsia="en-GB"/>
          <w14:ligatures w14:val="none"/>
        </w:rPr>
        <w:br/>
        <w:t>= 6%</w:t>
      </w:r>
    </w:p>
    <w:p w14:paraId="0DDEB19E"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This indicates that Project C provides the highest accounting return. However, ARR ignores the time value of money and relies on accounting profit rather than cash flow, reducing its reliability (Brealey et al., 2020; Pike and Neale, 2018).</w:t>
      </w:r>
    </w:p>
    <w:p w14:paraId="3350A7BB" w14:textId="77777777" w:rsidR="000C23ED" w:rsidRPr="00C729C0" w:rsidRDefault="000C23ED"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4.4 Net Present Value (NPV)</w:t>
      </w:r>
    </w:p>
    <w:p w14:paraId="383F86A7"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Net Present Value measures the difference between the present value of future cash inflows and the initial investment.</w:t>
      </w:r>
    </w:p>
    <w:p w14:paraId="781D86B6"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NPV = Present Value of Cash Inflows − Initial Investment</w:t>
      </w:r>
    </w:p>
    <w:p w14:paraId="1FC5F05A" w14:textId="77777777" w:rsidR="002D1958" w:rsidRPr="00C729C0" w:rsidRDefault="002D1958"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Table 17: Net Present Value (NPV) at 10%</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09"/>
        <w:gridCol w:w="2814"/>
        <w:gridCol w:w="2614"/>
        <w:gridCol w:w="1162"/>
      </w:tblGrid>
      <w:tr w:rsidR="002D1958" w:rsidRPr="00C729C0" w14:paraId="18E0117D" w14:textId="77777777" w:rsidTr="002D1958">
        <w:trPr>
          <w:tblHeader/>
          <w:tblCellSpacing w:w="15" w:type="dxa"/>
        </w:trPr>
        <w:tc>
          <w:tcPr>
            <w:tcW w:w="0" w:type="auto"/>
            <w:vAlign w:val="center"/>
            <w:hideMark/>
          </w:tcPr>
          <w:p w14:paraId="07A26678" w14:textId="77777777" w:rsidR="002D1958" w:rsidRPr="00C729C0" w:rsidRDefault="002D1958"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Project</w:t>
            </w:r>
          </w:p>
        </w:tc>
        <w:tc>
          <w:tcPr>
            <w:tcW w:w="0" w:type="auto"/>
            <w:vAlign w:val="center"/>
            <w:hideMark/>
          </w:tcPr>
          <w:p w14:paraId="7C41BECA" w14:textId="77777777" w:rsidR="002D1958" w:rsidRPr="00C729C0" w:rsidRDefault="002D1958"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PV of Cash Inflows (£m)</w:t>
            </w:r>
          </w:p>
        </w:tc>
        <w:tc>
          <w:tcPr>
            <w:tcW w:w="0" w:type="auto"/>
            <w:vAlign w:val="center"/>
            <w:hideMark/>
          </w:tcPr>
          <w:p w14:paraId="01414A3E" w14:textId="77777777" w:rsidR="002D1958" w:rsidRPr="00C729C0" w:rsidRDefault="002D1958"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Initial Investment (£m)</w:t>
            </w:r>
          </w:p>
        </w:tc>
        <w:tc>
          <w:tcPr>
            <w:tcW w:w="0" w:type="auto"/>
            <w:vAlign w:val="center"/>
            <w:hideMark/>
          </w:tcPr>
          <w:p w14:paraId="40C9CD91" w14:textId="77777777" w:rsidR="002D1958" w:rsidRPr="00C729C0" w:rsidRDefault="002D1958"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NPV (£m)</w:t>
            </w:r>
          </w:p>
        </w:tc>
      </w:tr>
      <w:tr w:rsidR="002D1958" w:rsidRPr="00C729C0" w14:paraId="15B9F9B5" w14:textId="77777777" w:rsidTr="002D1958">
        <w:trPr>
          <w:tblCellSpacing w:w="15" w:type="dxa"/>
        </w:trPr>
        <w:tc>
          <w:tcPr>
            <w:tcW w:w="0" w:type="auto"/>
            <w:vAlign w:val="center"/>
            <w:hideMark/>
          </w:tcPr>
          <w:p w14:paraId="670BB73C" w14:textId="77777777" w:rsidR="002D1958" w:rsidRPr="00C729C0" w:rsidRDefault="002D1958"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A</w:t>
            </w:r>
          </w:p>
        </w:tc>
        <w:tc>
          <w:tcPr>
            <w:tcW w:w="0" w:type="auto"/>
            <w:vAlign w:val="center"/>
            <w:hideMark/>
          </w:tcPr>
          <w:p w14:paraId="478155EF" w14:textId="77777777" w:rsidR="002D1958" w:rsidRPr="00C729C0" w:rsidRDefault="002D1958"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41.50</w:t>
            </w:r>
          </w:p>
        </w:tc>
        <w:tc>
          <w:tcPr>
            <w:tcW w:w="0" w:type="auto"/>
            <w:vAlign w:val="center"/>
            <w:hideMark/>
          </w:tcPr>
          <w:p w14:paraId="47CA8332" w14:textId="77777777" w:rsidR="002D1958" w:rsidRPr="00C729C0" w:rsidRDefault="002D1958"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50</w:t>
            </w:r>
          </w:p>
        </w:tc>
        <w:tc>
          <w:tcPr>
            <w:tcW w:w="0" w:type="auto"/>
            <w:vAlign w:val="center"/>
            <w:hideMark/>
          </w:tcPr>
          <w:p w14:paraId="3F17F90B" w14:textId="77777777" w:rsidR="002D1958" w:rsidRPr="00C729C0" w:rsidRDefault="002D1958"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-8.50</w:t>
            </w:r>
          </w:p>
        </w:tc>
      </w:tr>
      <w:tr w:rsidR="002D1958" w:rsidRPr="00C729C0" w14:paraId="2BBBC40B" w14:textId="77777777" w:rsidTr="002D1958">
        <w:trPr>
          <w:tblCellSpacing w:w="15" w:type="dxa"/>
        </w:trPr>
        <w:tc>
          <w:tcPr>
            <w:tcW w:w="0" w:type="auto"/>
            <w:vAlign w:val="center"/>
            <w:hideMark/>
          </w:tcPr>
          <w:p w14:paraId="1AAD5F03" w14:textId="77777777" w:rsidR="002D1958" w:rsidRPr="00C729C0" w:rsidRDefault="002D1958"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B</w:t>
            </w:r>
          </w:p>
        </w:tc>
        <w:tc>
          <w:tcPr>
            <w:tcW w:w="0" w:type="auto"/>
            <w:vAlign w:val="center"/>
            <w:hideMark/>
          </w:tcPr>
          <w:p w14:paraId="0822A9CB" w14:textId="77777777" w:rsidR="002D1958" w:rsidRPr="00C729C0" w:rsidRDefault="002D1958"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41.50</w:t>
            </w:r>
          </w:p>
        </w:tc>
        <w:tc>
          <w:tcPr>
            <w:tcW w:w="0" w:type="auto"/>
            <w:vAlign w:val="center"/>
            <w:hideMark/>
          </w:tcPr>
          <w:p w14:paraId="34D890F6" w14:textId="77777777" w:rsidR="002D1958" w:rsidRPr="00C729C0" w:rsidRDefault="002D1958"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50</w:t>
            </w:r>
          </w:p>
        </w:tc>
        <w:tc>
          <w:tcPr>
            <w:tcW w:w="0" w:type="auto"/>
            <w:vAlign w:val="center"/>
            <w:hideMark/>
          </w:tcPr>
          <w:p w14:paraId="733DFA64" w14:textId="77777777" w:rsidR="002D1958" w:rsidRPr="00C729C0" w:rsidRDefault="002D1958"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-8.50</w:t>
            </w:r>
          </w:p>
        </w:tc>
      </w:tr>
      <w:tr w:rsidR="002D1958" w:rsidRPr="00C729C0" w14:paraId="1D0A4961" w14:textId="77777777" w:rsidTr="002D1958">
        <w:trPr>
          <w:tblCellSpacing w:w="15" w:type="dxa"/>
        </w:trPr>
        <w:tc>
          <w:tcPr>
            <w:tcW w:w="0" w:type="auto"/>
            <w:vAlign w:val="center"/>
            <w:hideMark/>
          </w:tcPr>
          <w:p w14:paraId="5D5C9B42" w14:textId="77777777" w:rsidR="002D1958" w:rsidRPr="00C729C0" w:rsidRDefault="002D1958"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C</w:t>
            </w:r>
          </w:p>
        </w:tc>
        <w:tc>
          <w:tcPr>
            <w:tcW w:w="0" w:type="auto"/>
            <w:vAlign w:val="center"/>
            <w:hideMark/>
          </w:tcPr>
          <w:p w14:paraId="44BD14D5" w14:textId="77777777" w:rsidR="002D1958" w:rsidRPr="00C729C0" w:rsidRDefault="002D1958"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48.15</w:t>
            </w:r>
          </w:p>
        </w:tc>
        <w:tc>
          <w:tcPr>
            <w:tcW w:w="0" w:type="auto"/>
            <w:vAlign w:val="center"/>
            <w:hideMark/>
          </w:tcPr>
          <w:p w14:paraId="24D511C3" w14:textId="77777777" w:rsidR="002D1958" w:rsidRPr="00C729C0" w:rsidRDefault="002D1958"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50</w:t>
            </w:r>
          </w:p>
        </w:tc>
        <w:tc>
          <w:tcPr>
            <w:tcW w:w="0" w:type="auto"/>
            <w:vAlign w:val="center"/>
            <w:hideMark/>
          </w:tcPr>
          <w:p w14:paraId="1D172C46" w14:textId="77777777" w:rsidR="002D1958" w:rsidRPr="00C729C0" w:rsidRDefault="002D1958"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-1.85</w:t>
            </w:r>
          </w:p>
        </w:tc>
      </w:tr>
    </w:tbl>
    <w:p w14:paraId="2EADE0D0"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b/>
          <w:bCs/>
          <w:kern w:val="0"/>
          <w:lang w:eastAsia="en-GB"/>
          <w14:ligatures w14:val="none"/>
        </w:rPr>
        <w:t>Table 17: NPV Calculations (Projects A, B and C)</w:t>
      </w:r>
    </w:p>
    <w:p w14:paraId="5F96457B"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All three projects generate negative NPVs at the required rate of return of 10%, indicating that none of the projects create shareholder value.</w:t>
      </w:r>
    </w:p>
    <w:p w14:paraId="22F4692F"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Example Calculation (Project C):</w:t>
      </w:r>
    </w:p>
    <w:p w14:paraId="15740053"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NPV = (12 × 0.909) + (14 × 0.826) + (15 × 0.751) + (12 × 0.683) + (10 × 0.621) − 50</w:t>
      </w:r>
    </w:p>
    <w:p w14:paraId="1E3D383C"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lastRenderedPageBreak/>
        <w:t>= (10.91 + 11.56 + 11.27 + 8.20 + 6.21) − 50</w:t>
      </w:r>
      <w:r w:rsidRPr="00C729C0">
        <w:rPr>
          <w:rFonts w:ascii="Arial" w:eastAsia="Times New Roman" w:hAnsi="Arial" w:cs="Arial"/>
          <w:kern w:val="0"/>
          <w:lang w:eastAsia="en-GB"/>
          <w14:ligatures w14:val="none"/>
        </w:rPr>
        <w:br/>
        <w:t>= 48.15 − 50</w:t>
      </w:r>
      <w:r w:rsidRPr="00C729C0">
        <w:rPr>
          <w:rFonts w:ascii="Arial" w:eastAsia="Times New Roman" w:hAnsi="Arial" w:cs="Arial"/>
          <w:kern w:val="0"/>
          <w:lang w:eastAsia="en-GB"/>
          <w14:ligatures w14:val="none"/>
        </w:rPr>
        <w:br/>
        <w:t>= −1.85 million</w:t>
      </w:r>
    </w:p>
    <w:p w14:paraId="2DA32599" w14:textId="482DD098"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Project C produces the highest NPV (least negative), making it the least unfavourable option. NPV is the most reliable method as it incorporates the time value of money and directly measures value creation (Brealey et al., 2020; Arnold, 2020</w:t>
      </w:r>
      <w:r w:rsidR="000B4C72" w:rsidRPr="00C729C0">
        <w:rPr>
          <w:rFonts w:ascii="Arial" w:hAnsi="Arial" w:cs="Arial"/>
        </w:rPr>
        <w:t>; Kaplan and Ruback, 1995).</w:t>
      </w:r>
    </w:p>
    <w:p w14:paraId="66E62337" w14:textId="77777777" w:rsidR="000C23ED" w:rsidRPr="00C729C0" w:rsidRDefault="000C23ED"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4.5 Profitability Index (PI)</w:t>
      </w:r>
    </w:p>
    <w:p w14:paraId="25E1DD82"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The Profitability Index measures the value created per unit of investment.</w:t>
      </w:r>
    </w:p>
    <w:p w14:paraId="20680C54" w14:textId="29EB403A" w:rsidR="002D1958"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PI = Present Value of Cash Inflows / Initial Investment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09"/>
        <w:gridCol w:w="2161"/>
        <w:gridCol w:w="1921"/>
        <w:gridCol w:w="563"/>
      </w:tblGrid>
      <w:tr w:rsidR="002D1958" w:rsidRPr="00C729C0" w14:paraId="274F174E" w14:textId="77777777" w:rsidTr="002D1958">
        <w:trPr>
          <w:tblHeader/>
          <w:tblCellSpacing w:w="15" w:type="dxa"/>
        </w:trPr>
        <w:tc>
          <w:tcPr>
            <w:tcW w:w="0" w:type="auto"/>
            <w:vAlign w:val="center"/>
            <w:hideMark/>
          </w:tcPr>
          <w:p w14:paraId="52ADBD71" w14:textId="77777777" w:rsidR="002D1958" w:rsidRPr="00C729C0" w:rsidRDefault="002D1958"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Project</w:t>
            </w:r>
          </w:p>
        </w:tc>
        <w:tc>
          <w:tcPr>
            <w:tcW w:w="0" w:type="auto"/>
            <w:vAlign w:val="center"/>
            <w:hideMark/>
          </w:tcPr>
          <w:p w14:paraId="6E498A77" w14:textId="77777777" w:rsidR="002D1958" w:rsidRPr="00C729C0" w:rsidRDefault="002D1958"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PV of Inflows (£m)</w:t>
            </w:r>
          </w:p>
        </w:tc>
        <w:tc>
          <w:tcPr>
            <w:tcW w:w="0" w:type="auto"/>
            <w:vAlign w:val="center"/>
            <w:hideMark/>
          </w:tcPr>
          <w:p w14:paraId="1651DF15" w14:textId="77777777" w:rsidR="002D1958" w:rsidRPr="00C729C0" w:rsidRDefault="002D1958"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Investment (£m)</w:t>
            </w:r>
          </w:p>
        </w:tc>
        <w:tc>
          <w:tcPr>
            <w:tcW w:w="0" w:type="auto"/>
            <w:vAlign w:val="center"/>
            <w:hideMark/>
          </w:tcPr>
          <w:p w14:paraId="5DE7F92D" w14:textId="77777777" w:rsidR="002D1958" w:rsidRPr="00C729C0" w:rsidRDefault="002D1958"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PI</w:t>
            </w:r>
          </w:p>
        </w:tc>
      </w:tr>
      <w:tr w:rsidR="002D1958" w:rsidRPr="00C729C0" w14:paraId="23CA92AF" w14:textId="77777777" w:rsidTr="002D1958">
        <w:trPr>
          <w:tblCellSpacing w:w="15" w:type="dxa"/>
        </w:trPr>
        <w:tc>
          <w:tcPr>
            <w:tcW w:w="0" w:type="auto"/>
            <w:vAlign w:val="center"/>
            <w:hideMark/>
          </w:tcPr>
          <w:p w14:paraId="203DCAA7" w14:textId="77777777" w:rsidR="002D1958" w:rsidRPr="00C729C0" w:rsidRDefault="002D1958"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A</w:t>
            </w:r>
          </w:p>
        </w:tc>
        <w:tc>
          <w:tcPr>
            <w:tcW w:w="0" w:type="auto"/>
            <w:vAlign w:val="center"/>
            <w:hideMark/>
          </w:tcPr>
          <w:p w14:paraId="7D942ECC" w14:textId="77777777" w:rsidR="002D1958" w:rsidRPr="00C729C0" w:rsidRDefault="002D1958"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41.50</w:t>
            </w:r>
          </w:p>
        </w:tc>
        <w:tc>
          <w:tcPr>
            <w:tcW w:w="0" w:type="auto"/>
            <w:vAlign w:val="center"/>
            <w:hideMark/>
          </w:tcPr>
          <w:p w14:paraId="38D448E9" w14:textId="77777777" w:rsidR="002D1958" w:rsidRPr="00C729C0" w:rsidRDefault="002D1958"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50</w:t>
            </w:r>
          </w:p>
        </w:tc>
        <w:tc>
          <w:tcPr>
            <w:tcW w:w="0" w:type="auto"/>
            <w:vAlign w:val="center"/>
            <w:hideMark/>
          </w:tcPr>
          <w:p w14:paraId="42FDF5C6" w14:textId="77777777" w:rsidR="002D1958" w:rsidRPr="00C729C0" w:rsidRDefault="002D1958"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0.83</w:t>
            </w:r>
          </w:p>
        </w:tc>
      </w:tr>
      <w:tr w:rsidR="002D1958" w:rsidRPr="00C729C0" w14:paraId="513CF382" w14:textId="77777777" w:rsidTr="002D1958">
        <w:trPr>
          <w:tblCellSpacing w:w="15" w:type="dxa"/>
        </w:trPr>
        <w:tc>
          <w:tcPr>
            <w:tcW w:w="0" w:type="auto"/>
            <w:vAlign w:val="center"/>
            <w:hideMark/>
          </w:tcPr>
          <w:p w14:paraId="2D6A10AD" w14:textId="77777777" w:rsidR="002D1958" w:rsidRPr="00C729C0" w:rsidRDefault="002D1958"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B</w:t>
            </w:r>
          </w:p>
        </w:tc>
        <w:tc>
          <w:tcPr>
            <w:tcW w:w="0" w:type="auto"/>
            <w:vAlign w:val="center"/>
            <w:hideMark/>
          </w:tcPr>
          <w:p w14:paraId="590E932A" w14:textId="77777777" w:rsidR="002D1958" w:rsidRPr="00C729C0" w:rsidRDefault="002D1958"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41.50</w:t>
            </w:r>
          </w:p>
        </w:tc>
        <w:tc>
          <w:tcPr>
            <w:tcW w:w="0" w:type="auto"/>
            <w:vAlign w:val="center"/>
            <w:hideMark/>
          </w:tcPr>
          <w:p w14:paraId="1F3095B1" w14:textId="77777777" w:rsidR="002D1958" w:rsidRPr="00C729C0" w:rsidRDefault="002D1958"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50</w:t>
            </w:r>
          </w:p>
        </w:tc>
        <w:tc>
          <w:tcPr>
            <w:tcW w:w="0" w:type="auto"/>
            <w:vAlign w:val="center"/>
            <w:hideMark/>
          </w:tcPr>
          <w:p w14:paraId="25EB5C34" w14:textId="77777777" w:rsidR="002D1958" w:rsidRPr="00C729C0" w:rsidRDefault="002D1958"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0.83</w:t>
            </w:r>
          </w:p>
        </w:tc>
      </w:tr>
      <w:tr w:rsidR="002D1958" w:rsidRPr="00C729C0" w14:paraId="797DD89C" w14:textId="77777777" w:rsidTr="002D1958">
        <w:trPr>
          <w:tblCellSpacing w:w="15" w:type="dxa"/>
        </w:trPr>
        <w:tc>
          <w:tcPr>
            <w:tcW w:w="0" w:type="auto"/>
            <w:vAlign w:val="center"/>
            <w:hideMark/>
          </w:tcPr>
          <w:p w14:paraId="2A569A0B" w14:textId="77777777" w:rsidR="002D1958" w:rsidRPr="00C729C0" w:rsidRDefault="002D1958"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C</w:t>
            </w:r>
          </w:p>
        </w:tc>
        <w:tc>
          <w:tcPr>
            <w:tcW w:w="0" w:type="auto"/>
            <w:vAlign w:val="center"/>
            <w:hideMark/>
          </w:tcPr>
          <w:p w14:paraId="57606D57" w14:textId="77777777" w:rsidR="002D1958" w:rsidRPr="00C729C0" w:rsidRDefault="002D1958"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48.15</w:t>
            </w:r>
          </w:p>
        </w:tc>
        <w:tc>
          <w:tcPr>
            <w:tcW w:w="0" w:type="auto"/>
            <w:vAlign w:val="center"/>
            <w:hideMark/>
          </w:tcPr>
          <w:p w14:paraId="294F782D" w14:textId="77777777" w:rsidR="002D1958" w:rsidRPr="00C729C0" w:rsidRDefault="002D1958"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50</w:t>
            </w:r>
          </w:p>
        </w:tc>
        <w:tc>
          <w:tcPr>
            <w:tcW w:w="0" w:type="auto"/>
            <w:vAlign w:val="center"/>
            <w:hideMark/>
          </w:tcPr>
          <w:p w14:paraId="68C21A75" w14:textId="77777777" w:rsidR="002D1958" w:rsidRPr="00C729C0" w:rsidRDefault="002D1958"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0.96</w:t>
            </w:r>
          </w:p>
        </w:tc>
      </w:tr>
    </w:tbl>
    <w:p w14:paraId="6BEBDE44"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br/>
      </w:r>
      <w:r w:rsidRPr="00C729C0">
        <w:rPr>
          <w:rFonts w:ascii="Arial" w:eastAsia="Times New Roman" w:hAnsi="Arial" w:cs="Arial"/>
          <w:b/>
          <w:bCs/>
          <w:kern w:val="0"/>
          <w:lang w:eastAsia="en-GB"/>
          <w14:ligatures w14:val="none"/>
        </w:rPr>
        <w:t>Table 18: Profitability Index (Projects A, B and C)</w:t>
      </w:r>
    </w:p>
    <w:p w14:paraId="52BAD1CF"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Project C has the highest PI of 0.96, compared to 0.83 for Projects A and B. Since all values are below 1, none of the projects generate sufficient returns.</w:t>
      </w:r>
    </w:p>
    <w:p w14:paraId="640FDCD2"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The PI is particularly useful under capital rationing, as it helps prioritise projects based on efficiency (Arnold, 2020).</w:t>
      </w:r>
    </w:p>
    <w:p w14:paraId="4F975056" w14:textId="77777777" w:rsidR="000C23ED" w:rsidRPr="00C729C0" w:rsidRDefault="000C23ED"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4.6 Internal Rate of Return (IRR)</w:t>
      </w:r>
    </w:p>
    <w:p w14:paraId="7AF1CA3B"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The Internal Rate of Return is the discount rate at which NPV equals zero.</w:t>
      </w:r>
    </w:p>
    <w:p w14:paraId="28E83538" w14:textId="77777777" w:rsidR="002D1958" w:rsidRPr="00C729C0" w:rsidRDefault="002D1958"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Table 19: Internal Rate of Return (IRR)</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09"/>
        <w:gridCol w:w="949"/>
      </w:tblGrid>
      <w:tr w:rsidR="002D1958" w:rsidRPr="00C729C0" w14:paraId="728037F8" w14:textId="77777777" w:rsidTr="002D1958">
        <w:trPr>
          <w:tblHeader/>
          <w:tblCellSpacing w:w="15" w:type="dxa"/>
        </w:trPr>
        <w:tc>
          <w:tcPr>
            <w:tcW w:w="0" w:type="auto"/>
            <w:vAlign w:val="center"/>
            <w:hideMark/>
          </w:tcPr>
          <w:p w14:paraId="6F4E5B84" w14:textId="77777777" w:rsidR="002D1958" w:rsidRPr="00C729C0" w:rsidRDefault="002D1958"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lastRenderedPageBreak/>
              <w:t>Project</w:t>
            </w:r>
          </w:p>
        </w:tc>
        <w:tc>
          <w:tcPr>
            <w:tcW w:w="0" w:type="auto"/>
            <w:vAlign w:val="center"/>
            <w:hideMark/>
          </w:tcPr>
          <w:p w14:paraId="2C19BD4F" w14:textId="77777777" w:rsidR="002D1958" w:rsidRPr="00C729C0" w:rsidRDefault="002D1958"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IRR (%)</w:t>
            </w:r>
          </w:p>
        </w:tc>
      </w:tr>
      <w:tr w:rsidR="002D1958" w:rsidRPr="00C729C0" w14:paraId="57DA3032" w14:textId="77777777" w:rsidTr="002D1958">
        <w:trPr>
          <w:tblCellSpacing w:w="15" w:type="dxa"/>
        </w:trPr>
        <w:tc>
          <w:tcPr>
            <w:tcW w:w="0" w:type="auto"/>
            <w:vAlign w:val="center"/>
            <w:hideMark/>
          </w:tcPr>
          <w:p w14:paraId="3BF00EBE" w14:textId="77777777" w:rsidR="002D1958" w:rsidRPr="00C729C0" w:rsidRDefault="002D1958"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A</w:t>
            </w:r>
          </w:p>
        </w:tc>
        <w:tc>
          <w:tcPr>
            <w:tcW w:w="0" w:type="auto"/>
            <w:vAlign w:val="center"/>
            <w:hideMark/>
          </w:tcPr>
          <w:p w14:paraId="03726D5D" w14:textId="77777777" w:rsidR="002D1958" w:rsidRPr="00C729C0" w:rsidRDefault="002D1958"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6%</w:t>
            </w:r>
          </w:p>
        </w:tc>
      </w:tr>
      <w:tr w:rsidR="002D1958" w:rsidRPr="00C729C0" w14:paraId="48BF5043" w14:textId="77777777" w:rsidTr="002D1958">
        <w:trPr>
          <w:tblCellSpacing w:w="15" w:type="dxa"/>
        </w:trPr>
        <w:tc>
          <w:tcPr>
            <w:tcW w:w="0" w:type="auto"/>
            <w:vAlign w:val="center"/>
            <w:hideMark/>
          </w:tcPr>
          <w:p w14:paraId="6877DCD5" w14:textId="77777777" w:rsidR="002D1958" w:rsidRPr="00C729C0" w:rsidRDefault="002D1958"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B</w:t>
            </w:r>
          </w:p>
        </w:tc>
        <w:tc>
          <w:tcPr>
            <w:tcW w:w="0" w:type="auto"/>
            <w:vAlign w:val="center"/>
            <w:hideMark/>
          </w:tcPr>
          <w:p w14:paraId="595FBC15" w14:textId="77777777" w:rsidR="002D1958" w:rsidRPr="00C729C0" w:rsidRDefault="002D1958"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6%</w:t>
            </w:r>
          </w:p>
        </w:tc>
      </w:tr>
      <w:tr w:rsidR="002D1958" w:rsidRPr="00C729C0" w14:paraId="5BDB81FF" w14:textId="77777777" w:rsidTr="002D1958">
        <w:trPr>
          <w:tblCellSpacing w:w="15" w:type="dxa"/>
        </w:trPr>
        <w:tc>
          <w:tcPr>
            <w:tcW w:w="0" w:type="auto"/>
            <w:vAlign w:val="center"/>
            <w:hideMark/>
          </w:tcPr>
          <w:p w14:paraId="6E7703FC" w14:textId="77777777" w:rsidR="002D1958" w:rsidRPr="00C729C0" w:rsidRDefault="002D1958"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C</w:t>
            </w:r>
          </w:p>
        </w:tc>
        <w:tc>
          <w:tcPr>
            <w:tcW w:w="0" w:type="auto"/>
            <w:vAlign w:val="center"/>
            <w:hideMark/>
          </w:tcPr>
          <w:p w14:paraId="66E0DF18" w14:textId="77777777" w:rsidR="002D1958" w:rsidRPr="00C729C0" w:rsidRDefault="002D1958"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9%</w:t>
            </w:r>
          </w:p>
        </w:tc>
      </w:tr>
    </w:tbl>
    <w:p w14:paraId="0F16EB28"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b/>
          <w:bCs/>
          <w:kern w:val="0"/>
          <w:lang w:eastAsia="en-GB"/>
          <w14:ligatures w14:val="none"/>
        </w:rPr>
        <w:t>Table 19: IRR Estimates (Projects A, B and C)</w:t>
      </w:r>
    </w:p>
    <w:p w14:paraId="7D4816FF"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Project C has the highest IRR of approximately 9%, compared to 6% for Projects A and B. However, all projects fail to meet the required return of 10%, indicating that none are acceptable under this method.</w:t>
      </w:r>
    </w:p>
    <w:p w14:paraId="51A7410D" w14:textId="6D496C59" w:rsidR="000C23ED" w:rsidRPr="00C729C0" w:rsidRDefault="000C23ED" w:rsidP="0045227F">
      <w:pPr>
        <w:pStyle w:val="NormalWeb"/>
        <w:spacing w:line="360" w:lineRule="auto"/>
        <w:rPr>
          <w:rFonts w:ascii="Arial" w:hAnsi="Arial" w:cs="Arial"/>
          <w:lang w:eastAsia="en-IN"/>
        </w:rPr>
      </w:pPr>
      <w:r w:rsidRPr="00C729C0">
        <w:rPr>
          <w:rFonts w:ascii="Arial" w:hAnsi="Arial" w:cs="Arial"/>
        </w:rPr>
        <w:t>Although widely used, IRR may be misleading when comparing projects of different sizes or cash flow patterns (Brealey et al., 2020; Ross et al., 202</w:t>
      </w:r>
      <w:r w:rsidR="000B4C72" w:rsidRPr="00C729C0">
        <w:rPr>
          <w:rFonts w:ascii="Arial" w:hAnsi="Arial" w:cs="Arial"/>
          <w:lang w:eastAsia="en-IN"/>
        </w:rPr>
        <w:t>2; Pike and Neale, 2018).</w:t>
      </w:r>
    </w:p>
    <w:p w14:paraId="187778DA" w14:textId="77777777" w:rsidR="000C23ED" w:rsidRPr="00C729C0" w:rsidRDefault="000C23ED"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4.7 Capital Rationing Decision</w:t>
      </w:r>
    </w:p>
    <w:p w14:paraId="3A63F09A"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Capital rationing occurs when a firm faces limited funds and must select the best combination of projects (Arnold, 2020).</w:t>
      </w:r>
    </w:p>
    <w:p w14:paraId="271220A2"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Tesla has a budget of £100 million, allowing it to select two projects.</w:t>
      </w:r>
    </w:p>
    <w:p w14:paraId="7D7AB4C6" w14:textId="77777777" w:rsidR="0061349D" w:rsidRPr="00C729C0" w:rsidRDefault="0061349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Table 20: Capital Rationing Combinations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62"/>
        <w:gridCol w:w="2561"/>
        <w:gridCol w:w="1802"/>
      </w:tblGrid>
      <w:tr w:rsidR="0061349D" w:rsidRPr="00C729C0" w14:paraId="4C137C6C" w14:textId="77777777" w:rsidTr="0061349D">
        <w:trPr>
          <w:tblHeader/>
          <w:tblCellSpacing w:w="15" w:type="dxa"/>
        </w:trPr>
        <w:tc>
          <w:tcPr>
            <w:tcW w:w="0" w:type="auto"/>
            <w:vAlign w:val="center"/>
            <w:hideMark/>
          </w:tcPr>
          <w:p w14:paraId="67760C89" w14:textId="77777777" w:rsidR="0061349D" w:rsidRPr="00C729C0" w:rsidRDefault="0061349D"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Combination</w:t>
            </w:r>
          </w:p>
        </w:tc>
        <w:tc>
          <w:tcPr>
            <w:tcW w:w="0" w:type="auto"/>
            <w:vAlign w:val="center"/>
            <w:hideMark/>
          </w:tcPr>
          <w:p w14:paraId="36CBC04F" w14:textId="77777777" w:rsidR="0061349D" w:rsidRPr="00C729C0" w:rsidRDefault="0061349D"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Total Investment (£m)</w:t>
            </w:r>
          </w:p>
        </w:tc>
        <w:tc>
          <w:tcPr>
            <w:tcW w:w="0" w:type="auto"/>
            <w:vAlign w:val="center"/>
            <w:hideMark/>
          </w:tcPr>
          <w:p w14:paraId="419D56B0" w14:textId="77777777" w:rsidR="0061349D" w:rsidRPr="00C729C0" w:rsidRDefault="0061349D"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Total NPV (£m)</w:t>
            </w:r>
          </w:p>
        </w:tc>
      </w:tr>
      <w:tr w:rsidR="0061349D" w:rsidRPr="00C729C0" w14:paraId="30BE520B" w14:textId="77777777" w:rsidTr="0061349D">
        <w:trPr>
          <w:tblCellSpacing w:w="15" w:type="dxa"/>
        </w:trPr>
        <w:tc>
          <w:tcPr>
            <w:tcW w:w="0" w:type="auto"/>
            <w:vAlign w:val="center"/>
            <w:hideMark/>
          </w:tcPr>
          <w:p w14:paraId="229916F3" w14:textId="77777777" w:rsidR="0061349D" w:rsidRPr="00C729C0" w:rsidRDefault="0061349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A + B</w:t>
            </w:r>
          </w:p>
        </w:tc>
        <w:tc>
          <w:tcPr>
            <w:tcW w:w="0" w:type="auto"/>
            <w:vAlign w:val="center"/>
            <w:hideMark/>
          </w:tcPr>
          <w:p w14:paraId="66122857" w14:textId="77777777" w:rsidR="0061349D" w:rsidRPr="00C729C0" w:rsidRDefault="0061349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100</w:t>
            </w:r>
          </w:p>
        </w:tc>
        <w:tc>
          <w:tcPr>
            <w:tcW w:w="0" w:type="auto"/>
            <w:vAlign w:val="center"/>
            <w:hideMark/>
          </w:tcPr>
          <w:p w14:paraId="61A2770F" w14:textId="77777777" w:rsidR="0061349D" w:rsidRPr="00C729C0" w:rsidRDefault="0061349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-17.00</w:t>
            </w:r>
          </w:p>
        </w:tc>
      </w:tr>
      <w:tr w:rsidR="0061349D" w:rsidRPr="00C729C0" w14:paraId="5707A80A" w14:textId="77777777" w:rsidTr="0061349D">
        <w:trPr>
          <w:tblCellSpacing w:w="15" w:type="dxa"/>
        </w:trPr>
        <w:tc>
          <w:tcPr>
            <w:tcW w:w="0" w:type="auto"/>
            <w:vAlign w:val="center"/>
            <w:hideMark/>
          </w:tcPr>
          <w:p w14:paraId="105E3070" w14:textId="77777777" w:rsidR="0061349D" w:rsidRPr="00C729C0" w:rsidRDefault="0061349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A + C</w:t>
            </w:r>
          </w:p>
        </w:tc>
        <w:tc>
          <w:tcPr>
            <w:tcW w:w="0" w:type="auto"/>
            <w:vAlign w:val="center"/>
            <w:hideMark/>
          </w:tcPr>
          <w:p w14:paraId="0874F442" w14:textId="77777777" w:rsidR="0061349D" w:rsidRPr="00C729C0" w:rsidRDefault="0061349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100</w:t>
            </w:r>
          </w:p>
        </w:tc>
        <w:tc>
          <w:tcPr>
            <w:tcW w:w="0" w:type="auto"/>
            <w:vAlign w:val="center"/>
            <w:hideMark/>
          </w:tcPr>
          <w:p w14:paraId="09CB4AF7" w14:textId="77777777" w:rsidR="0061349D" w:rsidRPr="00C729C0" w:rsidRDefault="0061349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-10.35</w:t>
            </w:r>
          </w:p>
        </w:tc>
      </w:tr>
      <w:tr w:rsidR="0061349D" w:rsidRPr="00C729C0" w14:paraId="15B34908" w14:textId="77777777" w:rsidTr="0061349D">
        <w:trPr>
          <w:tblCellSpacing w:w="15" w:type="dxa"/>
        </w:trPr>
        <w:tc>
          <w:tcPr>
            <w:tcW w:w="0" w:type="auto"/>
            <w:vAlign w:val="center"/>
            <w:hideMark/>
          </w:tcPr>
          <w:p w14:paraId="5BC67E51" w14:textId="77777777" w:rsidR="0061349D" w:rsidRPr="00C729C0" w:rsidRDefault="0061349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B + C</w:t>
            </w:r>
          </w:p>
        </w:tc>
        <w:tc>
          <w:tcPr>
            <w:tcW w:w="0" w:type="auto"/>
            <w:vAlign w:val="center"/>
            <w:hideMark/>
          </w:tcPr>
          <w:p w14:paraId="68E8DED6" w14:textId="77777777" w:rsidR="0061349D" w:rsidRPr="00C729C0" w:rsidRDefault="0061349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100</w:t>
            </w:r>
          </w:p>
        </w:tc>
        <w:tc>
          <w:tcPr>
            <w:tcW w:w="0" w:type="auto"/>
            <w:vAlign w:val="center"/>
            <w:hideMark/>
          </w:tcPr>
          <w:p w14:paraId="48B9A9C8" w14:textId="77777777" w:rsidR="0061349D" w:rsidRPr="00C729C0" w:rsidRDefault="0061349D"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-10.35</w:t>
            </w:r>
          </w:p>
        </w:tc>
      </w:tr>
    </w:tbl>
    <w:p w14:paraId="1A05768D"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b/>
          <w:bCs/>
          <w:kern w:val="0"/>
          <w:lang w:eastAsia="en-GB"/>
          <w14:ligatures w14:val="none"/>
        </w:rPr>
        <w:t>Table 20: Capital Rationing Combinations and NPVs</w:t>
      </w:r>
    </w:p>
    <w:p w14:paraId="5EA1AD01"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The combination of Projects B and C produces the least negative NPV, making it the most favourable option under capital constraints.</w:t>
      </w:r>
    </w:p>
    <w:p w14:paraId="7B76D886"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lastRenderedPageBreak/>
        <w:t>Capital rationing decisions should prioritise combinations that maximise total NPV within available resources (Brealey et al., 2020).</w:t>
      </w:r>
    </w:p>
    <w:p w14:paraId="195D92BB" w14:textId="77777777" w:rsidR="000C23ED" w:rsidRPr="00C729C0" w:rsidRDefault="000C23ED" w:rsidP="0045227F">
      <w:pPr>
        <w:spacing w:before="100" w:beforeAutospacing="1" w:after="100" w:afterAutospacing="1" w:line="360" w:lineRule="auto"/>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4.8 Final Investment Recommendation</w:t>
      </w:r>
    </w:p>
    <w:p w14:paraId="35D2C1C3"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The analysis indicates that Project C is the strongest individual project based on payback period, ARR, PI, and IRR. However, the negative NPV across all projects suggests that none meet the required return of 10%, indicating that they do not create shareholder value under current assumptions.</w:t>
      </w:r>
    </w:p>
    <w:p w14:paraId="716027A9"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Under capital rationing constraints, the combination of Projects B and C is the most suitable option, as it minimises value loss while efficiently utilising available funds.</w:t>
      </w:r>
    </w:p>
    <w:p w14:paraId="10DE65B9"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From a strategic perspective, Tesla should reassess project assumptions, particularly expected cash flows and cost of capital. Investment decisions should prioritise projects with positive NPV, as these directly contribute to shareholder wealth maximisation (Brealey et al., 2020; Arnold, 2020).</w:t>
      </w:r>
    </w:p>
    <w:p w14:paraId="3EF13044" w14:textId="77777777" w:rsidR="000C23ED" w:rsidRPr="00C729C0" w:rsidRDefault="000C23ED"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Overall, investment appraisal highlights the importance of rigorous financial evaluation in ensuring efficient allocation of capital and long-term value creation.</w:t>
      </w:r>
    </w:p>
    <w:p w14:paraId="6B37E974" w14:textId="77777777" w:rsidR="0096027B" w:rsidRPr="0096027B" w:rsidRDefault="0096027B" w:rsidP="0045227F">
      <w:pPr>
        <w:spacing w:before="100" w:beforeAutospacing="1" w:after="100" w:afterAutospacing="1" w:line="360" w:lineRule="auto"/>
        <w:rPr>
          <w:rFonts w:ascii="Arial" w:eastAsia="Times New Roman" w:hAnsi="Arial" w:cs="Arial"/>
          <w:b/>
          <w:bCs/>
          <w:kern w:val="0"/>
          <w:lang w:eastAsia="en-IN"/>
          <w14:ligatures w14:val="none"/>
        </w:rPr>
      </w:pPr>
      <w:r w:rsidRPr="0096027B">
        <w:rPr>
          <w:rFonts w:ascii="Arial" w:eastAsia="Times New Roman" w:hAnsi="Arial" w:cs="Arial"/>
          <w:b/>
          <w:bCs/>
          <w:kern w:val="0"/>
          <w:lang w:eastAsia="en-IN"/>
          <w14:ligatures w14:val="none"/>
        </w:rPr>
        <w:t>Section 5: Final CFO Strategic Evaluation</w:t>
      </w:r>
    </w:p>
    <w:p w14:paraId="5B03F7E8" w14:textId="77777777" w:rsidR="0096027B" w:rsidRPr="0096027B" w:rsidRDefault="0096027B" w:rsidP="0045227F">
      <w:pPr>
        <w:spacing w:before="100" w:beforeAutospacing="1" w:after="100" w:afterAutospacing="1" w:line="360" w:lineRule="auto"/>
        <w:rPr>
          <w:rFonts w:ascii="Arial" w:eastAsia="Times New Roman" w:hAnsi="Arial" w:cs="Arial"/>
          <w:b/>
          <w:bCs/>
          <w:kern w:val="0"/>
          <w:lang w:eastAsia="en-IN"/>
          <w14:ligatures w14:val="none"/>
        </w:rPr>
      </w:pPr>
      <w:r w:rsidRPr="0096027B">
        <w:rPr>
          <w:rFonts w:ascii="Arial" w:eastAsia="Times New Roman" w:hAnsi="Arial" w:cs="Arial"/>
          <w:b/>
          <w:bCs/>
          <w:kern w:val="0"/>
          <w:lang w:eastAsia="en-IN"/>
          <w14:ligatures w14:val="none"/>
        </w:rPr>
        <w:t>5.1 Introduction</w:t>
      </w:r>
    </w:p>
    <w:p w14:paraId="3B6BF35D" w14:textId="3D3D72DB" w:rsidR="0096027B" w:rsidRPr="0096027B" w:rsidRDefault="0096027B" w:rsidP="0045227F">
      <w:pPr>
        <w:spacing w:before="100" w:beforeAutospacing="1" w:after="100" w:afterAutospacing="1" w:line="360" w:lineRule="auto"/>
        <w:rPr>
          <w:rFonts w:ascii="Arial" w:eastAsia="Times New Roman" w:hAnsi="Arial" w:cs="Arial"/>
          <w:kern w:val="0"/>
          <w:lang w:eastAsia="en-IN"/>
          <w14:ligatures w14:val="none"/>
        </w:rPr>
      </w:pPr>
      <w:r w:rsidRPr="0096027B">
        <w:rPr>
          <w:rFonts w:ascii="Arial" w:eastAsia="Times New Roman" w:hAnsi="Arial" w:cs="Arial"/>
          <w:kern w:val="0"/>
          <w:lang w:eastAsia="en-IN"/>
          <w14:ligatures w14:val="none"/>
        </w:rPr>
        <w:t>This section provides an integrated evaluation of Tesla’s financial performance over 2019–2023, combining insights from profitability, liquidity, efficiency, working capital management, capital structure, and investment appraisal. The objective is to assess the overall financial position and outline strategic financial direction to sustain long-term value creation (Brealey, Myers and Allen, 2020; Arnold, 2020; Berk and DeMarzo, 2020).</w:t>
      </w:r>
    </w:p>
    <w:p w14:paraId="37640071" w14:textId="77777777" w:rsidR="0096027B" w:rsidRPr="0096027B" w:rsidRDefault="0096027B" w:rsidP="0045227F">
      <w:pPr>
        <w:spacing w:before="100" w:beforeAutospacing="1" w:after="100" w:afterAutospacing="1" w:line="360" w:lineRule="auto"/>
        <w:rPr>
          <w:rFonts w:ascii="Arial" w:eastAsia="Times New Roman" w:hAnsi="Arial" w:cs="Arial"/>
          <w:b/>
          <w:bCs/>
          <w:kern w:val="0"/>
          <w:lang w:eastAsia="en-IN"/>
          <w14:ligatures w14:val="none"/>
        </w:rPr>
      </w:pPr>
      <w:r w:rsidRPr="0096027B">
        <w:rPr>
          <w:rFonts w:ascii="Arial" w:eastAsia="Times New Roman" w:hAnsi="Arial" w:cs="Arial"/>
          <w:b/>
          <w:bCs/>
          <w:kern w:val="0"/>
          <w:lang w:eastAsia="en-IN"/>
          <w14:ligatures w14:val="none"/>
        </w:rPr>
        <w:t>5.2 Integrated Financial Evaluation</w:t>
      </w:r>
    </w:p>
    <w:p w14:paraId="1271B7BC" w14:textId="77777777" w:rsidR="0096027B" w:rsidRPr="0096027B" w:rsidRDefault="0096027B" w:rsidP="0045227F">
      <w:pPr>
        <w:spacing w:before="100" w:beforeAutospacing="1" w:after="100" w:afterAutospacing="1" w:line="360" w:lineRule="auto"/>
        <w:rPr>
          <w:rFonts w:ascii="Arial" w:eastAsia="Times New Roman" w:hAnsi="Arial" w:cs="Arial"/>
          <w:kern w:val="0"/>
          <w:lang w:eastAsia="en-IN"/>
          <w14:ligatures w14:val="none"/>
        </w:rPr>
      </w:pPr>
      <w:r w:rsidRPr="0096027B">
        <w:rPr>
          <w:rFonts w:ascii="Arial" w:eastAsia="Times New Roman" w:hAnsi="Arial" w:cs="Arial"/>
          <w:kern w:val="0"/>
          <w:lang w:eastAsia="en-IN"/>
          <w14:ligatures w14:val="none"/>
        </w:rPr>
        <w:t xml:space="preserve">Tesla demonstrates substantial financial improvement across the period, supported by strong revenue growth and enhanced profitability. Net profit margin increased from negative levels in 2019 to over 15% in 2023, while return on equity reached </w:t>
      </w:r>
      <w:r w:rsidRPr="0096027B">
        <w:rPr>
          <w:rFonts w:ascii="Arial" w:eastAsia="Times New Roman" w:hAnsi="Arial" w:cs="Arial"/>
          <w:kern w:val="0"/>
          <w:lang w:eastAsia="en-IN"/>
          <w14:ligatures w14:val="none"/>
        </w:rPr>
        <w:lastRenderedPageBreak/>
        <w:t xml:space="preserve">approximately 28%, indicating efficient utilisation of shareholder capital and strong earnings generation (Penman, 2013; </w:t>
      </w:r>
      <w:proofErr w:type="spellStart"/>
      <w:r w:rsidRPr="0096027B">
        <w:rPr>
          <w:rFonts w:ascii="Arial" w:eastAsia="Times New Roman" w:hAnsi="Arial" w:cs="Arial"/>
          <w:kern w:val="0"/>
          <w:lang w:eastAsia="en-IN"/>
          <w14:ligatures w14:val="none"/>
        </w:rPr>
        <w:t>Atrill</w:t>
      </w:r>
      <w:proofErr w:type="spellEnd"/>
      <w:r w:rsidRPr="0096027B">
        <w:rPr>
          <w:rFonts w:ascii="Arial" w:eastAsia="Times New Roman" w:hAnsi="Arial" w:cs="Arial"/>
          <w:kern w:val="0"/>
          <w:lang w:eastAsia="en-IN"/>
          <w14:ligatures w14:val="none"/>
        </w:rPr>
        <w:t xml:space="preserve"> and McLaney, 2019; Fraser and Ormiston, 2016).</w:t>
      </w:r>
    </w:p>
    <w:p w14:paraId="2FA2621E" w14:textId="77777777" w:rsidR="0096027B" w:rsidRPr="0096027B" w:rsidRDefault="0096027B" w:rsidP="0045227F">
      <w:pPr>
        <w:spacing w:before="100" w:beforeAutospacing="1" w:after="100" w:afterAutospacing="1" w:line="360" w:lineRule="auto"/>
        <w:rPr>
          <w:rFonts w:ascii="Arial" w:eastAsia="Times New Roman" w:hAnsi="Arial" w:cs="Arial"/>
          <w:kern w:val="0"/>
          <w:lang w:eastAsia="en-IN"/>
          <w14:ligatures w14:val="none"/>
        </w:rPr>
      </w:pPr>
      <w:r w:rsidRPr="0096027B">
        <w:rPr>
          <w:rFonts w:ascii="Arial" w:eastAsia="Times New Roman" w:hAnsi="Arial" w:cs="Arial"/>
          <w:kern w:val="0"/>
          <w:lang w:eastAsia="en-IN"/>
          <w14:ligatures w14:val="none"/>
        </w:rPr>
        <w:t>Liquidity strengthened, with the current ratio improving from 1.13 to 1.48, reflecting improved short-term solvency. The increase in the quick ratio further indicates that obligations can be met without reliance on inventory, demonstrating improved liquidity quality (Brigham and Houston, 2022; Watson and Head, 2019).</w:t>
      </w:r>
    </w:p>
    <w:p w14:paraId="039AE2EE" w14:textId="77777777" w:rsidR="0096027B" w:rsidRPr="0096027B" w:rsidRDefault="0096027B" w:rsidP="0045227F">
      <w:pPr>
        <w:spacing w:before="100" w:beforeAutospacing="1" w:after="100" w:afterAutospacing="1" w:line="360" w:lineRule="auto"/>
        <w:rPr>
          <w:rFonts w:ascii="Arial" w:eastAsia="Times New Roman" w:hAnsi="Arial" w:cs="Arial"/>
          <w:kern w:val="0"/>
          <w:lang w:eastAsia="en-IN"/>
          <w14:ligatures w14:val="none"/>
        </w:rPr>
      </w:pPr>
      <w:r w:rsidRPr="0096027B">
        <w:rPr>
          <w:rFonts w:ascii="Arial" w:eastAsia="Times New Roman" w:hAnsi="Arial" w:cs="Arial"/>
          <w:kern w:val="0"/>
          <w:lang w:eastAsia="en-IN"/>
          <w14:ligatures w14:val="none"/>
        </w:rPr>
        <w:t xml:space="preserve">Efficiency performance is mixed. Receivable days declined significantly, indicating faster cash collection and improved credit management. However, fluctuations in inventory, particularly the increase in 2022, indicate inefficiencies in operational planning and resource utilisation, increasing working capital requirements (Gitman, </w:t>
      </w:r>
      <w:proofErr w:type="spellStart"/>
      <w:r w:rsidRPr="0096027B">
        <w:rPr>
          <w:rFonts w:ascii="Arial" w:eastAsia="Times New Roman" w:hAnsi="Arial" w:cs="Arial"/>
          <w:kern w:val="0"/>
          <w:lang w:eastAsia="en-IN"/>
          <w14:ligatures w14:val="none"/>
        </w:rPr>
        <w:t>Juchau</w:t>
      </w:r>
      <w:proofErr w:type="spellEnd"/>
      <w:r w:rsidRPr="0096027B">
        <w:rPr>
          <w:rFonts w:ascii="Arial" w:eastAsia="Times New Roman" w:hAnsi="Arial" w:cs="Arial"/>
          <w:kern w:val="0"/>
          <w:lang w:eastAsia="en-IN"/>
          <w14:ligatures w14:val="none"/>
        </w:rPr>
        <w:t xml:space="preserve"> and Flanagan, 2015; Palepu and Healy, 2013).</w:t>
      </w:r>
    </w:p>
    <w:p w14:paraId="6800899E" w14:textId="77777777" w:rsidR="0096027B" w:rsidRPr="0096027B" w:rsidRDefault="0096027B" w:rsidP="0045227F">
      <w:pPr>
        <w:spacing w:before="100" w:beforeAutospacing="1" w:after="100" w:afterAutospacing="1" w:line="360" w:lineRule="auto"/>
        <w:rPr>
          <w:rFonts w:ascii="Arial" w:eastAsia="Times New Roman" w:hAnsi="Arial" w:cs="Arial"/>
          <w:kern w:val="0"/>
          <w:lang w:eastAsia="en-IN"/>
          <w14:ligatures w14:val="none"/>
        </w:rPr>
      </w:pPr>
      <w:r w:rsidRPr="0096027B">
        <w:rPr>
          <w:rFonts w:ascii="Arial" w:eastAsia="Times New Roman" w:hAnsi="Arial" w:cs="Arial"/>
          <w:kern w:val="0"/>
          <w:lang w:eastAsia="en-IN"/>
          <w14:ligatures w14:val="none"/>
        </w:rPr>
        <w:t>Working capital management remains a key strength. The presence of a negative working capital cycle in certain years indicates that Tesla is able to generate cash from operations before settling obligations, enhancing liquidity and reducing dependence on external financing (Deloof, 2003; Shin and Soenen, 1998; Richards and Laughlin, 1980).</w:t>
      </w:r>
    </w:p>
    <w:p w14:paraId="77AC6556" w14:textId="77777777" w:rsidR="0096027B" w:rsidRPr="0096027B" w:rsidRDefault="0096027B" w:rsidP="0045227F">
      <w:pPr>
        <w:spacing w:before="100" w:beforeAutospacing="1" w:after="100" w:afterAutospacing="1" w:line="360" w:lineRule="auto"/>
        <w:rPr>
          <w:rFonts w:ascii="Arial" w:eastAsia="Times New Roman" w:hAnsi="Arial" w:cs="Arial"/>
          <w:kern w:val="0"/>
          <w:lang w:eastAsia="en-IN"/>
          <w14:ligatures w14:val="none"/>
        </w:rPr>
      </w:pPr>
      <w:r w:rsidRPr="0096027B">
        <w:rPr>
          <w:rFonts w:ascii="Arial" w:eastAsia="Times New Roman" w:hAnsi="Arial" w:cs="Arial"/>
          <w:kern w:val="0"/>
          <w:lang w:eastAsia="en-IN"/>
          <w14:ligatures w14:val="none"/>
        </w:rPr>
        <w:t>From a capital structure perspective, the reduction in the debt ratio from 38.6% to 4.9% reflects lower financial risk and improved stability. However, this conservative approach indicates limited use of financial leverage, which may constrain the potential to enhance shareholder returns (Damodaran, 2021; Brealey et al., 2020; Myers, 1984).</w:t>
      </w:r>
    </w:p>
    <w:p w14:paraId="610D0337" w14:textId="6FA3EDAD" w:rsidR="0096027B" w:rsidRPr="0096027B" w:rsidRDefault="0096027B" w:rsidP="0045227F">
      <w:pPr>
        <w:spacing w:before="100" w:beforeAutospacing="1" w:after="100" w:afterAutospacing="1" w:line="360" w:lineRule="auto"/>
        <w:rPr>
          <w:rFonts w:ascii="Arial" w:eastAsia="Times New Roman" w:hAnsi="Arial" w:cs="Arial"/>
          <w:kern w:val="0"/>
          <w:lang w:eastAsia="en-IN"/>
          <w14:ligatures w14:val="none"/>
        </w:rPr>
      </w:pPr>
      <w:r w:rsidRPr="0096027B">
        <w:rPr>
          <w:rFonts w:ascii="Arial" w:eastAsia="Times New Roman" w:hAnsi="Arial" w:cs="Arial"/>
          <w:kern w:val="0"/>
          <w:lang w:eastAsia="en-IN"/>
          <w14:ligatures w14:val="none"/>
        </w:rPr>
        <w:t>Investment appraisal results indicate that none of the proposed projects generate positive net present value at the required rate of return. This suggests that current investment opportunities do not create value under existing assumptions, highlighting the importance of disciplined capital allocation (Pike and Neale, 2018; Kaplan and Ruback, 1995).</w:t>
      </w:r>
    </w:p>
    <w:p w14:paraId="4B413497" w14:textId="77777777" w:rsidR="0096027B" w:rsidRPr="0096027B" w:rsidRDefault="0096027B" w:rsidP="0045227F">
      <w:pPr>
        <w:spacing w:before="100" w:beforeAutospacing="1" w:after="100" w:afterAutospacing="1" w:line="360" w:lineRule="auto"/>
        <w:rPr>
          <w:rFonts w:ascii="Arial" w:eastAsia="Times New Roman" w:hAnsi="Arial" w:cs="Arial"/>
          <w:b/>
          <w:bCs/>
          <w:kern w:val="0"/>
          <w:lang w:eastAsia="en-IN"/>
          <w14:ligatures w14:val="none"/>
        </w:rPr>
      </w:pPr>
      <w:r w:rsidRPr="0096027B">
        <w:rPr>
          <w:rFonts w:ascii="Arial" w:eastAsia="Times New Roman" w:hAnsi="Arial" w:cs="Arial"/>
          <w:b/>
          <w:bCs/>
          <w:kern w:val="0"/>
          <w:lang w:eastAsia="en-IN"/>
          <w14:ligatures w14:val="none"/>
        </w:rPr>
        <w:t>5.3 Strategic Financial Risks</w:t>
      </w:r>
    </w:p>
    <w:p w14:paraId="1F8B5601" w14:textId="77777777" w:rsidR="0096027B" w:rsidRPr="0096027B" w:rsidRDefault="0096027B" w:rsidP="0045227F">
      <w:pPr>
        <w:spacing w:before="100" w:beforeAutospacing="1" w:after="100" w:afterAutospacing="1" w:line="360" w:lineRule="auto"/>
        <w:rPr>
          <w:rFonts w:ascii="Arial" w:eastAsia="Times New Roman" w:hAnsi="Arial" w:cs="Arial"/>
          <w:kern w:val="0"/>
          <w:lang w:eastAsia="en-IN"/>
          <w14:ligatures w14:val="none"/>
        </w:rPr>
      </w:pPr>
      <w:r w:rsidRPr="0096027B">
        <w:rPr>
          <w:rFonts w:ascii="Arial" w:eastAsia="Times New Roman" w:hAnsi="Arial" w:cs="Arial"/>
          <w:kern w:val="0"/>
          <w:lang w:eastAsia="en-IN"/>
          <w14:ligatures w14:val="none"/>
        </w:rPr>
        <w:lastRenderedPageBreak/>
        <w:t>Several financial risks emerge from the analysis. The decline in gross profit margin in 2023 reflects increasing competitive pressure and pricing adjustments within the electric vehicle market, which may constrain future profitability if cost efficiency is not maintained (Damodaran, 2021; Koller, Goedhart and Wessels, 2020).</w:t>
      </w:r>
    </w:p>
    <w:p w14:paraId="3F6F3357" w14:textId="77777777" w:rsidR="0096027B" w:rsidRPr="0096027B" w:rsidRDefault="0096027B" w:rsidP="0045227F">
      <w:pPr>
        <w:spacing w:before="100" w:beforeAutospacing="1" w:after="100" w:afterAutospacing="1" w:line="360" w:lineRule="auto"/>
        <w:rPr>
          <w:rFonts w:ascii="Arial" w:eastAsia="Times New Roman" w:hAnsi="Arial" w:cs="Arial"/>
          <w:kern w:val="0"/>
          <w:lang w:eastAsia="en-IN"/>
          <w14:ligatures w14:val="none"/>
        </w:rPr>
      </w:pPr>
      <w:r w:rsidRPr="0096027B">
        <w:rPr>
          <w:rFonts w:ascii="Arial" w:eastAsia="Times New Roman" w:hAnsi="Arial" w:cs="Arial"/>
          <w:kern w:val="0"/>
          <w:lang w:eastAsia="en-IN"/>
          <w14:ligatures w14:val="none"/>
        </w:rPr>
        <w:t>Operational inefficiencies are evident in inventory fluctuations, which increase working capital requirements and reduce overall efficiency. Sustained inefficiencies in inventory management may weaken financial performance over time (Gitman et al., 2015).</w:t>
      </w:r>
    </w:p>
    <w:p w14:paraId="28115551" w14:textId="77777777" w:rsidR="0096027B" w:rsidRPr="0096027B" w:rsidRDefault="0096027B" w:rsidP="0045227F">
      <w:pPr>
        <w:spacing w:before="100" w:beforeAutospacing="1" w:after="100" w:afterAutospacing="1" w:line="360" w:lineRule="auto"/>
        <w:rPr>
          <w:rFonts w:ascii="Arial" w:eastAsia="Times New Roman" w:hAnsi="Arial" w:cs="Arial"/>
          <w:kern w:val="0"/>
          <w:lang w:eastAsia="en-IN"/>
          <w14:ligatures w14:val="none"/>
        </w:rPr>
      </w:pPr>
      <w:r w:rsidRPr="0096027B">
        <w:rPr>
          <w:rFonts w:ascii="Arial" w:eastAsia="Times New Roman" w:hAnsi="Arial" w:cs="Arial"/>
          <w:kern w:val="0"/>
          <w:lang w:eastAsia="en-IN"/>
          <w14:ligatures w14:val="none"/>
        </w:rPr>
        <w:t>The low level of financial leverage, while reducing risk, may limit the benefits of financial gearing and restrict the firm’s ability to optimise returns on equity (Brealey et al., 2020; Fama and French, 2002).</w:t>
      </w:r>
    </w:p>
    <w:p w14:paraId="5294A537" w14:textId="3E5A6B94" w:rsidR="0096027B" w:rsidRPr="0096027B" w:rsidRDefault="0096027B" w:rsidP="0045227F">
      <w:pPr>
        <w:spacing w:before="100" w:beforeAutospacing="1" w:after="100" w:afterAutospacing="1" w:line="360" w:lineRule="auto"/>
        <w:rPr>
          <w:rFonts w:ascii="Arial" w:eastAsia="Times New Roman" w:hAnsi="Arial" w:cs="Arial"/>
          <w:kern w:val="0"/>
          <w:lang w:eastAsia="en-IN"/>
          <w14:ligatures w14:val="none"/>
        </w:rPr>
      </w:pPr>
      <w:r w:rsidRPr="0096027B">
        <w:rPr>
          <w:rFonts w:ascii="Arial" w:eastAsia="Times New Roman" w:hAnsi="Arial" w:cs="Arial"/>
          <w:kern w:val="0"/>
          <w:lang w:eastAsia="en-IN"/>
          <w14:ligatures w14:val="none"/>
        </w:rPr>
        <w:t>In addition, the absence of positive NPV projects highlights potential risks in capital allocation decisions, indicating that investment opportunities must be evaluated more rigorously to ensure value creation (Pike and Neale, 2018; Graham and Harvey, 2001).</w:t>
      </w:r>
    </w:p>
    <w:p w14:paraId="2B9306A6" w14:textId="77777777" w:rsidR="0096027B" w:rsidRPr="0096027B" w:rsidRDefault="0096027B" w:rsidP="0045227F">
      <w:pPr>
        <w:spacing w:before="100" w:beforeAutospacing="1" w:after="100" w:afterAutospacing="1" w:line="360" w:lineRule="auto"/>
        <w:rPr>
          <w:rFonts w:ascii="Arial" w:eastAsia="Times New Roman" w:hAnsi="Arial" w:cs="Arial"/>
          <w:b/>
          <w:bCs/>
          <w:kern w:val="0"/>
          <w:lang w:eastAsia="en-IN"/>
          <w14:ligatures w14:val="none"/>
        </w:rPr>
      </w:pPr>
      <w:r w:rsidRPr="0096027B">
        <w:rPr>
          <w:rFonts w:ascii="Arial" w:eastAsia="Times New Roman" w:hAnsi="Arial" w:cs="Arial"/>
          <w:b/>
          <w:bCs/>
          <w:kern w:val="0"/>
          <w:lang w:eastAsia="en-IN"/>
          <w14:ligatures w14:val="none"/>
        </w:rPr>
        <w:t>5.4 Strategic Financial Direction</w:t>
      </w:r>
    </w:p>
    <w:p w14:paraId="4272D5B6" w14:textId="77777777" w:rsidR="0096027B" w:rsidRPr="0096027B" w:rsidRDefault="0096027B" w:rsidP="0045227F">
      <w:pPr>
        <w:spacing w:before="100" w:beforeAutospacing="1" w:after="100" w:afterAutospacing="1" w:line="360" w:lineRule="auto"/>
        <w:rPr>
          <w:rFonts w:ascii="Arial" w:eastAsia="Times New Roman" w:hAnsi="Arial" w:cs="Arial"/>
          <w:kern w:val="0"/>
          <w:lang w:eastAsia="en-IN"/>
          <w14:ligatures w14:val="none"/>
        </w:rPr>
      </w:pPr>
      <w:r w:rsidRPr="0096027B">
        <w:rPr>
          <w:rFonts w:ascii="Arial" w:eastAsia="Times New Roman" w:hAnsi="Arial" w:cs="Arial"/>
          <w:kern w:val="0"/>
          <w:lang w:eastAsia="en-IN"/>
          <w14:ligatures w14:val="none"/>
        </w:rPr>
        <w:t>Improving operational efficiency, particularly in inventory management, is essential to reduce the level of capital tied up in working capital and enhance cash flow. More efficient inventory control would strengthen financial performance by optimising resource utilisation (Gitman et al., 2015).</w:t>
      </w:r>
    </w:p>
    <w:p w14:paraId="4A7D84ED" w14:textId="77777777" w:rsidR="0096027B" w:rsidRPr="0096027B" w:rsidRDefault="0096027B" w:rsidP="0045227F">
      <w:pPr>
        <w:spacing w:before="100" w:beforeAutospacing="1" w:after="100" w:afterAutospacing="1" w:line="360" w:lineRule="auto"/>
        <w:rPr>
          <w:rFonts w:ascii="Arial" w:eastAsia="Times New Roman" w:hAnsi="Arial" w:cs="Arial"/>
          <w:kern w:val="0"/>
          <w:lang w:eastAsia="en-IN"/>
          <w14:ligatures w14:val="none"/>
        </w:rPr>
      </w:pPr>
      <w:r w:rsidRPr="0096027B">
        <w:rPr>
          <w:rFonts w:ascii="Arial" w:eastAsia="Times New Roman" w:hAnsi="Arial" w:cs="Arial"/>
          <w:kern w:val="0"/>
          <w:lang w:eastAsia="en-IN"/>
          <w14:ligatures w14:val="none"/>
        </w:rPr>
        <w:t>A more balanced capital structure should be considered. Introducing a moderate level of debt could enhance returns through financial leverage while maintaining acceptable levels of risk, consistent with capital structure theory (Brealey et al., 2020; Damodaran, 2021).</w:t>
      </w:r>
    </w:p>
    <w:p w14:paraId="4C6161D2" w14:textId="77777777" w:rsidR="0096027B" w:rsidRPr="0096027B" w:rsidRDefault="0096027B" w:rsidP="0045227F">
      <w:pPr>
        <w:spacing w:before="100" w:beforeAutospacing="1" w:after="100" w:afterAutospacing="1" w:line="360" w:lineRule="auto"/>
        <w:rPr>
          <w:rFonts w:ascii="Arial" w:eastAsia="Times New Roman" w:hAnsi="Arial" w:cs="Arial"/>
          <w:kern w:val="0"/>
          <w:lang w:eastAsia="en-IN"/>
          <w14:ligatures w14:val="none"/>
        </w:rPr>
      </w:pPr>
      <w:r w:rsidRPr="0096027B">
        <w:rPr>
          <w:rFonts w:ascii="Arial" w:eastAsia="Times New Roman" w:hAnsi="Arial" w:cs="Arial"/>
          <w:kern w:val="0"/>
          <w:lang w:eastAsia="en-IN"/>
          <w14:ligatures w14:val="none"/>
        </w:rPr>
        <w:t>Sustaining profitability remains critical. Continued focus on cost control and operational efficiency is necessary to mitigate competitive pressures and maintain margin stability, supporting long-term financial performance (Brigham and Houston, 2022; Berk and DeMarzo, 2020).</w:t>
      </w:r>
    </w:p>
    <w:p w14:paraId="4EF29A71" w14:textId="77777777" w:rsidR="0096027B" w:rsidRPr="0096027B" w:rsidRDefault="0096027B" w:rsidP="0045227F">
      <w:pPr>
        <w:spacing w:before="100" w:beforeAutospacing="1" w:after="100" w:afterAutospacing="1" w:line="360" w:lineRule="auto"/>
        <w:rPr>
          <w:rFonts w:ascii="Arial" w:eastAsia="Times New Roman" w:hAnsi="Arial" w:cs="Arial"/>
          <w:kern w:val="0"/>
          <w:lang w:eastAsia="en-IN"/>
          <w14:ligatures w14:val="none"/>
        </w:rPr>
      </w:pPr>
      <w:r w:rsidRPr="0096027B">
        <w:rPr>
          <w:rFonts w:ascii="Arial" w:eastAsia="Times New Roman" w:hAnsi="Arial" w:cs="Arial"/>
          <w:kern w:val="0"/>
          <w:lang w:eastAsia="en-IN"/>
          <w14:ligatures w14:val="none"/>
        </w:rPr>
        <w:lastRenderedPageBreak/>
        <w:t>In addition, greater emphasis on disciplined investment appraisal is required. Prioritising projects that generate positive net present value will ensure efficient allocation of capital and support long-term value creation (Arnold, 2020; Kaplan and Ruback, 1995).</w:t>
      </w:r>
    </w:p>
    <w:p w14:paraId="6019C046" w14:textId="31D99D07" w:rsidR="0096027B" w:rsidRPr="0096027B" w:rsidRDefault="0096027B" w:rsidP="0045227F">
      <w:pPr>
        <w:spacing w:before="100" w:beforeAutospacing="1" w:after="100" w:afterAutospacing="1" w:line="360" w:lineRule="auto"/>
        <w:rPr>
          <w:rFonts w:ascii="Arial" w:eastAsia="Times New Roman" w:hAnsi="Arial" w:cs="Arial"/>
          <w:kern w:val="0"/>
          <w:lang w:eastAsia="en-IN"/>
          <w14:ligatures w14:val="none"/>
        </w:rPr>
      </w:pPr>
      <w:r w:rsidRPr="0096027B">
        <w:rPr>
          <w:rFonts w:ascii="Arial" w:eastAsia="Times New Roman" w:hAnsi="Arial" w:cs="Arial"/>
          <w:kern w:val="0"/>
          <w:lang w:eastAsia="en-IN"/>
          <w14:ligatures w14:val="none"/>
        </w:rPr>
        <w:t>Overall, financial strategy should maintain a balance between growth, profitability, and risk, ensuring sustainable performance in a competitive and capital-intensive environment (Ross, Westerfield and Jordan, 2022).</w:t>
      </w:r>
    </w:p>
    <w:p w14:paraId="56F21DDC" w14:textId="77777777" w:rsidR="0096027B" w:rsidRPr="0096027B" w:rsidRDefault="0096027B" w:rsidP="0045227F">
      <w:pPr>
        <w:spacing w:before="100" w:beforeAutospacing="1" w:after="100" w:afterAutospacing="1" w:line="360" w:lineRule="auto"/>
        <w:rPr>
          <w:rFonts w:ascii="Arial" w:eastAsia="Times New Roman" w:hAnsi="Arial" w:cs="Arial"/>
          <w:b/>
          <w:bCs/>
          <w:kern w:val="0"/>
          <w:lang w:eastAsia="en-IN"/>
          <w14:ligatures w14:val="none"/>
        </w:rPr>
      </w:pPr>
      <w:r w:rsidRPr="0096027B">
        <w:rPr>
          <w:rFonts w:ascii="Arial" w:eastAsia="Times New Roman" w:hAnsi="Arial" w:cs="Arial"/>
          <w:b/>
          <w:bCs/>
          <w:kern w:val="0"/>
          <w:lang w:eastAsia="en-IN"/>
          <w14:ligatures w14:val="none"/>
        </w:rPr>
        <w:t>5.5 Conclusion</w:t>
      </w:r>
    </w:p>
    <w:p w14:paraId="2170785C" w14:textId="77777777" w:rsidR="0096027B" w:rsidRPr="0096027B" w:rsidRDefault="0096027B" w:rsidP="0045227F">
      <w:pPr>
        <w:spacing w:before="100" w:beforeAutospacing="1" w:after="100" w:afterAutospacing="1" w:line="360" w:lineRule="auto"/>
        <w:rPr>
          <w:rFonts w:ascii="Arial" w:eastAsia="Times New Roman" w:hAnsi="Arial" w:cs="Arial"/>
          <w:kern w:val="0"/>
          <w:lang w:eastAsia="en-IN"/>
          <w14:ligatures w14:val="none"/>
        </w:rPr>
      </w:pPr>
      <w:r w:rsidRPr="0096027B">
        <w:rPr>
          <w:rFonts w:ascii="Arial" w:eastAsia="Times New Roman" w:hAnsi="Arial" w:cs="Arial"/>
          <w:kern w:val="0"/>
          <w:lang w:eastAsia="en-IN"/>
          <w14:ligatures w14:val="none"/>
        </w:rPr>
        <w:t>Tesla’s financial position is strong, characterised by improved profitability, stable liquidity, and reduced financial risk. However, the analysis highlights key areas requiring attention, including operational efficiency, capital structure optimisation, and investment discipline.</w:t>
      </w:r>
    </w:p>
    <w:p w14:paraId="72C6296D" w14:textId="77777777" w:rsidR="0096027B" w:rsidRPr="0096027B" w:rsidRDefault="0096027B" w:rsidP="0045227F">
      <w:pPr>
        <w:spacing w:before="100" w:beforeAutospacing="1" w:after="100" w:afterAutospacing="1" w:line="360" w:lineRule="auto"/>
        <w:rPr>
          <w:rFonts w:ascii="Arial" w:eastAsia="Times New Roman" w:hAnsi="Arial" w:cs="Arial"/>
          <w:kern w:val="0"/>
          <w:lang w:eastAsia="en-IN"/>
          <w14:ligatures w14:val="none"/>
        </w:rPr>
      </w:pPr>
      <w:r w:rsidRPr="0096027B">
        <w:rPr>
          <w:rFonts w:ascii="Arial" w:eastAsia="Times New Roman" w:hAnsi="Arial" w:cs="Arial"/>
          <w:kern w:val="0"/>
          <w:lang w:eastAsia="en-IN"/>
          <w14:ligatures w14:val="none"/>
        </w:rPr>
        <w:t>Strengthening these areas will support sustainable growth and enhance shareholder value. Continued focus on financial discipline and strategic alignment will be essential to maintain competitive advantage and long-term performance.</w:t>
      </w:r>
    </w:p>
    <w:p w14:paraId="79A1B575" w14:textId="77777777" w:rsidR="00DE7713" w:rsidRPr="00C729C0" w:rsidRDefault="00DE7713" w:rsidP="0045227F">
      <w:pPr>
        <w:spacing w:before="100" w:beforeAutospacing="1" w:after="100" w:afterAutospacing="1" w:line="360" w:lineRule="auto"/>
        <w:outlineLvl w:val="0"/>
        <w:rPr>
          <w:rFonts w:ascii="Arial" w:eastAsia="Times New Roman" w:hAnsi="Arial" w:cs="Arial"/>
          <w:b/>
          <w:bCs/>
          <w:kern w:val="36"/>
          <w:lang w:eastAsia="en-GB"/>
          <w14:ligatures w14:val="none"/>
        </w:rPr>
      </w:pPr>
    </w:p>
    <w:p w14:paraId="4BBB39AC" w14:textId="77777777" w:rsidR="00673666" w:rsidRPr="00C729C0" w:rsidRDefault="00673666" w:rsidP="0045227F">
      <w:pPr>
        <w:spacing w:before="100" w:beforeAutospacing="1" w:after="100" w:afterAutospacing="1" w:line="360" w:lineRule="auto"/>
        <w:outlineLvl w:val="0"/>
        <w:rPr>
          <w:rFonts w:ascii="Arial" w:eastAsia="Times New Roman" w:hAnsi="Arial" w:cs="Arial"/>
          <w:b/>
          <w:bCs/>
          <w:kern w:val="36"/>
          <w:lang w:eastAsia="en-GB"/>
          <w14:ligatures w14:val="none"/>
        </w:rPr>
      </w:pPr>
    </w:p>
    <w:p w14:paraId="68A0522D" w14:textId="77777777" w:rsidR="00673666" w:rsidRPr="00C729C0" w:rsidRDefault="00673666" w:rsidP="0045227F">
      <w:pPr>
        <w:spacing w:before="100" w:beforeAutospacing="1" w:after="100" w:afterAutospacing="1" w:line="360" w:lineRule="auto"/>
        <w:outlineLvl w:val="0"/>
        <w:rPr>
          <w:rFonts w:ascii="Arial" w:eastAsia="Times New Roman" w:hAnsi="Arial" w:cs="Arial"/>
          <w:b/>
          <w:bCs/>
          <w:kern w:val="36"/>
          <w:lang w:eastAsia="en-GB"/>
          <w14:ligatures w14:val="none"/>
        </w:rPr>
      </w:pPr>
    </w:p>
    <w:p w14:paraId="697D6841" w14:textId="77777777" w:rsidR="00673666" w:rsidRPr="00C729C0" w:rsidRDefault="00673666" w:rsidP="0045227F">
      <w:pPr>
        <w:spacing w:before="100" w:beforeAutospacing="1" w:after="100" w:afterAutospacing="1" w:line="360" w:lineRule="auto"/>
        <w:outlineLvl w:val="0"/>
        <w:rPr>
          <w:rFonts w:ascii="Arial" w:eastAsia="Times New Roman" w:hAnsi="Arial" w:cs="Arial"/>
          <w:b/>
          <w:bCs/>
          <w:kern w:val="36"/>
          <w:lang w:eastAsia="en-GB"/>
          <w14:ligatures w14:val="none"/>
        </w:rPr>
      </w:pPr>
    </w:p>
    <w:p w14:paraId="0B1572A3" w14:textId="77777777" w:rsidR="00673666" w:rsidRPr="00C729C0" w:rsidRDefault="00673666" w:rsidP="0045227F">
      <w:pPr>
        <w:spacing w:before="100" w:beforeAutospacing="1" w:after="100" w:afterAutospacing="1" w:line="360" w:lineRule="auto"/>
        <w:outlineLvl w:val="0"/>
        <w:rPr>
          <w:rFonts w:ascii="Arial" w:eastAsia="Times New Roman" w:hAnsi="Arial" w:cs="Arial"/>
          <w:b/>
          <w:bCs/>
          <w:kern w:val="36"/>
          <w:lang w:eastAsia="en-GB"/>
          <w14:ligatures w14:val="none"/>
        </w:rPr>
      </w:pPr>
    </w:p>
    <w:p w14:paraId="474C4153" w14:textId="77777777" w:rsidR="00CA080F" w:rsidRPr="00C729C0" w:rsidRDefault="00CA080F" w:rsidP="0045227F">
      <w:pPr>
        <w:spacing w:before="100" w:beforeAutospacing="1" w:after="100" w:afterAutospacing="1" w:line="360" w:lineRule="auto"/>
        <w:outlineLvl w:val="0"/>
        <w:rPr>
          <w:rFonts w:ascii="Arial" w:eastAsia="Times New Roman" w:hAnsi="Arial" w:cs="Arial"/>
          <w:b/>
          <w:bCs/>
          <w:kern w:val="36"/>
          <w:lang w:eastAsia="en-GB"/>
          <w14:ligatures w14:val="none"/>
        </w:rPr>
      </w:pPr>
    </w:p>
    <w:p w14:paraId="7BA527A0" w14:textId="77777777" w:rsidR="00015051" w:rsidRPr="00C729C0" w:rsidRDefault="00015051" w:rsidP="0045227F">
      <w:pPr>
        <w:spacing w:before="100" w:beforeAutospacing="1" w:after="100" w:afterAutospacing="1" w:line="360" w:lineRule="auto"/>
        <w:outlineLvl w:val="0"/>
        <w:rPr>
          <w:rFonts w:ascii="Arial" w:eastAsia="Times New Roman" w:hAnsi="Arial" w:cs="Arial"/>
          <w:b/>
          <w:bCs/>
          <w:kern w:val="36"/>
          <w:lang w:eastAsia="en-GB"/>
          <w14:ligatures w14:val="none"/>
        </w:rPr>
      </w:pPr>
    </w:p>
    <w:p w14:paraId="0E82ABA1" w14:textId="77777777" w:rsidR="00015051" w:rsidRPr="00C729C0" w:rsidRDefault="00015051" w:rsidP="0045227F">
      <w:pPr>
        <w:spacing w:before="100" w:beforeAutospacing="1" w:after="100" w:afterAutospacing="1" w:line="360" w:lineRule="auto"/>
        <w:outlineLvl w:val="0"/>
        <w:rPr>
          <w:rFonts w:ascii="Arial" w:eastAsia="Times New Roman" w:hAnsi="Arial" w:cs="Arial"/>
          <w:b/>
          <w:bCs/>
          <w:kern w:val="36"/>
          <w:lang w:eastAsia="en-GB"/>
          <w14:ligatures w14:val="none"/>
        </w:rPr>
      </w:pPr>
    </w:p>
    <w:p w14:paraId="5457F0A1" w14:textId="77777777" w:rsidR="0045227F" w:rsidRDefault="0045227F" w:rsidP="0045227F">
      <w:pPr>
        <w:spacing w:before="100" w:beforeAutospacing="1" w:after="100" w:afterAutospacing="1" w:line="360" w:lineRule="auto"/>
        <w:outlineLvl w:val="0"/>
        <w:rPr>
          <w:rFonts w:ascii="Arial" w:eastAsia="Times New Roman" w:hAnsi="Arial" w:cs="Arial"/>
          <w:b/>
          <w:bCs/>
          <w:kern w:val="36"/>
          <w:lang w:eastAsia="en-GB"/>
          <w14:ligatures w14:val="none"/>
        </w:rPr>
      </w:pPr>
      <w:bookmarkStart w:id="9" w:name="_Toc224822923"/>
    </w:p>
    <w:p w14:paraId="38D879FA" w14:textId="09BA8A4A" w:rsidR="002A54AB" w:rsidRPr="00C729C0" w:rsidRDefault="002A54AB" w:rsidP="0045227F">
      <w:pPr>
        <w:spacing w:before="100" w:beforeAutospacing="1" w:after="100" w:afterAutospacing="1" w:line="360" w:lineRule="auto"/>
        <w:outlineLvl w:val="0"/>
        <w:rPr>
          <w:rFonts w:ascii="Arial" w:eastAsia="Times New Roman" w:hAnsi="Arial" w:cs="Arial"/>
          <w:b/>
          <w:bCs/>
          <w:kern w:val="36"/>
          <w:lang w:eastAsia="en-GB"/>
          <w14:ligatures w14:val="none"/>
        </w:rPr>
      </w:pPr>
      <w:r w:rsidRPr="00C729C0">
        <w:rPr>
          <w:rFonts w:ascii="Arial" w:eastAsia="Times New Roman" w:hAnsi="Arial" w:cs="Arial"/>
          <w:b/>
          <w:bCs/>
          <w:kern w:val="36"/>
          <w:lang w:eastAsia="en-GB"/>
          <w14:ligatures w14:val="none"/>
        </w:rPr>
        <w:lastRenderedPageBreak/>
        <w:t>References</w:t>
      </w:r>
      <w:bookmarkEnd w:id="9"/>
    </w:p>
    <w:p w14:paraId="5AAC5637" w14:textId="77777777" w:rsidR="00B55834" w:rsidRPr="00C729C0" w:rsidRDefault="00B55834" w:rsidP="0045227F">
      <w:pPr>
        <w:pStyle w:val="NormalWeb"/>
        <w:spacing w:line="360" w:lineRule="auto"/>
        <w:rPr>
          <w:rFonts w:ascii="Arial" w:hAnsi="Arial" w:cs="Arial"/>
        </w:rPr>
      </w:pPr>
      <w:r w:rsidRPr="00C729C0">
        <w:rPr>
          <w:rFonts w:ascii="Arial" w:hAnsi="Arial" w:cs="Arial"/>
        </w:rPr>
        <w:t xml:space="preserve">Arnold, G. (2020) </w:t>
      </w:r>
      <w:r w:rsidRPr="00C729C0">
        <w:rPr>
          <w:rStyle w:val="Emphasis"/>
          <w:rFonts w:ascii="Arial" w:eastAsiaTheme="majorEastAsia" w:hAnsi="Arial" w:cs="Arial"/>
        </w:rPr>
        <w:t>Corporate Financial Management</w:t>
      </w:r>
      <w:r w:rsidRPr="00C729C0">
        <w:rPr>
          <w:rFonts w:ascii="Arial" w:hAnsi="Arial" w:cs="Arial"/>
        </w:rPr>
        <w:t xml:space="preserve">. 6th </w:t>
      </w:r>
      <w:proofErr w:type="spellStart"/>
      <w:r w:rsidRPr="00C729C0">
        <w:rPr>
          <w:rFonts w:ascii="Arial" w:hAnsi="Arial" w:cs="Arial"/>
        </w:rPr>
        <w:t>edn</w:t>
      </w:r>
      <w:proofErr w:type="spellEnd"/>
      <w:r w:rsidRPr="00C729C0">
        <w:rPr>
          <w:rFonts w:ascii="Arial" w:hAnsi="Arial" w:cs="Arial"/>
        </w:rPr>
        <w:t>. Harlow: Pearson.</w:t>
      </w:r>
    </w:p>
    <w:p w14:paraId="20746C60" w14:textId="77777777" w:rsidR="00B55834" w:rsidRPr="00C729C0" w:rsidRDefault="00B55834" w:rsidP="0045227F">
      <w:pPr>
        <w:pStyle w:val="NormalWeb"/>
        <w:spacing w:line="360" w:lineRule="auto"/>
        <w:rPr>
          <w:rFonts w:ascii="Arial" w:hAnsi="Arial" w:cs="Arial"/>
        </w:rPr>
      </w:pPr>
      <w:proofErr w:type="spellStart"/>
      <w:r w:rsidRPr="00C729C0">
        <w:rPr>
          <w:rFonts w:ascii="Arial" w:hAnsi="Arial" w:cs="Arial"/>
        </w:rPr>
        <w:t>Atrill</w:t>
      </w:r>
      <w:proofErr w:type="spellEnd"/>
      <w:r w:rsidRPr="00C729C0">
        <w:rPr>
          <w:rFonts w:ascii="Arial" w:hAnsi="Arial" w:cs="Arial"/>
        </w:rPr>
        <w:t xml:space="preserve">, P. and McLaney, E. (2019) </w:t>
      </w:r>
      <w:r w:rsidRPr="00C729C0">
        <w:rPr>
          <w:rStyle w:val="Emphasis"/>
          <w:rFonts w:ascii="Arial" w:eastAsiaTheme="majorEastAsia" w:hAnsi="Arial" w:cs="Arial"/>
        </w:rPr>
        <w:t>Accounting and Finance for Non-Specialists</w:t>
      </w:r>
      <w:r w:rsidRPr="00C729C0">
        <w:rPr>
          <w:rFonts w:ascii="Arial" w:hAnsi="Arial" w:cs="Arial"/>
        </w:rPr>
        <w:t xml:space="preserve">. 11th </w:t>
      </w:r>
      <w:proofErr w:type="spellStart"/>
      <w:r w:rsidRPr="00C729C0">
        <w:rPr>
          <w:rFonts w:ascii="Arial" w:hAnsi="Arial" w:cs="Arial"/>
        </w:rPr>
        <w:t>edn</w:t>
      </w:r>
      <w:proofErr w:type="spellEnd"/>
      <w:r w:rsidRPr="00C729C0">
        <w:rPr>
          <w:rFonts w:ascii="Arial" w:hAnsi="Arial" w:cs="Arial"/>
        </w:rPr>
        <w:t>. Harlow: Pearson.</w:t>
      </w:r>
    </w:p>
    <w:p w14:paraId="2D6E6409" w14:textId="77777777" w:rsidR="00B55834" w:rsidRPr="00C729C0" w:rsidRDefault="00B55834" w:rsidP="0045227F">
      <w:pPr>
        <w:pStyle w:val="NormalWeb"/>
        <w:spacing w:line="360" w:lineRule="auto"/>
        <w:rPr>
          <w:rFonts w:ascii="Arial" w:hAnsi="Arial" w:cs="Arial"/>
        </w:rPr>
      </w:pPr>
      <w:r w:rsidRPr="00C729C0">
        <w:rPr>
          <w:rFonts w:ascii="Arial" w:hAnsi="Arial" w:cs="Arial"/>
        </w:rPr>
        <w:t xml:space="preserve">Berk, J. and DeMarzo, P. (2020) </w:t>
      </w:r>
      <w:r w:rsidRPr="00C729C0">
        <w:rPr>
          <w:rStyle w:val="Emphasis"/>
          <w:rFonts w:ascii="Arial" w:eastAsiaTheme="majorEastAsia" w:hAnsi="Arial" w:cs="Arial"/>
        </w:rPr>
        <w:t>Corporate Finance</w:t>
      </w:r>
      <w:r w:rsidRPr="00C729C0">
        <w:rPr>
          <w:rFonts w:ascii="Arial" w:hAnsi="Arial" w:cs="Arial"/>
        </w:rPr>
        <w:t xml:space="preserve">. 5th </w:t>
      </w:r>
      <w:proofErr w:type="spellStart"/>
      <w:r w:rsidRPr="00C729C0">
        <w:rPr>
          <w:rFonts w:ascii="Arial" w:hAnsi="Arial" w:cs="Arial"/>
        </w:rPr>
        <w:t>edn</w:t>
      </w:r>
      <w:proofErr w:type="spellEnd"/>
      <w:r w:rsidRPr="00C729C0">
        <w:rPr>
          <w:rFonts w:ascii="Arial" w:hAnsi="Arial" w:cs="Arial"/>
        </w:rPr>
        <w:t>. Harlow: Pearson.</w:t>
      </w:r>
    </w:p>
    <w:p w14:paraId="7F0079D8" w14:textId="77777777" w:rsidR="00B55834" w:rsidRPr="00C729C0" w:rsidRDefault="00B55834" w:rsidP="0045227F">
      <w:pPr>
        <w:pStyle w:val="NormalWeb"/>
        <w:spacing w:line="360" w:lineRule="auto"/>
        <w:rPr>
          <w:rFonts w:ascii="Arial" w:hAnsi="Arial" w:cs="Arial"/>
        </w:rPr>
      </w:pPr>
      <w:r w:rsidRPr="00C729C0">
        <w:rPr>
          <w:rFonts w:ascii="Arial" w:hAnsi="Arial" w:cs="Arial"/>
        </w:rPr>
        <w:t xml:space="preserve">Block, S.B., Hirt, G.A. and Danielsen, B.R. (2019) </w:t>
      </w:r>
      <w:r w:rsidRPr="00C729C0">
        <w:rPr>
          <w:rStyle w:val="Emphasis"/>
          <w:rFonts w:ascii="Arial" w:eastAsiaTheme="majorEastAsia" w:hAnsi="Arial" w:cs="Arial"/>
        </w:rPr>
        <w:t>Foundations of Financial Management</w:t>
      </w:r>
      <w:r w:rsidRPr="00C729C0">
        <w:rPr>
          <w:rFonts w:ascii="Arial" w:hAnsi="Arial" w:cs="Arial"/>
        </w:rPr>
        <w:t xml:space="preserve">. 17th </w:t>
      </w:r>
      <w:proofErr w:type="spellStart"/>
      <w:r w:rsidRPr="00C729C0">
        <w:rPr>
          <w:rFonts w:ascii="Arial" w:hAnsi="Arial" w:cs="Arial"/>
        </w:rPr>
        <w:t>edn</w:t>
      </w:r>
      <w:proofErr w:type="spellEnd"/>
      <w:r w:rsidRPr="00C729C0">
        <w:rPr>
          <w:rFonts w:ascii="Arial" w:hAnsi="Arial" w:cs="Arial"/>
        </w:rPr>
        <w:t>. New York: McGraw-Hill Education.</w:t>
      </w:r>
    </w:p>
    <w:p w14:paraId="504F45BC" w14:textId="77777777" w:rsidR="00B55834" w:rsidRPr="00C729C0" w:rsidRDefault="00B55834" w:rsidP="0045227F">
      <w:pPr>
        <w:pStyle w:val="NormalWeb"/>
        <w:spacing w:line="360" w:lineRule="auto"/>
        <w:rPr>
          <w:rFonts w:ascii="Arial" w:hAnsi="Arial" w:cs="Arial"/>
        </w:rPr>
      </w:pPr>
      <w:proofErr w:type="spellStart"/>
      <w:r w:rsidRPr="00C729C0">
        <w:rPr>
          <w:rFonts w:ascii="Arial" w:hAnsi="Arial" w:cs="Arial"/>
        </w:rPr>
        <w:t>BloombergNEF</w:t>
      </w:r>
      <w:proofErr w:type="spellEnd"/>
      <w:r w:rsidRPr="00C729C0">
        <w:rPr>
          <w:rFonts w:ascii="Arial" w:hAnsi="Arial" w:cs="Arial"/>
        </w:rPr>
        <w:t xml:space="preserve"> (2023) </w:t>
      </w:r>
      <w:r w:rsidRPr="00C729C0">
        <w:rPr>
          <w:rStyle w:val="Emphasis"/>
          <w:rFonts w:ascii="Arial" w:eastAsiaTheme="majorEastAsia" w:hAnsi="Arial" w:cs="Arial"/>
        </w:rPr>
        <w:t>Electric Vehicle Outlook 2023</w:t>
      </w:r>
      <w:r w:rsidRPr="00C729C0">
        <w:rPr>
          <w:rFonts w:ascii="Arial" w:hAnsi="Arial" w:cs="Arial"/>
        </w:rPr>
        <w:t xml:space="preserve">. Available at: </w:t>
      </w:r>
      <w:hyperlink r:id="rId15" w:history="1">
        <w:r w:rsidRPr="00C729C0">
          <w:rPr>
            <w:rStyle w:val="Hyperlink"/>
            <w:rFonts w:ascii="Arial" w:eastAsiaTheme="majorEastAsia" w:hAnsi="Arial" w:cs="Arial"/>
          </w:rPr>
          <w:t>https://about.bnef.com</w:t>
        </w:r>
      </w:hyperlink>
      <w:r w:rsidRPr="00C729C0">
        <w:rPr>
          <w:rFonts w:ascii="Arial" w:hAnsi="Arial" w:cs="Arial"/>
        </w:rPr>
        <w:t xml:space="preserve"> (Accessed: 17 March 2026).</w:t>
      </w:r>
    </w:p>
    <w:p w14:paraId="0C33174A" w14:textId="77777777" w:rsidR="00B55834" w:rsidRPr="00C729C0" w:rsidRDefault="00B55834" w:rsidP="0045227F">
      <w:pPr>
        <w:pStyle w:val="NormalWeb"/>
        <w:spacing w:line="360" w:lineRule="auto"/>
        <w:rPr>
          <w:rFonts w:ascii="Arial" w:hAnsi="Arial" w:cs="Arial"/>
        </w:rPr>
      </w:pPr>
      <w:r w:rsidRPr="00C729C0">
        <w:rPr>
          <w:rFonts w:ascii="Arial" w:hAnsi="Arial" w:cs="Arial"/>
        </w:rPr>
        <w:t xml:space="preserve">Brealey, R.A., Myers, S.C. and Allen, F. (2020) </w:t>
      </w:r>
      <w:r w:rsidRPr="00C729C0">
        <w:rPr>
          <w:rStyle w:val="Emphasis"/>
          <w:rFonts w:ascii="Arial" w:eastAsiaTheme="majorEastAsia" w:hAnsi="Arial" w:cs="Arial"/>
        </w:rPr>
        <w:t>Principles of Corporate Finance</w:t>
      </w:r>
      <w:r w:rsidRPr="00C729C0">
        <w:rPr>
          <w:rFonts w:ascii="Arial" w:hAnsi="Arial" w:cs="Arial"/>
        </w:rPr>
        <w:t xml:space="preserve">. 13th </w:t>
      </w:r>
      <w:proofErr w:type="spellStart"/>
      <w:r w:rsidRPr="00C729C0">
        <w:rPr>
          <w:rFonts w:ascii="Arial" w:hAnsi="Arial" w:cs="Arial"/>
        </w:rPr>
        <w:t>edn</w:t>
      </w:r>
      <w:proofErr w:type="spellEnd"/>
      <w:r w:rsidRPr="00C729C0">
        <w:rPr>
          <w:rFonts w:ascii="Arial" w:hAnsi="Arial" w:cs="Arial"/>
        </w:rPr>
        <w:t>. New York: McGraw-Hill Education.</w:t>
      </w:r>
    </w:p>
    <w:p w14:paraId="1F112B21" w14:textId="77777777" w:rsidR="00B55834" w:rsidRPr="00C729C0" w:rsidRDefault="00B55834" w:rsidP="0045227F">
      <w:pPr>
        <w:pStyle w:val="NormalWeb"/>
        <w:spacing w:line="360" w:lineRule="auto"/>
        <w:rPr>
          <w:rFonts w:ascii="Arial" w:hAnsi="Arial" w:cs="Arial"/>
        </w:rPr>
      </w:pPr>
      <w:r w:rsidRPr="00C729C0">
        <w:rPr>
          <w:rFonts w:ascii="Arial" w:hAnsi="Arial" w:cs="Arial"/>
        </w:rPr>
        <w:t xml:space="preserve">Brigham, E.F. and Houston, J.F. (2022) </w:t>
      </w:r>
      <w:r w:rsidRPr="00C729C0">
        <w:rPr>
          <w:rStyle w:val="Emphasis"/>
          <w:rFonts w:ascii="Arial" w:eastAsiaTheme="majorEastAsia" w:hAnsi="Arial" w:cs="Arial"/>
        </w:rPr>
        <w:t>Fundamentals of Financial Management</w:t>
      </w:r>
      <w:r w:rsidRPr="00C729C0">
        <w:rPr>
          <w:rFonts w:ascii="Arial" w:hAnsi="Arial" w:cs="Arial"/>
        </w:rPr>
        <w:t xml:space="preserve">. 16th </w:t>
      </w:r>
      <w:proofErr w:type="spellStart"/>
      <w:r w:rsidRPr="00C729C0">
        <w:rPr>
          <w:rFonts w:ascii="Arial" w:hAnsi="Arial" w:cs="Arial"/>
        </w:rPr>
        <w:t>edn</w:t>
      </w:r>
      <w:proofErr w:type="spellEnd"/>
      <w:r w:rsidRPr="00C729C0">
        <w:rPr>
          <w:rFonts w:ascii="Arial" w:hAnsi="Arial" w:cs="Arial"/>
        </w:rPr>
        <w:t>. Boston: Cengage Learning.</w:t>
      </w:r>
    </w:p>
    <w:p w14:paraId="70B06222" w14:textId="77777777" w:rsidR="00B55834" w:rsidRPr="00C729C0" w:rsidRDefault="00B55834" w:rsidP="0045227F">
      <w:pPr>
        <w:pStyle w:val="NormalWeb"/>
        <w:spacing w:line="360" w:lineRule="auto"/>
        <w:rPr>
          <w:rFonts w:ascii="Arial" w:hAnsi="Arial" w:cs="Arial"/>
        </w:rPr>
      </w:pPr>
      <w:r w:rsidRPr="00C729C0">
        <w:rPr>
          <w:rFonts w:ascii="Arial" w:hAnsi="Arial" w:cs="Arial"/>
        </w:rPr>
        <w:t xml:space="preserve">Damodaran, A. (2021) </w:t>
      </w:r>
      <w:r w:rsidRPr="00C729C0">
        <w:rPr>
          <w:rStyle w:val="Emphasis"/>
          <w:rFonts w:ascii="Arial" w:eastAsiaTheme="majorEastAsia" w:hAnsi="Arial" w:cs="Arial"/>
        </w:rPr>
        <w:t>Corporate Finance: Theory and Practice</w:t>
      </w:r>
      <w:r w:rsidRPr="00C729C0">
        <w:rPr>
          <w:rFonts w:ascii="Arial" w:hAnsi="Arial" w:cs="Arial"/>
        </w:rPr>
        <w:t xml:space="preserve">. 4th </w:t>
      </w:r>
      <w:proofErr w:type="spellStart"/>
      <w:r w:rsidRPr="00C729C0">
        <w:rPr>
          <w:rFonts w:ascii="Arial" w:hAnsi="Arial" w:cs="Arial"/>
        </w:rPr>
        <w:t>edn</w:t>
      </w:r>
      <w:proofErr w:type="spellEnd"/>
      <w:r w:rsidRPr="00C729C0">
        <w:rPr>
          <w:rFonts w:ascii="Arial" w:hAnsi="Arial" w:cs="Arial"/>
        </w:rPr>
        <w:t>. Hoboken: Wiley.</w:t>
      </w:r>
    </w:p>
    <w:p w14:paraId="39B1A7B1" w14:textId="77777777" w:rsidR="00B55834" w:rsidRPr="00C729C0" w:rsidRDefault="00B55834" w:rsidP="0045227F">
      <w:pPr>
        <w:pStyle w:val="NormalWeb"/>
        <w:spacing w:line="360" w:lineRule="auto"/>
        <w:rPr>
          <w:rFonts w:ascii="Arial" w:hAnsi="Arial" w:cs="Arial"/>
        </w:rPr>
      </w:pPr>
      <w:r w:rsidRPr="00C729C0">
        <w:rPr>
          <w:rFonts w:ascii="Arial" w:hAnsi="Arial" w:cs="Arial"/>
        </w:rPr>
        <w:t xml:space="preserve">Deloof, M. (2003) ‘Does working capital management affect profitability of Belgian firms?’, </w:t>
      </w:r>
      <w:r w:rsidRPr="00C729C0">
        <w:rPr>
          <w:rStyle w:val="Emphasis"/>
          <w:rFonts w:ascii="Arial" w:eastAsiaTheme="majorEastAsia" w:hAnsi="Arial" w:cs="Arial"/>
        </w:rPr>
        <w:t>Journal of Business Finance &amp; Accounting</w:t>
      </w:r>
      <w:r w:rsidRPr="00C729C0">
        <w:rPr>
          <w:rFonts w:ascii="Arial" w:hAnsi="Arial" w:cs="Arial"/>
        </w:rPr>
        <w:t>, 30(3–4), pp. 573–588.</w:t>
      </w:r>
    </w:p>
    <w:p w14:paraId="6F7AF628" w14:textId="77777777" w:rsidR="00B55834" w:rsidRPr="00C729C0" w:rsidRDefault="00B55834" w:rsidP="0045227F">
      <w:pPr>
        <w:pStyle w:val="NormalWeb"/>
        <w:spacing w:line="360" w:lineRule="auto"/>
        <w:rPr>
          <w:rFonts w:ascii="Arial" w:hAnsi="Arial" w:cs="Arial"/>
        </w:rPr>
      </w:pPr>
      <w:r w:rsidRPr="00C729C0">
        <w:rPr>
          <w:rFonts w:ascii="Arial" w:hAnsi="Arial" w:cs="Arial"/>
        </w:rPr>
        <w:t xml:space="preserve">Enqvist, J., Graham, M. and Nikkinen, J. (2014) ‘The impact of working capital management on firm profitability’, </w:t>
      </w:r>
      <w:r w:rsidRPr="00C729C0">
        <w:rPr>
          <w:rStyle w:val="Emphasis"/>
          <w:rFonts w:ascii="Arial" w:eastAsiaTheme="majorEastAsia" w:hAnsi="Arial" w:cs="Arial"/>
        </w:rPr>
        <w:t>Research in International Business and Finance</w:t>
      </w:r>
      <w:r w:rsidRPr="00C729C0">
        <w:rPr>
          <w:rFonts w:ascii="Arial" w:hAnsi="Arial" w:cs="Arial"/>
        </w:rPr>
        <w:t>, 32, pp. 36–49.</w:t>
      </w:r>
    </w:p>
    <w:p w14:paraId="5B4259F6" w14:textId="77777777" w:rsidR="00B55834" w:rsidRPr="00C729C0" w:rsidRDefault="00B55834" w:rsidP="0045227F">
      <w:pPr>
        <w:pStyle w:val="NormalWeb"/>
        <w:spacing w:line="360" w:lineRule="auto"/>
        <w:rPr>
          <w:rFonts w:ascii="Arial" w:hAnsi="Arial" w:cs="Arial"/>
        </w:rPr>
      </w:pPr>
      <w:r w:rsidRPr="00C729C0">
        <w:rPr>
          <w:rFonts w:ascii="Arial" w:hAnsi="Arial" w:cs="Arial"/>
        </w:rPr>
        <w:t xml:space="preserve">Fama, E.F. and French, K.R. (2002) ‘Testing trade-off and pecking order predictions’, </w:t>
      </w:r>
      <w:r w:rsidRPr="00C729C0">
        <w:rPr>
          <w:rStyle w:val="Emphasis"/>
          <w:rFonts w:ascii="Arial" w:eastAsiaTheme="majorEastAsia" w:hAnsi="Arial" w:cs="Arial"/>
        </w:rPr>
        <w:t>Review of Financial Studies</w:t>
      </w:r>
      <w:r w:rsidRPr="00C729C0">
        <w:rPr>
          <w:rFonts w:ascii="Arial" w:hAnsi="Arial" w:cs="Arial"/>
        </w:rPr>
        <w:t>, 15(1), pp. 1–33.</w:t>
      </w:r>
    </w:p>
    <w:p w14:paraId="1B820EE8" w14:textId="77777777" w:rsidR="00B55834" w:rsidRPr="00C729C0" w:rsidRDefault="00B55834" w:rsidP="0045227F">
      <w:pPr>
        <w:pStyle w:val="NormalWeb"/>
        <w:spacing w:line="360" w:lineRule="auto"/>
        <w:rPr>
          <w:rFonts w:ascii="Arial" w:hAnsi="Arial" w:cs="Arial"/>
        </w:rPr>
      </w:pPr>
      <w:r w:rsidRPr="00C729C0">
        <w:rPr>
          <w:rFonts w:ascii="Arial" w:hAnsi="Arial" w:cs="Arial"/>
        </w:rPr>
        <w:t xml:space="preserve">Fraser, L.M. and Ormiston, A. (2016) </w:t>
      </w:r>
      <w:r w:rsidRPr="00C729C0">
        <w:rPr>
          <w:rStyle w:val="Emphasis"/>
          <w:rFonts w:ascii="Arial" w:eastAsiaTheme="majorEastAsia" w:hAnsi="Arial" w:cs="Arial"/>
        </w:rPr>
        <w:t>Understanding Financial Statements</w:t>
      </w:r>
      <w:r w:rsidRPr="00C729C0">
        <w:rPr>
          <w:rFonts w:ascii="Arial" w:hAnsi="Arial" w:cs="Arial"/>
        </w:rPr>
        <w:t xml:space="preserve">. 11th </w:t>
      </w:r>
      <w:proofErr w:type="spellStart"/>
      <w:r w:rsidRPr="00C729C0">
        <w:rPr>
          <w:rFonts w:ascii="Arial" w:hAnsi="Arial" w:cs="Arial"/>
        </w:rPr>
        <w:t>edn</w:t>
      </w:r>
      <w:proofErr w:type="spellEnd"/>
      <w:r w:rsidRPr="00C729C0">
        <w:rPr>
          <w:rFonts w:ascii="Arial" w:hAnsi="Arial" w:cs="Arial"/>
        </w:rPr>
        <w:t>. Harlow: Pearson.</w:t>
      </w:r>
    </w:p>
    <w:p w14:paraId="67829A45" w14:textId="77777777" w:rsidR="00B55834" w:rsidRPr="00C729C0" w:rsidRDefault="00B55834" w:rsidP="0045227F">
      <w:pPr>
        <w:pStyle w:val="NormalWeb"/>
        <w:spacing w:line="360" w:lineRule="auto"/>
        <w:rPr>
          <w:rFonts w:ascii="Arial" w:hAnsi="Arial" w:cs="Arial"/>
        </w:rPr>
      </w:pPr>
      <w:r w:rsidRPr="00C729C0">
        <w:rPr>
          <w:rFonts w:ascii="Arial" w:hAnsi="Arial" w:cs="Arial"/>
        </w:rPr>
        <w:lastRenderedPageBreak/>
        <w:t xml:space="preserve">Gitman, L.J., </w:t>
      </w:r>
      <w:proofErr w:type="spellStart"/>
      <w:r w:rsidRPr="00C729C0">
        <w:rPr>
          <w:rFonts w:ascii="Arial" w:hAnsi="Arial" w:cs="Arial"/>
        </w:rPr>
        <w:t>Juchau</w:t>
      </w:r>
      <w:proofErr w:type="spellEnd"/>
      <w:r w:rsidRPr="00C729C0">
        <w:rPr>
          <w:rFonts w:ascii="Arial" w:hAnsi="Arial" w:cs="Arial"/>
        </w:rPr>
        <w:t xml:space="preserve">, R. and Flanagan, J. (2015) </w:t>
      </w:r>
      <w:r w:rsidRPr="00C729C0">
        <w:rPr>
          <w:rStyle w:val="Emphasis"/>
          <w:rFonts w:ascii="Arial" w:eastAsiaTheme="majorEastAsia" w:hAnsi="Arial" w:cs="Arial"/>
        </w:rPr>
        <w:t>Principles of Managerial Finance</w:t>
      </w:r>
      <w:r w:rsidRPr="00C729C0">
        <w:rPr>
          <w:rFonts w:ascii="Arial" w:hAnsi="Arial" w:cs="Arial"/>
        </w:rPr>
        <w:t>. Harlow: Pearson.</w:t>
      </w:r>
    </w:p>
    <w:p w14:paraId="1865278E" w14:textId="77777777" w:rsidR="00B55834" w:rsidRPr="00C729C0" w:rsidRDefault="00B55834" w:rsidP="0045227F">
      <w:pPr>
        <w:pStyle w:val="NormalWeb"/>
        <w:spacing w:line="360" w:lineRule="auto"/>
        <w:rPr>
          <w:rFonts w:ascii="Arial" w:hAnsi="Arial" w:cs="Arial"/>
        </w:rPr>
      </w:pPr>
      <w:r w:rsidRPr="00C729C0">
        <w:rPr>
          <w:rFonts w:ascii="Arial" w:hAnsi="Arial" w:cs="Arial"/>
        </w:rPr>
        <w:t xml:space="preserve">Graham, J.R. and Harvey, C.R. (2001) ‘The theory and practice of corporate finance: Evidence from the field’, </w:t>
      </w:r>
      <w:r w:rsidRPr="00C729C0">
        <w:rPr>
          <w:rStyle w:val="Emphasis"/>
          <w:rFonts w:ascii="Arial" w:eastAsiaTheme="majorEastAsia" w:hAnsi="Arial" w:cs="Arial"/>
        </w:rPr>
        <w:t>Journal of Financial Economics</w:t>
      </w:r>
      <w:r w:rsidRPr="00C729C0">
        <w:rPr>
          <w:rFonts w:ascii="Arial" w:hAnsi="Arial" w:cs="Arial"/>
        </w:rPr>
        <w:t>, 60(2–3), pp. 187–243.</w:t>
      </w:r>
    </w:p>
    <w:p w14:paraId="7BAB27EE" w14:textId="77777777" w:rsidR="00B55834" w:rsidRPr="00C729C0" w:rsidRDefault="00B55834" w:rsidP="0045227F">
      <w:pPr>
        <w:pStyle w:val="NormalWeb"/>
        <w:spacing w:line="360" w:lineRule="auto"/>
        <w:rPr>
          <w:rFonts w:ascii="Arial" w:hAnsi="Arial" w:cs="Arial"/>
        </w:rPr>
      </w:pPr>
      <w:r w:rsidRPr="00C729C0">
        <w:rPr>
          <w:rFonts w:ascii="Arial" w:hAnsi="Arial" w:cs="Arial"/>
        </w:rPr>
        <w:t xml:space="preserve">Hillier, D., Ross, S., Westerfield, R., Jaffe, J. and Jordan, B. (2020) </w:t>
      </w:r>
      <w:r w:rsidRPr="00C729C0">
        <w:rPr>
          <w:rStyle w:val="Emphasis"/>
          <w:rFonts w:ascii="Arial" w:eastAsiaTheme="majorEastAsia" w:hAnsi="Arial" w:cs="Arial"/>
        </w:rPr>
        <w:t>Corporate Finance</w:t>
      </w:r>
      <w:r w:rsidRPr="00C729C0">
        <w:rPr>
          <w:rFonts w:ascii="Arial" w:hAnsi="Arial" w:cs="Arial"/>
        </w:rPr>
        <w:t xml:space="preserve">. 4th </w:t>
      </w:r>
      <w:proofErr w:type="spellStart"/>
      <w:r w:rsidRPr="00C729C0">
        <w:rPr>
          <w:rFonts w:ascii="Arial" w:hAnsi="Arial" w:cs="Arial"/>
        </w:rPr>
        <w:t>edn</w:t>
      </w:r>
      <w:proofErr w:type="spellEnd"/>
      <w:r w:rsidRPr="00C729C0">
        <w:rPr>
          <w:rFonts w:ascii="Arial" w:hAnsi="Arial" w:cs="Arial"/>
        </w:rPr>
        <w:t>. London: McGraw-Hill Education.</w:t>
      </w:r>
    </w:p>
    <w:p w14:paraId="7027E240" w14:textId="77777777" w:rsidR="00B55834" w:rsidRPr="00C729C0" w:rsidRDefault="00B55834" w:rsidP="0045227F">
      <w:pPr>
        <w:pStyle w:val="NormalWeb"/>
        <w:spacing w:line="360" w:lineRule="auto"/>
        <w:rPr>
          <w:rFonts w:ascii="Arial" w:hAnsi="Arial" w:cs="Arial"/>
        </w:rPr>
      </w:pPr>
      <w:r w:rsidRPr="00C729C0">
        <w:rPr>
          <w:rFonts w:ascii="Arial" w:hAnsi="Arial" w:cs="Arial"/>
        </w:rPr>
        <w:t xml:space="preserve">International Energy Agency (2023) </w:t>
      </w:r>
      <w:r w:rsidRPr="00C729C0">
        <w:rPr>
          <w:rStyle w:val="Emphasis"/>
          <w:rFonts w:ascii="Arial" w:eastAsiaTheme="majorEastAsia" w:hAnsi="Arial" w:cs="Arial"/>
        </w:rPr>
        <w:t>Global EV Outlook 2023</w:t>
      </w:r>
      <w:r w:rsidRPr="00C729C0">
        <w:rPr>
          <w:rFonts w:ascii="Arial" w:hAnsi="Arial" w:cs="Arial"/>
        </w:rPr>
        <w:t xml:space="preserve">. Available at: </w:t>
      </w:r>
      <w:hyperlink r:id="rId16" w:history="1">
        <w:r w:rsidRPr="00C729C0">
          <w:rPr>
            <w:rStyle w:val="Hyperlink"/>
            <w:rFonts w:ascii="Arial" w:eastAsiaTheme="majorEastAsia" w:hAnsi="Arial" w:cs="Arial"/>
          </w:rPr>
          <w:t>https://www.iea.org</w:t>
        </w:r>
      </w:hyperlink>
      <w:r w:rsidRPr="00C729C0">
        <w:rPr>
          <w:rFonts w:ascii="Arial" w:hAnsi="Arial" w:cs="Arial"/>
        </w:rPr>
        <w:t xml:space="preserve"> (Accessed: 17 March 2026).</w:t>
      </w:r>
    </w:p>
    <w:p w14:paraId="451F96C7" w14:textId="77777777" w:rsidR="00B55834" w:rsidRPr="00C729C0" w:rsidRDefault="00B55834" w:rsidP="0045227F">
      <w:pPr>
        <w:pStyle w:val="NormalWeb"/>
        <w:spacing w:line="360" w:lineRule="auto"/>
        <w:rPr>
          <w:rFonts w:ascii="Arial" w:hAnsi="Arial" w:cs="Arial"/>
        </w:rPr>
      </w:pPr>
      <w:r w:rsidRPr="00C729C0">
        <w:rPr>
          <w:rFonts w:ascii="Arial" w:hAnsi="Arial" w:cs="Arial"/>
        </w:rPr>
        <w:t xml:space="preserve">Kaplan, S.N. and Ruback, R.S. (1995) ‘The valuation of cash flow forecasts: An empirical analysis’, </w:t>
      </w:r>
      <w:r w:rsidRPr="00C729C0">
        <w:rPr>
          <w:rStyle w:val="Emphasis"/>
          <w:rFonts w:ascii="Arial" w:eastAsiaTheme="majorEastAsia" w:hAnsi="Arial" w:cs="Arial"/>
        </w:rPr>
        <w:t>Journal of Finance</w:t>
      </w:r>
      <w:r w:rsidRPr="00C729C0">
        <w:rPr>
          <w:rFonts w:ascii="Arial" w:hAnsi="Arial" w:cs="Arial"/>
        </w:rPr>
        <w:t>, 50(4), pp. 1059–1093.</w:t>
      </w:r>
    </w:p>
    <w:p w14:paraId="67E82EED" w14:textId="77777777" w:rsidR="00B55834" w:rsidRPr="00C729C0" w:rsidRDefault="00B55834" w:rsidP="0045227F">
      <w:pPr>
        <w:pStyle w:val="NormalWeb"/>
        <w:spacing w:line="360" w:lineRule="auto"/>
        <w:rPr>
          <w:rFonts w:ascii="Arial" w:hAnsi="Arial" w:cs="Arial"/>
        </w:rPr>
      </w:pPr>
      <w:r w:rsidRPr="00C729C0">
        <w:rPr>
          <w:rFonts w:ascii="Arial" w:hAnsi="Arial" w:cs="Arial"/>
        </w:rPr>
        <w:t xml:space="preserve">Koller, T., Goedhart, M. and Wessels, D. (2020) </w:t>
      </w:r>
      <w:r w:rsidRPr="00C729C0">
        <w:rPr>
          <w:rStyle w:val="Emphasis"/>
          <w:rFonts w:ascii="Arial" w:eastAsiaTheme="majorEastAsia" w:hAnsi="Arial" w:cs="Arial"/>
        </w:rPr>
        <w:t>Valuation: Measuring and Managing the Value of Companies</w:t>
      </w:r>
      <w:r w:rsidRPr="00C729C0">
        <w:rPr>
          <w:rFonts w:ascii="Arial" w:hAnsi="Arial" w:cs="Arial"/>
        </w:rPr>
        <w:t xml:space="preserve">. 7th </w:t>
      </w:r>
      <w:proofErr w:type="spellStart"/>
      <w:r w:rsidRPr="00C729C0">
        <w:rPr>
          <w:rFonts w:ascii="Arial" w:hAnsi="Arial" w:cs="Arial"/>
        </w:rPr>
        <w:t>edn</w:t>
      </w:r>
      <w:proofErr w:type="spellEnd"/>
      <w:r w:rsidRPr="00C729C0">
        <w:rPr>
          <w:rFonts w:ascii="Arial" w:hAnsi="Arial" w:cs="Arial"/>
        </w:rPr>
        <w:t>. Hoboken: Wiley.</w:t>
      </w:r>
    </w:p>
    <w:p w14:paraId="515D23BF" w14:textId="77777777" w:rsidR="00B55834" w:rsidRPr="00C729C0" w:rsidRDefault="00B55834" w:rsidP="0045227F">
      <w:pPr>
        <w:pStyle w:val="NormalWeb"/>
        <w:spacing w:line="360" w:lineRule="auto"/>
        <w:rPr>
          <w:rFonts w:ascii="Arial" w:hAnsi="Arial" w:cs="Arial"/>
        </w:rPr>
      </w:pPr>
      <w:r w:rsidRPr="00C729C0">
        <w:rPr>
          <w:rFonts w:ascii="Arial" w:hAnsi="Arial" w:cs="Arial"/>
        </w:rPr>
        <w:t xml:space="preserve">Lumby, S. and Jones, C. (2007) </w:t>
      </w:r>
      <w:r w:rsidRPr="00C729C0">
        <w:rPr>
          <w:rStyle w:val="Emphasis"/>
          <w:rFonts w:ascii="Arial" w:eastAsiaTheme="majorEastAsia" w:hAnsi="Arial" w:cs="Arial"/>
        </w:rPr>
        <w:t>Corporate Finance: Theory and Practice</w:t>
      </w:r>
      <w:r w:rsidRPr="00C729C0">
        <w:rPr>
          <w:rFonts w:ascii="Arial" w:hAnsi="Arial" w:cs="Arial"/>
        </w:rPr>
        <w:t>. London: Thomson Learning.</w:t>
      </w:r>
    </w:p>
    <w:p w14:paraId="7D313491" w14:textId="77777777" w:rsidR="00B55834" w:rsidRPr="00C729C0" w:rsidRDefault="00B55834" w:rsidP="0045227F">
      <w:pPr>
        <w:pStyle w:val="NormalWeb"/>
        <w:spacing w:line="360" w:lineRule="auto"/>
        <w:rPr>
          <w:rFonts w:ascii="Arial" w:hAnsi="Arial" w:cs="Arial"/>
        </w:rPr>
      </w:pPr>
      <w:r w:rsidRPr="00C729C0">
        <w:rPr>
          <w:rFonts w:ascii="Arial" w:hAnsi="Arial" w:cs="Arial"/>
        </w:rPr>
        <w:t xml:space="preserve">Modigliani, F. and Miller, M.H. (1963) ‘Corporate income taxes and the cost of capital: A correction’, </w:t>
      </w:r>
      <w:r w:rsidRPr="00C729C0">
        <w:rPr>
          <w:rStyle w:val="Emphasis"/>
          <w:rFonts w:ascii="Arial" w:eastAsiaTheme="majorEastAsia" w:hAnsi="Arial" w:cs="Arial"/>
        </w:rPr>
        <w:t>American Economic Review</w:t>
      </w:r>
      <w:r w:rsidRPr="00C729C0">
        <w:rPr>
          <w:rFonts w:ascii="Arial" w:hAnsi="Arial" w:cs="Arial"/>
        </w:rPr>
        <w:t>, 53(3), pp. 433–443.</w:t>
      </w:r>
    </w:p>
    <w:p w14:paraId="63BAAB3D" w14:textId="77777777" w:rsidR="00B55834" w:rsidRPr="00C729C0" w:rsidRDefault="00B55834" w:rsidP="0045227F">
      <w:pPr>
        <w:pStyle w:val="NormalWeb"/>
        <w:spacing w:line="360" w:lineRule="auto"/>
        <w:rPr>
          <w:rFonts w:ascii="Arial" w:hAnsi="Arial" w:cs="Arial"/>
        </w:rPr>
      </w:pPr>
      <w:r w:rsidRPr="00C729C0">
        <w:rPr>
          <w:rFonts w:ascii="Arial" w:hAnsi="Arial" w:cs="Arial"/>
        </w:rPr>
        <w:t xml:space="preserve">Myers, S.C. (1984) ‘The capital structure puzzle’, </w:t>
      </w:r>
      <w:r w:rsidRPr="00C729C0">
        <w:rPr>
          <w:rStyle w:val="Emphasis"/>
          <w:rFonts w:ascii="Arial" w:eastAsiaTheme="majorEastAsia" w:hAnsi="Arial" w:cs="Arial"/>
        </w:rPr>
        <w:t>Journal of Finance</w:t>
      </w:r>
      <w:r w:rsidRPr="00C729C0">
        <w:rPr>
          <w:rFonts w:ascii="Arial" w:hAnsi="Arial" w:cs="Arial"/>
        </w:rPr>
        <w:t>, 39(3), pp. 575–592.</w:t>
      </w:r>
    </w:p>
    <w:p w14:paraId="0B483A13" w14:textId="77777777" w:rsidR="00B55834" w:rsidRPr="00C729C0" w:rsidRDefault="00B55834" w:rsidP="0045227F">
      <w:pPr>
        <w:pStyle w:val="NormalWeb"/>
        <w:spacing w:line="360" w:lineRule="auto"/>
        <w:rPr>
          <w:rFonts w:ascii="Arial" w:hAnsi="Arial" w:cs="Arial"/>
        </w:rPr>
      </w:pPr>
      <w:r w:rsidRPr="00C729C0">
        <w:rPr>
          <w:rFonts w:ascii="Arial" w:hAnsi="Arial" w:cs="Arial"/>
        </w:rPr>
        <w:t xml:space="preserve">Myers, S.C. and Majluf, N.S. (1984) ‘Corporate financing and investment decisions when firms have information that investors do not have’, </w:t>
      </w:r>
      <w:r w:rsidRPr="00C729C0">
        <w:rPr>
          <w:rStyle w:val="Emphasis"/>
          <w:rFonts w:ascii="Arial" w:eastAsiaTheme="majorEastAsia" w:hAnsi="Arial" w:cs="Arial"/>
        </w:rPr>
        <w:t>Journal of Financial Economics</w:t>
      </w:r>
      <w:r w:rsidRPr="00C729C0">
        <w:rPr>
          <w:rFonts w:ascii="Arial" w:hAnsi="Arial" w:cs="Arial"/>
        </w:rPr>
        <w:t>, 13(2), pp. 187–221.</w:t>
      </w:r>
    </w:p>
    <w:p w14:paraId="6CE8A87E" w14:textId="77777777" w:rsidR="00B55834" w:rsidRPr="00C729C0" w:rsidRDefault="00B55834" w:rsidP="0045227F">
      <w:pPr>
        <w:pStyle w:val="NormalWeb"/>
        <w:spacing w:line="360" w:lineRule="auto"/>
        <w:rPr>
          <w:rFonts w:ascii="Arial" w:hAnsi="Arial" w:cs="Arial"/>
        </w:rPr>
      </w:pPr>
      <w:r w:rsidRPr="00C729C0">
        <w:rPr>
          <w:rFonts w:ascii="Arial" w:hAnsi="Arial" w:cs="Arial"/>
        </w:rPr>
        <w:t xml:space="preserve">Opler, T., </w:t>
      </w:r>
      <w:proofErr w:type="spellStart"/>
      <w:r w:rsidRPr="00C729C0">
        <w:rPr>
          <w:rFonts w:ascii="Arial" w:hAnsi="Arial" w:cs="Arial"/>
        </w:rPr>
        <w:t>Pinkowitz</w:t>
      </w:r>
      <w:proofErr w:type="spellEnd"/>
      <w:r w:rsidRPr="00C729C0">
        <w:rPr>
          <w:rFonts w:ascii="Arial" w:hAnsi="Arial" w:cs="Arial"/>
        </w:rPr>
        <w:t xml:space="preserve">, L., Stulz, R. and Williamson, R. (1999) ‘The determinants and implications of corporate cash holdings’, </w:t>
      </w:r>
      <w:r w:rsidRPr="00C729C0">
        <w:rPr>
          <w:rStyle w:val="Emphasis"/>
          <w:rFonts w:ascii="Arial" w:eastAsiaTheme="majorEastAsia" w:hAnsi="Arial" w:cs="Arial"/>
        </w:rPr>
        <w:t>Journal of Financial Economics</w:t>
      </w:r>
      <w:r w:rsidRPr="00C729C0">
        <w:rPr>
          <w:rFonts w:ascii="Arial" w:hAnsi="Arial" w:cs="Arial"/>
        </w:rPr>
        <w:t>, 52(1), pp. 3–46.</w:t>
      </w:r>
    </w:p>
    <w:p w14:paraId="3494CF74" w14:textId="77777777" w:rsidR="00B55834" w:rsidRPr="00C729C0" w:rsidRDefault="00B55834" w:rsidP="0045227F">
      <w:pPr>
        <w:pStyle w:val="NormalWeb"/>
        <w:spacing w:line="360" w:lineRule="auto"/>
        <w:rPr>
          <w:rFonts w:ascii="Arial" w:hAnsi="Arial" w:cs="Arial"/>
        </w:rPr>
      </w:pPr>
      <w:r w:rsidRPr="00C729C0">
        <w:rPr>
          <w:rFonts w:ascii="Arial" w:hAnsi="Arial" w:cs="Arial"/>
        </w:rPr>
        <w:t xml:space="preserve">Palepu, K.G. and Healy, P.M. (2013) </w:t>
      </w:r>
      <w:r w:rsidRPr="00C729C0">
        <w:rPr>
          <w:rStyle w:val="Emphasis"/>
          <w:rFonts w:ascii="Arial" w:eastAsiaTheme="majorEastAsia" w:hAnsi="Arial" w:cs="Arial"/>
        </w:rPr>
        <w:t>Business Analysis and Valuation</w:t>
      </w:r>
      <w:r w:rsidRPr="00C729C0">
        <w:rPr>
          <w:rFonts w:ascii="Arial" w:hAnsi="Arial" w:cs="Arial"/>
        </w:rPr>
        <w:t xml:space="preserve">. 5th </w:t>
      </w:r>
      <w:proofErr w:type="spellStart"/>
      <w:r w:rsidRPr="00C729C0">
        <w:rPr>
          <w:rFonts w:ascii="Arial" w:hAnsi="Arial" w:cs="Arial"/>
        </w:rPr>
        <w:t>edn</w:t>
      </w:r>
      <w:proofErr w:type="spellEnd"/>
      <w:r w:rsidRPr="00C729C0">
        <w:rPr>
          <w:rFonts w:ascii="Arial" w:hAnsi="Arial" w:cs="Arial"/>
        </w:rPr>
        <w:t>. Boston: Cengage Learning.</w:t>
      </w:r>
    </w:p>
    <w:p w14:paraId="4BE75B59" w14:textId="77777777" w:rsidR="00B55834" w:rsidRPr="00C729C0" w:rsidRDefault="00B55834" w:rsidP="0045227F">
      <w:pPr>
        <w:pStyle w:val="NormalWeb"/>
        <w:spacing w:line="360" w:lineRule="auto"/>
        <w:rPr>
          <w:rFonts w:ascii="Arial" w:hAnsi="Arial" w:cs="Arial"/>
        </w:rPr>
      </w:pPr>
      <w:r w:rsidRPr="00C729C0">
        <w:rPr>
          <w:rFonts w:ascii="Arial" w:hAnsi="Arial" w:cs="Arial"/>
        </w:rPr>
        <w:lastRenderedPageBreak/>
        <w:t xml:space="preserve">Penman, S.H. (2013) </w:t>
      </w:r>
      <w:r w:rsidRPr="00C729C0">
        <w:rPr>
          <w:rStyle w:val="Emphasis"/>
          <w:rFonts w:ascii="Arial" w:eastAsiaTheme="majorEastAsia" w:hAnsi="Arial" w:cs="Arial"/>
        </w:rPr>
        <w:t>Financial Statement Analysis and Security Valuation</w:t>
      </w:r>
      <w:r w:rsidRPr="00C729C0">
        <w:rPr>
          <w:rFonts w:ascii="Arial" w:hAnsi="Arial" w:cs="Arial"/>
        </w:rPr>
        <w:t xml:space="preserve">. 5th </w:t>
      </w:r>
      <w:proofErr w:type="spellStart"/>
      <w:r w:rsidRPr="00C729C0">
        <w:rPr>
          <w:rFonts w:ascii="Arial" w:hAnsi="Arial" w:cs="Arial"/>
        </w:rPr>
        <w:t>edn</w:t>
      </w:r>
      <w:proofErr w:type="spellEnd"/>
      <w:r w:rsidRPr="00C729C0">
        <w:rPr>
          <w:rFonts w:ascii="Arial" w:hAnsi="Arial" w:cs="Arial"/>
        </w:rPr>
        <w:t>. New York: McGraw-Hill Education.</w:t>
      </w:r>
    </w:p>
    <w:p w14:paraId="05A846BE" w14:textId="77777777" w:rsidR="00B55834" w:rsidRPr="00C729C0" w:rsidRDefault="00B55834" w:rsidP="0045227F">
      <w:pPr>
        <w:pStyle w:val="NormalWeb"/>
        <w:spacing w:line="360" w:lineRule="auto"/>
        <w:rPr>
          <w:rFonts w:ascii="Arial" w:hAnsi="Arial" w:cs="Arial"/>
        </w:rPr>
      </w:pPr>
      <w:r w:rsidRPr="00C729C0">
        <w:rPr>
          <w:rFonts w:ascii="Arial" w:hAnsi="Arial" w:cs="Arial"/>
        </w:rPr>
        <w:t xml:space="preserve">Peterson, P.P. and Fabozzi, F.J. (2002) </w:t>
      </w:r>
      <w:r w:rsidRPr="00C729C0">
        <w:rPr>
          <w:rStyle w:val="Emphasis"/>
          <w:rFonts w:ascii="Arial" w:eastAsiaTheme="majorEastAsia" w:hAnsi="Arial" w:cs="Arial"/>
        </w:rPr>
        <w:t>Capital Budgeting: Theory and Practice</w:t>
      </w:r>
      <w:r w:rsidRPr="00C729C0">
        <w:rPr>
          <w:rFonts w:ascii="Arial" w:hAnsi="Arial" w:cs="Arial"/>
        </w:rPr>
        <w:t>. New York: Wiley.</w:t>
      </w:r>
    </w:p>
    <w:p w14:paraId="23AE9F99" w14:textId="77777777" w:rsidR="00B55834" w:rsidRPr="00C729C0" w:rsidRDefault="00B55834" w:rsidP="0045227F">
      <w:pPr>
        <w:pStyle w:val="NormalWeb"/>
        <w:spacing w:line="360" w:lineRule="auto"/>
        <w:rPr>
          <w:rFonts w:ascii="Arial" w:hAnsi="Arial" w:cs="Arial"/>
        </w:rPr>
      </w:pPr>
      <w:r w:rsidRPr="00C729C0">
        <w:rPr>
          <w:rFonts w:ascii="Arial" w:hAnsi="Arial" w:cs="Arial"/>
        </w:rPr>
        <w:t xml:space="preserve">Pike, R. and Neale, B. (2018) </w:t>
      </w:r>
      <w:r w:rsidRPr="00C729C0">
        <w:rPr>
          <w:rStyle w:val="Emphasis"/>
          <w:rFonts w:ascii="Arial" w:eastAsiaTheme="majorEastAsia" w:hAnsi="Arial" w:cs="Arial"/>
        </w:rPr>
        <w:t>Corporate Finance and Investment: Decisions and Strategies</w:t>
      </w:r>
      <w:r w:rsidRPr="00C729C0">
        <w:rPr>
          <w:rFonts w:ascii="Arial" w:hAnsi="Arial" w:cs="Arial"/>
        </w:rPr>
        <w:t xml:space="preserve">. 8th </w:t>
      </w:r>
      <w:proofErr w:type="spellStart"/>
      <w:r w:rsidRPr="00C729C0">
        <w:rPr>
          <w:rFonts w:ascii="Arial" w:hAnsi="Arial" w:cs="Arial"/>
        </w:rPr>
        <w:t>edn</w:t>
      </w:r>
      <w:proofErr w:type="spellEnd"/>
      <w:r w:rsidRPr="00C729C0">
        <w:rPr>
          <w:rFonts w:ascii="Arial" w:hAnsi="Arial" w:cs="Arial"/>
        </w:rPr>
        <w:t>. Harlow: Pearson.</w:t>
      </w:r>
    </w:p>
    <w:p w14:paraId="7D2D6960" w14:textId="77777777" w:rsidR="00B55834" w:rsidRPr="00C729C0" w:rsidRDefault="00B55834" w:rsidP="0045227F">
      <w:pPr>
        <w:pStyle w:val="NormalWeb"/>
        <w:spacing w:line="360" w:lineRule="auto"/>
        <w:rPr>
          <w:rFonts w:ascii="Arial" w:hAnsi="Arial" w:cs="Arial"/>
        </w:rPr>
      </w:pPr>
      <w:r w:rsidRPr="00C729C0">
        <w:rPr>
          <w:rFonts w:ascii="Arial" w:hAnsi="Arial" w:cs="Arial"/>
        </w:rPr>
        <w:t xml:space="preserve">Richards, V.D. and Laughlin, E.J. (1980) ‘A cash conversion cycle approach to liquidity analysis’, </w:t>
      </w:r>
      <w:r w:rsidRPr="00C729C0">
        <w:rPr>
          <w:rStyle w:val="Emphasis"/>
          <w:rFonts w:ascii="Arial" w:eastAsiaTheme="majorEastAsia" w:hAnsi="Arial" w:cs="Arial"/>
        </w:rPr>
        <w:t>Financial Management</w:t>
      </w:r>
      <w:r w:rsidRPr="00C729C0">
        <w:rPr>
          <w:rFonts w:ascii="Arial" w:hAnsi="Arial" w:cs="Arial"/>
        </w:rPr>
        <w:t>, 9(1), pp. 32–38.</w:t>
      </w:r>
    </w:p>
    <w:p w14:paraId="52307BF0" w14:textId="77777777" w:rsidR="00B55834" w:rsidRPr="00C729C0" w:rsidRDefault="00B55834" w:rsidP="0045227F">
      <w:pPr>
        <w:pStyle w:val="NormalWeb"/>
        <w:spacing w:line="360" w:lineRule="auto"/>
        <w:rPr>
          <w:rFonts w:ascii="Arial" w:hAnsi="Arial" w:cs="Arial"/>
        </w:rPr>
      </w:pPr>
      <w:r w:rsidRPr="00C729C0">
        <w:rPr>
          <w:rFonts w:ascii="Arial" w:hAnsi="Arial" w:cs="Arial"/>
        </w:rPr>
        <w:t xml:space="preserve">Ross, S.A., Westerfield, R.W. and Jordan, B.D. (2022) </w:t>
      </w:r>
      <w:r w:rsidRPr="00C729C0">
        <w:rPr>
          <w:rStyle w:val="Emphasis"/>
          <w:rFonts w:ascii="Arial" w:eastAsiaTheme="majorEastAsia" w:hAnsi="Arial" w:cs="Arial"/>
        </w:rPr>
        <w:t>Fundamentals of Corporate Finance</w:t>
      </w:r>
      <w:r w:rsidRPr="00C729C0">
        <w:rPr>
          <w:rFonts w:ascii="Arial" w:hAnsi="Arial" w:cs="Arial"/>
        </w:rPr>
        <w:t xml:space="preserve">. 13th </w:t>
      </w:r>
      <w:proofErr w:type="spellStart"/>
      <w:r w:rsidRPr="00C729C0">
        <w:rPr>
          <w:rFonts w:ascii="Arial" w:hAnsi="Arial" w:cs="Arial"/>
        </w:rPr>
        <w:t>edn</w:t>
      </w:r>
      <w:proofErr w:type="spellEnd"/>
      <w:r w:rsidRPr="00C729C0">
        <w:rPr>
          <w:rFonts w:ascii="Arial" w:hAnsi="Arial" w:cs="Arial"/>
        </w:rPr>
        <w:t>. New York: McGraw-Hill Education.</w:t>
      </w:r>
    </w:p>
    <w:p w14:paraId="290F8DF7" w14:textId="77777777" w:rsidR="00B55834" w:rsidRPr="00C729C0" w:rsidRDefault="00B55834" w:rsidP="0045227F">
      <w:pPr>
        <w:pStyle w:val="NormalWeb"/>
        <w:spacing w:line="360" w:lineRule="auto"/>
        <w:rPr>
          <w:rFonts w:ascii="Arial" w:hAnsi="Arial" w:cs="Arial"/>
        </w:rPr>
      </w:pPr>
      <w:r w:rsidRPr="00C729C0">
        <w:rPr>
          <w:rFonts w:ascii="Arial" w:hAnsi="Arial" w:cs="Arial"/>
        </w:rPr>
        <w:t xml:space="preserve">Shin, H.H. and Soenen, L. (1998) ‘Efficiency of working capital management and corporate profitability’, </w:t>
      </w:r>
      <w:r w:rsidRPr="00C729C0">
        <w:rPr>
          <w:rStyle w:val="Emphasis"/>
          <w:rFonts w:ascii="Arial" w:eastAsiaTheme="majorEastAsia" w:hAnsi="Arial" w:cs="Arial"/>
        </w:rPr>
        <w:t>Financial Practice and Education</w:t>
      </w:r>
      <w:r w:rsidRPr="00C729C0">
        <w:rPr>
          <w:rFonts w:ascii="Arial" w:hAnsi="Arial" w:cs="Arial"/>
        </w:rPr>
        <w:t>, 8(2), pp. 37–45.</w:t>
      </w:r>
    </w:p>
    <w:p w14:paraId="54C60629" w14:textId="77777777" w:rsidR="00B55834" w:rsidRPr="00C729C0" w:rsidRDefault="00B55834" w:rsidP="0045227F">
      <w:pPr>
        <w:pStyle w:val="NormalWeb"/>
        <w:spacing w:line="360" w:lineRule="auto"/>
        <w:rPr>
          <w:rFonts w:ascii="Arial" w:hAnsi="Arial" w:cs="Arial"/>
        </w:rPr>
      </w:pPr>
      <w:r w:rsidRPr="00C729C0">
        <w:rPr>
          <w:rFonts w:ascii="Arial" w:hAnsi="Arial" w:cs="Arial"/>
        </w:rPr>
        <w:t xml:space="preserve">Statista (2024) </w:t>
      </w:r>
      <w:r w:rsidRPr="00C729C0">
        <w:rPr>
          <w:rStyle w:val="Emphasis"/>
          <w:rFonts w:ascii="Arial" w:eastAsiaTheme="majorEastAsia" w:hAnsi="Arial" w:cs="Arial"/>
        </w:rPr>
        <w:t>Global electric vehicle market statistics</w:t>
      </w:r>
      <w:r w:rsidRPr="00C729C0">
        <w:rPr>
          <w:rFonts w:ascii="Arial" w:hAnsi="Arial" w:cs="Arial"/>
        </w:rPr>
        <w:t xml:space="preserve">. Available at: </w:t>
      </w:r>
      <w:hyperlink r:id="rId17" w:history="1">
        <w:r w:rsidRPr="00C729C0">
          <w:rPr>
            <w:rStyle w:val="Hyperlink"/>
            <w:rFonts w:ascii="Arial" w:eastAsiaTheme="majorEastAsia" w:hAnsi="Arial" w:cs="Arial"/>
          </w:rPr>
          <w:t>https://www.statista.com</w:t>
        </w:r>
      </w:hyperlink>
      <w:r w:rsidRPr="00C729C0">
        <w:rPr>
          <w:rFonts w:ascii="Arial" w:hAnsi="Arial" w:cs="Arial"/>
        </w:rPr>
        <w:t xml:space="preserve"> (Accessed: 17 March 2026).</w:t>
      </w:r>
    </w:p>
    <w:p w14:paraId="4BE72D08" w14:textId="77777777" w:rsidR="00B55834" w:rsidRPr="00C729C0" w:rsidRDefault="00B55834" w:rsidP="0045227F">
      <w:pPr>
        <w:pStyle w:val="NormalWeb"/>
        <w:spacing w:line="360" w:lineRule="auto"/>
        <w:rPr>
          <w:rFonts w:ascii="Arial" w:hAnsi="Arial" w:cs="Arial"/>
        </w:rPr>
      </w:pPr>
      <w:r w:rsidRPr="00C729C0">
        <w:rPr>
          <w:rFonts w:ascii="Arial" w:hAnsi="Arial" w:cs="Arial"/>
        </w:rPr>
        <w:t xml:space="preserve">Tesla Inc. (2019) </w:t>
      </w:r>
      <w:r w:rsidRPr="00C729C0">
        <w:rPr>
          <w:rStyle w:val="Emphasis"/>
          <w:rFonts w:ascii="Arial" w:eastAsiaTheme="majorEastAsia" w:hAnsi="Arial" w:cs="Arial"/>
        </w:rPr>
        <w:t>Annual Report 2019</w:t>
      </w:r>
      <w:r w:rsidRPr="00C729C0">
        <w:rPr>
          <w:rFonts w:ascii="Arial" w:hAnsi="Arial" w:cs="Arial"/>
        </w:rPr>
        <w:t xml:space="preserve">. Available at: </w:t>
      </w:r>
      <w:hyperlink r:id="rId18" w:history="1">
        <w:r w:rsidRPr="00C729C0">
          <w:rPr>
            <w:rStyle w:val="Hyperlink"/>
            <w:rFonts w:ascii="Arial" w:eastAsiaTheme="majorEastAsia" w:hAnsi="Arial" w:cs="Arial"/>
          </w:rPr>
          <w:t>https://www.tesla.com</w:t>
        </w:r>
      </w:hyperlink>
      <w:r w:rsidRPr="00C729C0">
        <w:rPr>
          <w:rFonts w:ascii="Arial" w:hAnsi="Arial" w:cs="Arial"/>
        </w:rPr>
        <w:t xml:space="preserve"> (Accessed: 17 March 2026).</w:t>
      </w:r>
    </w:p>
    <w:p w14:paraId="7EB77973" w14:textId="77777777" w:rsidR="00B55834" w:rsidRPr="00C729C0" w:rsidRDefault="00B55834" w:rsidP="0045227F">
      <w:pPr>
        <w:pStyle w:val="NormalWeb"/>
        <w:spacing w:line="360" w:lineRule="auto"/>
        <w:rPr>
          <w:rFonts w:ascii="Arial" w:hAnsi="Arial" w:cs="Arial"/>
        </w:rPr>
      </w:pPr>
      <w:r w:rsidRPr="00C729C0">
        <w:rPr>
          <w:rFonts w:ascii="Arial" w:hAnsi="Arial" w:cs="Arial"/>
        </w:rPr>
        <w:t xml:space="preserve">Tesla Inc. (2020) </w:t>
      </w:r>
      <w:r w:rsidRPr="00C729C0">
        <w:rPr>
          <w:rStyle w:val="Emphasis"/>
          <w:rFonts w:ascii="Arial" w:eastAsiaTheme="majorEastAsia" w:hAnsi="Arial" w:cs="Arial"/>
        </w:rPr>
        <w:t>Annual Report 2020</w:t>
      </w:r>
      <w:r w:rsidRPr="00C729C0">
        <w:rPr>
          <w:rFonts w:ascii="Arial" w:hAnsi="Arial" w:cs="Arial"/>
        </w:rPr>
        <w:t xml:space="preserve">. Available at: </w:t>
      </w:r>
      <w:hyperlink r:id="rId19" w:history="1">
        <w:r w:rsidRPr="00C729C0">
          <w:rPr>
            <w:rStyle w:val="Hyperlink"/>
            <w:rFonts w:ascii="Arial" w:eastAsiaTheme="majorEastAsia" w:hAnsi="Arial" w:cs="Arial"/>
          </w:rPr>
          <w:t>https://www.tesla.com</w:t>
        </w:r>
      </w:hyperlink>
      <w:r w:rsidRPr="00C729C0">
        <w:rPr>
          <w:rFonts w:ascii="Arial" w:hAnsi="Arial" w:cs="Arial"/>
        </w:rPr>
        <w:t xml:space="preserve"> (Accessed: 17 March 2026).</w:t>
      </w:r>
    </w:p>
    <w:p w14:paraId="5FBB200B" w14:textId="77777777" w:rsidR="00B55834" w:rsidRPr="00C729C0" w:rsidRDefault="00B55834" w:rsidP="0045227F">
      <w:pPr>
        <w:pStyle w:val="NormalWeb"/>
        <w:spacing w:line="360" w:lineRule="auto"/>
        <w:rPr>
          <w:rFonts w:ascii="Arial" w:hAnsi="Arial" w:cs="Arial"/>
        </w:rPr>
      </w:pPr>
      <w:r w:rsidRPr="00C729C0">
        <w:rPr>
          <w:rFonts w:ascii="Arial" w:hAnsi="Arial" w:cs="Arial"/>
        </w:rPr>
        <w:t xml:space="preserve">Tesla Inc. (2021) </w:t>
      </w:r>
      <w:r w:rsidRPr="00C729C0">
        <w:rPr>
          <w:rStyle w:val="Emphasis"/>
          <w:rFonts w:ascii="Arial" w:eastAsiaTheme="majorEastAsia" w:hAnsi="Arial" w:cs="Arial"/>
        </w:rPr>
        <w:t>Annual Report 2021</w:t>
      </w:r>
      <w:r w:rsidRPr="00C729C0">
        <w:rPr>
          <w:rFonts w:ascii="Arial" w:hAnsi="Arial" w:cs="Arial"/>
        </w:rPr>
        <w:t xml:space="preserve">. Available at: </w:t>
      </w:r>
      <w:hyperlink r:id="rId20" w:history="1">
        <w:r w:rsidRPr="00C729C0">
          <w:rPr>
            <w:rStyle w:val="Hyperlink"/>
            <w:rFonts w:ascii="Arial" w:eastAsiaTheme="majorEastAsia" w:hAnsi="Arial" w:cs="Arial"/>
          </w:rPr>
          <w:t>https://www.tesla.com</w:t>
        </w:r>
      </w:hyperlink>
      <w:r w:rsidRPr="00C729C0">
        <w:rPr>
          <w:rFonts w:ascii="Arial" w:hAnsi="Arial" w:cs="Arial"/>
        </w:rPr>
        <w:t xml:space="preserve"> (Accessed: 17 March 2026).</w:t>
      </w:r>
    </w:p>
    <w:p w14:paraId="28C93C29" w14:textId="77777777" w:rsidR="00B55834" w:rsidRPr="00C729C0" w:rsidRDefault="00B55834" w:rsidP="0045227F">
      <w:pPr>
        <w:pStyle w:val="NormalWeb"/>
        <w:spacing w:line="360" w:lineRule="auto"/>
        <w:rPr>
          <w:rFonts w:ascii="Arial" w:hAnsi="Arial" w:cs="Arial"/>
        </w:rPr>
      </w:pPr>
      <w:r w:rsidRPr="00C729C0">
        <w:rPr>
          <w:rFonts w:ascii="Arial" w:hAnsi="Arial" w:cs="Arial"/>
        </w:rPr>
        <w:t xml:space="preserve">Tesla Inc. (2022) </w:t>
      </w:r>
      <w:r w:rsidRPr="00C729C0">
        <w:rPr>
          <w:rStyle w:val="Emphasis"/>
          <w:rFonts w:ascii="Arial" w:eastAsiaTheme="majorEastAsia" w:hAnsi="Arial" w:cs="Arial"/>
        </w:rPr>
        <w:t>Annual Report 2022</w:t>
      </w:r>
      <w:r w:rsidRPr="00C729C0">
        <w:rPr>
          <w:rFonts w:ascii="Arial" w:hAnsi="Arial" w:cs="Arial"/>
        </w:rPr>
        <w:t xml:space="preserve">. Available at: </w:t>
      </w:r>
      <w:hyperlink r:id="rId21" w:history="1">
        <w:r w:rsidRPr="00C729C0">
          <w:rPr>
            <w:rStyle w:val="Hyperlink"/>
            <w:rFonts w:ascii="Arial" w:eastAsiaTheme="majorEastAsia" w:hAnsi="Arial" w:cs="Arial"/>
          </w:rPr>
          <w:t>https://www.tesla.com</w:t>
        </w:r>
      </w:hyperlink>
      <w:r w:rsidRPr="00C729C0">
        <w:rPr>
          <w:rFonts w:ascii="Arial" w:hAnsi="Arial" w:cs="Arial"/>
        </w:rPr>
        <w:t xml:space="preserve"> (Accessed: 17 March 2026).</w:t>
      </w:r>
    </w:p>
    <w:p w14:paraId="4B15B587" w14:textId="77777777" w:rsidR="00B55834" w:rsidRPr="00C729C0" w:rsidRDefault="00B55834" w:rsidP="0045227F">
      <w:pPr>
        <w:pStyle w:val="NormalWeb"/>
        <w:spacing w:line="360" w:lineRule="auto"/>
        <w:rPr>
          <w:rFonts w:ascii="Arial" w:hAnsi="Arial" w:cs="Arial"/>
        </w:rPr>
      </w:pPr>
      <w:r w:rsidRPr="00C729C0">
        <w:rPr>
          <w:rFonts w:ascii="Arial" w:hAnsi="Arial" w:cs="Arial"/>
        </w:rPr>
        <w:t xml:space="preserve">Tesla Inc. (2023) </w:t>
      </w:r>
      <w:r w:rsidRPr="00C729C0">
        <w:rPr>
          <w:rStyle w:val="Emphasis"/>
          <w:rFonts w:ascii="Arial" w:eastAsiaTheme="majorEastAsia" w:hAnsi="Arial" w:cs="Arial"/>
        </w:rPr>
        <w:t>Annual Report 2023</w:t>
      </w:r>
      <w:r w:rsidRPr="00C729C0">
        <w:rPr>
          <w:rFonts w:ascii="Arial" w:hAnsi="Arial" w:cs="Arial"/>
        </w:rPr>
        <w:t xml:space="preserve">. Available at: </w:t>
      </w:r>
      <w:hyperlink r:id="rId22" w:history="1">
        <w:r w:rsidRPr="00C729C0">
          <w:rPr>
            <w:rStyle w:val="Hyperlink"/>
            <w:rFonts w:ascii="Arial" w:eastAsiaTheme="majorEastAsia" w:hAnsi="Arial" w:cs="Arial"/>
          </w:rPr>
          <w:t>https://w</w:t>
        </w:r>
        <w:r w:rsidRPr="00C729C0">
          <w:rPr>
            <w:rStyle w:val="Hyperlink"/>
            <w:rFonts w:ascii="Arial" w:eastAsiaTheme="majorEastAsia" w:hAnsi="Arial" w:cs="Arial"/>
          </w:rPr>
          <w:t>w</w:t>
        </w:r>
        <w:r w:rsidRPr="00C729C0">
          <w:rPr>
            <w:rStyle w:val="Hyperlink"/>
            <w:rFonts w:ascii="Arial" w:eastAsiaTheme="majorEastAsia" w:hAnsi="Arial" w:cs="Arial"/>
          </w:rPr>
          <w:t>w.tesla.com</w:t>
        </w:r>
      </w:hyperlink>
      <w:r w:rsidRPr="00C729C0">
        <w:rPr>
          <w:rFonts w:ascii="Arial" w:hAnsi="Arial" w:cs="Arial"/>
        </w:rPr>
        <w:t xml:space="preserve"> (Accessed: 17 March 2026).</w:t>
      </w:r>
    </w:p>
    <w:p w14:paraId="1AE1E492" w14:textId="77777777" w:rsidR="00B55834" w:rsidRPr="00C729C0" w:rsidRDefault="00B55834" w:rsidP="0045227F">
      <w:pPr>
        <w:pStyle w:val="NormalWeb"/>
        <w:spacing w:line="360" w:lineRule="auto"/>
        <w:rPr>
          <w:rFonts w:ascii="Arial" w:hAnsi="Arial" w:cs="Arial"/>
        </w:rPr>
      </w:pPr>
      <w:r w:rsidRPr="00C729C0">
        <w:rPr>
          <w:rFonts w:ascii="Arial" w:hAnsi="Arial" w:cs="Arial"/>
        </w:rPr>
        <w:lastRenderedPageBreak/>
        <w:t xml:space="preserve">Titman, S., Keown, A.J. and Martin, J.D. (2018) </w:t>
      </w:r>
      <w:r w:rsidRPr="00C729C0">
        <w:rPr>
          <w:rStyle w:val="Emphasis"/>
          <w:rFonts w:ascii="Arial" w:eastAsiaTheme="majorEastAsia" w:hAnsi="Arial" w:cs="Arial"/>
        </w:rPr>
        <w:t>Financial Management: Principles and Applications</w:t>
      </w:r>
      <w:r w:rsidRPr="00C729C0">
        <w:rPr>
          <w:rFonts w:ascii="Arial" w:hAnsi="Arial" w:cs="Arial"/>
        </w:rPr>
        <w:t xml:space="preserve">. 13th </w:t>
      </w:r>
      <w:proofErr w:type="spellStart"/>
      <w:r w:rsidRPr="00C729C0">
        <w:rPr>
          <w:rFonts w:ascii="Arial" w:hAnsi="Arial" w:cs="Arial"/>
        </w:rPr>
        <w:t>edn</w:t>
      </w:r>
      <w:proofErr w:type="spellEnd"/>
      <w:r w:rsidRPr="00C729C0">
        <w:rPr>
          <w:rFonts w:ascii="Arial" w:hAnsi="Arial" w:cs="Arial"/>
        </w:rPr>
        <w:t>. Harlow: Pearson.</w:t>
      </w:r>
    </w:p>
    <w:p w14:paraId="670A776C" w14:textId="77777777" w:rsidR="00B55834" w:rsidRPr="00C729C0" w:rsidRDefault="00B55834" w:rsidP="0045227F">
      <w:pPr>
        <w:pStyle w:val="NormalWeb"/>
        <w:spacing w:line="360" w:lineRule="auto"/>
        <w:rPr>
          <w:rFonts w:ascii="Arial" w:hAnsi="Arial" w:cs="Arial"/>
        </w:rPr>
      </w:pPr>
      <w:r w:rsidRPr="00C729C0">
        <w:rPr>
          <w:rFonts w:ascii="Arial" w:hAnsi="Arial" w:cs="Arial"/>
        </w:rPr>
        <w:t xml:space="preserve">Van Horne, J.C. and Wachowicz, J.M. (2008) </w:t>
      </w:r>
      <w:r w:rsidRPr="00C729C0">
        <w:rPr>
          <w:rStyle w:val="Emphasis"/>
          <w:rFonts w:ascii="Arial" w:eastAsiaTheme="majorEastAsia" w:hAnsi="Arial" w:cs="Arial"/>
        </w:rPr>
        <w:t>Fundamentals of Financial Management</w:t>
      </w:r>
      <w:r w:rsidRPr="00C729C0">
        <w:rPr>
          <w:rFonts w:ascii="Arial" w:hAnsi="Arial" w:cs="Arial"/>
        </w:rPr>
        <w:t xml:space="preserve">. 13th </w:t>
      </w:r>
      <w:proofErr w:type="spellStart"/>
      <w:r w:rsidRPr="00C729C0">
        <w:rPr>
          <w:rFonts w:ascii="Arial" w:hAnsi="Arial" w:cs="Arial"/>
        </w:rPr>
        <w:t>edn</w:t>
      </w:r>
      <w:proofErr w:type="spellEnd"/>
      <w:r w:rsidRPr="00C729C0">
        <w:rPr>
          <w:rFonts w:ascii="Arial" w:hAnsi="Arial" w:cs="Arial"/>
        </w:rPr>
        <w:t>. Harlow: Pearson.</w:t>
      </w:r>
    </w:p>
    <w:p w14:paraId="179467E4" w14:textId="77777777" w:rsidR="00B55834" w:rsidRPr="00C729C0" w:rsidRDefault="00B55834" w:rsidP="0045227F">
      <w:pPr>
        <w:pStyle w:val="NormalWeb"/>
        <w:spacing w:line="360" w:lineRule="auto"/>
        <w:rPr>
          <w:rFonts w:ascii="Arial" w:hAnsi="Arial" w:cs="Arial"/>
        </w:rPr>
      </w:pPr>
      <w:proofErr w:type="spellStart"/>
      <w:r w:rsidRPr="00C729C0">
        <w:rPr>
          <w:rFonts w:ascii="Arial" w:hAnsi="Arial" w:cs="Arial"/>
        </w:rPr>
        <w:t>Vernimmen</w:t>
      </w:r>
      <w:proofErr w:type="spellEnd"/>
      <w:r w:rsidRPr="00C729C0">
        <w:rPr>
          <w:rFonts w:ascii="Arial" w:hAnsi="Arial" w:cs="Arial"/>
        </w:rPr>
        <w:t xml:space="preserve">, P., </w:t>
      </w:r>
      <w:proofErr w:type="spellStart"/>
      <w:r w:rsidRPr="00C729C0">
        <w:rPr>
          <w:rFonts w:ascii="Arial" w:hAnsi="Arial" w:cs="Arial"/>
        </w:rPr>
        <w:t>Quiry</w:t>
      </w:r>
      <w:proofErr w:type="spellEnd"/>
      <w:r w:rsidRPr="00C729C0">
        <w:rPr>
          <w:rFonts w:ascii="Arial" w:hAnsi="Arial" w:cs="Arial"/>
        </w:rPr>
        <w:t xml:space="preserve">, P., </w:t>
      </w:r>
      <w:proofErr w:type="spellStart"/>
      <w:r w:rsidRPr="00C729C0">
        <w:rPr>
          <w:rFonts w:ascii="Arial" w:hAnsi="Arial" w:cs="Arial"/>
        </w:rPr>
        <w:t>Dallocchio</w:t>
      </w:r>
      <w:proofErr w:type="spellEnd"/>
      <w:r w:rsidRPr="00C729C0">
        <w:rPr>
          <w:rFonts w:ascii="Arial" w:hAnsi="Arial" w:cs="Arial"/>
        </w:rPr>
        <w:t xml:space="preserve">, M., Le Fur, Y. and Salvi, A. (2018) </w:t>
      </w:r>
      <w:r w:rsidRPr="00C729C0">
        <w:rPr>
          <w:rStyle w:val="Emphasis"/>
          <w:rFonts w:ascii="Arial" w:eastAsiaTheme="majorEastAsia" w:hAnsi="Arial" w:cs="Arial"/>
        </w:rPr>
        <w:t>Corporate Finance: Theory and Practice</w:t>
      </w:r>
      <w:r w:rsidRPr="00C729C0">
        <w:rPr>
          <w:rFonts w:ascii="Arial" w:hAnsi="Arial" w:cs="Arial"/>
        </w:rPr>
        <w:t xml:space="preserve">. 5th </w:t>
      </w:r>
      <w:proofErr w:type="spellStart"/>
      <w:r w:rsidRPr="00C729C0">
        <w:rPr>
          <w:rFonts w:ascii="Arial" w:hAnsi="Arial" w:cs="Arial"/>
        </w:rPr>
        <w:t>edn</w:t>
      </w:r>
      <w:proofErr w:type="spellEnd"/>
      <w:r w:rsidRPr="00C729C0">
        <w:rPr>
          <w:rFonts w:ascii="Arial" w:hAnsi="Arial" w:cs="Arial"/>
        </w:rPr>
        <w:t>. Chichester: Wiley.</w:t>
      </w:r>
    </w:p>
    <w:p w14:paraId="336260C2" w14:textId="77777777" w:rsidR="00B55834" w:rsidRPr="00C729C0" w:rsidRDefault="00B55834" w:rsidP="0045227F">
      <w:pPr>
        <w:pStyle w:val="NormalWeb"/>
        <w:spacing w:line="360" w:lineRule="auto"/>
        <w:rPr>
          <w:rFonts w:ascii="Arial" w:hAnsi="Arial" w:cs="Arial"/>
        </w:rPr>
      </w:pPr>
      <w:r w:rsidRPr="00C729C0">
        <w:rPr>
          <w:rFonts w:ascii="Arial" w:hAnsi="Arial" w:cs="Arial"/>
        </w:rPr>
        <w:t xml:space="preserve">Watson, D. and Head, A. (2019) </w:t>
      </w:r>
      <w:r w:rsidRPr="00C729C0">
        <w:rPr>
          <w:rStyle w:val="Emphasis"/>
          <w:rFonts w:ascii="Arial" w:eastAsiaTheme="majorEastAsia" w:hAnsi="Arial" w:cs="Arial"/>
        </w:rPr>
        <w:t>Corporate Finance: Principles and Practice</w:t>
      </w:r>
      <w:r w:rsidRPr="00C729C0">
        <w:rPr>
          <w:rFonts w:ascii="Arial" w:hAnsi="Arial" w:cs="Arial"/>
        </w:rPr>
        <w:t xml:space="preserve">. 8th </w:t>
      </w:r>
      <w:proofErr w:type="spellStart"/>
      <w:r w:rsidRPr="00C729C0">
        <w:rPr>
          <w:rFonts w:ascii="Arial" w:hAnsi="Arial" w:cs="Arial"/>
        </w:rPr>
        <w:t>edn</w:t>
      </w:r>
      <w:proofErr w:type="spellEnd"/>
      <w:r w:rsidRPr="00C729C0">
        <w:rPr>
          <w:rFonts w:ascii="Arial" w:hAnsi="Arial" w:cs="Arial"/>
        </w:rPr>
        <w:t>. Harlow: Pearson.</w:t>
      </w:r>
    </w:p>
    <w:p w14:paraId="6026BE87" w14:textId="77777777" w:rsidR="00B55834" w:rsidRPr="00C729C0" w:rsidRDefault="00B55834" w:rsidP="0045227F">
      <w:pPr>
        <w:pStyle w:val="NormalWeb"/>
        <w:spacing w:line="360" w:lineRule="auto"/>
        <w:rPr>
          <w:rFonts w:ascii="Arial" w:hAnsi="Arial" w:cs="Arial"/>
        </w:rPr>
      </w:pPr>
      <w:r w:rsidRPr="00C729C0">
        <w:rPr>
          <w:rFonts w:ascii="Arial" w:hAnsi="Arial" w:cs="Arial"/>
        </w:rPr>
        <w:t xml:space="preserve">White, G.I., Sondhi, A.C. and Fried, D. (2003) </w:t>
      </w:r>
      <w:r w:rsidRPr="00C729C0">
        <w:rPr>
          <w:rStyle w:val="Emphasis"/>
          <w:rFonts w:ascii="Arial" w:eastAsiaTheme="majorEastAsia" w:hAnsi="Arial" w:cs="Arial"/>
        </w:rPr>
        <w:t>The Analysis and Use of Financial Statements</w:t>
      </w:r>
      <w:r w:rsidRPr="00C729C0">
        <w:rPr>
          <w:rFonts w:ascii="Arial" w:hAnsi="Arial" w:cs="Arial"/>
        </w:rPr>
        <w:t xml:space="preserve">. 3rd </w:t>
      </w:r>
      <w:proofErr w:type="spellStart"/>
      <w:r w:rsidRPr="00C729C0">
        <w:rPr>
          <w:rFonts w:ascii="Arial" w:hAnsi="Arial" w:cs="Arial"/>
        </w:rPr>
        <w:t>edn</w:t>
      </w:r>
      <w:proofErr w:type="spellEnd"/>
      <w:r w:rsidRPr="00C729C0">
        <w:rPr>
          <w:rFonts w:ascii="Arial" w:hAnsi="Arial" w:cs="Arial"/>
        </w:rPr>
        <w:t>. New York: Wiley.</w:t>
      </w:r>
    </w:p>
    <w:p w14:paraId="5D6B134E" w14:textId="77777777" w:rsidR="00247228" w:rsidRPr="00C729C0" w:rsidRDefault="00247228" w:rsidP="0045227F">
      <w:pPr>
        <w:spacing w:before="100" w:beforeAutospacing="1" w:after="100" w:afterAutospacing="1" w:line="360" w:lineRule="auto"/>
        <w:outlineLvl w:val="0"/>
        <w:rPr>
          <w:rFonts w:ascii="Arial" w:eastAsia="Times New Roman" w:hAnsi="Arial" w:cs="Arial"/>
          <w:b/>
          <w:bCs/>
          <w:kern w:val="36"/>
          <w:lang w:eastAsia="en-GB"/>
          <w14:ligatures w14:val="none"/>
        </w:rPr>
      </w:pPr>
    </w:p>
    <w:p w14:paraId="6FD07AFD" w14:textId="77777777" w:rsidR="00247228" w:rsidRPr="00C729C0" w:rsidRDefault="00247228" w:rsidP="0045227F">
      <w:pPr>
        <w:spacing w:before="100" w:beforeAutospacing="1" w:after="100" w:afterAutospacing="1" w:line="360" w:lineRule="auto"/>
        <w:outlineLvl w:val="0"/>
        <w:rPr>
          <w:rFonts w:ascii="Arial" w:eastAsia="Times New Roman" w:hAnsi="Arial" w:cs="Arial"/>
          <w:b/>
          <w:bCs/>
          <w:kern w:val="36"/>
          <w:lang w:eastAsia="en-GB"/>
          <w14:ligatures w14:val="none"/>
        </w:rPr>
      </w:pPr>
    </w:p>
    <w:p w14:paraId="2C0B2C14" w14:textId="77777777" w:rsidR="00247228" w:rsidRPr="00C729C0" w:rsidRDefault="00247228" w:rsidP="0045227F">
      <w:pPr>
        <w:spacing w:before="100" w:beforeAutospacing="1" w:after="100" w:afterAutospacing="1" w:line="360" w:lineRule="auto"/>
        <w:outlineLvl w:val="0"/>
        <w:rPr>
          <w:rFonts w:ascii="Arial" w:eastAsia="Times New Roman" w:hAnsi="Arial" w:cs="Arial"/>
          <w:b/>
          <w:bCs/>
          <w:kern w:val="36"/>
          <w:lang w:eastAsia="en-GB"/>
          <w14:ligatures w14:val="none"/>
        </w:rPr>
      </w:pPr>
    </w:p>
    <w:p w14:paraId="43A6D1F5" w14:textId="77777777" w:rsidR="00247228" w:rsidRPr="00C729C0" w:rsidRDefault="00247228" w:rsidP="0045227F">
      <w:pPr>
        <w:spacing w:before="100" w:beforeAutospacing="1" w:after="100" w:afterAutospacing="1" w:line="360" w:lineRule="auto"/>
        <w:outlineLvl w:val="0"/>
        <w:rPr>
          <w:rFonts w:ascii="Arial" w:eastAsia="Times New Roman" w:hAnsi="Arial" w:cs="Arial"/>
          <w:b/>
          <w:bCs/>
          <w:kern w:val="36"/>
          <w:lang w:eastAsia="en-GB"/>
          <w14:ligatures w14:val="none"/>
        </w:rPr>
      </w:pPr>
    </w:p>
    <w:p w14:paraId="71D183E9" w14:textId="77777777" w:rsidR="00247228" w:rsidRPr="00C729C0" w:rsidRDefault="00247228" w:rsidP="0045227F">
      <w:pPr>
        <w:spacing w:before="100" w:beforeAutospacing="1" w:after="100" w:afterAutospacing="1" w:line="360" w:lineRule="auto"/>
        <w:outlineLvl w:val="0"/>
        <w:rPr>
          <w:rFonts w:ascii="Arial" w:eastAsia="Times New Roman" w:hAnsi="Arial" w:cs="Arial"/>
          <w:b/>
          <w:bCs/>
          <w:kern w:val="36"/>
          <w:lang w:eastAsia="en-GB"/>
          <w14:ligatures w14:val="none"/>
        </w:rPr>
      </w:pPr>
    </w:p>
    <w:p w14:paraId="0DBE6EAB" w14:textId="77777777" w:rsidR="00247228" w:rsidRPr="00C729C0" w:rsidRDefault="00247228" w:rsidP="0045227F">
      <w:pPr>
        <w:spacing w:before="100" w:beforeAutospacing="1" w:after="100" w:afterAutospacing="1" w:line="360" w:lineRule="auto"/>
        <w:outlineLvl w:val="0"/>
        <w:rPr>
          <w:rFonts w:ascii="Arial" w:eastAsia="Times New Roman" w:hAnsi="Arial" w:cs="Arial"/>
          <w:b/>
          <w:bCs/>
          <w:kern w:val="36"/>
          <w:lang w:eastAsia="en-GB"/>
          <w14:ligatures w14:val="none"/>
        </w:rPr>
      </w:pPr>
    </w:p>
    <w:p w14:paraId="5DA854AF" w14:textId="77777777" w:rsidR="00247228" w:rsidRPr="00C729C0" w:rsidRDefault="00247228" w:rsidP="0045227F">
      <w:pPr>
        <w:spacing w:before="100" w:beforeAutospacing="1" w:after="100" w:afterAutospacing="1" w:line="360" w:lineRule="auto"/>
        <w:outlineLvl w:val="0"/>
        <w:rPr>
          <w:rFonts w:ascii="Arial" w:eastAsia="Times New Roman" w:hAnsi="Arial" w:cs="Arial"/>
          <w:b/>
          <w:bCs/>
          <w:kern w:val="36"/>
          <w:lang w:eastAsia="en-GB"/>
          <w14:ligatures w14:val="none"/>
        </w:rPr>
      </w:pPr>
    </w:p>
    <w:p w14:paraId="1DC5B11E" w14:textId="77777777" w:rsidR="00247228" w:rsidRPr="00C729C0" w:rsidRDefault="00247228" w:rsidP="0045227F">
      <w:pPr>
        <w:spacing w:before="100" w:beforeAutospacing="1" w:after="100" w:afterAutospacing="1" w:line="360" w:lineRule="auto"/>
        <w:outlineLvl w:val="0"/>
        <w:rPr>
          <w:rFonts w:ascii="Arial" w:eastAsia="Times New Roman" w:hAnsi="Arial" w:cs="Arial"/>
          <w:b/>
          <w:bCs/>
          <w:kern w:val="36"/>
          <w:lang w:eastAsia="en-GB"/>
          <w14:ligatures w14:val="none"/>
        </w:rPr>
      </w:pPr>
    </w:p>
    <w:p w14:paraId="442882D2" w14:textId="77777777" w:rsidR="00247228" w:rsidRPr="00C729C0" w:rsidRDefault="00247228" w:rsidP="0045227F">
      <w:pPr>
        <w:spacing w:before="100" w:beforeAutospacing="1" w:after="100" w:afterAutospacing="1" w:line="360" w:lineRule="auto"/>
        <w:outlineLvl w:val="0"/>
        <w:rPr>
          <w:rFonts w:ascii="Arial" w:eastAsia="Times New Roman" w:hAnsi="Arial" w:cs="Arial"/>
          <w:b/>
          <w:bCs/>
          <w:kern w:val="36"/>
          <w:lang w:eastAsia="en-GB"/>
          <w14:ligatures w14:val="none"/>
        </w:rPr>
      </w:pPr>
    </w:p>
    <w:p w14:paraId="656F34C2" w14:textId="77777777" w:rsidR="00A15BDD" w:rsidRDefault="00A15BDD" w:rsidP="0045227F">
      <w:pPr>
        <w:spacing w:before="100" w:beforeAutospacing="1" w:after="100" w:afterAutospacing="1" w:line="360" w:lineRule="auto"/>
        <w:outlineLvl w:val="0"/>
        <w:rPr>
          <w:rFonts w:ascii="Arial" w:eastAsia="Times New Roman" w:hAnsi="Arial" w:cs="Arial"/>
          <w:b/>
          <w:bCs/>
          <w:kern w:val="36"/>
          <w:lang w:eastAsia="en-GB"/>
          <w14:ligatures w14:val="none"/>
        </w:rPr>
      </w:pPr>
      <w:bookmarkStart w:id="10" w:name="_Toc224822924"/>
    </w:p>
    <w:p w14:paraId="3F1D61EC" w14:textId="77777777" w:rsidR="00A15BDD" w:rsidRDefault="00A15BDD" w:rsidP="0045227F">
      <w:pPr>
        <w:spacing w:before="100" w:beforeAutospacing="1" w:after="100" w:afterAutospacing="1" w:line="360" w:lineRule="auto"/>
        <w:outlineLvl w:val="0"/>
        <w:rPr>
          <w:rFonts w:ascii="Arial" w:eastAsia="Times New Roman" w:hAnsi="Arial" w:cs="Arial"/>
          <w:b/>
          <w:bCs/>
          <w:kern w:val="36"/>
          <w:lang w:eastAsia="en-GB"/>
          <w14:ligatures w14:val="none"/>
        </w:rPr>
      </w:pPr>
    </w:p>
    <w:p w14:paraId="40318C14" w14:textId="77777777" w:rsidR="00A15BDD" w:rsidRDefault="00A15BDD" w:rsidP="0045227F">
      <w:pPr>
        <w:spacing w:before="100" w:beforeAutospacing="1" w:after="100" w:afterAutospacing="1" w:line="360" w:lineRule="auto"/>
        <w:outlineLvl w:val="0"/>
        <w:rPr>
          <w:rFonts w:ascii="Arial" w:eastAsia="Times New Roman" w:hAnsi="Arial" w:cs="Arial"/>
          <w:b/>
          <w:bCs/>
          <w:kern w:val="36"/>
          <w:lang w:eastAsia="en-GB"/>
          <w14:ligatures w14:val="none"/>
        </w:rPr>
      </w:pPr>
    </w:p>
    <w:p w14:paraId="5D8A9F32" w14:textId="65426BE1" w:rsidR="002A54AB" w:rsidRPr="00C729C0" w:rsidRDefault="002A54AB" w:rsidP="0045227F">
      <w:pPr>
        <w:spacing w:before="100" w:beforeAutospacing="1" w:after="100" w:afterAutospacing="1" w:line="360" w:lineRule="auto"/>
        <w:outlineLvl w:val="0"/>
        <w:rPr>
          <w:rFonts w:ascii="Arial" w:eastAsia="Times New Roman" w:hAnsi="Arial" w:cs="Arial"/>
          <w:b/>
          <w:bCs/>
          <w:kern w:val="36"/>
          <w:lang w:eastAsia="en-GB"/>
          <w14:ligatures w14:val="none"/>
        </w:rPr>
      </w:pPr>
      <w:proofErr w:type="gramStart"/>
      <w:r w:rsidRPr="00C729C0">
        <w:rPr>
          <w:rFonts w:ascii="Arial" w:eastAsia="Times New Roman" w:hAnsi="Arial" w:cs="Arial"/>
          <w:b/>
          <w:bCs/>
          <w:kern w:val="36"/>
          <w:lang w:eastAsia="en-GB"/>
          <w14:ligatures w14:val="none"/>
        </w:rPr>
        <w:lastRenderedPageBreak/>
        <w:t>Appendix</w:t>
      </w:r>
      <w:r w:rsidR="00247228" w:rsidRPr="00C729C0">
        <w:rPr>
          <w:rFonts w:ascii="Arial" w:eastAsia="Times New Roman" w:hAnsi="Arial" w:cs="Arial"/>
          <w:b/>
          <w:bCs/>
          <w:kern w:val="36"/>
          <w:lang w:eastAsia="en-GB"/>
          <w14:ligatures w14:val="none"/>
        </w:rPr>
        <w:t xml:space="preserve"> </w:t>
      </w:r>
      <w:r w:rsidRPr="00C729C0">
        <w:rPr>
          <w:rFonts w:ascii="Arial" w:eastAsia="Times New Roman" w:hAnsi="Arial" w:cs="Arial"/>
          <w:b/>
          <w:bCs/>
          <w:kern w:val="36"/>
          <w:lang w:eastAsia="en-GB"/>
          <w14:ligatures w14:val="none"/>
        </w:rPr>
        <w:t>:</w:t>
      </w:r>
      <w:proofErr w:type="gramEnd"/>
      <w:r w:rsidRPr="00C729C0">
        <w:rPr>
          <w:rFonts w:ascii="Arial" w:eastAsia="Times New Roman" w:hAnsi="Arial" w:cs="Arial"/>
          <w:b/>
          <w:bCs/>
          <w:kern w:val="36"/>
          <w:lang w:eastAsia="en-GB"/>
          <w14:ligatures w14:val="none"/>
        </w:rPr>
        <w:t xml:space="preserve"> Financial Ratio Calculations (Tesla Inc. 2019–2023)</w:t>
      </w:r>
      <w:bookmarkEnd w:id="10"/>
    </w:p>
    <w:p w14:paraId="2A0A2652" w14:textId="77777777" w:rsidR="002A54AB" w:rsidRPr="00C729C0" w:rsidRDefault="002A54AB"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Financial data source: Tesla Inc. Annual Reports (2019–2023).</w:t>
      </w:r>
    </w:p>
    <w:p w14:paraId="626CD381" w14:textId="77777777" w:rsidR="002A54AB" w:rsidRPr="00C729C0" w:rsidRDefault="002A54AB" w:rsidP="0045227F">
      <w:pPr>
        <w:spacing w:before="100" w:beforeAutospacing="1" w:after="100" w:afterAutospacing="1" w:line="360" w:lineRule="auto"/>
        <w:outlineLvl w:val="0"/>
        <w:rPr>
          <w:rFonts w:ascii="Arial" w:eastAsia="Times New Roman" w:hAnsi="Arial" w:cs="Arial"/>
          <w:b/>
          <w:bCs/>
          <w:kern w:val="36"/>
          <w:lang w:eastAsia="en-GB"/>
          <w14:ligatures w14:val="none"/>
        </w:rPr>
      </w:pPr>
      <w:bookmarkStart w:id="11" w:name="_Toc224822925"/>
      <w:r w:rsidRPr="00C729C0">
        <w:rPr>
          <w:rFonts w:ascii="Arial" w:eastAsia="Times New Roman" w:hAnsi="Arial" w:cs="Arial"/>
          <w:b/>
          <w:bCs/>
          <w:kern w:val="36"/>
          <w:lang w:eastAsia="en-GB"/>
          <w14:ligatures w14:val="none"/>
        </w:rPr>
        <w:t>A1 Profitability Ratios</w:t>
      </w:r>
      <w:bookmarkEnd w:id="11"/>
    </w:p>
    <w:p w14:paraId="03FAF327" w14:textId="77777777" w:rsidR="002A54AB" w:rsidRPr="00C729C0" w:rsidRDefault="002A54AB" w:rsidP="0045227F">
      <w:pPr>
        <w:spacing w:before="100" w:beforeAutospacing="1" w:after="100" w:afterAutospacing="1" w:line="360" w:lineRule="auto"/>
        <w:outlineLvl w:val="1"/>
        <w:rPr>
          <w:rFonts w:ascii="Arial" w:eastAsia="Times New Roman" w:hAnsi="Arial" w:cs="Arial"/>
          <w:b/>
          <w:bCs/>
          <w:kern w:val="0"/>
          <w:lang w:eastAsia="en-GB"/>
          <w14:ligatures w14:val="none"/>
        </w:rPr>
      </w:pPr>
      <w:bookmarkStart w:id="12" w:name="_Toc224822926"/>
      <w:r w:rsidRPr="00C729C0">
        <w:rPr>
          <w:rFonts w:ascii="Arial" w:eastAsia="Times New Roman" w:hAnsi="Arial" w:cs="Arial"/>
          <w:b/>
          <w:bCs/>
          <w:kern w:val="0"/>
          <w:lang w:eastAsia="en-GB"/>
          <w14:ligatures w14:val="none"/>
        </w:rPr>
        <w:t>Gross Profit Margin</w:t>
      </w:r>
      <w:bookmarkEnd w:id="12"/>
    </w:p>
    <w:p w14:paraId="4D4ED93D" w14:textId="77777777" w:rsidR="002A54AB" w:rsidRPr="00C729C0" w:rsidRDefault="002A54AB"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Formula:</w:t>
      </w:r>
    </w:p>
    <w:p w14:paraId="64F0CA3B" w14:textId="77777777" w:rsidR="002A54AB" w:rsidRPr="00C729C0" w:rsidRDefault="002A54AB"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Gross Profit Margin = Gross Profit ÷ Revenue × 100</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29"/>
        <w:gridCol w:w="2004"/>
        <w:gridCol w:w="1637"/>
        <w:gridCol w:w="2454"/>
        <w:gridCol w:w="2292"/>
      </w:tblGrid>
      <w:tr w:rsidR="002A54AB" w:rsidRPr="00C729C0" w14:paraId="114BD12D" w14:textId="77777777" w:rsidTr="00872C0C">
        <w:trPr>
          <w:tblHeader/>
          <w:tblCellSpacing w:w="15" w:type="dxa"/>
        </w:trPr>
        <w:tc>
          <w:tcPr>
            <w:tcW w:w="0" w:type="auto"/>
            <w:vAlign w:val="center"/>
            <w:hideMark/>
          </w:tcPr>
          <w:p w14:paraId="048B27CF" w14:textId="77777777" w:rsidR="002A54AB" w:rsidRPr="00C729C0" w:rsidRDefault="002A54AB"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Year</w:t>
            </w:r>
          </w:p>
        </w:tc>
        <w:tc>
          <w:tcPr>
            <w:tcW w:w="0" w:type="auto"/>
            <w:vAlign w:val="center"/>
            <w:hideMark/>
          </w:tcPr>
          <w:p w14:paraId="6982D2AA" w14:textId="77777777" w:rsidR="002A54AB" w:rsidRPr="00C729C0" w:rsidRDefault="002A54AB"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Gross Profit ($m)</w:t>
            </w:r>
          </w:p>
        </w:tc>
        <w:tc>
          <w:tcPr>
            <w:tcW w:w="0" w:type="auto"/>
            <w:vAlign w:val="center"/>
            <w:hideMark/>
          </w:tcPr>
          <w:p w14:paraId="5AD8B2E0" w14:textId="77777777" w:rsidR="002A54AB" w:rsidRPr="00C729C0" w:rsidRDefault="002A54AB"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Revenue ($m)</w:t>
            </w:r>
          </w:p>
        </w:tc>
        <w:tc>
          <w:tcPr>
            <w:tcW w:w="0" w:type="auto"/>
            <w:vAlign w:val="center"/>
            <w:hideMark/>
          </w:tcPr>
          <w:p w14:paraId="46532386" w14:textId="77777777" w:rsidR="002A54AB" w:rsidRPr="00C729C0" w:rsidRDefault="002A54AB"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Calculation</w:t>
            </w:r>
          </w:p>
        </w:tc>
        <w:tc>
          <w:tcPr>
            <w:tcW w:w="0" w:type="auto"/>
            <w:vAlign w:val="center"/>
            <w:hideMark/>
          </w:tcPr>
          <w:p w14:paraId="7E86B7F3" w14:textId="77777777" w:rsidR="002A54AB" w:rsidRPr="00C729C0" w:rsidRDefault="002A54AB"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Gross Profit Margin</w:t>
            </w:r>
          </w:p>
        </w:tc>
      </w:tr>
      <w:tr w:rsidR="002A54AB" w:rsidRPr="00C729C0" w14:paraId="789FF765" w14:textId="77777777" w:rsidTr="00872C0C">
        <w:trPr>
          <w:tblCellSpacing w:w="15" w:type="dxa"/>
        </w:trPr>
        <w:tc>
          <w:tcPr>
            <w:tcW w:w="0" w:type="auto"/>
            <w:vAlign w:val="center"/>
            <w:hideMark/>
          </w:tcPr>
          <w:p w14:paraId="24A47468"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2019</w:t>
            </w:r>
          </w:p>
        </w:tc>
        <w:tc>
          <w:tcPr>
            <w:tcW w:w="0" w:type="auto"/>
            <w:vAlign w:val="center"/>
            <w:hideMark/>
          </w:tcPr>
          <w:p w14:paraId="54127114"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4,069</w:t>
            </w:r>
          </w:p>
        </w:tc>
        <w:tc>
          <w:tcPr>
            <w:tcW w:w="0" w:type="auto"/>
            <w:vAlign w:val="center"/>
            <w:hideMark/>
          </w:tcPr>
          <w:p w14:paraId="6288E80D"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24,578</w:t>
            </w:r>
          </w:p>
        </w:tc>
        <w:tc>
          <w:tcPr>
            <w:tcW w:w="0" w:type="auto"/>
            <w:vAlign w:val="center"/>
            <w:hideMark/>
          </w:tcPr>
          <w:p w14:paraId="393B281E"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4,069 ÷ 24,578 × 100</w:t>
            </w:r>
          </w:p>
        </w:tc>
        <w:tc>
          <w:tcPr>
            <w:tcW w:w="0" w:type="auto"/>
            <w:vAlign w:val="center"/>
            <w:hideMark/>
          </w:tcPr>
          <w:p w14:paraId="2D7EE83B"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16.6%</w:t>
            </w:r>
          </w:p>
        </w:tc>
      </w:tr>
      <w:tr w:rsidR="002A54AB" w:rsidRPr="00C729C0" w14:paraId="38F35397" w14:textId="77777777" w:rsidTr="00872C0C">
        <w:trPr>
          <w:tblCellSpacing w:w="15" w:type="dxa"/>
        </w:trPr>
        <w:tc>
          <w:tcPr>
            <w:tcW w:w="0" w:type="auto"/>
            <w:vAlign w:val="center"/>
            <w:hideMark/>
          </w:tcPr>
          <w:p w14:paraId="2BE2E756"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2020</w:t>
            </w:r>
          </w:p>
        </w:tc>
        <w:tc>
          <w:tcPr>
            <w:tcW w:w="0" w:type="auto"/>
            <w:vAlign w:val="center"/>
            <w:hideMark/>
          </w:tcPr>
          <w:p w14:paraId="3AD19BA5"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6,630</w:t>
            </w:r>
          </w:p>
        </w:tc>
        <w:tc>
          <w:tcPr>
            <w:tcW w:w="0" w:type="auto"/>
            <w:vAlign w:val="center"/>
            <w:hideMark/>
          </w:tcPr>
          <w:p w14:paraId="164CD4C6"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31,536</w:t>
            </w:r>
          </w:p>
        </w:tc>
        <w:tc>
          <w:tcPr>
            <w:tcW w:w="0" w:type="auto"/>
            <w:vAlign w:val="center"/>
            <w:hideMark/>
          </w:tcPr>
          <w:p w14:paraId="1C8B5C84"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6,630 ÷ 31,536 × 100</w:t>
            </w:r>
          </w:p>
        </w:tc>
        <w:tc>
          <w:tcPr>
            <w:tcW w:w="0" w:type="auto"/>
            <w:vAlign w:val="center"/>
            <w:hideMark/>
          </w:tcPr>
          <w:p w14:paraId="2968EA5A"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21.0%</w:t>
            </w:r>
          </w:p>
        </w:tc>
      </w:tr>
      <w:tr w:rsidR="002A54AB" w:rsidRPr="00C729C0" w14:paraId="66CBEBCD" w14:textId="77777777" w:rsidTr="00872C0C">
        <w:trPr>
          <w:tblCellSpacing w:w="15" w:type="dxa"/>
        </w:trPr>
        <w:tc>
          <w:tcPr>
            <w:tcW w:w="0" w:type="auto"/>
            <w:vAlign w:val="center"/>
            <w:hideMark/>
          </w:tcPr>
          <w:p w14:paraId="69DA99FA"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2021</w:t>
            </w:r>
          </w:p>
        </w:tc>
        <w:tc>
          <w:tcPr>
            <w:tcW w:w="0" w:type="auto"/>
            <w:vAlign w:val="center"/>
            <w:hideMark/>
          </w:tcPr>
          <w:p w14:paraId="0251E8A9"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13,606</w:t>
            </w:r>
          </w:p>
        </w:tc>
        <w:tc>
          <w:tcPr>
            <w:tcW w:w="0" w:type="auto"/>
            <w:vAlign w:val="center"/>
            <w:hideMark/>
          </w:tcPr>
          <w:p w14:paraId="1B5750E5"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53,823</w:t>
            </w:r>
          </w:p>
        </w:tc>
        <w:tc>
          <w:tcPr>
            <w:tcW w:w="0" w:type="auto"/>
            <w:vAlign w:val="center"/>
            <w:hideMark/>
          </w:tcPr>
          <w:p w14:paraId="7FC72F31"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13,606 ÷ 53,823 × 100</w:t>
            </w:r>
          </w:p>
        </w:tc>
        <w:tc>
          <w:tcPr>
            <w:tcW w:w="0" w:type="auto"/>
            <w:vAlign w:val="center"/>
            <w:hideMark/>
          </w:tcPr>
          <w:p w14:paraId="176A5F04"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25.3%</w:t>
            </w:r>
          </w:p>
        </w:tc>
      </w:tr>
      <w:tr w:rsidR="002A54AB" w:rsidRPr="00C729C0" w14:paraId="5778F018" w14:textId="77777777" w:rsidTr="00872C0C">
        <w:trPr>
          <w:tblCellSpacing w:w="15" w:type="dxa"/>
        </w:trPr>
        <w:tc>
          <w:tcPr>
            <w:tcW w:w="0" w:type="auto"/>
            <w:vAlign w:val="center"/>
            <w:hideMark/>
          </w:tcPr>
          <w:p w14:paraId="3821FF06"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2022</w:t>
            </w:r>
          </w:p>
        </w:tc>
        <w:tc>
          <w:tcPr>
            <w:tcW w:w="0" w:type="auto"/>
            <w:vAlign w:val="center"/>
            <w:hideMark/>
          </w:tcPr>
          <w:p w14:paraId="0B416412"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20,853</w:t>
            </w:r>
          </w:p>
        </w:tc>
        <w:tc>
          <w:tcPr>
            <w:tcW w:w="0" w:type="auto"/>
            <w:vAlign w:val="center"/>
            <w:hideMark/>
          </w:tcPr>
          <w:p w14:paraId="66A8C6AD"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81,462</w:t>
            </w:r>
          </w:p>
        </w:tc>
        <w:tc>
          <w:tcPr>
            <w:tcW w:w="0" w:type="auto"/>
            <w:vAlign w:val="center"/>
            <w:hideMark/>
          </w:tcPr>
          <w:p w14:paraId="73DAC744"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20,853 ÷ 81,462 × 100</w:t>
            </w:r>
          </w:p>
        </w:tc>
        <w:tc>
          <w:tcPr>
            <w:tcW w:w="0" w:type="auto"/>
            <w:vAlign w:val="center"/>
            <w:hideMark/>
          </w:tcPr>
          <w:p w14:paraId="2B1B758A"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25.6%</w:t>
            </w:r>
          </w:p>
        </w:tc>
      </w:tr>
      <w:tr w:rsidR="002A54AB" w:rsidRPr="00C729C0" w14:paraId="04630549" w14:textId="77777777" w:rsidTr="00872C0C">
        <w:trPr>
          <w:tblCellSpacing w:w="15" w:type="dxa"/>
        </w:trPr>
        <w:tc>
          <w:tcPr>
            <w:tcW w:w="0" w:type="auto"/>
            <w:vAlign w:val="center"/>
            <w:hideMark/>
          </w:tcPr>
          <w:p w14:paraId="559FB510"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2023</w:t>
            </w:r>
          </w:p>
        </w:tc>
        <w:tc>
          <w:tcPr>
            <w:tcW w:w="0" w:type="auto"/>
            <w:vAlign w:val="center"/>
            <w:hideMark/>
          </w:tcPr>
          <w:p w14:paraId="6AF219AD"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17,660</w:t>
            </w:r>
          </w:p>
        </w:tc>
        <w:tc>
          <w:tcPr>
            <w:tcW w:w="0" w:type="auto"/>
            <w:vAlign w:val="center"/>
            <w:hideMark/>
          </w:tcPr>
          <w:p w14:paraId="64CFED25"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96,773</w:t>
            </w:r>
          </w:p>
        </w:tc>
        <w:tc>
          <w:tcPr>
            <w:tcW w:w="0" w:type="auto"/>
            <w:vAlign w:val="center"/>
            <w:hideMark/>
          </w:tcPr>
          <w:p w14:paraId="17C9827B"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17,660 ÷ 96,773 × 100</w:t>
            </w:r>
          </w:p>
        </w:tc>
        <w:tc>
          <w:tcPr>
            <w:tcW w:w="0" w:type="auto"/>
            <w:vAlign w:val="center"/>
            <w:hideMark/>
          </w:tcPr>
          <w:p w14:paraId="289F5A96"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18.3%</w:t>
            </w:r>
          </w:p>
        </w:tc>
      </w:tr>
    </w:tbl>
    <w:p w14:paraId="65CE7E5C" w14:textId="77777777" w:rsidR="002A54AB" w:rsidRPr="00C729C0" w:rsidRDefault="002A54AB" w:rsidP="0045227F">
      <w:pPr>
        <w:spacing w:after="0" w:line="360" w:lineRule="auto"/>
        <w:rPr>
          <w:rFonts w:ascii="Arial" w:eastAsia="Times New Roman" w:hAnsi="Arial" w:cs="Arial"/>
          <w:kern w:val="0"/>
          <w:lang w:eastAsia="en-GB"/>
          <w14:ligatures w14:val="none"/>
        </w:rPr>
      </w:pPr>
    </w:p>
    <w:p w14:paraId="3DD27C25" w14:textId="77777777" w:rsidR="002A54AB" w:rsidRPr="00C729C0" w:rsidRDefault="002A54AB" w:rsidP="0045227F">
      <w:pPr>
        <w:spacing w:before="100" w:beforeAutospacing="1" w:after="100" w:afterAutospacing="1" w:line="360" w:lineRule="auto"/>
        <w:outlineLvl w:val="1"/>
        <w:rPr>
          <w:rFonts w:ascii="Arial" w:eastAsia="Times New Roman" w:hAnsi="Arial" w:cs="Arial"/>
          <w:b/>
          <w:bCs/>
          <w:kern w:val="0"/>
          <w:lang w:eastAsia="en-GB"/>
          <w14:ligatures w14:val="none"/>
        </w:rPr>
      </w:pPr>
      <w:bookmarkStart w:id="13" w:name="_Toc224822927"/>
      <w:r w:rsidRPr="00C729C0">
        <w:rPr>
          <w:rFonts w:ascii="Arial" w:eastAsia="Times New Roman" w:hAnsi="Arial" w:cs="Arial"/>
          <w:b/>
          <w:bCs/>
          <w:kern w:val="0"/>
          <w:lang w:eastAsia="en-GB"/>
          <w14:ligatures w14:val="none"/>
        </w:rPr>
        <w:t>Net Profit Margin</w:t>
      </w:r>
      <w:bookmarkEnd w:id="13"/>
    </w:p>
    <w:p w14:paraId="4EF1606C" w14:textId="77777777" w:rsidR="002A54AB" w:rsidRPr="00C729C0" w:rsidRDefault="002A54AB"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Formula:</w:t>
      </w:r>
    </w:p>
    <w:p w14:paraId="1D0CE5EE" w14:textId="77777777" w:rsidR="002A54AB" w:rsidRPr="00C729C0" w:rsidRDefault="002A54AB"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Net Profit Margin = Net Profit ÷ Revenue × 100</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29"/>
        <w:gridCol w:w="1734"/>
        <w:gridCol w:w="1654"/>
        <w:gridCol w:w="2488"/>
        <w:gridCol w:w="2029"/>
      </w:tblGrid>
      <w:tr w:rsidR="002A54AB" w:rsidRPr="00C729C0" w14:paraId="08EF947D" w14:textId="77777777" w:rsidTr="00872C0C">
        <w:trPr>
          <w:tblHeader/>
          <w:tblCellSpacing w:w="15" w:type="dxa"/>
        </w:trPr>
        <w:tc>
          <w:tcPr>
            <w:tcW w:w="0" w:type="auto"/>
            <w:vAlign w:val="center"/>
            <w:hideMark/>
          </w:tcPr>
          <w:p w14:paraId="12DD9502" w14:textId="77777777" w:rsidR="002A54AB" w:rsidRPr="00C729C0" w:rsidRDefault="002A54AB"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Year</w:t>
            </w:r>
          </w:p>
        </w:tc>
        <w:tc>
          <w:tcPr>
            <w:tcW w:w="0" w:type="auto"/>
            <w:vAlign w:val="center"/>
            <w:hideMark/>
          </w:tcPr>
          <w:p w14:paraId="59AA3462" w14:textId="77777777" w:rsidR="002A54AB" w:rsidRPr="00C729C0" w:rsidRDefault="002A54AB"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Net Profit ($m)</w:t>
            </w:r>
          </w:p>
        </w:tc>
        <w:tc>
          <w:tcPr>
            <w:tcW w:w="0" w:type="auto"/>
            <w:vAlign w:val="center"/>
            <w:hideMark/>
          </w:tcPr>
          <w:p w14:paraId="71A87874" w14:textId="77777777" w:rsidR="002A54AB" w:rsidRPr="00C729C0" w:rsidRDefault="002A54AB"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Revenue ($m)</w:t>
            </w:r>
          </w:p>
        </w:tc>
        <w:tc>
          <w:tcPr>
            <w:tcW w:w="0" w:type="auto"/>
            <w:vAlign w:val="center"/>
            <w:hideMark/>
          </w:tcPr>
          <w:p w14:paraId="6721E6B6" w14:textId="77777777" w:rsidR="002A54AB" w:rsidRPr="00C729C0" w:rsidRDefault="002A54AB"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Calculation</w:t>
            </w:r>
          </w:p>
        </w:tc>
        <w:tc>
          <w:tcPr>
            <w:tcW w:w="0" w:type="auto"/>
            <w:vAlign w:val="center"/>
            <w:hideMark/>
          </w:tcPr>
          <w:p w14:paraId="1A9CB59A" w14:textId="77777777" w:rsidR="002A54AB" w:rsidRPr="00C729C0" w:rsidRDefault="002A54AB"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Net Profit Margin</w:t>
            </w:r>
          </w:p>
        </w:tc>
      </w:tr>
      <w:tr w:rsidR="002A54AB" w:rsidRPr="00C729C0" w14:paraId="707E5D8C" w14:textId="77777777" w:rsidTr="00872C0C">
        <w:trPr>
          <w:tblCellSpacing w:w="15" w:type="dxa"/>
        </w:trPr>
        <w:tc>
          <w:tcPr>
            <w:tcW w:w="0" w:type="auto"/>
            <w:vAlign w:val="center"/>
            <w:hideMark/>
          </w:tcPr>
          <w:p w14:paraId="6A203415"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2019</w:t>
            </w:r>
          </w:p>
        </w:tc>
        <w:tc>
          <w:tcPr>
            <w:tcW w:w="0" w:type="auto"/>
            <w:vAlign w:val="center"/>
            <w:hideMark/>
          </w:tcPr>
          <w:p w14:paraId="707AFE11"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(862)</w:t>
            </w:r>
          </w:p>
        </w:tc>
        <w:tc>
          <w:tcPr>
            <w:tcW w:w="0" w:type="auto"/>
            <w:vAlign w:val="center"/>
            <w:hideMark/>
          </w:tcPr>
          <w:p w14:paraId="3971B65B"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24,578</w:t>
            </w:r>
          </w:p>
        </w:tc>
        <w:tc>
          <w:tcPr>
            <w:tcW w:w="0" w:type="auto"/>
            <w:vAlign w:val="center"/>
            <w:hideMark/>
          </w:tcPr>
          <w:p w14:paraId="5A6D955A"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-862 ÷ 24,578 × 100</w:t>
            </w:r>
          </w:p>
        </w:tc>
        <w:tc>
          <w:tcPr>
            <w:tcW w:w="0" w:type="auto"/>
            <w:vAlign w:val="center"/>
            <w:hideMark/>
          </w:tcPr>
          <w:p w14:paraId="390784CC"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-3.5%</w:t>
            </w:r>
          </w:p>
        </w:tc>
      </w:tr>
      <w:tr w:rsidR="002A54AB" w:rsidRPr="00C729C0" w14:paraId="017AF913" w14:textId="77777777" w:rsidTr="00872C0C">
        <w:trPr>
          <w:tblCellSpacing w:w="15" w:type="dxa"/>
        </w:trPr>
        <w:tc>
          <w:tcPr>
            <w:tcW w:w="0" w:type="auto"/>
            <w:vAlign w:val="center"/>
            <w:hideMark/>
          </w:tcPr>
          <w:p w14:paraId="3AD7C317"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2020</w:t>
            </w:r>
          </w:p>
        </w:tc>
        <w:tc>
          <w:tcPr>
            <w:tcW w:w="0" w:type="auto"/>
            <w:vAlign w:val="center"/>
            <w:hideMark/>
          </w:tcPr>
          <w:p w14:paraId="02640D52"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721</w:t>
            </w:r>
          </w:p>
        </w:tc>
        <w:tc>
          <w:tcPr>
            <w:tcW w:w="0" w:type="auto"/>
            <w:vAlign w:val="center"/>
            <w:hideMark/>
          </w:tcPr>
          <w:p w14:paraId="535FAC99"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31,536</w:t>
            </w:r>
          </w:p>
        </w:tc>
        <w:tc>
          <w:tcPr>
            <w:tcW w:w="0" w:type="auto"/>
            <w:vAlign w:val="center"/>
            <w:hideMark/>
          </w:tcPr>
          <w:p w14:paraId="186D5110"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721 ÷ 31,536 × 100</w:t>
            </w:r>
          </w:p>
        </w:tc>
        <w:tc>
          <w:tcPr>
            <w:tcW w:w="0" w:type="auto"/>
            <w:vAlign w:val="center"/>
            <w:hideMark/>
          </w:tcPr>
          <w:p w14:paraId="34CB975F"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2.3%</w:t>
            </w:r>
          </w:p>
        </w:tc>
      </w:tr>
      <w:tr w:rsidR="002A54AB" w:rsidRPr="00C729C0" w14:paraId="4EA4F8F7" w14:textId="77777777" w:rsidTr="00872C0C">
        <w:trPr>
          <w:tblCellSpacing w:w="15" w:type="dxa"/>
        </w:trPr>
        <w:tc>
          <w:tcPr>
            <w:tcW w:w="0" w:type="auto"/>
            <w:vAlign w:val="center"/>
            <w:hideMark/>
          </w:tcPr>
          <w:p w14:paraId="65B1EE0B"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2021</w:t>
            </w:r>
          </w:p>
        </w:tc>
        <w:tc>
          <w:tcPr>
            <w:tcW w:w="0" w:type="auto"/>
            <w:vAlign w:val="center"/>
            <w:hideMark/>
          </w:tcPr>
          <w:p w14:paraId="76061946"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5,524</w:t>
            </w:r>
          </w:p>
        </w:tc>
        <w:tc>
          <w:tcPr>
            <w:tcW w:w="0" w:type="auto"/>
            <w:vAlign w:val="center"/>
            <w:hideMark/>
          </w:tcPr>
          <w:p w14:paraId="630492B5"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53,823</w:t>
            </w:r>
          </w:p>
        </w:tc>
        <w:tc>
          <w:tcPr>
            <w:tcW w:w="0" w:type="auto"/>
            <w:vAlign w:val="center"/>
            <w:hideMark/>
          </w:tcPr>
          <w:p w14:paraId="417D0265"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5,524 ÷ 53,823 × 100</w:t>
            </w:r>
          </w:p>
        </w:tc>
        <w:tc>
          <w:tcPr>
            <w:tcW w:w="0" w:type="auto"/>
            <w:vAlign w:val="center"/>
            <w:hideMark/>
          </w:tcPr>
          <w:p w14:paraId="73D1B1F5"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10.3%</w:t>
            </w:r>
          </w:p>
        </w:tc>
      </w:tr>
      <w:tr w:rsidR="002A54AB" w:rsidRPr="00C729C0" w14:paraId="71689732" w14:textId="77777777" w:rsidTr="00872C0C">
        <w:trPr>
          <w:tblCellSpacing w:w="15" w:type="dxa"/>
        </w:trPr>
        <w:tc>
          <w:tcPr>
            <w:tcW w:w="0" w:type="auto"/>
            <w:vAlign w:val="center"/>
            <w:hideMark/>
          </w:tcPr>
          <w:p w14:paraId="29F00A67"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lastRenderedPageBreak/>
              <w:t>2022</w:t>
            </w:r>
          </w:p>
        </w:tc>
        <w:tc>
          <w:tcPr>
            <w:tcW w:w="0" w:type="auto"/>
            <w:vAlign w:val="center"/>
            <w:hideMark/>
          </w:tcPr>
          <w:p w14:paraId="78CBCFC1"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12,556</w:t>
            </w:r>
          </w:p>
        </w:tc>
        <w:tc>
          <w:tcPr>
            <w:tcW w:w="0" w:type="auto"/>
            <w:vAlign w:val="center"/>
            <w:hideMark/>
          </w:tcPr>
          <w:p w14:paraId="3DEE241D"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81,462</w:t>
            </w:r>
          </w:p>
        </w:tc>
        <w:tc>
          <w:tcPr>
            <w:tcW w:w="0" w:type="auto"/>
            <w:vAlign w:val="center"/>
            <w:hideMark/>
          </w:tcPr>
          <w:p w14:paraId="73EC2FE5"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12,556 ÷ 81,462 × 100</w:t>
            </w:r>
          </w:p>
        </w:tc>
        <w:tc>
          <w:tcPr>
            <w:tcW w:w="0" w:type="auto"/>
            <w:vAlign w:val="center"/>
            <w:hideMark/>
          </w:tcPr>
          <w:p w14:paraId="46F64958"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15.4%</w:t>
            </w:r>
          </w:p>
        </w:tc>
      </w:tr>
      <w:tr w:rsidR="002A54AB" w:rsidRPr="00C729C0" w14:paraId="3EF1EA7F" w14:textId="77777777" w:rsidTr="00872C0C">
        <w:trPr>
          <w:tblCellSpacing w:w="15" w:type="dxa"/>
        </w:trPr>
        <w:tc>
          <w:tcPr>
            <w:tcW w:w="0" w:type="auto"/>
            <w:vAlign w:val="center"/>
            <w:hideMark/>
          </w:tcPr>
          <w:p w14:paraId="547D5E63"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2023</w:t>
            </w:r>
          </w:p>
        </w:tc>
        <w:tc>
          <w:tcPr>
            <w:tcW w:w="0" w:type="auto"/>
            <w:vAlign w:val="center"/>
            <w:hideMark/>
          </w:tcPr>
          <w:p w14:paraId="689AD44E"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14,997</w:t>
            </w:r>
          </w:p>
        </w:tc>
        <w:tc>
          <w:tcPr>
            <w:tcW w:w="0" w:type="auto"/>
            <w:vAlign w:val="center"/>
            <w:hideMark/>
          </w:tcPr>
          <w:p w14:paraId="16CF9419"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96,773</w:t>
            </w:r>
          </w:p>
        </w:tc>
        <w:tc>
          <w:tcPr>
            <w:tcW w:w="0" w:type="auto"/>
            <w:vAlign w:val="center"/>
            <w:hideMark/>
          </w:tcPr>
          <w:p w14:paraId="34713BCE"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14,997 ÷ 96,773 × 100</w:t>
            </w:r>
          </w:p>
        </w:tc>
        <w:tc>
          <w:tcPr>
            <w:tcW w:w="0" w:type="auto"/>
            <w:vAlign w:val="center"/>
            <w:hideMark/>
          </w:tcPr>
          <w:p w14:paraId="77101491"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15.5%</w:t>
            </w:r>
          </w:p>
        </w:tc>
      </w:tr>
    </w:tbl>
    <w:p w14:paraId="61BDF2A9" w14:textId="77777777" w:rsidR="002A54AB" w:rsidRPr="00C729C0" w:rsidRDefault="002A54AB" w:rsidP="0045227F">
      <w:pPr>
        <w:spacing w:after="0" w:line="360" w:lineRule="auto"/>
        <w:rPr>
          <w:rFonts w:ascii="Arial" w:eastAsia="Times New Roman" w:hAnsi="Arial" w:cs="Arial"/>
          <w:kern w:val="0"/>
          <w:lang w:eastAsia="en-GB"/>
          <w14:ligatures w14:val="none"/>
        </w:rPr>
      </w:pPr>
    </w:p>
    <w:p w14:paraId="4F132625" w14:textId="77777777" w:rsidR="002A54AB" w:rsidRPr="00C729C0" w:rsidRDefault="002A54AB" w:rsidP="0045227F">
      <w:pPr>
        <w:spacing w:before="100" w:beforeAutospacing="1" w:after="100" w:afterAutospacing="1" w:line="360" w:lineRule="auto"/>
        <w:outlineLvl w:val="0"/>
        <w:rPr>
          <w:rFonts w:ascii="Arial" w:eastAsia="Times New Roman" w:hAnsi="Arial" w:cs="Arial"/>
          <w:b/>
          <w:bCs/>
          <w:kern w:val="36"/>
          <w:lang w:eastAsia="en-GB"/>
          <w14:ligatures w14:val="none"/>
        </w:rPr>
      </w:pPr>
      <w:bookmarkStart w:id="14" w:name="_Toc224822928"/>
      <w:r w:rsidRPr="00C729C0">
        <w:rPr>
          <w:rFonts w:ascii="Arial" w:eastAsia="Times New Roman" w:hAnsi="Arial" w:cs="Arial"/>
          <w:b/>
          <w:bCs/>
          <w:kern w:val="36"/>
          <w:lang w:eastAsia="en-GB"/>
          <w14:ligatures w14:val="none"/>
        </w:rPr>
        <w:t>A2 Liquidity Ratios</w:t>
      </w:r>
      <w:bookmarkEnd w:id="14"/>
    </w:p>
    <w:p w14:paraId="2CAB30BC" w14:textId="77777777" w:rsidR="002A54AB" w:rsidRPr="00C729C0" w:rsidRDefault="002A54AB" w:rsidP="0045227F">
      <w:pPr>
        <w:spacing w:before="100" w:beforeAutospacing="1" w:after="100" w:afterAutospacing="1" w:line="360" w:lineRule="auto"/>
        <w:outlineLvl w:val="1"/>
        <w:rPr>
          <w:rFonts w:ascii="Arial" w:eastAsia="Times New Roman" w:hAnsi="Arial" w:cs="Arial"/>
          <w:b/>
          <w:bCs/>
          <w:kern w:val="0"/>
          <w:lang w:eastAsia="en-GB"/>
          <w14:ligatures w14:val="none"/>
        </w:rPr>
      </w:pPr>
      <w:bookmarkStart w:id="15" w:name="_Toc224822929"/>
      <w:r w:rsidRPr="00C729C0">
        <w:rPr>
          <w:rFonts w:ascii="Arial" w:eastAsia="Times New Roman" w:hAnsi="Arial" w:cs="Arial"/>
          <w:b/>
          <w:bCs/>
          <w:kern w:val="0"/>
          <w:lang w:eastAsia="en-GB"/>
          <w14:ligatures w14:val="none"/>
        </w:rPr>
        <w:t>Current Ratio</w:t>
      </w:r>
      <w:bookmarkEnd w:id="15"/>
    </w:p>
    <w:p w14:paraId="3E79673A" w14:textId="77777777" w:rsidR="002A54AB" w:rsidRPr="00C729C0" w:rsidRDefault="002A54AB"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Formula:</w:t>
      </w:r>
    </w:p>
    <w:p w14:paraId="5279E81F" w14:textId="77777777" w:rsidR="002A54AB" w:rsidRPr="00C729C0" w:rsidRDefault="002A54AB"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Current Ratio = Current Assets ÷ Current Liabilities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29"/>
        <w:gridCol w:w="2330"/>
        <w:gridCol w:w="2139"/>
        <w:gridCol w:w="2309"/>
        <w:gridCol w:w="1609"/>
      </w:tblGrid>
      <w:tr w:rsidR="002A54AB" w:rsidRPr="00C729C0" w14:paraId="48AF1F73" w14:textId="77777777" w:rsidTr="00A15BDD">
        <w:trPr>
          <w:tblHeader/>
          <w:tblCellSpacing w:w="15" w:type="dxa"/>
        </w:trPr>
        <w:tc>
          <w:tcPr>
            <w:tcW w:w="0" w:type="auto"/>
            <w:vAlign w:val="center"/>
            <w:hideMark/>
          </w:tcPr>
          <w:p w14:paraId="29CAD51D" w14:textId="77777777" w:rsidR="002A54AB" w:rsidRPr="00C729C0" w:rsidRDefault="002A54AB"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Year</w:t>
            </w:r>
          </w:p>
        </w:tc>
        <w:tc>
          <w:tcPr>
            <w:tcW w:w="0" w:type="auto"/>
            <w:vAlign w:val="center"/>
            <w:hideMark/>
          </w:tcPr>
          <w:p w14:paraId="655E89EE" w14:textId="77777777" w:rsidR="002A54AB" w:rsidRPr="00C729C0" w:rsidRDefault="002A54AB"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Current Assets ($m)</w:t>
            </w:r>
          </w:p>
        </w:tc>
        <w:tc>
          <w:tcPr>
            <w:tcW w:w="2109" w:type="dxa"/>
            <w:vAlign w:val="center"/>
            <w:hideMark/>
          </w:tcPr>
          <w:p w14:paraId="76DE6BD7" w14:textId="77777777" w:rsidR="002A54AB" w:rsidRPr="00C729C0" w:rsidRDefault="002A54AB"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Current Liabilities ($m)</w:t>
            </w:r>
          </w:p>
        </w:tc>
        <w:tc>
          <w:tcPr>
            <w:tcW w:w="2279" w:type="dxa"/>
            <w:vAlign w:val="center"/>
            <w:hideMark/>
          </w:tcPr>
          <w:p w14:paraId="4DDC0506" w14:textId="77777777" w:rsidR="002A54AB" w:rsidRPr="00C729C0" w:rsidRDefault="002A54AB"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Calculation</w:t>
            </w:r>
          </w:p>
        </w:tc>
        <w:tc>
          <w:tcPr>
            <w:tcW w:w="0" w:type="auto"/>
            <w:vAlign w:val="center"/>
            <w:hideMark/>
          </w:tcPr>
          <w:p w14:paraId="0CB9A301" w14:textId="77777777" w:rsidR="002A54AB" w:rsidRPr="00C729C0" w:rsidRDefault="002A54AB" w:rsidP="0045227F">
            <w:pPr>
              <w:spacing w:after="0" w:line="360" w:lineRule="auto"/>
              <w:jc w:val="center"/>
              <w:rPr>
                <w:rFonts w:ascii="Arial" w:eastAsia="Times New Roman" w:hAnsi="Arial" w:cs="Arial"/>
                <w:b/>
                <w:bCs/>
                <w:kern w:val="0"/>
                <w:lang w:eastAsia="en-GB"/>
                <w14:ligatures w14:val="none"/>
              </w:rPr>
            </w:pPr>
            <w:r w:rsidRPr="00C729C0">
              <w:rPr>
                <w:rFonts w:ascii="Arial" w:eastAsia="Times New Roman" w:hAnsi="Arial" w:cs="Arial"/>
                <w:b/>
                <w:bCs/>
                <w:kern w:val="0"/>
                <w:lang w:eastAsia="en-GB"/>
                <w14:ligatures w14:val="none"/>
              </w:rPr>
              <w:t>Current Ratio</w:t>
            </w:r>
          </w:p>
        </w:tc>
      </w:tr>
      <w:tr w:rsidR="002A54AB" w:rsidRPr="00C729C0" w14:paraId="3F33E481" w14:textId="77777777" w:rsidTr="00A15BDD">
        <w:trPr>
          <w:tblCellSpacing w:w="15" w:type="dxa"/>
        </w:trPr>
        <w:tc>
          <w:tcPr>
            <w:tcW w:w="0" w:type="auto"/>
            <w:vAlign w:val="center"/>
            <w:hideMark/>
          </w:tcPr>
          <w:p w14:paraId="01566090"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2019</w:t>
            </w:r>
          </w:p>
        </w:tc>
        <w:tc>
          <w:tcPr>
            <w:tcW w:w="0" w:type="auto"/>
            <w:vAlign w:val="center"/>
            <w:hideMark/>
          </w:tcPr>
          <w:p w14:paraId="69C3295C"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12,103</w:t>
            </w:r>
          </w:p>
        </w:tc>
        <w:tc>
          <w:tcPr>
            <w:tcW w:w="2109" w:type="dxa"/>
            <w:vAlign w:val="center"/>
            <w:hideMark/>
          </w:tcPr>
          <w:p w14:paraId="7F169F56"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10,667</w:t>
            </w:r>
          </w:p>
        </w:tc>
        <w:tc>
          <w:tcPr>
            <w:tcW w:w="2279" w:type="dxa"/>
            <w:vAlign w:val="center"/>
            <w:hideMark/>
          </w:tcPr>
          <w:p w14:paraId="21EBA7A5"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12,103 ÷ 10,667</w:t>
            </w:r>
          </w:p>
        </w:tc>
        <w:tc>
          <w:tcPr>
            <w:tcW w:w="0" w:type="auto"/>
            <w:vAlign w:val="center"/>
            <w:hideMark/>
          </w:tcPr>
          <w:p w14:paraId="688B3317"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1.13</w:t>
            </w:r>
          </w:p>
        </w:tc>
      </w:tr>
      <w:tr w:rsidR="002A54AB" w:rsidRPr="00C729C0" w14:paraId="14346B8D" w14:textId="77777777" w:rsidTr="00A15BDD">
        <w:trPr>
          <w:tblCellSpacing w:w="15" w:type="dxa"/>
        </w:trPr>
        <w:tc>
          <w:tcPr>
            <w:tcW w:w="0" w:type="auto"/>
            <w:vAlign w:val="center"/>
            <w:hideMark/>
          </w:tcPr>
          <w:p w14:paraId="44D1F8F6"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2020</w:t>
            </w:r>
          </w:p>
        </w:tc>
        <w:tc>
          <w:tcPr>
            <w:tcW w:w="0" w:type="auto"/>
            <w:vAlign w:val="center"/>
            <w:hideMark/>
          </w:tcPr>
          <w:p w14:paraId="4648D5E0"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26,717</w:t>
            </w:r>
          </w:p>
        </w:tc>
        <w:tc>
          <w:tcPr>
            <w:tcW w:w="2109" w:type="dxa"/>
            <w:vAlign w:val="center"/>
            <w:hideMark/>
          </w:tcPr>
          <w:p w14:paraId="7341CA6A"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19,705</w:t>
            </w:r>
          </w:p>
        </w:tc>
        <w:tc>
          <w:tcPr>
            <w:tcW w:w="2279" w:type="dxa"/>
            <w:vAlign w:val="center"/>
            <w:hideMark/>
          </w:tcPr>
          <w:p w14:paraId="3DFF2EC2"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26,717 ÷ 19,705</w:t>
            </w:r>
          </w:p>
        </w:tc>
        <w:tc>
          <w:tcPr>
            <w:tcW w:w="0" w:type="auto"/>
            <w:vAlign w:val="center"/>
            <w:hideMark/>
          </w:tcPr>
          <w:p w14:paraId="01B191D6"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1.36</w:t>
            </w:r>
          </w:p>
        </w:tc>
      </w:tr>
      <w:tr w:rsidR="002A54AB" w:rsidRPr="00C729C0" w14:paraId="6183283F" w14:textId="77777777" w:rsidTr="00A15BDD">
        <w:trPr>
          <w:tblCellSpacing w:w="15" w:type="dxa"/>
        </w:trPr>
        <w:tc>
          <w:tcPr>
            <w:tcW w:w="0" w:type="auto"/>
            <w:vAlign w:val="center"/>
            <w:hideMark/>
          </w:tcPr>
          <w:p w14:paraId="3A0ECB87"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2021</w:t>
            </w:r>
          </w:p>
        </w:tc>
        <w:tc>
          <w:tcPr>
            <w:tcW w:w="0" w:type="auto"/>
            <w:vAlign w:val="center"/>
            <w:hideMark/>
          </w:tcPr>
          <w:p w14:paraId="64A2D993"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30,548</w:t>
            </w:r>
          </w:p>
        </w:tc>
        <w:tc>
          <w:tcPr>
            <w:tcW w:w="2109" w:type="dxa"/>
            <w:vAlign w:val="center"/>
            <w:hideMark/>
          </w:tcPr>
          <w:p w14:paraId="5681CCF2"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27,699</w:t>
            </w:r>
          </w:p>
        </w:tc>
        <w:tc>
          <w:tcPr>
            <w:tcW w:w="2279" w:type="dxa"/>
            <w:vAlign w:val="center"/>
            <w:hideMark/>
          </w:tcPr>
          <w:p w14:paraId="4CA03302"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30,548 ÷ 27,699</w:t>
            </w:r>
          </w:p>
        </w:tc>
        <w:tc>
          <w:tcPr>
            <w:tcW w:w="0" w:type="auto"/>
            <w:vAlign w:val="center"/>
            <w:hideMark/>
          </w:tcPr>
          <w:p w14:paraId="38D1BE6D"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1.10</w:t>
            </w:r>
          </w:p>
        </w:tc>
      </w:tr>
      <w:tr w:rsidR="002A54AB" w:rsidRPr="00C729C0" w14:paraId="38B8ED80" w14:textId="77777777" w:rsidTr="00A15BDD">
        <w:trPr>
          <w:tblCellSpacing w:w="15" w:type="dxa"/>
        </w:trPr>
        <w:tc>
          <w:tcPr>
            <w:tcW w:w="0" w:type="auto"/>
            <w:vAlign w:val="center"/>
            <w:hideMark/>
          </w:tcPr>
          <w:p w14:paraId="7FABF21E"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2022</w:t>
            </w:r>
          </w:p>
        </w:tc>
        <w:tc>
          <w:tcPr>
            <w:tcW w:w="0" w:type="auto"/>
            <w:vAlign w:val="center"/>
            <w:hideMark/>
          </w:tcPr>
          <w:p w14:paraId="0274650F"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40,917</w:t>
            </w:r>
          </w:p>
        </w:tc>
        <w:tc>
          <w:tcPr>
            <w:tcW w:w="2109" w:type="dxa"/>
            <w:vAlign w:val="center"/>
            <w:hideMark/>
          </w:tcPr>
          <w:p w14:paraId="4655A32D"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28,748</w:t>
            </w:r>
          </w:p>
        </w:tc>
        <w:tc>
          <w:tcPr>
            <w:tcW w:w="2279" w:type="dxa"/>
            <w:vAlign w:val="center"/>
            <w:hideMark/>
          </w:tcPr>
          <w:p w14:paraId="5E61CE10"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40,917 ÷ 28,748</w:t>
            </w:r>
          </w:p>
        </w:tc>
        <w:tc>
          <w:tcPr>
            <w:tcW w:w="0" w:type="auto"/>
            <w:vAlign w:val="center"/>
            <w:hideMark/>
          </w:tcPr>
          <w:p w14:paraId="692B2F0D"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1.42</w:t>
            </w:r>
          </w:p>
        </w:tc>
      </w:tr>
      <w:tr w:rsidR="002A54AB" w:rsidRPr="00C729C0" w14:paraId="3E697A0A" w14:textId="77777777" w:rsidTr="00A15BDD">
        <w:trPr>
          <w:tblCellSpacing w:w="15" w:type="dxa"/>
        </w:trPr>
        <w:tc>
          <w:tcPr>
            <w:tcW w:w="0" w:type="auto"/>
            <w:vAlign w:val="center"/>
            <w:hideMark/>
          </w:tcPr>
          <w:p w14:paraId="297C10EE"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2023</w:t>
            </w:r>
          </w:p>
        </w:tc>
        <w:tc>
          <w:tcPr>
            <w:tcW w:w="0" w:type="auto"/>
            <w:vAlign w:val="center"/>
            <w:hideMark/>
          </w:tcPr>
          <w:p w14:paraId="17A2549A"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49,616</w:t>
            </w:r>
          </w:p>
        </w:tc>
        <w:tc>
          <w:tcPr>
            <w:tcW w:w="2109" w:type="dxa"/>
            <w:vAlign w:val="center"/>
            <w:hideMark/>
          </w:tcPr>
          <w:p w14:paraId="49945F20"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33,593</w:t>
            </w:r>
          </w:p>
        </w:tc>
        <w:tc>
          <w:tcPr>
            <w:tcW w:w="2279" w:type="dxa"/>
            <w:vAlign w:val="center"/>
            <w:hideMark/>
          </w:tcPr>
          <w:p w14:paraId="5C123DE4"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49,616 ÷ 33,593</w:t>
            </w:r>
          </w:p>
        </w:tc>
        <w:tc>
          <w:tcPr>
            <w:tcW w:w="0" w:type="auto"/>
            <w:vAlign w:val="center"/>
            <w:hideMark/>
          </w:tcPr>
          <w:p w14:paraId="42DD49EA" w14:textId="77777777" w:rsidR="002A54AB" w:rsidRPr="00C729C0" w:rsidRDefault="002A54AB" w:rsidP="0045227F">
            <w:pPr>
              <w:spacing w:after="0"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1.48</w:t>
            </w:r>
          </w:p>
        </w:tc>
      </w:tr>
    </w:tbl>
    <w:p w14:paraId="6F7B97EA" w14:textId="77777777" w:rsidR="002A54AB" w:rsidRPr="00C729C0" w:rsidRDefault="002A54AB" w:rsidP="0045227F">
      <w:pPr>
        <w:spacing w:after="0" w:line="360" w:lineRule="auto"/>
        <w:rPr>
          <w:rFonts w:ascii="Arial" w:eastAsia="Times New Roman" w:hAnsi="Arial" w:cs="Arial"/>
          <w:kern w:val="0"/>
          <w:lang w:eastAsia="en-GB"/>
          <w14:ligatures w14:val="none"/>
        </w:rPr>
      </w:pPr>
    </w:p>
    <w:p w14:paraId="737FD461" w14:textId="77777777" w:rsidR="002A54AB" w:rsidRPr="00C729C0" w:rsidRDefault="002A54AB" w:rsidP="0045227F">
      <w:pPr>
        <w:spacing w:before="100" w:beforeAutospacing="1" w:after="100" w:afterAutospacing="1" w:line="360" w:lineRule="auto"/>
        <w:outlineLvl w:val="1"/>
        <w:rPr>
          <w:rFonts w:ascii="Arial" w:eastAsia="Times New Roman" w:hAnsi="Arial" w:cs="Arial"/>
          <w:b/>
          <w:bCs/>
          <w:kern w:val="0"/>
          <w:lang w:eastAsia="en-GB"/>
          <w14:ligatures w14:val="none"/>
        </w:rPr>
      </w:pPr>
      <w:bookmarkStart w:id="16" w:name="_Toc224822930"/>
      <w:r w:rsidRPr="00C729C0">
        <w:rPr>
          <w:rFonts w:ascii="Arial" w:eastAsia="Times New Roman" w:hAnsi="Arial" w:cs="Arial"/>
          <w:b/>
          <w:bCs/>
          <w:kern w:val="0"/>
          <w:lang w:eastAsia="en-GB"/>
          <w14:ligatures w14:val="none"/>
        </w:rPr>
        <w:t>Quick Ratio</w:t>
      </w:r>
      <w:bookmarkEnd w:id="16"/>
    </w:p>
    <w:p w14:paraId="0A038E7E" w14:textId="77777777" w:rsidR="002A54AB" w:rsidRPr="00C729C0" w:rsidRDefault="002A54AB"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Formula:</w:t>
      </w:r>
    </w:p>
    <w:p w14:paraId="457E37FD" w14:textId="77777777" w:rsidR="002A54AB" w:rsidRPr="00C729C0" w:rsidRDefault="002A54AB"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Quick Ratio = (Current Assets − Inventory) ÷ Current Liabilities</w:t>
      </w:r>
    </w:p>
    <w:p w14:paraId="1636B1F0" w14:textId="77777777" w:rsidR="002A54AB" w:rsidRPr="00C729C0" w:rsidRDefault="002A54AB"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Example (2023):</w:t>
      </w:r>
    </w:p>
    <w:p w14:paraId="4B551389" w14:textId="77777777" w:rsidR="002A54AB" w:rsidRPr="00C729C0" w:rsidRDefault="002A54AB"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 (49,616 − 13,626) ÷ 33,593</w:t>
      </w:r>
      <w:r w:rsidRPr="00C729C0">
        <w:rPr>
          <w:rFonts w:ascii="Arial" w:eastAsia="Times New Roman" w:hAnsi="Arial" w:cs="Arial"/>
          <w:kern w:val="0"/>
          <w:lang w:eastAsia="en-GB"/>
          <w14:ligatures w14:val="none"/>
        </w:rPr>
        <w:br/>
        <w:t>= 35,990 ÷ 33,593</w:t>
      </w:r>
      <w:r w:rsidRPr="00C729C0">
        <w:rPr>
          <w:rFonts w:ascii="Arial" w:eastAsia="Times New Roman" w:hAnsi="Arial" w:cs="Arial"/>
          <w:kern w:val="0"/>
          <w:lang w:eastAsia="en-GB"/>
          <w14:ligatures w14:val="none"/>
        </w:rPr>
        <w:br/>
        <w:t>= 1.07</w:t>
      </w:r>
    </w:p>
    <w:p w14:paraId="19DB5653" w14:textId="77777777" w:rsidR="002A54AB" w:rsidRPr="00C729C0" w:rsidRDefault="002A54AB" w:rsidP="0045227F">
      <w:pPr>
        <w:spacing w:before="100" w:beforeAutospacing="1" w:after="100" w:afterAutospacing="1" w:line="360" w:lineRule="auto"/>
        <w:outlineLvl w:val="0"/>
        <w:rPr>
          <w:rFonts w:ascii="Arial" w:eastAsia="Times New Roman" w:hAnsi="Arial" w:cs="Arial"/>
          <w:b/>
          <w:bCs/>
          <w:kern w:val="36"/>
          <w:lang w:eastAsia="en-GB"/>
          <w14:ligatures w14:val="none"/>
        </w:rPr>
      </w:pPr>
      <w:bookmarkStart w:id="17" w:name="_Toc224822931"/>
      <w:r w:rsidRPr="00C729C0">
        <w:rPr>
          <w:rFonts w:ascii="Arial" w:eastAsia="Times New Roman" w:hAnsi="Arial" w:cs="Arial"/>
          <w:b/>
          <w:bCs/>
          <w:kern w:val="36"/>
          <w:lang w:eastAsia="en-GB"/>
          <w14:ligatures w14:val="none"/>
        </w:rPr>
        <w:t>A3 Efficiency Ratios</w:t>
      </w:r>
      <w:bookmarkEnd w:id="17"/>
    </w:p>
    <w:p w14:paraId="0E8B62AE" w14:textId="77777777" w:rsidR="002A54AB" w:rsidRPr="00C729C0" w:rsidRDefault="002A54AB" w:rsidP="0045227F">
      <w:pPr>
        <w:spacing w:before="100" w:beforeAutospacing="1" w:after="100" w:afterAutospacing="1" w:line="360" w:lineRule="auto"/>
        <w:outlineLvl w:val="1"/>
        <w:rPr>
          <w:rFonts w:ascii="Arial" w:eastAsia="Times New Roman" w:hAnsi="Arial" w:cs="Arial"/>
          <w:b/>
          <w:bCs/>
          <w:kern w:val="0"/>
          <w:lang w:eastAsia="en-GB"/>
          <w14:ligatures w14:val="none"/>
        </w:rPr>
      </w:pPr>
      <w:bookmarkStart w:id="18" w:name="_Toc224822932"/>
      <w:r w:rsidRPr="00C729C0">
        <w:rPr>
          <w:rFonts w:ascii="Arial" w:eastAsia="Times New Roman" w:hAnsi="Arial" w:cs="Arial"/>
          <w:b/>
          <w:bCs/>
          <w:kern w:val="0"/>
          <w:lang w:eastAsia="en-GB"/>
          <w14:ligatures w14:val="none"/>
        </w:rPr>
        <w:lastRenderedPageBreak/>
        <w:t>Inventory Days</w:t>
      </w:r>
      <w:bookmarkEnd w:id="18"/>
    </w:p>
    <w:p w14:paraId="14556D5A" w14:textId="77777777" w:rsidR="002A54AB" w:rsidRPr="00C729C0" w:rsidRDefault="002A54AB"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Formula:</w:t>
      </w:r>
    </w:p>
    <w:p w14:paraId="2C50DBC1" w14:textId="77777777" w:rsidR="002A54AB" w:rsidRPr="00C729C0" w:rsidRDefault="002A54AB"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Inventory Days = Inventory × 365 ÷ Cost of Sales</w:t>
      </w:r>
    </w:p>
    <w:p w14:paraId="350B4E96" w14:textId="77777777" w:rsidR="002A54AB" w:rsidRPr="00C729C0" w:rsidRDefault="002A54AB"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Example (2023):</w:t>
      </w:r>
    </w:p>
    <w:p w14:paraId="0DD2914F" w14:textId="77777777" w:rsidR="002A54AB" w:rsidRPr="00C729C0" w:rsidRDefault="002A54AB"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 13,626 × 365 ÷ 79,113</w:t>
      </w:r>
      <w:r w:rsidRPr="00C729C0">
        <w:rPr>
          <w:rFonts w:ascii="Arial" w:eastAsia="Times New Roman" w:hAnsi="Arial" w:cs="Arial"/>
          <w:kern w:val="0"/>
          <w:lang w:eastAsia="en-GB"/>
          <w14:ligatures w14:val="none"/>
        </w:rPr>
        <w:br/>
        <w:t>= 63 days</w:t>
      </w:r>
    </w:p>
    <w:p w14:paraId="621D3BBE" w14:textId="77777777" w:rsidR="002A54AB" w:rsidRPr="00C729C0" w:rsidRDefault="002A54AB" w:rsidP="0045227F">
      <w:pPr>
        <w:spacing w:before="100" w:beforeAutospacing="1" w:after="100" w:afterAutospacing="1" w:line="360" w:lineRule="auto"/>
        <w:outlineLvl w:val="1"/>
        <w:rPr>
          <w:rFonts w:ascii="Arial" w:eastAsia="Times New Roman" w:hAnsi="Arial" w:cs="Arial"/>
          <w:b/>
          <w:bCs/>
          <w:kern w:val="0"/>
          <w:lang w:eastAsia="en-GB"/>
          <w14:ligatures w14:val="none"/>
        </w:rPr>
      </w:pPr>
      <w:bookmarkStart w:id="19" w:name="_Toc224822933"/>
      <w:r w:rsidRPr="00C729C0">
        <w:rPr>
          <w:rFonts w:ascii="Arial" w:eastAsia="Times New Roman" w:hAnsi="Arial" w:cs="Arial"/>
          <w:b/>
          <w:bCs/>
          <w:kern w:val="0"/>
          <w:lang w:eastAsia="en-GB"/>
          <w14:ligatures w14:val="none"/>
        </w:rPr>
        <w:t>Receivable Days</w:t>
      </w:r>
      <w:bookmarkEnd w:id="19"/>
    </w:p>
    <w:p w14:paraId="1689E322" w14:textId="77777777" w:rsidR="002A54AB" w:rsidRPr="00C729C0" w:rsidRDefault="002A54AB"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Formula:</w:t>
      </w:r>
    </w:p>
    <w:p w14:paraId="42DB5389" w14:textId="77777777" w:rsidR="002A54AB" w:rsidRPr="00C729C0" w:rsidRDefault="002A54AB"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Receivable Days = Receivables × 365 ÷ Revenue</w:t>
      </w:r>
    </w:p>
    <w:p w14:paraId="732093D8" w14:textId="77777777" w:rsidR="002A54AB" w:rsidRPr="00C729C0" w:rsidRDefault="002A54AB"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Example (2023):</w:t>
      </w:r>
    </w:p>
    <w:p w14:paraId="43D4C6F2" w14:textId="77777777" w:rsidR="002A54AB" w:rsidRPr="00C729C0" w:rsidRDefault="002A54AB"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 3,508 × 365 ÷ 96,773</w:t>
      </w:r>
      <w:r w:rsidRPr="00C729C0">
        <w:rPr>
          <w:rFonts w:ascii="Arial" w:eastAsia="Times New Roman" w:hAnsi="Arial" w:cs="Arial"/>
          <w:kern w:val="0"/>
          <w:lang w:eastAsia="en-GB"/>
          <w14:ligatures w14:val="none"/>
        </w:rPr>
        <w:br/>
        <w:t>= 13 days</w:t>
      </w:r>
    </w:p>
    <w:p w14:paraId="54E106F5" w14:textId="77777777" w:rsidR="002A54AB" w:rsidRPr="00C729C0" w:rsidRDefault="002A54AB" w:rsidP="0045227F">
      <w:pPr>
        <w:spacing w:before="100" w:beforeAutospacing="1" w:after="100" w:afterAutospacing="1" w:line="360" w:lineRule="auto"/>
        <w:outlineLvl w:val="1"/>
        <w:rPr>
          <w:rFonts w:ascii="Arial" w:eastAsia="Times New Roman" w:hAnsi="Arial" w:cs="Arial"/>
          <w:b/>
          <w:bCs/>
          <w:kern w:val="0"/>
          <w:lang w:eastAsia="en-GB"/>
          <w14:ligatures w14:val="none"/>
        </w:rPr>
      </w:pPr>
      <w:bookmarkStart w:id="20" w:name="_Toc224822934"/>
      <w:r w:rsidRPr="00C729C0">
        <w:rPr>
          <w:rFonts w:ascii="Arial" w:eastAsia="Times New Roman" w:hAnsi="Arial" w:cs="Arial"/>
          <w:b/>
          <w:bCs/>
          <w:kern w:val="0"/>
          <w:lang w:eastAsia="en-GB"/>
          <w14:ligatures w14:val="none"/>
        </w:rPr>
        <w:t>Payable Days</w:t>
      </w:r>
      <w:bookmarkEnd w:id="20"/>
    </w:p>
    <w:p w14:paraId="57D4C510" w14:textId="77777777" w:rsidR="002A54AB" w:rsidRPr="00C729C0" w:rsidRDefault="002A54AB"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Formula:</w:t>
      </w:r>
    </w:p>
    <w:p w14:paraId="1898CB69" w14:textId="77777777" w:rsidR="002A54AB" w:rsidRPr="00C729C0" w:rsidRDefault="002A54AB"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Payable Days = Payables × 365 ÷ Cost of Sales</w:t>
      </w:r>
    </w:p>
    <w:p w14:paraId="38C03165" w14:textId="77777777" w:rsidR="002A54AB" w:rsidRPr="00C729C0" w:rsidRDefault="002A54AB"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Example (2023):</w:t>
      </w:r>
    </w:p>
    <w:p w14:paraId="4033B6A6" w14:textId="77777777" w:rsidR="002A54AB" w:rsidRPr="00C729C0" w:rsidRDefault="002A54AB"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 16,732 × 365 ÷ 79,113</w:t>
      </w:r>
      <w:r w:rsidRPr="00C729C0">
        <w:rPr>
          <w:rFonts w:ascii="Arial" w:eastAsia="Times New Roman" w:hAnsi="Arial" w:cs="Arial"/>
          <w:kern w:val="0"/>
          <w:lang w:eastAsia="en-GB"/>
          <w14:ligatures w14:val="none"/>
        </w:rPr>
        <w:br/>
        <w:t>= 77</w:t>
      </w:r>
      <w:r w:rsidR="00494F50" w:rsidRPr="00C729C0">
        <w:rPr>
          <w:rFonts w:ascii="Arial" w:eastAsia="Times New Roman" w:hAnsi="Arial" w:cs="Arial"/>
          <w:kern w:val="0"/>
          <w:lang w:eastAsia="en-GB"/>
          <w14:ligatures w14:val="none"/>
        </w:rPr>
        <w:t>.2 ≈ 78 days</w:t>
      </w:r>
    </w:p>
    <w:p w14:paraId="1AF2D8AC" w14:textId="77777777" w:rsidR="002A54AB" w:rsidRPr="00C729C0" w:rsidRDefault="002A54AB" w:rsidP="0045227F">
      <w:pPr>
        <w:spacing w:before="100" w:beforeAutospacing="1" w:after="100" w:afterAutospacing="1" w:line="360" w:lineRule="auto"/>
        <w:outlineLvl w:val="0"/>
        <w:rPr>
          <w:rFonts w:ascii="Arial" w:eastAsia="Times New Roman" w:hAnsi="Arial" w:cs="Arial"/>
          <w:b/>
          <w:bCs/>
          <w:kern w:val="36"/>
          <w:lang w:eastAsia="en-GB"/>
          <w14:ligatures w14:val="none"/>
        </w:rPr>
      </w:pPr>
      <w:bookmarkStart w:id="21" w:name="_Toc224822935"/>
      <w:r w:rsidRPr="00C729C0">
        <w:rPr>
          <w:rFonts w:ascii="Arial" w:eastAsia="Times New Roman" w:hAnsi="Arial" w:cs="Arial"/>
          <w:b/>
          <w:bCs/>
          <w:kern w:val="36"/>
          <w:lang w:eastAsia="en-GB"/>
          <w14:ligatures w14:val="none"/>
        </w:rPr>
        <w:t>A4 Working Capital Calculation</w:t>
      </w:r>
      <w:bookmarkEnd w:id="21"/>
    </w:p>
    <w:p w14:paraId="716EF435" w14:textId="77777777" w:rsidR="002A54AB" w:rsidRPr="00C729C0" w:rsidRDefault="002A54AB"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Formula:</w:t>
      </w:r>
    </w:p>
    <w:p w14:paraId="489B7829" w14:textId="77777777" w:rsidR="002A54AB" w:rsidRPr="00C729C0" w:rsidRDefault="002A54AB"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Working Capital = Current Assets − Current Liabilities</w:t>
      </w:r>
    </w:p>
    <w:p w14:paraId="0F5D8DBF" w14:textId="77777777" w:rsidR="002A54AB" w:rsidRPr="00C729C0" w:rsidRDefault="002A54AB"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lastRenderedPageBreak/>
        <w:t>Example (2023):</w:t>
      </w:r>
    </w:p>
    <w:p w14:paraId="13138B7E" w14:textId="77777777" w:rsidR="002A54AB" w:rsidRPr="00C729C0" w:rsidRDefault="002A54AB"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 49,616 − 33,593</w:t>
      </w:r>
      <w:r w:rsidRPr="00C729C0">
        <w:rPr>
          <w:rFonts w:ascii="Arial" w:eastAsia="Times New Roman" w:hAnsi="Arial" w:cs="Arial"/>
          <w:kern w:val="0"/>
          <w:lang w:eastAsia="en-GB"/>
          <w14:ligatures w14:val="none"/>
        </w:rPr>
        <w:br/>
        <w:t>= $16,023 million</w:t>
      </w:r>
    </w:p>
    <w:p w14:paraId="6FDB0F9A" w14:textId="77777777" w:rsidR="002A54AB" w:rsidRPr="00C729C0" w:rsidRDefault="002A54AB" w:rsidP="0045227F">
      <w:pPr>
        <w:spacing w:before="100" w:beforeAutospacing="1" w:after="100" w:afterAutospacing="1" w:line="360" w:lineRule="auto"/>
        <w:rPr>
          <w:rFonts w:ascii="Arial" w:eastAsia="Times New Roman" w:hAnsi="Arial" w:cs="Arial"/>
          <w:kern w:val="0"/>
          <w:lang w:eastAsia="en-GB"/>
          <w14:ligatures w14:val="none"/>
        </w:rPr>
      </w:pPr>
      <w:r w:rsidRPr="00C729C0">
        <w:rPr>
          <w:rFonts w:ascii="Arial" w:eastAsia="Times New Roman" w:hAnsi="Arial" w:cs="Arial"/>
          <w:kern w:val="0"/>
          <w:lang w:eastAsia="en-GB"/>
          <w14:ligatures w14:val="none"/>
        </w:rPr>
        <w:t>This confirms Tesla maintains strong liquidity.</w:t>
      </w:r>
    </w:p>
    <w:p w14:paraId="41F274F1" w14:textId="77777777" w:rsidR="00D27795" w:rsidRPr="00C729C0" w:rsidRDefault="00D27795" w:rsidP="0045227F">
      <w:pPr>
        <w:spacing w:line="360" w:lineRule="auto"/>
        <w:rPr>
          <w:rFonts w:ascii="Arial" w:hAnsi="Arial" w:cs="Arial"/>
        </w:rPr>
      </w:pPr>
    </w:p>
    <w:sectPr w:rsidR="00D27795" w:rsidRPr="00C729C0" w:rsidSect="001057A3">
      <w:footerReference w:type="even"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C3EB32" w14:textId="77777777" w:rsidR="00276D17" w:rsidRDefault="00276D17" w:rsidP="001057A3">
      <w:pPr>
        <w:spacing w:after="0" w:line="240" w:lineRule="auto"/>
      </w:pPr>
      <w:r>
        <w:separator/>
      </w:r>
    </w:p>
  </w:endnote>
  <w:endnote w:type="continuationSeparator" w:id="0">
    <w:p w14:paraId="5945BFE5" w14:textId="77777777" w:rsidR="00276D17" w:rsidRDefault="00276D17" w:rsidP="001057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8077676"/>
      <w:docPartObj>
        <w:docPartGallery w:val="Page Numbers (Bottom of Page)"/>
        <w:docPartUnique/>
      </w:docPartObj>
    </w:sdtPr>
    <w:sdtEndPr>
      <w:rPr>
        <w:rStyle w:val="PageNumber"/>
      </w:rPr>
    </w:sdtEndPr>
    <w:sdtContent>
      <w:p w14:paraId="4B3E80F2" w14:textId="77777777" w:rsidR="001057A3" w:rsidRDefault="001057A3" w:rsidP="00102E5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sidR="00276D17">
          <w:rPr>
            <w:rStyle w:val="PageNumber"/>
          </w:rPr>
          <w:fldChar w:fldCharType="separate"/>
        </w:r>
        <w:r>
          <w:rPr>
            <w:rStyle w:val="PageNumber"/>
          </w:rPr>
          <w:fldChar w:fldCharType="end"/>
        </w:r>
      </w:p>
    </w:sdtContent>
  </w:sdt>
  <w:p w14:paraId="37E5B415" w14:textId="77777777" w:rsidR="001057A3" w:rsidRDefault="001057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36429740"/>
      <w:docPartObj>
        <w:docPartGallery w:val="Page Numbers (Bottom of Page)"/>
        <w:docPartUnique/>
      </w:docPartObj>
    </w:sdtPr>
    <w:sdtEndPr>
      <w:rPr>
        <w:rStyle w:val="PageNumber"/>
      </w:rPr>
    </w:sdtEndPr>
    <w:sdtContent>
      <w:p w14:paraId="148B29D4" w14:textId="77777777" w:rsidR="001057A3" w:rsidRDefault="001057A3" w:rsidP="00102E5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9D074CC" w14:textId="77777777" w:rsidR="001057A3" w:rsidRDefault="001057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0466F1" w14:textId="77777777" w:rsidR="00276D17" w:rsidRDefault="00276D17" w:rsidP="001057A3">
      <w:pPr>
        <w:spacing w:after="0" w:line="240" w:lineRule="auto"/>
      </w:pPr>
      <w:r>
        <w:separator/>
      </w:r>
    </w:p>
  </w:footnote>
  <w:footnote w:type="continuationSeparator" w:id="0">
    <w:p w14:paraId="21B0A63F" w14:textId="77777777" w:rsidR="00276D17" w:rsidRDefault="00276D17" w:rsidP="001057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30D0A"/>
    <w:multiLevelType w:val="multilevel"/>
    <w:tmpl w:val="DE6EA6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795"/>
    <w:rsid w:val="00000B06"/>
    <w:rsid w:val="00015051"/>
    <w:rsid w:val="00063BE3"/>
    <w:rsid w:val="000B4C72"/>
    <w:rsid w:val="000C23ED"/>
    <w:rsid w:val="000D1673"/>
    <w:rsid w:val="000E7052"/>
    <w:rsid w:val="00102E50"/>
    <w:rsid w:val="001057A3"/>
    <w:rsid w:val="001F142D"/>
    <w:rsid w:val="002166DE"/>
    <w:rsid w:val="00247228"/>
    <w:rsid w:val="00257539"/>
    <w:rsid w:val="00276D17"/>
    <w:rsid w:val="0028572A"/>
    <w:rsid w:val="002A464C"/>
    <w:rsid w:val="002A54AB"/>
    <w:rsid w:val="002D1958"/>
    <w:rsid w:val="002F67EB"/>
    <w:rsid w:val="0030092B"/>
    <w:rsid w:val="003653A1"/>
    <w:rsid w:val="003C6EC5"/>
    <w:rsid w:val="003D550C"/>
    <w:rsid w:val="0045227F"/>
    <w:rsid w:val="00467D31"/>
    <w:rsid w:val="00494F50"/>
    <w:rsid w:val="004D5C01"/>
    <w:rsid w:val="004E22F4"/>
    <w:rsid w:val="004E5FF3"/>
    <w:rsid w:val="00574D91"/>
    <w:rsid w:val="00595351"/>
    <w:rsid w:val="005A1B19"/>
    <w:rsid w:val="005D4D6C"/>
    <w:rsid w:val="0061349D"/>
    <w:rsid w:val="00673666"/>
    <w:rsid w:val="006848D7"/>
    <w:rsid w:val="00684B47"/>
    <w:rsid w:val="00733AF3"/>
    <w:rsid w:val="007A6C8D"/>
    <w:rsid w:val="007D135B"/>
    <w:rsid w:val="00872C0C"/>
    <w:rsid w:val="008D42B9"/>
    <w:rsid w:val="008D4F14"/>
    <w:rsid w:val="00940D5A"/>
    <w:rsid w:val="0096027B"/>
    <w:rsid w:val="009C06BC"/>
    <w:rsid w:val="009D62B8"/>
    <w:rsid w:val="009E1F7D"/>
    <w:rsid w:val="00A1240C"/>
    <w:rsid w:val="00A15BDD"/>
    <w:rsid w:val="00A43241"/>
    <w:rsid w:val="00A76801"/>
    <w:rsid w:val="00AE7F40"/>
    <w:rsid w:val="00B55834"/>
    <w:rsid w:val="00BF25A5"/>
    <w:rsid w:val="00C729C0"/>
    <w:rsid w:val="00C80AB4"/>
    <w:rsid w:val="00CA080F"/>
    <w:rsid w:val="00CA21B0"/>
    <w:rsid w:val="00CC0047"/>
    <w:rsid w:val="00CD3308"/>
    <w:rsid w:val="00D16AE1"/>
    <w:rsid w:val="00D16FD9"/>
    <w:rsid w:val="00D27795"/>
    <w:rsid w:val="00D75183"/>
    <w:rsid w:val="00D8403B"/>
    <w:rsid w:val="00D9259B"/>
    <w:rsid w:val="00DD71EA"/>
    <w:rsid w:val="00DE7713"/>
    <w:rsid w:val="00E31D66"/>
    <w:rsid w:val="00E86FB7"/>
    <w:rsid w:val="00E910DF"/>
    <w:rsid w:val="00EB5B60"/>
    <w:rsid w:val="00ED5BA9"/>
    <w:rsid w:val="00F4685A"/>
    <w:rsid w:val="00FD0E0C"/>
    <w:rsid w:val="00FF157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9B82692"/>
  <w15:chartTrackingRefBased/>
  <w15:docId w15:val="{257749D0-60B0-7F44-9232-CADBFA07C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779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2779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D2779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2779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2779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277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77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77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77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779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2779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D2779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2779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2779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277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77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77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7795"/>
    <w:rPr>
      <w:rFonts w:eastAsiaTheme="majorEastAsia" w:cstheme="majorBidi"/>
      <w:color w:val="272727" w:themeColor="text1" w:themeTint="D8"/>
    </w:rPr>
  </w:style>
  <w:style w:type="paragraph" w:styleId="Title">
    <w:name w:val="Title"/>
    <w:basedOn w:val="Normal"/>
    <w:next w:val="Normal"/>
    <w:link w:val="TitleChar"/>
    <w:uiPriority w:val="10"/>
    <w:qFormat/>
    <w:rsid w:val="00D277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77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77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77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7795"/>
    <w:pPr>
      <w:spacing w:before="160"/>
      <w:jc w:val="center"/>
    </w:pPr>
    <w:rPr>
      <w:i/>
      <w:iCs/>
      <w:color w:val="404040" w:themeColor="text1" w:themeTint="BF"/>
    </w:rPr>
  </w:style>
  <w:style w:type="character" w:customStyle="1" w:styleId="QuoteChar">
    <w:name w:val="Quote Char"/>
    <w:basedOn w:val="DefaultParagraphFont"/>
    <w:link w:val="Quote"/>
    <w:uiPriority w:val="29"/>
    <w:rsid w:val="00D27795"/>
    <w:rPr>
      <w:i/>
      <w:iCs/>
      <w:color w:val="404040" w:themeColor="text1" w:themeTint="BF"/>
    </w:rPr>
  </w:style>
  <w:style w:type="paragraph" w:styleId="ListParagraph">
    <w:name w:val="List Paragraph"/>
    <w:basedOn w:val="Normal"/>
    <w:uiPriority w:val="34"/>
    <w:qFormat/>
    <w:rsid w:val="00D27795"/>
    <w:pPr>
      <w:ind w:left="720"/>
      <w:contextualSpacing/>
    </w:pPr>
  </w:style>
  <w:style w:type="character" w:styleId="IntenseEmphasis">
    <w:name w:val="Intense Emphasis"/>
    <w:basedOn w:val="DefaultParagraphFont"/>
    <w:uiPriority w:val="21"/>
    <w:qFormat/>
    <w:rsid w:val="00D27795"/>
    <w:rPr>
      <w:i/>
      <w:iCs/>
      <w:color w:val="2F5496" w:themeColor="accent1" w:themeShade="BF"/>
    </w:rPr>
  </w:style>
  <w:style w:type="paragraph" w:styleId="IntenseQuote">
    <w:name w:val="Intense Quote"/>
    <w:basedOn w:val="Normal"/>
    <w:next w:val="Normal"/>
    <w:link w:val="IntenseQuoteChar"/>
    <w:uiPriority w:val="30"/>
    <w:qFormat/>
    <w:rsid w:val="00D2779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27795"/>
    <w:rPr>
      <w:i/>
      <w:iCs/>
      <w:color w:val="2F5496" w:themeColor="accent1" w:themeShade="BF"/>
    </w:rPr>
  </w:style>
  <w:style w:type="character" w:styleId="IntenseReference">
    <w:name w:val="Intense Reference"/>
    <w:basedOn w:val="DefaultParagraphFont"/>
    <w:uiPriority w:val="32"/>
    <w:qFormat/>
    <w:rsid w:val="00D27795"/>
    <w:rPr>
      <w:b/>
      <w:bCs/>
      <w:smallCaps/>
      <w:color w:val="2F5496" w:themeColor="accent1" w:themeShade="BF"/>
      <w:spacing w:val="5"/>
    </w:rPr>
  </w:style>
  <w:style w:type="paragraph" w:styleId="NormalWeb">
    <w:name w:val="Normal (Web)"/>
    <w:basedOn w:val="Normal"/>
    <w:uiPriority w:val="99"/>
    <w:unhideWhenUsed/>
    <w:rsid w:val="00D2779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relative">
    <w:name w:val="relative"/>
    <w:basedOn w:val="DefaultParagraphFont"/>
    <w:rsid w:val="00D27795"/>
  </w:style>
  <w:style w:type="paragraph" w:customStyle="1" w:styleId="not-prose">
    <w:name w:val="not-prose"/>
    <w:basedOn w:val="Normal"/>
    <w:rsid w:val="00D2779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1240C"/>
    <w:rPr>
      <w:b/>
      <w:bCs/>
    </w:rPr>
  </w:style>
  <w:style w:type="character" w:styleId="Emphasis">
    <w:name w:val="Emphasis"/>
    <w:basedOn w:val="DefaultParagraphFont"/>
    <w:uiPriority w:val="20"/>
    <w:qFormat/>
    <w:rsid w:val="00FF1574"/>
    <w:rPr>
      <w:i/>
      <w:iCs/>
    </w:rPr>
  </w:style>
  <w:style w:type="character" w:styleId="Hyperlink">
    <w:name w:val="Hyperlink"/>
    <w:basedOn w:val="DefaultParagraphFont"/>
    <w:uiPriority w:val="99"/>
    <w:unhideWhenUsed/>
    <w:rsid w:val="00FF1574"/>
    <w:rPr>
      <w:color w:val="0000FF"/>
      <w:u w:val="single"/>
    </w:rPr>
  </w:style>
  <w:style w:type="paragraph" w:styleId="Revision">
    <w:name w:val="Revision"/>
    <w:hidden/>
    <w:uiPriority w:val="99"/>
    <w:semiHidden/>
    <w:rsid w:val="00DD71EA"/>
    <w:pPr>
      <w:spacing w:after="0" w:line="240" w:lineRule="auto"/>
    </w:pPr>
  </w:style>
  <w:style w:type="paragraph" w:styleId="Footer">
    <w:name w:val="footer"/>
    <w:basedOn w:val="Normal"/>
    <w:link w:val="FooterChar"/>
    <w:uiPriority w:val="99"/>
    <w:unhideWhenUsed/>
    <w:rsid w:val="001057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57A3"/>
  </w:style>
  <w:style w:type="character" w:styleId="PageNumber">
    <w:name w:val="page number"/>
    <w:basedOn w:val="DefaultParagraphFont"/>
    <w:uiPriority w:val="99"/>
    <w:semiHidden/>
    <w:unhideWhenUsed/>
    <w:rsid w:val="001057A3"/>
  </w:style>
  <w:style w:type="paragraph" w:styleId="TOCHeading">
    <w:name w:val="TOC Heading"/>
    <w:basedOn w:val="Heading1"/>
    <w:next w:val="Normal"/>
    <w:uiPriority w:val="39"/>
    <w:unhideWhenUsed/>
    <w:qFormat/>
    <w:rsid w:val="001057A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1057A3"/>
    <w:pPr>
      <w:spacing w:before="120" w:after="0"/>
    </w:pPr>
    <w:rPr>
      <w:rFonts w:cstheme="minorHAnsi"/>
      <w:b/>
      <w:bCs/>
      <w:i/>
      <w:iCs/>
    </w:rPr>
  </w:style>
  <w:style w:type="paragraph" w:styleId="TOC2">
    <w:name w:val="toc 2"/>
    <w:basedOn w:val="Normal"/>
    <w:next w:val="Normal"/>
    <w:autoRedefine/>
    <w:uiPriority w:val="39"/>
    <w:unhideWhenUsed/>
    <w:rsid w:val="001057A3"/>
    <w:pPr>
      <w:spacing w:before="120" w:after="0"/>
      <w:ind w:left="240"/>
    </w:pPr>
    <w:rPr>
      <w:rFonts w:cstheme="minorHAnsi"/>
      <w:b/>
      <w:bCs/>
      <w:sz w:val="22"/>
      <w:szCs w:val="22"/>
    </w:rPr>
  </w:style>
  <w:style w:type="paragraph" w:styleId="TOC3">
    <w:name w:val="toc 3"/>
    <w:basedOn w:val="Normal"/>
    <w:next w:val="Normal"/>
    <w:autoRedefine/>
    <w:uiPriority w:val="39"/>
    <w:unhideWhenUsed/>
    <w:rsid w:val="001057A3"/>
    <w:pPr>
      <w:spacing w:after="0"/>
      <w:ind w:left="480"/>
    </w:pPr>
    <w:rPr>
      <w:rFonts w:cstheme="minorHAnsi"/>
      <w:sz w:val="20"/>
      <w:szCs w:val="20"/>
    </w:rPr>
  </w:style>
  <w:style w:type="paragraph" w:styleId="TOC4">
    <w:name w:val="toc 4"/>
    <w:basedOn w:val="Normal"/>
    <w:next w:val="Normal"/>
    <w:autoRedefine/>
    <w:uiPriority w:val="39"/>
    <w:unhideWhenUsed/>
    <w:rsid w:val="001057A3"/>
    <w:pPr>
      <w:spacing w:after="0"/>
      <w:ind w:left="720"/>
    </w:pPr>
    <w:rPr>
      <w:rFonts w:cstheme="minorHAnsi"/>
      <w:sz w:val="20"/>
      <w:szCs w:val="20"/>
    </w:rPr>
  </w:style>
  <w:style w:type="paragraph" w:styleId="TOC5">
    <w:name w:val="toc 5"/>
    <w:basedOn w:val="Normal"/>
    <w:next w:val="Normal"/>
    <w:autoRedefine/>
    <w:uiPriority w:val="39"/>
    <w:unhideWhenUsed/>
    <w:rsid w:val="001057A3"/>
    <w:pPr>
      <w:spacing w:after="0"/>
      <w:ind w:left="960"/>
    </w:pPr>
    <w:rPr>
      <w:rFonts w:cstheme="minorHAnsi"/>
      <w:sz w:val="20"/>
      <w:szCs w:val="20"/>
    </w:rPr>
  </w:style>
  <w:style w:type="paragraph" w:styleId="TOC6">
    <w:name w:val="toc 6"/>
    <w:basedOn w:val="Normal"/>
    <w:next w:val="Normal"/>
    <w:autoRedefine/>
    <w:uiPriority w:val="39"/>
    <w:unhideWhenUsed/>
    <w:rsid w:val="001057A3"/>
    <w:pPr>
      <w:spacing w:after="0"/>
      <w:ind w:left="1200"/>
    </w:pPr>
    <w:rPr>
      <w:rFonts w:cstheme="minorHAnsi"/>
      <w:sz w:val="20"/>
      <w:szCs w:val="20"/>
    </w:rPr>
  </w:style>
  <w:style w:type="paragraph" w:styleId="TOC7">
    <w:name w:val="toc 7"/>
    <w:basedOn w:val="Normal"/>
    <w:next w:val="Normal"/>
    <w:autoRedefine/>
    <w:uiPriority w:val="39"/>
    <w:unhideWhenUsed/>
    <w:rsid w:val="001057A3"/>
    <w:pPr>
      <w:spacing w:after="0"/>
      <w:ind w:left="1440"/>
    </w:pPr>
    <w:rPr>
      <w:rFonts w:cstheme="minorHAnsi"/>
      <w:sz w:val="20"/>
      <w:szCs w:val="20"/>
    </w:rPr>
  </w:style>
  <w:style w:type="paragraph" w:styleId="TOC8">
    <w:name w:val="toc 8"/>
    <w:basedOn w:val="Normal"/>
    <w:next w:val="Normal"/>
    <w:autoRedefine/>
    <w:uiPriority w:val="39"/>
    <w:unhideWhenUsed/>
    <w:rsid w:val="001057A3"/>
    <w:pPr>
      <w:spacing w:after="0"/>
      <w:ind w:left="1680"/>
    </w:pPr>
    <w:rPr>
      <w:rFonts w:cstheme="minorHAnsi"/>
      <w:sz w:val="20"/>
      <w:szCs w:val="20"/>
    </w:rPr>
  </w:style>
  <w:style w:type="paragraph" w:styleId="TOC9">
    <w:name w:val="toc 9"/>
    <w:basedOn w:val="Normal"/>
    <w:next w:val="Normal"/>
    <w:autoRedefine/>
    <w:uiPriority w:val="39"/>
    <w:unhideWhenUsed/>
    <w:rsid w:val="001057A3"/>
    <w:pPr>
      <w:spacing w:after="0"/>
      <w:ind w:left="1920"/>
    </w:pPr>
    <w:rPr>
      <w:rFonts w:cstheme="minorHAnsi"/>
      <w:sz w:val="20"/>
      <w:szCs w:val="20"/>
    </w:rPr>
  </w:style>
  <w:style w:type="character" w:styleId="UnresolvedMention">
    <w:name w:val="Unresolved Mention"/>
    <w:basedOn w:val="DefaultParagraphFont"/>
    <w:uiPriority w:val="99"/>
    <w:semiHidden/>
    <w:unhideWhenUsed/>
    <w:rsid w:val="001057A3"/>
    <w:rPr>
      <w:color w:val="605E5C"/>
      <w:shd w:val="clear" w:color="auto" w:fill="E1DFDD"/>
    </w:rPr>
  </w:style>
  <w:style w:type="paragraph" w:styleId="NoSpacing">
    <w:name w:val="No Spacing"/>
    <w:link w:val="NoSpacingChar"/>
    <w:uiPriority w:val="1"/>
    <w:qFormat/>
    <w:rsid w:val="001057A3"/>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1057A3"/>
    <w:rPr>
      <w:rFonts w:eastAsiaTheme="minorEastAsia"/>
      <w:kern w:val="0"/>
      <w:sz w:val="22"/>
      <w:szCs w:val="22"/>
      <w:lang w:val="en-US" w:eastAsia="zh-CN"/>
      <w14:ligatures w14:val="none"/>
    </w:rPr>
  </w:style>
  <w:style w:type="character" w:styleId="FollowedHyperlink">
    <w:name w:val="FollowedHyperlink"/>
    <w:basedOn w:val="DefaultParagraphFont"/>
    <w:uiPriority w:val="99"/>
    <w:semiHidden/>
    <w:unhideWhenUsed/>
    <w:rsid w:val="0045227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490895">
      <w:bodyDiv w:val="1"/>
      <w:marLeft w:val="0"/>
      <w:marRight w:val="0"/>
      <w:marTop w:val="0"/>
      <w:marBottom w:val="0"/>
      <w:divBdr>
        <w:top w:val="none" w:sz="0" w:space="0" w:color="auto"/>
        <w:left w:val="none" w:sz="0" w:space="0" w:color="auto"/>
        <w:bottom w:val="none" w:sz="0" w:space="0" w:color="auto"/>
        <w:right w:val="none" w:sz="0" w:space="0" w:color="auto"/>
      </w:divBdr>
      <w:divsChild>
        <w:div w:id="188718301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11923294">
      <w:bodyDiv w:val="1"/>
      <w:marLeft w:val="0"/>
      <w:marRight w:val="0"/>
      <w:marTop w:val="0"/>
      <w:marBottom w:val="0"/>
      <w:divBdr>
        <w:top w:val="none" w:sz="0" w:space="0" w:color="auto"/>
        <w:left w:val="none" w:sz="0" w:space="0" w:color="auto"/>
        <w:bottom w:val="none" w:sz="0" w:space="0" w:color="auto"/>
        <w:right w:val="none" w:sz="0" w:space="0" w:color="auto"/>
      </w:divBdr>
    </w:div>
    <w:div w:id="1450200832">
      <w:bodyDiv w:val="1"/>
      <w:marLeft w:val="0"/>
      <w:marRight w:val="0"/>
      <w:marTop w:val="0"/>
      <w:marBottom w:val="0"/>
      <w:divBdr>
        <w:top w:val="none" w:sz="0" w:space="0" w:color="auto"/>
        <w:left w:val="none" w:sz="0" w:space="0" w:color="auto"/>
        <w:bottom w:val="none" w:sz="0" w:space="0" w:color="auto"/>
        <w:right w:val="none" w:sz="0" w:space="0" w:color="auto"/>
      </w:divBdr>
    </w:div>
    <w:div w:id="1555655545">
      <w:bodyDiv w:val="1"/>
      <w:marLeft w:val="0"/>
      <w:marRight w:val="0"/>
      <w:marTop w:val="0"/>
      <w:marBottom w:val="0"/>
      <w:divBdr>
        <w:top w:val="none" w:sz="0" w:space="0" w:color="auto"/>
        <w:left w:val="none" w:sz="0" w:space="0" w:color="auto"/>
        <w:bottom w:val="none" w:sz="0" w:space="0" w:color="auto"/>
        <w:right w:val="none" w:sz="0" w:space="0" w:color="auto"/>
      </w:divBdr>
      <w:divsChild>
        <w:div w:id="11382607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88195796">
      <w:bodyDiv w:val="1"/>
      <w:marLeft w:val="0"/>
      <w:marRight w:val="0"/>
      <w:marTop w:val="0"/>
      <w:marBottom w:val="0"/>
      <w:divBdr>
        <w:top w:val="none" w:sz="0" w:space="0" w:color="auto"/>
        <w:left w:val="none" w:sz="0" w:space="0" w:color="auto"/>
        <w:bottom w:val="none" w:sz="0" w:space="0" w:color="auto"/>
        <w:right w:val="none" w:sz="0" w:space="0" w:color="auto"/>
      </w:divBdr>
      <w:divsChild>
        <w:div w:id="197463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92113895">
      <w:bodyDiv w:val="1"/>
      <w:marLeft w:val="0"/>
      <w:marRight w:val="0"/>
      <w:marTop w:val="0"/>
      <w:marBottom w:val="0"/>
      <w:divBdr>
        <w:top w:val="none" w:sz="0" w:space="0" w:color="auto"/>
        <w:left w:val="none" w:sz="0" w:space="0" w:color="auto"/>
        <w:bottom w:val="none" w:sz="0" w:space="0" w:color="auto"/>
        <w:right w:val="none" w:sz="0" w:space="0" w:color="auto"/>
      </w:divBdr>
      <w:divsChild>
        <w:div w:id="20848639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11657504">
      <w:bodyDiv w:val="1"/>
      <w:marLeft w:val="0"/>
      <w:marRight w:val="0"/>
      <w:marTop w:val="0"/>
      <w:marBottom w:val="0"/>
      <w:divBdr>
        <w:top w:val="none" w:sz="0" w:space="0" w:color="auto"/>
        <w:left w:val="none" w:sz="0" w:space="0" w:color="auto"/>
        <w:bottom w:val="none" w:sz="0" w:space="0" w:color="auto"/>
        <w:right w:val="none" w:sz="0" w:space="0" w:color="auto"/>
      </w:divBdr>
      <w:divsChild>
        <w:div w:id="195120480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tesla.com/"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esla.co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tatista.com/"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iea.org/" TargetMode="External"/><Relationship Id="rId20" Type="http://schemas.openxmlformats.org/officeDocument/2006/relationships/hyperlink" Target="https://www.tesla.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about.bnef.com/"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tesla.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tesl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D00BB4-2A5A-2C4A-BE91-64CBF0E14B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1824</TotalTime>
  <Pages>41</Pages>
  <Words>7114</Words>
  <Characters>40555</Characters>
  <Application>Microsoft Office Word</Application>
  <DocSecurity>0</DocSecurity>
  <Lines>337</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vishali surrana</cp:lastModifiedBy>
  <cp:revision>7</cp:revision>
  <dcterms:created xsi:type="dcterms:W3CDTF">2026-02-17T21:37:00Z</dcterms:created>
  <dcterms:modified xsi:type="dcterms:W3CDTF">2026-03-19T09:09:00Z</dcterms:modified>
</cp:coreProperties>
</file>