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74F84" w14:textId="5B860337" w:rsidR="00E74578" w:rsidRDefault="003D3681">
      <w:r>
        <w:rPr>
          <w:noProof/>
        </w:rPr>
        <w:drawing>
          <wp:inline distT="0" distB="0" distL="0" distR="0" wp14:anchorId="3F363EDB" wp14:editId="1F16244A">
            <wp:extent cx="3078480" cy="1500854"/>
            <wp:effectExtent l="0" t="0" r="7620" b="4445"/>
            <wp:docPr id="2017693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6829" cy="1519550"/>
                    </a:xfrm>
                    <a:prstGeom prst="rect">
                      <a:avLst/>
                    </a:prstGeom>
                    <a:noFill/>
                  </pic:spPr>
                </pic:pic>
              </a:graphicData>
            </a:graphic>
          </wp:inline>
        </w:drawing>
      </w:r>
    </w:p>
    <w:p w14:paraId="0BEF602E" w14:textId="77777777" w:rsidR="003D3681" w:rsidRDefault="003D3681"/>
    <w:p w14:paraId="13A88EB2" w14:textId="77777777" w:rsidR="003D3681" w:rsidRDefault="003D3681"/>
    <w:p w14:paraId="26B5E7BF" w14:textId="77777777" w:rsidR="003D3681" w:rsidRDefault="003D3681"/>
    <w:p w14:paraId="283530DE" w14:textId="77777777" w:rsidR="003D3681" w:rsidRDefault="003D3681"/>
    <w:p w14:paraId="77BB37C5" w14:textId="77777777" w:rsidR="003D3681" w:rsidRDefault="003D3681"/>
    <w:p w14:paraId="0CF68BAD" w14:textId="77777777" w:rsidR="003D3681" w:rsidRDefault="003D3681"/>
    <w:p w14:paraId="1DF64397" w14:textId="77777777" w:rsidR="003D3681" w:rsidRDefault="003D3681"/>
    <w:p w14:paraId="0A693456" w14:textId="77777777" w:rsidR="003D3681" w:rsidRDefault="003D3681"/>
    <w:p w14:paraId="63F213CC" w14:textId="77777777" w:rsidR="003D3681" w:rsidRDefault="003D3681"/>
    <w:p w14:paraId="4E2700EA" w14:textId="77777777" w:rsidR="003D3681" w:rsidRDefault="003D3681"/>
    <w:p w14:paraId="42CA77A8" w14:textId="77777777" w:rsidR="003D3681" w:rsidRDefault="003D3681"/>
    <w:p w14:paraId="4EFFED57" w14:textId="77777777" w:rsidR="003D3681" w:rsidRDefault="003D3681"/>
    <w:p w14:paraId="18F8DDE1" w14:textId="77777777" w:rsidR="003D3681" w:rsidRDefault="003D3681"/>
    <w:p w14:paraId="1A849B15" w14:textId="77777777" w:rsidR="003D3681" w:rsidRDefault="003D3681"/>
    <w:p w14:paraId="6F20540F" w14:textId="014250D7" w:rsidR="003D3681" w:rsidRDefault="003D3681" w:rsidP="003D3681">
      <w:pPr>
        <w:jc w:val="center"/>
        <w:rPr>
          <w:rFonts w:ascii="Arial" w:hAnsi="Arial" w:cs="Arial"/>
        </w:rPr>
      </w:pPr>
      <w:r w:rsidRPr="0050325C">
        <w:rPr>
          <w:rFonts w:ascii="Arial" w:hAnsi="Arial" w:cs="Arial"/>
          <w:b/>
          <w:bCs/>
        </w:rPr>
        <w:t>Module</w:t>
      </w:r>
      <w:r>
        <w:rPr>
          <w:rFonts w:ascii="Arial" w:hAnsi="Arial" w:cs="Arial"/>
          <w:b/>
          <w:bCs/>
        </w:rPr>
        <w:t xml:space="preserve"> Code</w:t>
      </w:r>
      <w:r w:rsidRPr="0050325C">
        <w:rPr>
          <w:rFonts w:ascii="Arial" w:hAnsi="Arial" w:cs="Arial"/>
          <w:b/>
          <w:bCs/>
        </w:rPr>
        <w:t>:</w:t>
      </w:r>
      <w:r w:rsidRPr="0050325C">
        <w:rPr>
          <w:rFonts w:ascii="Arial" w:hAnsi="Arial" w:cs="Arial"/>
        </w:rPr>
        <w:t xml:space="preserve"> LCLM600</w:t>
      </w:r>
      <w:r>
        <w:rPr>
          <w:rFonts w:ascii="Arial" w:hAnsi="Arial" w:cs="Arial"/>
        </w:rPr>
        <w:t>3</w:t>
      </w:r>
    </w:p>
    <w:p w14:paraId="4645AAA0" w14:textId="2D3ADB41" w:rsidR="003D3681" w:rsidRPr="0050325C" w:rsidRDefault="003D3681" w:rsidP="003D3681">
      <w:pPr>
        <w:jc w:val="center"/>
        <w:rPr>
          <w:rFonts w:ascii="Arial" w:hAnsi="Arial" w:cs="Arial"/>
        </w:rPr>
      </w:pPr>
      <w:r w:rsidRPr="00005BA2">
        <w:rPr>
          <w:rFonts w:ascii="Arial" w:hAnsi="Arial" w:cs="Arial"/>
          <w:b/>
          <w:bCs/>
        </w:rPr>
        <w:t>Module:</w:t>
      </w:r>
      <w:r w:rsidRPr="00005BA2">
        <w:rPr>
          <w:rFonts w:ascii="Arial" w:hAnsi="Arial" w:cs="Arial"/>
        </w:rPr>
        <w:t xml:space="preserve"> </w:t>
      </w:r>
      <w:r>
        <w:rPr>
          <w:rFonts w:ascii="Arial" w:hAnsi="Arial" w:cs="Arial"/>
        </w:rPr>
        <w:t xml:space="preserve">Leading and implementing Change </w:t>
      </w:r>
    </w:p>
    <w:p w14:paraId="79AF9A9B" w14:textId="096BD1D9" w:rsidR="003D3681" w:rsidRPr="0050325C" w:rsidRDefault="003D3681" w:rsidP="003D3681">
      <w:pPr>
        <w:jc w:val="center"/>
        <w:rPr>
          <w:rFonts w:ascii="Arial" w:hAnsi="Arial" w:cs="Arial"/>
        </w:rPr>
      </w:pPr>
      <w:r w:rsidRPr="0050325C">
        <w:rPr>
          <w:rFonts w:ascii="Arial" w:hAnsi="Arial" w:cs="Arial"/>
          <w:b/>
          <w:bCs/>
        </w:rPr>
        <w:t>Title:</w:t>
      </w:r>
      <w:r w:rsidRPr="0050325C">
        <w:rPr>
          <w:rFonts w:ascii="Arial" w:hAnsi="Arial" w:cs="Arial"/>
        </w:rPr>
        <w:t xml:space="preserve"> </w:t>
      </w:r>
      <w:r>
        <w:rPr>
          <w:rFonts w:ascii="Arial" w:hAnsi="Arial" w:cs="Arial"/>
        </w:rPr>
        <w:t>Component 1 – Strategic Change Plan</w:t>
      </w:r>
      <w:r w:rsidR="00F76DF3">
        <w:rPr>
          <w:rFonts w:ascii="Arial" w:hAnsi="Arial" w:cs="Arial"/>
        </w:rPr>
        <w:t xml:space="preserve"> for Bentl</w:t>
      </w:r>
      <w:r w:rsidR="004A6EA6">
        <w:rPr>
          <w:rFonts w:ascii="Arial" w:hAnsi="Arial" w:cs="Arial"/>
        </w:rPr>
        <w:t xml:space="preserve">y Motors </w:t>
      </w:r>
    </w:p>
    <w:p w14:paraId="60CB2E62" w14:textId="77777777" w:rsidR="003D3681" w:rsidRPr="0050325C" w:rsidRDefault="003D3681" w:rsidP="003D3681">
      <w:pPr>
        <w:jc w:val="center"/>
        <w:rPr>
          <w:rFonts w:ascii="Arial" w:hAnsi="Arial" w:cs="Arial"/>
        </w:rPr>
      </w:pPr>
      <w:r w:rsidRPr="0050325C">
        <w:rPr>
          <w:rFonts w:ascii="Arial" w:hAnsi="Arial" w:cs="Arial"/>
          <w:b/>
          <w:bCs/>
        </w:rPr>
        <w:t>Student Name:</w:t>
      </w:r>
      <w:r w:rsidRPr="0050325C">
        <w:rPr>
          <w:rFonts w:ascii="Arial" w:hAnsi="Arial" w:cs="Arial"/>
        </w:rPr>
        <w:t xml:space="preserve"> Stephanie Johnson</w:t>
      </w:r>
    </w:p>
    <w:p w14:paraId="6DBF4C07" w14:textId="77777777" w:rsidR="003D3681" w:rsidRPr="0050325C" w:rsidRDefault="003D3681" w:rsidP="003D3681">
      <w:pPr>
        <w:jc w:val="center"/>
        <w:rPr>
          <w:rFonts w:ascii="Arial" w:hAnsi="Arial" w:cs="Arial"/>
        </w:rPr>
      </w:pPr>
      <w:r w:rsidRPr="0050325C">
        <w:rPr>
          <w:rFonts w:ascii="Arial" w:hAnsi="Arial" w:cs="Arial"/>
          <w:b/>
          <w:bCs/>
        </w:rPr>
        <w:t>Student ID:</w:t>
      </w:r>
      <w:r w:rsidRPr="0050325C">
        <w:rPr>
          <w:rFonts w:ascii="Arial" w:hAnsi="Arial" w:cs="Arial"/>
        </w:rPr>
        <w:t xml:space="preserve"> 2319756</w:t>
      </w:r>
    </w:p>
    <w:p w14:paraId="5ED48DFF" w14:textId="593C0DE9" w:rsidR="003D3681" w:rsidRPr="00C518C7" w:rsidRDefault="003D3681" w:rsidP="003D3681">
      <w:pPr>
        <w:jc w:val="center"/>
        <w:rPr>
          <w:rFonts w:ascii="Arial" w:hAnsi="Arial" w:cs="Arial"/>
          <w:color w:val="000000" w:themeColor="text1"/>
        </w:rPr>
      </w:pPr>
      <w:r w:rsidRPr="0050325C">
        <w:rPr>
          <w:rFonts w:ascii="Arial" w:hAnsi="Arial" w:cs="Arial"/>
          <w:b/>
          <w:bCs/>
        </w:rPr>
        <w:t>Lecture Name:</w:t>
      </w:r>
      <w:r w:rsidRPr="0050325C">
        <w:rPr>
          <w:rFonts w:ascii="Arial" w:hAnsi="Arial" w:cs="Arial"/>
        </w:rPr>
        <w:t xml:space="preserve"> </w:t>
      </w:r>
      <w:r>
        <w:rPr>
          <w:rFonts w:ascii="Arial" w:hAnsi="Arial" w:cs="Arial"/>
        </w:rPr>
        <w:t xml:space="preserve">Eric Osei </w:t>
      </w:r>
    </w:p>
    <w:p w14:paraId="1B584761" w14:textId="1F97B78A" w:rsidR="003D3681" w:rsidRPr="00273A38" w:rsidRDefault="003D3681" w:rsidP="003D3681">
      <w:pPr>
        <w:jc w:val="center"/>
        <w:rPr>
          <w:rFonts w:ascii="Arial" w:hAnsi="Arial" w:cs="Arial"/>
        </w:rPr>
      </w:pPr>
      <w:r w:rsidRPr="0050325C">
        <w:rPr>
          <w:rFonts w:ascii="Arial" w:hAnsi="Arial" w:cs="Arial"/>
          <w:b/>
          <w:bCs/>
        </w:rPr>
        <w:t>Date:</w:t>
      </w:r>
      <w:r w:rsidRPr="0050325C">
        <w:rPr>
          <w:rFonts w:ascii="Arial" w:hAnsi="Arial" w:cs="Arial"/>
        </w:rPr>
        <w:t xml:space="preserve"> </w:t>
      </w:r>
      <w:r>
        <w:rPr>
          <w:rFonts w:ascii="Arial" w:hAnsi="Arial" w:cs="Arial"/>
        </w:rPr>
        <w:t>20</w:t>
      </w:r>
      <w:r w:rsidRPr="0050325C">
        <w:rPr>
          <w:rFonts w:ascii="Arial" w:hAnsi="Arial" w:cs="Arial"/>
        </w:rPr>
        <w:t>/</w:t>
      </w:r>
      <w:r>
        <w:rPr>
          <w:rFonts w:ascii="Arial" w:hAnsi="Arial" w:cs="Arial"/>
        </w:rPr>
        <w:t>07</w:t>
      </w:r>
      <w:r w:rsidRPr="0050325C">
        <w:rPr>
          <w:rFonts w:ascii="Arial" w:hAnsi="Arial" w:cs="Arial"/>
        </w:rPr>
        <w:t>/2026</w:t>
      </w:r>
    </w:p>
    <w:p w14:paraId="2AE83F34" w14:textId="77777777" w:rsidR="003D3681" w:rsidRDefault="003D3681"/>
    <w:p w14:paraId="253C97E4" w14:textId="77777777" w:rsidR="003D3681" w:rsidRDefault="003D3681"/>
    <w:p w14:paraId="24D643AD" w14:textId="38D5F8AD" w:rsidR="003D3681" w:rsidRPr="00722AEA" w:rsidRDefault="003D3681" w:rsidP="00AC6080">
      <w:pPr>
        <w:pStyle w:val="Heading1"/>
        <w:rPr>
          <w:rFonts w:ascii="Arial" w:hAnsi="Arial" w:cs="Arial"/>
          <w:color w:val="000000" w:themeColor="text1"/>
          <w:sz w:val="36"/>
          <w:szCs w:val="36"/>
        </w:rPr>
      </w:pPr>
      <w:bookmarkStart w:id="0" w:name="_Toc235444584"/>
      <w:r w:rsidRPr="00722AEA">
        <w:rPr>
          <w:rFonts w:ascii="Arial" w:hAnsi="Arial" w:cs="Arial"/>
          <w:color w:val="000000" w:themeColor="text1"/>
          <w:sz w:val="36"/>
          <w:szCs w:val="36"/>
        </w:rPr>
        <w:lastRenderedPageBreak/>
        <w:t>Executive Summary:</w:t>
      </w:r>
      <w:bookmarkEnd w:id="0"/>
    </w:p>
    <w:p w14:paraId="5900DFE3" w14:textId="2915A042" w:rsidR="00AC6080" w:rsidRPr="00722AEA" w:rsidRDefault="00AC6080" w:rsidP="00AC6080">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Executive Summary</w:t>
      </w:r>
      <w:r w:rsidR="007E083B" w:rsidRPr="00722AEA">
        <w:rPr>
          <w:rFonts w:ascii="Arial" w:hAnsi="Arial" w:cs="Arial"/>
          <w:color w:val="000000" w:themeColor="text1"/>
          <w:sz w:val="22"/>
          <w:szCs w:val="22"/>
        </w:rPr>
        <w:t>:</w:t>
      </w:r>
      <w:r w:rsidRPr="00722AEA">
        <w:rPr>
          <w:rFonts w:ascii="Arial" w:hAnsi="Arial" w:cs="Arial"/>
          <w:color w:val="000000" w:themeColor="text1"/>
          <w:sz w:val="22"/>
          <w:szCs w:val="22"/>
        </w:rPr>
        <w:t xml:space="preserve"> This report presents a comprehensive strategic change plan for Bentley Motors, the distinguished British luxury automobile manufacturer headquartered in Crewe, England. As a subsidiary of the Volkswagen Group, Bentley has built an unparalleled reputation for hand-crafted luxury and performance, yet the organisation now confronts unprecedented challenges from digital disruption, electrification mandates, and volatile global market conditions. Recent financial data </w:t>
      </w:r>
      <w:r w:rsidR="00CB2FB5" w:rsidRPr="00722AEA">
        <w:rPr>
          <w:rFonts w:ascii="Arial" w:hAnsi="Arial" w:cs="Arial"/>
          <w:color w:val="000000" w:themeColor="text1"/>
          <w:sz w:val="22"/>
          <w:szCs w:val="22"/>
        </w:rPr>
        <w:t>reveal significant pressures, with operating profit declining by 42% to £187 million in 2025 and the company announcing 275 job cuts, driven largely by US tariffs and a significant contraction in the Chinese luxury market</w:t>
      </w:r>
      <w:r w:rsidRPr="00722AEA">
        <w:rPr>
          <w:rFonts w:ascii="Arial" w:hAnsi="Arial" w:cs="Arial"/>
          <w:color w:val="000000" w:themeColor="text1"/>
          <w:sz w:val="22"/>
          <w:szCs w:val="22"/>
        </w:rPr>
        <w:t>.</w:t>
      </w:r>
      <w:r w:rsidR="006A2F47" w:rsidRPr="00722AEA">
        <w:rPr>
          <w:rFonts w:ascii="Arial" w:hAnsi="Arial" w:cs="Arial"/>
          <w:color w:val="000000" w:themeColor="text1"/>
          <w:sz w:val="22"/>
          <w:szCs w:val="22"/>
        </w:rPr>
        <w:t xml:space="preserve"> “Due to high ta</w:t>
      </w:r>
      <w:r w:rsidR="00C84DAB" w:rsidRPr="00722AEA">
        <w:rPr>
          <w:rFonts w:ascii="Arial" w:hAnsi="Arial" w:cs="Arial"/>
          <w:color w:val="000000" w:themeColor="text1"/>
          <w:sz w:val="22"/>
          <w:szCs w:val="22"/>
        </w:rPr>
        <w:t xml:space="preserve">riffs </w:t>
      </w:r>
      <w:r w:rsidR="00CB2FB5" w:rsidRPr="00722AEA">
        <w:rPr>
          <w:rFonts w:ascii="Arial" w:hAnsi="Arial" w:cs="Arial"/>
          <w:color w:val="000000" w:themeColor="text1"/>
          <w:sz w:val="22"/>
          <w:szCs w:val="22"/>
        </w:rPr>
        <w:t>caused</w:t>
      </w:r>
      <w:r w:rsidR="00C84DAB" w:rsidRPr="00722AEA">
        <w:rPr>
          <w:rFonts w:ascii="Arial" w:hAnsi="Arial" w:cs="Arial"/>
          <w:color w:val="000000" w:themeColor="text1"/>
          <w:sz w:val="22"/>
          <w:szCs w:val="22"/>
        </w:rPr>
        <w:t xml:space="preserve"> by the USA</w:t>
      </w:r>
      <w:r w:rsidR="00CB2FB5" w:rsidRPr="00722AEA">
        <w:rPr>
          <w:rFonts w:ascii="Arial" w:hAnsi="Arial" w:cs="Arial"/>
          <w:color w:val="000000" w:themeColor="text1"/>
          <w:sz w:val="22"/>
          <w:szCs w:val="22"/>
        </w:rPr>
        <w:t>,</w:t>
      </w:r>
      <w:r w:rsidR="00C84DAB" w:rsidRPr="00722AEA">
        <w:rPr>
          <w:rFonts w:ascii="Arial" w:hAnsi="Arial" w:cs="Arial"/>
          <w:color w:val="000000" w:themeColor="text1"/>
          <w:sz w:val="22"/>
          <w:szCs w:val="22"/>
        </w:rPr>
        <w:t xml:space="preserve"> it results in 275 </w:t>
      </w:r>
      <w:r w:rsidR="00CB2FB5" w:rsidRPr="00722AEA">
        <w:rPr>
          <w:rFonts w:ascii="Arial" w:hAnsi="Arial" w:cs="Arial"/>
          <w:color w:val="000000" w:themeColor="text1"/>
          <w:sz w:val="22"/>
          <w:szCs w:val="22"/>
        </w:rPr>
        <w:t>jobs</w:t>
      </w:r>
      <w:r w:rsidR="00C84DAB" w:rsidRPr="00722AEA">
        <w:rPr>
          <w:rFonts w:ascii="Arial" w:hAnsi="Arial" w:cs="Arial"/>
          <w:color w:val="000000" w:themeColor="text1"/>
          <w:sz w:val="22"/>
          <w:szCs w:val="22"/>
        </w:rPr>
        <w:t xml:space="preserve"> lost at </w:t>
      </w:r>
      <w:r w:rsidR="00CB2FB5" w:rsidRPr="00722AEA">
        <w:rPr>
          <w:rFonts w:ascii="Arial" w:hAnsi="Arial" w:cs="Arial"/>
          <w:color w:val="000000" w:themeColor="text1"/>
          <w:sz w:val="22"/>
          <w:szCs w:val="22"/>
        </w:rPr>
        <w:t>Bentley</w:t>
      </w:r>
      <w:r w:rsidR="0055030F">
        <w:rPr>
          <w:rFonts w:ascii="Arial" w:hAnsi="Arial" w:cs="Arial"/>
          <w:color w:val="000000" w:themeColor="text1"/>
          <w:sz w:val="22"/>
          <w:szCs w:val="22"/>
        </w:rPr>
        <w:t xml:space="preserve"> according to</w:t>
      </w:r>
      <w:r w:rsidR="00CB2FB5" w:rsidRPr="00722AEA">
        <w:rPr>
          <w:rFonts w:ascii="Arial" w:hAnsi="Arial" w:cs="Arial"/>
          <w:color w:val="000000" w:themeColor="text1"/>
          <w:sz w:val="22"/>
          <w:szCs w:val="22"/>
        </w:rPr>
        <w:t>”</w:t>
      </w:r>
      <w:r w:rsidRPr="00722AEA">
        <w:rPr>
          <w:rFonts w:ascii="Arial" w:hAnsi="Arial" w:cs="Arial"/>
          <w:color w:val="000000" w:themeColor="text1"/>
          <w:sz w:val="22"/>
          <w:szCs w:val="22"/>
        </w:rPr>
        <w:t xml:space="preserve"> </w:t>
      </w:r>
      <w:r w:rsidR="00CB2FB5" w:rsidRPr="00722AEA">
        <w:rPr>
          <w:rFonts w:ascii="Arial" w:hAnsi="Arial" w:cs="Arial"/>
          <w:color w:val="000000" w:themeColor="text1"/>
          <w:sz w:val="22"/>
          <w:szCs w:val="22"/>
        </w:rPr>
        <w:t xml:space="preserve">(Massey, 2026). </w:t>
      </w:r>
      <w:r w:rsidRPr="00722AEA">
        <w:rPr>
          <w:rFonts w:ascii="Arial" w:hAnsi="Arial" w:cs="Arial"/>
          <w:color w:val="000000" w:themeColor="text1"/>
          <w:sz w:val="22"/>
          <w:szCs w:val="22"/>
        </w:rPr>
        <w:t xml:space="preserve">Through critical analysis of Bentley's strategic evolution and environmental pressures, this report evaluates how internal and external factors necessitate fundamental transformation. </w:t>
      </w:r>
      <w:r w:rsidR="00901D6D" w:rsidRPr="00722AEA">
        <w:rPr>
          <w:rFonts w:ascii="Arial" w:hAnsi="Arial" w:cs="Arial"/>
          <w:color w:val="000000" w:themeColor="text1"/>
          <w:sz w:val="22"/>
          <w:szCs w:val="22"/>
        </w:rPr>
        <w:t>“</w:t>
      </w:r>
      <w:r w:rsidR="00725DED" w:rsidRPr="00722AEA">
        <w:rPr>
          <w:rFonts w:ascii="Arial" w:hAnsi="Arial" w:cs="Arial"/>
          <w:color w:val="000000" w:themeColor="text1"/>
          <w:sz w:val="22"/>
          <w:szCs w:val="22"/>
        </w:rPr>
        <w:t>Bentley</w:t>
      </w:r>
      <w:r w:rsidR="00901D6D" w:rsidRPr="00722AEA">
        <w:rPr>
          <w:rFonts w:ascii="Arial" w:hAnsi="Arial" w:cs="Arial"/>
          <w:color w:val="000000" w:themeColor="text1"/>
          <w:sz w:val="22"/>
          <w:szCs w:val="22"/>
        </w:rPr>
        <w:t xml:space="preserve"> </w:t>
      </w:r>
      <w:r w:rsidR="00D04762" w:rsidRPr="00722AEA">
        <w:rPr>
          <w:rFonts w:ascii="Arial" w:hAnsi="Arial" w:cs="Arial"/>
          <w:color w:val="000000" w:themeColor="text1"/>
          <w:sz w:val="22"/>
          <w:szCs w:val="22"/>
        </w:rPr>
        <w:t>profits lowered by 42% and the company lost millions in 2025</w:t>
      </w:r>
      <w:r w:rsidR="0055030F">
        <w:rPr>
          <w:rFonts w:ascii="Arial" w:hAnsi="Arial" w:cs="Arial"/>
          <w:color w:val="000000" w:themeColor="text1"/>
          <w:sz w:val="22"/>
          <w:szCs w:val="22"/>
        </w:rPr>
        <w:t xml:space="preserve"> </w:t>
      </w:r>
      <w:r w:rsidR="0055030F" w:rsidRPr="0055030F">
        <w:rPr>
          <w:rFonts w:ascii="Arial" w:hAnsi="Arial" w:cs="Arial"/>
          <w:color w:val="000000" w:themeColor="text1"/>
          <w:sz w:val="22"/>
          <w:szCs w:val="22"/>
        </w:rPr>
        <w:t>according to</w:t>
      </w:r>
      <w:r w:rsidR="00725DED" w:rsidRPr="00722AEA">
        <w:rPr>
          <w:rFonts w:ascii="Arial" w:hAnsi="Arial" w:cs="Arial"/>
          <w:color w:val="000000" w:themeColor="text1"/>
          <w:sz w:val="22"/>
          <w:szCs w:val="22"/>
        </w:rPr>
        <w:t>” (</w:t>
      </w:r>
      <w:r w:rsidR="00534B56" w:rsidRPr="00722AEA">
        <w:rPr>
          <w:rFonts w:ascii="Arial" w:hAnsi="Arial" w:cs="Arial"/>
          <w:color w:val="000000" w:themeColor="text1"/>
          <w:sz w:val="22"/>
          <w:szCs w:val="22"/>
        </w:rPr>
        <w:t>The Independent,2026)</w:t>
      </w:r>
      <w:r w:rsidR="0055030F">
        <w:rPr>
          <w:rFonts w:ascii="Arial" w:hAnsi="Arial" w:cs="Arial"/>
          <w:color w:val="000000" w:themeColor="text1"/>
          <w:sz w:val="22"/>
          <w:szCs w:val="22"/>
        </w:rPr>
        <w:t>.</w:t>
      </w:r>
    </w:p>
    <w:p w14:paraId="4CFA782B" w14:textId="03B1D9E5" w:rsidR="003D3681" w:rsidRPr="00722AEA" w:rsidRDefault="00AC6080" w:rsidP="00AC6080">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The application of Kotter's Eight-Step Change Model and Lewin's Three-Step Model provides robust frameworks for understanding Bentley's Beyond100+ strategy and change management approach. The report further develops a detailed change management plan incorporating clear objectives, financial considerations, communication strategies, and evaluation mechanisms. The findings suggest that Bentley must navigate a delicate balance between its luxury heritage and electrification imperatives, implementing cultural transformation through inclusive leadership approaches while maintaining the 'value over volume' strategy that has underpinned its financial resilience. The proposed change management plan offers a practical roadmap for Bentley's transition from traditional luxury manufacturer to sustainable mobility leader, preserving British craftsmanship whilst embracing the electric future.</w:t>
      </w:r>
    </w:p>
    <w:p w14:paraId="569C080F" w14:textId="77777777" w:rsidR="00AC6080" w:rsidRDefault="00AC6080" w:rsidP="00AC6080">
      <w:pPr>
        <w:spacing w:line="360" w:lineRule="auto"/>
        <w:rPr>
          <w:rFonts w:ascii="Arial" w:hAnsi="Arial" w:cs="Arial"/>
          <w:sz w:val="22"/>
          <w:szCs w:val="22"/>
        </w:rPr>
      </w:pPr>
    </w:p>
    <w:p w14:paraId="5A9FA3EE" w14:textId="77777777" w:rsidR="00AC6080" w:rsidRDefault="00AC6080" w:rsidP="00AC6080">
      <w:pPr>
        <w:spacing w:line="360" w:lineRule="auto"/>
        <w:rPr>
          <w:rFonts w:ascii="Arial" w:hAnsi="Arial" w:cs="Arial"/>
          <w:sz w:val="22"/>
          <w:szCs w:val="22"/>
        </w:rPr>
      </w:pPr>
    </w:p>
    <w:p w14:paraId="4F5486C4" w14:textId="77777777" w:rsidR="00AC6080" w:rsidRDefault="00AC6080" w:rsidP="00AC6080">
      <w:pPr>
        <w:spacing w:line="360" w:lineRule="auto"/>
        <w:rPr>
          <w:rFonts w:ascii="Arial" w:hAnsi="Arial" w:cs="Arial"/>
          <w:sz w:val="22"/>
          <w:szCs w:val="22"/>
        </w:rPr>
      </w:pPr>
    </w:p>
    <w:p w14:paraId="66CD722F" w14:textId="77777777" w:rsidR="00AC6080" w:rsidRDefault="00AC6080" w:rsidP="00AC6080">
      <w:pPr>
        <w:spacing w:line="360" w:lineRule="auto"/>
        <w:rPr>
          <w:rFonts w:ascii="Arial" w:hAnsi="Arial" w:cs="Arial"/>
          <w:sz w:val="22"/>
          <w:szCs w:val="22"/>
        </w:rPr>
      </w:pPr>
    </w:p>
    <w:p w14:paraId="5CCD7E39" w14:textId="77777777" w:rsidR="00AC6080" w:rsidRDefault="00AC6080" w:rsidP="00AC6080">
      <w:pPr>
        <w:spacing w:line="360" w:lineRule="auto"/>
        <w:rPr>
          <w:rFonts w:ascii="Arial" w:hAnsi="Arial" w:cs="Arial"/>
          <w:sz w:val="22"/>
          <w:szCs w:val="22"/>
        </w:rPr>
      </w:pPr>
    </w:p>
    <w:p w14:paraId="032EA077" w14:textId="77777777" w:rsidR="00AC6080" w:rsidRDefault="00AC6080"/>
    <w:p w14:paraId="143FCB06" w14:textId="77777777" w:rsidR="00AC6080" w:rsidRDefault="00AC6080"/>
    <w:sdt>
      <w:sdtPr>
        <w:rPr>
          <w:rFonts w:asciiTheme="minorHAnsi" w:eastAsiaTheme="minorHAnsi" w:hAnsiTheme="minorHAnsi" w:cstheme="minorBidi"/>
          <w:color w:val="auto"/>
          <w:kern w:val="2"/>
          <w:sz w:val="24"/>
          <w:szCs w:val="24"/>
          <w:lang w:val="en-GB"/>
          <w14:ligatures w14:val="standardContextual"/>
        </w:rPr>
        <w:id w:val="182947294"/>
        <w:docPartObj>
          <w:docPartGallery w:val="Table of Contents"/>
          <w:docPartUnique/>
        </w:docPartObj>
      </w:sdtPr>
      <w:sdtEndPr>
        <w:rPr>
          <w:b/>
          <w:bCs/>
          <w:noProof/>
        </w:rPr>
      </w:sdtEndPr>
      <w:sdtContent>
        <w:p w14:paraId="05628268" w14:textId="31926399" w:rsidR="0055030F" w:rsidRPr="0055030F" w:rsidRDefault="0055030F">
          <w:pPr>
            <w:pStyle w:val="TOCHeading"/>
            <w:rPr>
              <w:rFonts w:ascii="Arial" w:hAnsi="Arial" w:cs="Arial"/>
              <w:color w:val="000000" w:themeColor="text1"/>
            </w:rPr>
          </w:pPr>
          <w:r w:rsidRPr="0055030F">
            <w:rPr>
              <w:rFonts w:ascii="Arial" w:hAnsi="Arial" w:cs="Arial"/>
              <w:color w:val="000000" w:themeColor="text1"/>
            </w:rPr>
            <w:t>Table of Contents:</w:t>
          </w:r>
        </w:p>
        <w:p w14:paraId="3D542558" w14:textId="2D40D8DA" w:rsidR="0055030F" w:rsidRPr="0055030F" w:rsidRDefault="0055030F">
          <w:pPr>
            <w:pStyle w:val="TOC1"/>
            <w:tabs>
              <w:tab w:val="right" w:leader="dot" w:pos="9016"/>
            </w:tabs>
            <w:rPr>
              <w:noProof/>
              <w:sz w:val="20"/>
              <w:szCs w:val="20"/>
            </w:rPr>
          </w:pPr>
          <w:r>
            <w:fldChar w:fldCharType="begin"/>
          </w:r>
          <w:r>
            <w:instrText xml:space="preserve"> TOC \o "1-3" \h \z \u </w:instrText>
          </w:r>
          <w:r>
            <w:fldChar w:fldCharType="separate"/>
          </w:r>
          <w:hyperlink w:anchor="_Toc235444584" w:history="1">
            <w:r w:rsidRPr="0055030F">
              <w:rPr>
                <w:rStyle w:val="Hyperlink"/>
                <w:rFonts w:ascii="Arial" w:hAnsi="Arial" w:cs="Arial"/>
                <w:noProof/>
                <w:sz w:val="20"/>
                <w:szCs w:val="20"/>
              </w:rPr>
              <w:t>Executive Summary:</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_Toc235444584 \h </w:instrText>
            </w:r>
            <w:r w:rsidRPr="0055030F">
              <w:rPr>
                <w:noProof/>
                <w:webHidden/>
                <w:sz w:val="20"/>
                <w:szCs w:val="20"/>
              </w:rPr>
            </w:r>
            <w:r w:rsidRPr="0055030F">
              <w:rPr>
                <w:noProof/>
                <w:webHidden/>
                <w:sz w:val="20"/>
                <w:szCs w:val="20"/>
              </w:rPr>
              <w:fldChar w:fldCharType="separate"/>
            </w:r>
            <w:r w:rsidRPr="0055030F">
              <w:rPr>
                <w:noProof/>
                <w:webHidden/>
                <w:sz w:val="20"/>
                <w:szCs w:val="20"/>
              </w:rPr>
              <w:t>2</w:t>
            </w:r>
            <w:r w:rsidRPr="0055030F">
              <w:rPr>
                <w:noProof/>
                <w:webHidden/>
                <w:sz w:val="20"/>
                <w:szCs w:val="20"/>
              </w:rPr>
              <w:fldChar w:fldCharType="end"/>
            </w:r>
          </w:hyperlink>
        </w:p>
        <w:p w14:paraId="6029702B" w14:textId="480DFE1A" w:rsidR="0055030F" w:rsidRPr="0055030F" w:rsidRDefault="0055030F">
          <w:pPr>
            <w:pStyle w:val="TOC1"/>
            <w:tabs>
              <w:tab w:val="right" w:leader="dot" w:pos="9016"/>
            </w:tabs>
            <w:rPr>
              <w:noProof/>
              <w:sz w:val="20"/>
              <w:szCs w:val="20"/>
            </w:rPr>
          </w:pPr>
          <w:hyperlink w:anchor="_Toc235444585" w:history="1">
            <w:r w:rsidRPr="0055030F">
              <w:rPr>
                <w:rStyle w:val="Hyperlink"/>
                <w:rFonts w:ascii="Arial" w:hAnsi="Arial" w:cs="Arial"/>
                <w:noProof/>
                <w:sz w:val="20"/>
                <w:szCs w:val="20"/>
              </w:rPr>
              <w:t>Section 1: Introduction: Strategic Change Plan for Bentley Motors: Navigating the Electric Revolution and Market Volatility:</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_Toc235444585 \h </w:instrText>
            </w:r>
            <w:r w:rsidRPr="0055030F">
              <w:rPr>
                <w:noProof/>
                <w:webHidden/>
                <w:sz w:val="20"/>
                <w:szCs w:val="20"/>
              </w:rPr>
            </w:r>
            <w:r w:rsidRPr="0055030F">
              <w:rPr>
                <w:noProof/>
                <w:webHidden/>
                <w:sz w:val="20"/>
                <w:szCs w:val="20"/>
              </w:rPr>
              <w:fldChar w:fldCharType="separate"/>
            </w:r>
            <w:r w:rsidRPr="0055030F">
              <w:rPr>
                <w:noProof/>
                <w:webHidden/>
                <w:sz w:val="20"/>
                <w:szCs w:val="20"/>
              </w:rPr>
              <w:t>3</w:t>
            </w:r>
            <w:r w:rsidRPr="0055030F">
              <w:rPr>
                <w:noProof/>
                <w:webHidden/>
                <w:sz w:val="20"/>
                <w:szCs w:val="20"/>
              </w:rPr>
              <w:fldChar w:fldCharType="end"/>
            </w:r>
          </w:hyperlink>
        </w:p>
        <w:p w14:paraId="30C106B3" w14:textId="561512AC" w:rsidR="0055030F" w:rsidRPr="0055030F" w:rsidRDefault="0055030F">
          <w:pPr>
            <w:pStyle w:val="TOC1"/>
            <w:tabs>
              <w:tab w:val="right" w:leader="dot" w:pos="9016"/>
            </w:tabs>
            <w:rPr>
              <w:noProof/>
              <w:sz w:val="20"/>
              <w:szCs w:val="20"/>
            </w:rPr>
          </w:pPr>
          <w:hyperlink w:anchor="_Toc235444586" w:history="1">
            <w:r w:rsidRPr="0055030F">
              <w:rPr>
                <w:rStyle w:val="Hyperlink"/>
                <w:rFonts w:ascii="Arial" w:hAnsi="Arial" w:cs="Arial"/>
                <w:noProof/>
                <w:sz w:val="20"/>
                <w:szCs w:val="20"/>
              </w:rPr>
              <w:t>Section 2: Analysis of Bentley's Recent History and Environmental Impact:</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_Toc235444586 \h </w:instrText>
            </w:r>
            <w:r w:rsidRPr="0055030F">
              <w:rPr>
                <w:noProof/>
                <w:webHidden/>
                <w:sz w:val="20"/>
                <w:szCs w:val="20"/>
              </w:rPr>
            </w:r>
            <w:r w:rsidRPr="0055030F">
              <w:rPr>
                <w:noProof/>
                <w:webHidden/>
                <w:sz w:val="20"/>
                <w:szCs w:val="20"/>
              </w:rPr>
              <w:fldChar w:fldCharType="separate"/>
            </w:r>
            <w:r w:rsidRPr="0055030F">
              <w:rPr>
                <w:noProof/>
                <w:webHidden/>
                <w:sz w:val="20"/>
                <w:szCs w:val="20"/>
              </w:rPr>
              <w:t>5</w:t>
            </w:r>
            <w:r w:rsidRPr="0055030F">
              <w:rPr>
                <w:noProof/>
                <w:webHidden/>
                <w:sz w:val="20"/>
                <w:szCs w:val="20"/>
              </w:rPr>
              <w:fldChar w:fldCharType="end"/>
            </w:r>
          </w:hyperlink>
        </w:p>
        <w:p w14:paraId="782ADC23" w14:textId="49EC9ED6" w:rsidR="0055030F" w:rsidRPr="0055030F" w:rsidRDefault="0055030F">
          <w:pPr>
            <w:pStyle w:val="TOC2"/>
            <w:tabs>
              <w:tab w:val="right" w:leader="dot" w:pos="9016"/>
            </w:tabs>
            <w:rPr>
              <w:noProof/>
              <w:sz w:val="20"/>
              <w:szCs w:val="20"/>
            </w:rPr>
          </w:pPr>
          <w:hyperlink w:anchor="_Toc235444587" w:history="1">
            <w:r w:rsidRPr="0055030F">
              <w:rPr>
                <w:rStyle w:val="Hyperlink"/>
                <w:rFonts w:ascii="Arial" w:hAnsi="Arial" w:cs="Arial"/>
                <w:noProof/>
                <w:sz w:val="20"/>
                <w:szCs w:val="20"/>
              </w:rPr>
              <w:t>Section 2.1: Historical Context and Strategic Evolution:</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_Toc235444587 \h </w:instrText>
            </w:r>
            <w:r w:rsidRPr="0055030F">
              <w:rPr>
                <w:noProof/>
                <w:webHidden/>
                <w:sz w:val="20"/>
                <w:szCs w:val="20"/>
              </w:rPr>
            </w:r>
            <w:r w:rsidRPr="0055030F">
              <w:rPr>
                <w:noProof/>
                <w:webHidden/>
                <w:sz w:val="20"/>
                <w:szCs w:val="20"/>
              </w:rPr>
              <w:fldChar w:fldCharType="separate"/>
            </w:r>
            <w:r w:rsidRPr="0055030F">
              <w:rPr>
                <w:noProof/>
                <w:webHidden/>
                <w:sz w:val="20"/>
                <w:szCs w:val="20"/>
              </w:rPr>
              <w:t>5</w:t>
            </w:r>
            <w:r w:rsidRPr="0055030F">
              <w:rPr>
                <w:noProof/>
                <w:webHidden/>
                <w:sz w:val="20"/>
                <w:szCs w:val="20"/>
              </w:rPr>
              <w:fldChar w:fldCharType="end"/>
            </w:r>
          </w:hyperlink>
        </w:p>
        <w:p w14:paraId="1F4C2620" w14:textId="444B8CAD" w:rsidR="0055030F" w:rsidRPr="0055030F" w:rsidRDefault="0055030F">
          <w:pPr>
            <w:pStyle w:val="TOC2"/>
            <w:tabs>
              <w:tab w:val="right" w:leader="dot" w:pos="9016"/>
            </w:tabs>
            <w:rPr>
              <w:noProof/>
              <w:sz w:val="20"/>
              <w:szCs w:val="20"/>
            </w:rPr>
          </w:pPr>
          <w:hyperlink w:anchor="_Toc235444588" w:history="1">
            <w:r w:rsidRPr="0055030F">
              <w:rPr>
                <w:rStyle w:val="Hyperlink"/>
                <w:rFonts w:ascii="Arial" w:hAnsi="Arial" w:cs="Arial"/>
                <w:noProof/>
                <w:sz w:val="20"/>
                <w:szCs w:val="20"/>
              </w:rPr>
              <w:t>Section 2.2: External Environmental Analysis: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_Toc235444588 \h </w:instrText>
            </w:r>
            <w:r w:rsidRPr="0055030F">
              <w:rPr>
                <w:noProof/>
                <w:webHidden/>
                <w:sz w:val="20"/>
                <w:szCs w:val="20"/>
              </w:rPr>
            </w:r>
            <w:r w:rsidRPr="0055030F">
              <w:rPr>
                <w:noProof/>
                <w:webHidden/>
                <w:sz w:val="20"/>
                <w:szCs w:val="20"/>
              </w:rPr>
              <w:fldChar w:fldCharType="separate"/>
            </w:r>
            <w:r w:rsidRPr="0055030F">
              <w:rPr>
                <w:noProof/>
                <w:webHidden/>
                <w:sz w:val="20"/>
                <w:szCs w:val="20"/>
              </w:rPr>
              <w:t>7</w:t>
            </w:r>
            <w:r w:rsidRPr="0055030F">
              <w:rPr>
                <w:noProof/>
                <w:webHidden/>
                <w:sz w:val="20"/>
                <w:szCs w:val="20"/>
              </w:rPr>
              <w:fldChar w:fldCharType="end"/>
            </w:r>
          </w:hyperlink>
        </w:p>
        <w:p w14:paraId="475F5365" w14:textId="1448205C" w:rsidR="0055030F" w:rsidRPr="0055030F" w:rsidRDefault="0055030F">
          <w:pPr>
            <w:pStyle w:val="TOC2"/>
            <w:tabs>
              <w:tab w:val="right" w:leader="dot" w:pos="9016"/>
            </w:tabs>
            <w:rPr>
              <w:noProof/>
              <w:sz w:val="20"/>
              <w:szCs w:val="20"/>
            </w:rPr>
          </w:pPr>
          <w:hyperlink w:anchor="_Toc235444589" w:history="1">
            <w:r w:rsidRPr="0055030F">
              <w:rPr>
                <w:rStyle w:val="Hyperlink"/>
                <w:rFonts w:ascii="Arial" w:hAnsi="Arial" w:cs="Arial"/>
                <w:noProof/>
                <w:sz w:val="20"/>
                <w:szCs w:val="20"/>
              </w:rPr>
              <w:t>Section 2.3: Internal Environmental Analysis: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_Toc235444589 \h </w:instrText>
            </w:r>
            <w:r w:rsidRPr="0055030F">
              <w:rPr>
                <w:noProof/>
                <w:webHidden/>
                <w:sz w:val="20"/>
                <w:szCs w:val="20"/>
              </w:rPr>
            </w:r>
            <w:r w:rsidRPr="0055030F">
              <w:rPr>
                <w:noProof/>
                <w:webHidden/>
                <w:sz w:val="20"/>
                <w:szCs w:val="20"/>
              </w:rPr>
              <w:fldChar w:fldCharType="separate"/>
            </w:r>
            <w:r w:rsidRPr="0055030F">
              <w:rPr>
                <w:noProof/>
                <w:webHidden/>
                <w:sz w:val="20"/>
                <w:szCs w:val="20"/>
              </w:rPr>
              <w:t>10</w:t>
            </w:r>
            <w:r w:rsidRPr="0055030F">
              <w:rPr>
                <w:noProof/>
                <w:webHidden/>
                <w:sz w:val="20"/>
                <w:szCs w:val="20"/>
              </w:rPr>
              <w:fldChar w:fldCharType="end"/>
            </w:r>
          </w:hyperlink>
        </w:p>
        <w:p w14:paraId="2F0F2541" w14:textId="72292AAD" w:rsidR="0055030F" w:rsidRPr="0055030F" w:rsidRDefault="0055030F">
          <w:pPr>
            <w:pStyle w:val="TOC2"/>
            <w:tabs>
              <w:tab w:val="right" w:leader="dot" w:pos="9016"/>
            </w:tabs>
            <w:rPr>
              <w:noProof/>
              <w:sz w:val="20"/>
              <w:szCs w:val="20"/>
            </w:rPr>
          </w:pPr>
          <w:hyperlink w:anchor="_Toc235444590" w:history="1">
            <w:r w:rsidRPr="0055030F">
              <w:rPr>
                <w:rStyle w:val="Hyperlink"/>
                <w:rFonts w:ascii="Arial" w:hAnsi="Arial" w:cs="Arial"/>
                <w:noProof/>
                <w:sz w:val="20"/>
                <w:szCs w:val="20"/>
              </w:rPr>
              <w:t>Section 2.4: Impact of Digital Disruption and Artificial Intelligence:</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_Toc235444590 \h </w:instrText>
            </w:r>
            <w:r w:rsidRPr="0055030F">
              <w:rPr>
                <w:noProof/>
                <w:webHidden/>
                <w:sz w:val="20"/>
                <w:szCs w:val="20"/>
              </w:rPr>
            </w:r>
            <w:r w:rsidRPr="0055030F">
              <w:rPr>
                <w:noProof/>
                <w:webHidden/>
                <w:sz w:val="20"/>
                <w:szCs w:val="20"/>
              </w:rPr>
              <w:fldChar w:fldCharType="separate"/>
            </w:r>
            <w:r w:rsidRPr="0055030F">
              <w:rPr>
                <w:noProof/>
                <w:webHidden/>
                <w:sz w:val="20"/>
                <w:szCs w:val="20"/>
              </w:rPr>
              <w:t>11</w:t>
            </w:r>
            <w:r w:rsidRPr="0055030F">
              <w:rPr>
                <w:noProof/>
                <w:webHidden/>
                <w:sz w:val="20"/>
                <w:szCs w:val="20"/>
              </w:rPr>
              <w:fldChar w:fldCharType="end"/>
            </w:r>
          </w:hyperlink>
        </w:p>
        <w:p w14:paraId="7315071A" w14:textId="19AC8EF4" w:rsidR="0055030F" w:rsidRPr="0055030F" w:rsidRDefault="0055030F">
          <w:pPr>
            <w:pStyle w:val="TOC2"/>
            <w:tabs>
              <w:tab w:val="right" w:leader="dot" w:pos="9016"/>
            </w:tabs>
            <w:rPr>
              <w:noProof/>
              <w:sz w:val="20"/>
              <w:szCs w:val="20"/>
            </w:rPr>
          </w:pPr>
          <w:hyperlink w:anchor="_Toc235444591" w:history="1">
            <w:r w:rsidRPr="0055030F">
              <w:rPr>
                <w:rStyle w:val="Hyperlink"/>
                <w:noProof/>
                <w:sz w:val="20"/>
                <w:szCs w:val="20"/>
              </w:rPr>
              <w:t>Section 2.5: Summary of Environmental Impact on Bentley:</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_Toc235444591 \h </w:instrText>
            </w:r>
            <w:r w:rsidRPr="0055030F">
              <w:rPr>
                <w:noProof/>
                <w:webHidden/>
                <w:sz w:val="20"/>
                <w:szCs w:val="20"/>
              </w:rPr>
            </w:r>
            <w:r w:rsidRPr="0055030F">
              <w:rPr>
                <w:noProof/>
                <w:webHidden/>
                <w:sz w:val="20"/>
                <w:szCs w:val="20"/>
              </w:rPr>
              <w:fldChar w:fldCharType="separate"/>
            </w:r>
            <w:r w:rsidRPr="0055030F">
              <w:rPr>
                <w:noProof/>
                <w:webHidden/>
                <w:sz w:val="20"/>
                <w:szCs w:val="20"/>
              </w:rPr>
              <w:t>11</w:t>
            </w:r>
            <w:r w:rsidRPr="0055030F">
              <w:rPr>
                <w:noProof/>
                <w:webHidden/>
                <w:sz w:val="20"/>
                <w:szCs w:val="20"/>
              </w:rPr>
              <w:fldChar w:fldCharType="end"/>
            </w:r>
          </w:hyperlink>
        </w:p>
        <w:p w14:paraId="08BE5E25" w14:textId="4FF26DEF" w:rsidR="0055030F" w:rsidRPr="0055030F" w:rsidRDefault="0055030F">
          <w:pPr>
            <w:pStyle w:val="TOC1"/>
            <w:tabs>
              <w:tab w:val="right" w:leader="dot" w:pos="9016"/>
            </w:tabs>
            <w:rPr>
              <w:noProof/>
              <w:sz w:val="20"/>
              <w:szCs w:val="20"/>
            </w:rPr>
          </w:pPr>
          <w:hyperlink w:anchor="_Toc235444592" w:history="1">
            <w:r w:rsidRPr="0055030F">
              <w:rPr>
                <w:rStyle w:val="Hyperlink"/>
                <w:rFonts w:ascii="Arial" w:hAnsi="Arial" w:cs="Arial"/>
                <w:noProof/>
                <w:sz w:val="20"/>
                <w:szCs w:val="20"/>
              </w:rPr>
              <w:t>Section 3: Evaluation of Change Management Models and Leadership Approaches: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_Toc235444592 \h </w:instrText>
            </w:r>
            <w:r w:rsidRPr="0055030F">
              <w:rPr>
                <w:noProof/>
                <w:webHidden/>
                <w:sz w:val="20"/>
                <w:szCs w:val="20"/>
              </w:rPr>
            </w:r>
            <w:r w:rsidRPr="0055030F">
              <w:rPr>
                <w:noProof/>
                <w:webHidden/>
                <w:sz w:val="20"/>
                <w:szCs w:val="20"/>
              </w:rPr>
              <w:fldChar w:fldCharType="separate"/>
            </w:r>
            <w:r w:rsidRPr="0055030F">
              <w:rPr>
                <w:noProof/>
                <w:webHidden/>
                <w:sz w:val="20"/>
                <w:szCs w:val="20"/>
              </w:rPr>
              <w:t>12</w:t>
            </w:r>
            <w:r w:rsidRPr="0055030F">
              <w:rPr>
                <w:noProof/>
                <w:webHidden/>
                <w:sz w:val="20"/>
                <w:szCs w:val="20"/>
              </w:rPr>
              <w:fldChar w:fldCharType="end"/>
            </w:r>
          </w:hyperlink>
        </w:p>
        <w:p w14:paraId="0A2E61EC" w14:textId="496A70B6" w:rsidR="0055030F" w:rsidRPr="0055030F" w:rsidRDefault="0055030F">
          <w:pPr>
            <w:pStyle w:val="TOC2"/>
            <w:tabs>
              <w:tab w:val="right" w:leader="dot" w:pos="9016"/>
            </w:tabs>
            <w:rPr>
              <w:noProof/>
              <w:sz w:val="20"/>
              <w:szCs w:val="20"/>
            </w:rPr>
          </w:pPr>
          <w:hyperlink w:anchor="_Toc235444593" w:history="1">
            <w:r w:rsidRPr="0055030F">
              <w:rPr>
                <w:rStyle w:val="Hyperlink"/>
                <w:rFonts w:ascii="Arial" w:hAnsi="Arial" w:cs="Arial"/>
                <w:noProof/>
                <w:sz w:val="20"/>
                <w:szCs w:val="20"/>
              </w:rPr>
              <w:t>Section3.1: Theoretical Framework for Change Management:</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_Toc235444593 \h </w:instrText>
            </w:r>
            <w:r w:rsidRPr="0055030F">
              <w:rPr>
                <w:noProof/>
                <w:webHidden/>
                <w:sz w:val="20"/>
                <w:szCs w:val="20"/>
              </w:rPr>
            </w:r>
            <w:r w:rsidRPr="0055030F">
              <w:rPr>
                <w:noProof/>
                <w:webHidden/>
                <w:sz w:val="20"/>
                <w:szCs w:val="20"/>
              </w:rPr>
              <w:fldChar w:fldCharType="separate"/>
            </w:r>
            <w:r w:rsidRPr="0055030F">
              <w:rPr>
                <w:noProof/>
                <w:webHidden/>
                <w:sz w:val="20"/>
                <w:szCs w:val="20"/>
              </w:rPr>
              <w:t>12</w:t>
            </w:r>
            <w:r w:rsidRPr="0055030F">
              <w:rPr>
                <w:noProof/>
                <w:webHidden/>
                <w:sz w:val="20"/>
                <w:szCs w:val="20"/>
              </w:rPr>
              <w:fldChar w:fldCharType="end"/>
            </w:r>
          </w:hyperlink>
        </w:p>
        <w:p w14:paraId="306F6238" w14:textId="383049B3" w:rsidR="0055030F" w:rsidRPr="0055030F" w:rsidRDefault="0055030F">
          <w:pPr>
            <w:pStyle w:val="TOC2"/>
            <w:tabs>
              <w:tab w:val="right" w:leader="dot" w:pos="9016"/>
            </w:tabs>
            <w:rPr>
              <w:noProof/>
              <w:sz w:val="20"/>
              <w:szCs w:val="20"/>
            </w:rPr>
          </w:pPr>
          <w:hyperlink w:anchor="_Toc235444594" w:history="1">
            <w:r w:rsidRPr="0055030F">
              <w:rPr>
                <w:rStyle w:val="Hyperlink"/>
                <w:rFonts w:ascii="Arial" w:hAnsi="Arial" w:cs="Arial"/>
                <w:noProof/>
                <w:sz w:val="20"/>
                <w:szCs w:val="20"/>
              </w:rPr>
              <w:t>Table 1: Kotter's Eight-Step Model Applied to Bentley's Transformation:</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_Toc235444594 \h </w:instrText>
            </w:r>
            <w:r w:rsidRPr="0055030F">
              <w:rPr>
                <w:noProof/>
                <w:webHidden/>
                <w:sz w:val="20"/>
                <w:szCs w:val="20"/>
              </w:rPr>
            </w:r>
            <w:r w:rsidRPr="0055030F">
              <w:rPr>
                <w:noProof/>
                <w:webHidden/>
                <w:sz w:val="20"/>
                <w:szCs w:val="20"/>
              </w:rPr>
              <w:fldChar w:fldCharType="separate"/>
            </w:r>
            <w:r w:rsidRPr="0055030F">
              <w:rPr>
                <w:noProof/>
                <w:webHidden/>
                <w:sz w:val="20"/>
                <w:szCs w:val="20"/>
              </w:rPr>
              <w:t>13</w:t>
            </w:r>
            <w:r w:rsidRPr="0055030F">
              <w:rPr>
                <w:noProof/>
                <w:webHidden/>
                <w:sz w:val="20"/>
                <w:szCs w:val="20"/>
              </w:rPr>
              <w:fldChar w:fldCharType="end"/>
            </w:r>
          </w:hyperlink>
        </w:p>
        <w:p w14:paraId="3C17BCC2" w14:textId="17413F93" w:rsidR="0055030F" w:rsidRPr="0055030F" w:rsidRDefault="0055030F">
          <w:pPr>
            <w:pStyle w:val="TOC2"/>
            <w:tabs>
              <w:tab w:val="right" w:leader="dot" w:pos="9016"/>
            </w:tabs>
            <w:rPr>
              <w:noProof/>
              <w:sz w:val="20"/>
              <w:szCs w:val="20"/>
            </w:rPr>
          </w:pPr>
          <w:hyperlink w:anchor="_Toc235444595" w:history="1">
            <w:r w:rsidRPr="0055030F">
              <w:rPr>
                <w:rStyle w:val="Hyperlink"/>
                <w:rFonts w:ascii="Arial" w:hAnsi="Arial" w:cs="Arial"/>
                <w:noProof/>
                <w:sz w:val="20"/>
                <w:szCs w:val="20"/>
              </w:rPr>
              <w:t>Figure 2: Table 2: Lewin's Three-Step Model Applied to Bentley's Change Journey:</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_Toc235444595 \h </w:instrText>
            </w:r>
            <w:r w:rsidRPr="0055030F">
              <w:rPr>
                <w:noProof/>
                <w:webHidden/>
                <w:sz w:val="20"/>
                <w:szCs w:val="20"/>
              </w:rPr>
            </w:r>
            <w:r w:rsidRPr="0055030F">
              <w:rPr>
                <w:noProof/>
                <w:webHidden/>
                <w:sz w:val="20"/>
                <w:szCs w:val="20"/>
              </w:rPr>
              <w:fldChar w:fldCharType="separate"/>
            </w:r>
            <w:r w:rsidRPr="0055030F">
              <w:rPr>
                <w:noProof/>
                <w:webHidden/>
                <w:sz w:val="20"/>
                <w:szCs w:val="20"/>
              </w:rPr>
              <w:t>15</w:t>
            </w:r>
            <w:r w:rsidRPr="0055030F">
              <w:rPr>
                <w:noProof/>
                <w:webHidden/>
                <w:sz w:val="20"/>
                <w:szCs w:val="20"/>
              </w:rPr>
              <w:fldChar w:fldCharType="end"/>
            </w:r>
          </w:hyperlink>
        </w:p>
        <w:p w14:paraId="75B14414" w14:textId="0C6ABAD2" w:rsidR="0055030F" w:rsidRPr="0055030F" w:rsidRDefault="0055030F">
          <w:pPr>
            <w:pStyle w:val="TOC2"/>
            <w:tabs>
              <w:tab w:val="right" w:leader="dot" w:pos="9016"/>
            </w:tabs>
            <w:rPr>
              <w:noProof/>
              <w:sz w:val="20"/>
              <w:szCs w:val="20"/>
            </w:rPr>
          </w:pPr>
          <w:hyperlink w:anchor="_Toc235444596" w:history="1">
            <w:r w:rsidRPr="0055030F">
              <w:rPr>
                <w:rStyle w:val="Hyperlink"/>
                <w:rFonts w:ascii="Arial" w:hAnsi="Arial" w:cs="Arial"/>
                <w:noProof/>
                <w:sz w:val="20"/>
                <w:szCs w:val="20"/>
              </w:rPr>
              <w:t>Section 3.2: Application of Change Management Models to Bentley:</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_Toc235444596 \h </w:instrText>
            </w:r>
            <w:r w:rsidRPr="0055030F">
              <w:rPr>
                <w:noProof/>
                <w:webHidden/>
                <w:sz w:val="20"/>
                <w:szCs w:val="20"/>
              </w:rPr>
            </w:r>
            <w:r w:rsidRPr="0055030F">
              <w:rPr>
                <w:noProof/>
                <w:webHidden/>
                <w:sz w:val="20"/>
                <w:szCs w:val="20"/>
              </w:rPr>
              <w:fldChar w:fldCharType="separate"/>
            </w:r>
            <w:r w:rsidRPr="0055030F">
              <w:rPr>
                <w:noProof/>
                <w:webHidden/>
                <w:sz w:val="20"/>
                <w:szCs w:val="20"/>
              </w:rPr>
              <w:t>17</w:t>
            </w:r>
            <w:r w:rsidRPr="0055030F">
              <w:rPr>
                <w:noProof/>
                <w:webHidden/>
                <w:sz w:val="20"/>
                <w:szCs w:val="20"/>
              </w:rPr>
              <w:fldChar w:fldCharType="end"/>
            </w:r>
          </w:hyperlink>
        </w:p>
        <w:p w14:paraId="2C8D98CC" w14:textId="598ABBD0" w:rsidR="0055030F" w:rsidRPr="0055030F" w:rsidRDefault="0055030F">
          <w:pPr>
            <w:pStyle w:val="TOC2"/>
            <w:tabs>
              <w:tab w:val="right" w:leader="dot" w:pos="9016"/>
            </w:tabs>
            <w:rPr>
              <w:noProof/>
              <w:sz w:val="20"/>
              <w:szCs w:val="20"/>
            </w:rPr>
          </w:pPr>
          <w:hyperlink w:anchor="_Toc235444597" w:history="1">
            <w:r w:rsidRPr="0055030F">
              <w:rPr>
                <w:rStyle w:val="Hyperlink"/>
                <w:rFonts w:ascii="Arial" w:hAnsi="Arial" w:cs="Arial"/>
                <w:noProof/>
                <w:sz w:val="20"/>
                <w:szCs w:val="20"/>
              </w:rPr>
              <w:t>Section 3.3: Leadership Approaches and Organisational Culture:</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_Toc235444597 \h </w:instrText>
            </w:r>
            <w:r w:rsidRPr="0055030F">
              <w:rPr>
                <w:noProof/>
                <w:webHidden/>
                <w:sz w:val="20"/>
                <w:szCs w:val="20"/>
              </w:rPr>
            </w:r>
            <w:r w:rsidRPr="0055030F">
              <w:rPr>
                <w:noProof/>
                <w:webHidden/>
                <w:sz w:val="20"/>
                <w:szCs w:val="20"/>
              </w:rPr>
              <w:fldChar w:fldCharType="separate"/>
            </w:r>
            <w:r w:rsidRPr="0055030F">
              <w:rPr>
                <w:noProof/>
                <w:webHidden/>
                <w:sz w:val="20"/>
                <w:szCs w:val="20"/>
              </w:rPr>
              <w:t>18</w:t>
            </w:r>
            <w:r w:rsidRPr="0055030F">
              <w:rPr>
                <w:noProof/>
                <w:webHidden/>
                <w:sz w:val="20"/>
                <w:szCs w:val="20"/>
              </w:rPr>
              <w:fldChar w:fldCharType="end"/>
            </w:r>
          </w:hyperlink>
        </w:p>
        <w:p w14:paraId="4F2B8261" w14:textId="45493D42" w:rsidR="0055030F" w:rsidRPr="0055030F" w:rsidRDefault="0055030F">
          <w:pPr>
            <w:pStyle w:val="TOC2"/>
            <w:tabs>
              <w:tab w:val="right" w:leader="dot" w:pos="9016"/>
            </w:tabs>
            <w:rPr>
              <w:noProof/>
              <w:sz w:val="20"/>
              <w:szCs w:val="20"/>
            </w:rPr>
          </w:pPr>
          <w:hyperlink w:anchor="_Toc235444598" w:history="1">
            <w:r w:rsidRPr="0055030F">
              <w:rPr>
                <w:rStyle w:val="Hyperlink"/>
                <w:rFonts w:ascii="Arial" w:hAnsi="Arial" w:cs="Arial"/>
                <w:noProof/>
                <w:sz w:val="20"/>
                <w:szCs w:val="20"/>
              </w:rPr>
              <w:t>Figure 4: Table 4: Bentley's Organisational Culture Assessment:</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_Toc235444598 \h </w:instrText>
            </w:r>
            <w:r w:rsidRPr="0055030F">
              <w:rPr>
                <w:noProof/>
                <w:webHidden/>
                <w:sz w:val="20"/>
                <w:szCs w:val="20"/>
              </w:rPr>
            </w:r>
            <w:r w:rsidRPr="0055030F">
              <w:rPr>
                <w:noProof/>
                <w:webHidden/>
                <w:sz w:val="20"/>
                <w:szCs w:val="20"/>
              </w:rPr>
              <w:fldChar w:fldCharType="separate"/>
            </w:r>
            <w:r w:rsidRPr="0055030F">
              <w:rPr>
                <w:noProof/>
                <w:webHidden/>
                <w:sz w:val="20"/>
                <w:szCs w:val="20"/>
              </w:rPr>
              <w:t>19</w:t>
            </w:r>
            <w:r w:rsidRPr="0055030F">
              <w:rPr>
                <w:noProof/>
                <w:webHidden/>
                <w:sz w:val="20"/>
                <w:szCs w:val="20"/>
              </w:rPr>
              <w:fldChar w:fldCharType="end"/>
            </w:r>
          </w:hyperlink>
        </w:p>
        <w:p w14:paraId="5335ACE3" w14:textId="4D76F810" w:rsidR="0055030F" w:rsidRPr="0055030F" w:rsidRDefault="0055030F">
          <w:pPr>
            <w:pStyle w:val="TOC2"/>
            <w:tabs>
              <w:tab w:val="right" w:leader="dot" w:pos="9016"/>
            </w:tabs>
            <w:rPr>
              <w:noProof/>
              <w:sz w:val="20"/>
              <w:szCs w:val="20"/>
            </w:rPr>
          </w:pPr>
          <w:hyperlink w:anchor="_Toc235444599" w:history="1">
            <w:r w:rsidRPr="0055030F">
              <w:rPr>
                <w:rStyle w:val="Hyperlink"/>
                <w:rFonts w:ascii="Arial" w:hAnsi="Arial" w:cs="Arial"/>
                <w:noProof/>
                <w:sz w:val="20"/>
                <w:szCs w:val="20"/>
              </w:rPr>
              <w:t>Section 3.4: Critical Evaluation of Change Models: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_Toc235444599 \h </w:instrText>
            </w:r>
            <w:r w:rsidRPr="0055030F">
              <w:rPr>
                <w:noProof/>
                <w:webHidden/>
                <w:sz w:val="20"/>
                <w:szCs w:val="20"/>
              </w:rPr>
            </w:r>
            <w:r w:rsidRPr="0055030F">
              <w:rPr>
                <w:noProof/>
                <w:webHidden/>
                <w:sz w:val="20"/>
                <w:szCs w:val="20"/>
              </w:rPr>
              <w:fldChar w:fldCharType="separate"/>
            </w:r>
            <w:r w:rsidRPr="0055030F">
              <w:rPr>
                <w:noProof/>
                <w:webHidden/>
                <w:sz w:val="20"/>
                <w:szCs w:val="20"/>
              </w:rPr>
              <w:t>20</w:t>
            </w:r>
            <w:r w:rsidRPr="0055030F">
              <w:rPr>
                <w:noProof/>
                <w:webHidden/>
                <w:sz w:val="20"/>
                <w:szCs w:val="20"/>
              </w:rPr>
              <w:fldChar w:fldCharType="end"/>
            </w:r>
          </w:hyperlink>
        </w:p>
        <w:p w14:paraId="4D365EA6" w14:textId="649B5B8B" w:rsidR="0055030F" w:rsidRPr="0055030F" w:rsidRDefault="0055030F">
          <w:pPr>
            <w:pStyle w:val="TOC1"/>
            <w:tabs>
              <w:tab w:val="right" w:leader="dot" w:pos="9016"/>
            </w:tabs>
            <w:rPr>
              <w:noProof/>
              <w:sz w:val="20"/>
              <w:szCs w:val="20"/>
            </w:rPr>
          </w:pPr>
          <w:hyperlink w:anchor="_Toc235444600" w:history="1">
            <w:r w:rsidRPr="0055030F">
              <w:rPr>
                <w:rStyle w:val="Hyperlink"/>
                <w:rFonts w:ascii="Arial" w:hAnsi="Arial" w:cs="Arial"/>
                <w:noProof/>
                <w:sz w:val="20"/>
                <w:szCs w:val="20"/>
              </w:rPr>
              <w:t>Section 4: Proposed Strategic Change Management Plan:</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_Toc235444600 \h </w:instrText>
            </w:r>
            <w:r w:rsidRPr="0055030F">
              <w:rPr>
                <w:noProof/>
                <w:webHidden/>
                <w:sz w:val="20"/>
                <w:szCs w:val="20"/>
              </w:rPr>
            </w:r>
            <w:r w:rsidRPr="0055030F">
              <w:rPr>
                <w:noProof/>
                <w:webHidden/>
                <w:sz w:val="20"/>
                <w:szCs w:val="20"/>
              </w:rPr>
              <w:fldChar w:fldCharType="separate"/>
            </w:r>
            <w:r w:rsidRPr="0055030F">
              <w:rPr>
                <w:noProof/>
                <w:webHidden/>
                <w:sz w:val="20"/>
                <w:szCs w:val="20"/>
              </w:rPr>
              <w:t>21</w:t>
            </w:r>
            <w:r w:rsidRPr="0055030F">
              <w:rPr>
                <w:noProof/>
                <w:webHidden/>
                <w:sz w:val="20"/>
                <w:szCs w:val="20"/>
              </w:rPr>
              <w:fldChar w:fldCharType="end"/>
            </w:r>
          </w:hyperlink>
        </w:p>
        <w:p w14:paraId="39D9EC82" w14:textId="0C9B0F2D" w:rsidR="0055030F" w:rsidRPr="0055030F" w:rsidRDefault="0055030F">
          <w:pPr>
            <w:pStyle w:val="TOC2"/>
            <w:tabs>
              <w:tab w:val="right" w:leader="dot" w:pos="9016"/>
            </w:tabs>
            <w:rPr>
              <w:noProof/>
              <w:sz w:val="20"/>
              <w:szCs w:val="20"/>
            </w:rPr>
          </w:pPr>
          <w:hyperlink w:anchor="_Toc235444601" w:history="1">
            <w:r w:rsidRPr="0055030F">
              <w:rPr>
                <w:rStyle w:val="Hyperlink"/>
                <w:rFonts w:ascii="Arial" w:hAnsi="Arial" w:cs="Arial"/>
                <w:noProof/>
                <w:sz w:val="20"/>
                <w:szCs w:val="20"/>
              </w:rPr>
              <w:t>Section 4.1: Vision and Objectives: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_Toc235444601 \h </w:instrText>
            </w:r>
            <w:r w:rsidRPr="0055030F">
              <w:rPr>
                <w:noProof/>
                <w:webHidden/>
                <w:sz w:val="20"/>
                <w:szCs w:val="20"/>
              </w:rPr>
            </w:r>
            <w:r w:rsidRPr="0055030F">
              <w:rPr>
                <w:noProof/>
                <w:webHidden/>
                <w:sz w:val="20"/>
                <w:szCs w:val="20"/>
              </w:rPr>
              <w:fldChar w:fldCharType="separate"/>
            </w:r>
            <w:r w:rsidRPr="0055030F">
              <w:rPr>
                <w:noProof/>
                <w:webHidden/>
                <w:sz w:val="20"/>
                <w:szCs w:val="20"/>
              </w:rPr>
              <w:t>21</w:t>
            </w:r>
            <w:r w:rsidRPr="0055030F">
              <w:rPr>
                <w:noProof/>
                <w:webHidden/>
                <w:sz w:val="20"/>
                <w:szCs w:val="20"/>
              </w:rPr>
              <w:fldChar w:fldCharType="end"/>
            </w:r>
          </w:hyperlink>
        </w:p>
        <w:p w14:paraId="785307C5" w14:textId="6358D565" w:rsidR="0055030F" w:rsidRPr="0055030F" w:rsidRDefault="0055030F">
          <w:pPr>
            <w:pStyle w:val="TOC2"/>
            <w:tabs>
              <w:tab w:val="right" w:leader="dot" w:pos="9016"/>
            </w:tabs>
            <w:rPr>
              <w:noProof/>
              <w:sz w:val="20"/>
              <w:szCs w:val="20"/>
            </w:rPr>
          </w:pPr>
          <w:hyperlink w:anchor="_Toc235444602" w:history="1">
            <w:r w:rsidRPr="0055030F">
              <w:rPr>
                <w:rStyle w:val="Hyperlink"/>
                <w:rFonts w:ascii="Arial" w:hAnsi="Arial" w:cs="Arial"/>
                <w:noProof/>
                <w:sz w:val="20"/>
                <w:szCs w:val="20"/>
              </w:rPr>
              <w:t>Section 4.2: Financial Plan:</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_Toc235444602 \h </w:instrText>
            </w:r>
            <w:r w:rsidRPr="0055030F">
              <w:rPr>
                <w:noProof/>
                <w:webHidden/>
                <w:sz w:val="20"/>
                <w:szCs w:val="20"/>
              </w:rPr>
            </w:r>
            <w:r w:rsidRPr="0055030F">
              <w:rPr>
                <w:noProof/>
                <w:webHidden/>
                <w:sz w:val="20"/>
                <w:szCs w:val="20"/>
              </w:rPr>
              <w:fldChar w:fldCharType="separate"/>
            </w:r>
            <w:r w:rsidRPr="0055030F">
              <w:rPr>
                <w:noProof/>
                <w:webHidden/>
                <w:sz w:val="20"/>
                <w:szCs w:val="20"/>
              </w:rPr>
              <w:t>23</w:t>
            </w:r>
            <w:r w:rsidRPr="0055030F">
              <w:rPr>
                <w:noProof/>
                <w:webHidden/>
                <w:sz w:val="20"/>
                <w:szCs w:val="20"/>
              </w:rPr>
              <w:fldChar w:fldCharType="end"/>
            </w:r>
          </w:hyperlink>
        </w:p>
        <w:p w14:paraId="245E1AE3" w14:textId="1DAB30F5" w:rsidR="0055030F" w:rsidRPr="0055030F" w:rsidRDefault="0055030F">
          <w:pPr>
            <w:pStyle w:val="TOC2"/>
            <w:tabs>
              <w:tab w:val="right" w:leader="dot" w:pos="9016"/>
            </w:tabs>
            <w:rPr>
              <w:noProof/>
              <w:sz w:val="20"/>
              <w:szCs w:val="20"/>
            </w:rPr>
          </w:pPr>
          <w:hyperlink w:anchor="_Toc235444603" w:history="1">
            <w:r w:rsidRPr="0055030F">
              <w:rPr>
                <w:rStyle w:val="Hyperlink"/>
                <w:rFonts w:ascii="Arial" w:hAnsi="Arial" w:cs="Arial"/>
                <w:noProof/>
                <w:sz w:val="20"/>
                <w:szCs w:val="20"/>
              </w:rPr>
              <w:t>Figure 4: Table 4: Bentley Financial Performance Summary 2023-2025:</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_Toc235444603 \h </w:instrText>
            </w:r>
            <w:r w:rsidRPr="0055030F">
              <w:rPr>
                <w:noProof/>
                <w:webHidden/>
                <w:sz w:val="20"/>
                <w:szCs w:val="20"/>
              </w:rPr>
            </w:r>
            <w:r w:rsidRPr="0055030F">
              <w:rPr>
                <w:noProof/>
                <w:webHidden/>
                <w:sz w:val="20"/>
                <w:szCs w:val="20"/>
              </w:rPr>
              <w:fldChar w:fldCharType="separate"/>
            </w:r>
            <w:r w:rsidRPr="0055030F">
              <w:rPr>
                <w:noProof/>
                <w:webHidden/>
                <w:sz w:val="20"/>
                <w:szCs w:val="20"/>
              </w:rPr>
              <w:t>23</w:t>
            </w:r>
            <w:r w:rsidRPr="0055030F">
              <w:rPr>
                <w:noProof/>
                <w:webHidden/>
                <w:sz w:val="20"/>
                <w:szCs w:val="20"/>
              </w:rPr>
              <w:fldChar w:fldCharType="end"/>
            </w:r>
          </w:hyperlink>
        </w:p>
        <w:p w14:paraId="493A35EE" w14:textId="53F740B2" w:rsidR="0055030F" w:rsidRPr="0055030F" w:rsidRDefault="0055030F">
          <w:pPr>
            <w:pStyle w:val="TOC2"/>
            <w:tabs>
              <w:tab w:val="right" w:leader="dot" w:pos="9016"/>
            </w:tabs>
            <w:rPr>
              <w:noProof/>
              <w:sz w:val="20"/>
              <w:szCs w:val="20"/>
            </w:rPr>
          </w:pPr>
          <w:hyperlink w:anchor="_Toc235444604" w:history="1">
            <w:r w:rsidRPr="0055030F">
              <w:rPr>
                <w:rStyle w:val="Hyperlink"/>
                <w:rFonts w:ascii="Arial" w:hAnsi="Arial" w:cs="Arial"/>
                <w:noProof/>
                <w:sz w:val="20"/>
                <w:szCs w:val="20"/>
              </w:rPr>
              <w:t>Figure 5: Table 5: Bentley Transformation Investment Priorities: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_Toc235444604 \h </w:instrText>
            </w:r>
            <w:r w:rsidRPr="0055030F">
              <w:rPr>
                <w:noProof/>
                <w:webHidden/>
                <w:sz w:val="20"/>
                <w:szCs w:val="20"/>
              </w:rPr>
            </w:r>
            <w:r w:rsidRPr="0055030F">
              <w:rPr>
                <w:noProof/>
                <w:webHidden/>
                <w:sz w:val="20"/>
                <w:szCs w:val="20"/>
              </w:rPr>
              <w:fldChar w:fldCharType="separate"/>
            </w:r>
            <w:r w:rsidRPr="0055030F">
              <w:rPr>
                <w:noProof/>
                <w:webHidden/>
                <w:sz w:val="20"/>
                <w:szCs w:val="20"/>
              </w:rPr>
              <w:t>25</w:t>
            </w:r>
            <w:r w:rsidRPr="0055030F">
              <w:rPr>
                <w:noProof/>
                <w:webHidden/>
                <w:sz w:val="20"/>
                <w:szCs w:val="20"/>
              </w:rPr>
              <w:fldChar w:fldCharType="end"/>
            </w:r>
          </w:hyperlink>
        </w:p>
        <w:p w14:paraId="5933BF87" w14:textId="0C3FE5DE" w:rsidR="0055030F" w:rsidRPr="0055030F" w:rsidRDefault="0055030F">
          <w:pPr>
            <w:pStyle w:val="TOC2"/>
            <w:tabs>
              <w:tab w:val="right" w:leader="dot" w:pos="9016"/>
            </w:tabs>
            <w:rPr>
              <w:noProof/>
              <w:sz w:val="20"/>
              <w:szCs w:val="20"/>
            </w:rPr>
          </w:pPr>
          <w:hyperlink w:anchor="_Toc235444605" w:history="1">
            <w:r w:rsidRPr="0055030F">
              <w:rPr>
                <w:rStyle w:val="Hyperlink"/>
                <w:rFonts w:ascii="Arial" w:hAnsi="Arial" w:cs="Arial"/>
                <w:noProof/>
                <w:sz w:val="20"/>
                <w:szCs w:val="20"/>
              </w:rPr>
              <w:t>Section4.3: Communication Plan:</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_Toc235444605 \h </w:instrText>
            </w:r>
            <w:r w:rsidRPr="0055030F">
              <w:rPr>
                <w:noProof/>
                <w:webHidden/>
                <w:sz w:val="20"/>
                <w:szCs w:val="20"/>
              </w:rPr>
            </w:r>
            <w:r w:rsidRPr="0055030F">
              <w:rPr>
                <w:noProof/>
                <w:webHidden/>
                <w:sz w:val="20"/>
                <w:szCs w:val="20"/>
              </w:rPr>
              <w:fldChar w:fldCharType="separate"/>
            </w:r>
            <w:r w:rsidRPr="0055030F">
              <w:rPr>
                <w:noProof/>
                <w:webHidden/>
                <w:sz w:val="20"/>
                <w:szCs w:val="20"/>
              </w:rPr>
              <w:t>26</w:t>
            </w:r>
            <w:r w:rsidRPr="0055030F">
              <w:rPr>
                <w:noProof/>
                <w:webHidden/>
                <w:sz w:val="20"/>
                <w:szCs w:val="20"/>
              </w:rPr>
              <w:fldChar w:fldCharType="end"/>
            </w:r>
          </w:hyperlink>
        </w:p>
        <w:p w14:paraId="3147969B" w14:textId="7503E8F2" w:rsidR="0055030F" w:rsidRPr="0055030F" w:rsidRDefault="0055030F">
          <w:pPr>
            <w:pStyle w:val="TOC2"/>
            <w:tabs>
              <w:tab w:val="right" w:leader="dot" w:pos="9016"/>
            </w:tabs>
            <w:rPr>
              <w:noProof/>
              <w:sz w:val="20"/>
              <w:szCs w:val="20"/>
            </w:rPr>
          </w:pPr>
          <w:hyperlink w:anchor="_Toc235444606" w:history="1">
            <w:r w:rsidRPr="0055030F">
              <w:rPr>
                <w:rStyle w:val="Hyperlink"/>
                <w:rFonts w:ascii="Arial" w:hAnsi="Arial" w:cs="Arial"/>
                <w:noProof/>
                <w:sz w:val="20"/>
                <w:szCs w:val="20"/>
              </w:rPr>
              <w:t>Figure 6: Table 6: Bentley Stakeholder Communication Matrix:</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_Toc235444606 \h </w:instrText>
            </w:r>
            <w:r w:rsidRPr="0055030F">
              <w:rPr>
                <w:noProof/>
                <w:webHidden/>
                <w:sz w:val="20"/>
                <w:szCs w:val="20"/>
              </w:rPr>
            </w:r>
            <w:r w:rsidRPr="0055030F">
              <w:rPr>
                <w:noProof/>
                <w:webHidden/>
                <w:sz w:val="20"/>
                <w:szCs w:val="20"/>
              </w:rPr>
              <w:fldChar w:fldCharType="separate"/>
            </w:r>
            <w:r w:rsidRPr="0055030F">
              <w:rPr>
                <w:noProof/>
                <w:webHidden/>
                <w:sz w:val="20"/>
                <w:szCs w:val="20"/>
              </w:rPr>
              <w:t>26</w:t>
            </w:r>
            <w:r w:rsidRPr="0055030F">
              <w:rPr>
                <w:noProof/>
                <w:webHidden/>
                <w:sz w:val="20"/>
                <w:szCs w:val="20"/>
              </w:rPr>
              <w:fldChar w:fldCharType="end"/>
            </w:r>
          </w:hyperlink>
        </w:p>
        <w:p w14:paraId="226975C0" w14:textId="2606710B" w:rsidR="0055030F" w:rsidRPr="0055030F" w:rsidRDefault="0055030F">
          <w:pPr>
            <w:pStyle w:val="TOC2"/>
            <w:tabs>
              <w:tab w:val="right" w:leader="dot" w:pos="9016"/>
            </w:tabs>
            <w:rPr>
              <w:noProof/>
              <w:sz w:val="20"/>
              <w:szCs w:val="20"/>
            </w:rPr>
          </w:pPr>
          <w:hyperlink w:anchor="_Toc235444607" w:history="1">
            <w:r w:rsidRPr="0055030F">
              <w:rPr>
                <w:rStyle w:val="Hyperlink"/>
                <w:rFonts w:ascii="Arial" w:hAnsi="Arial" w:cs="Arial"/>
                <w:noProof/>
                <w:sz w:val="20"/>
                <w:szCs w:val="20"/>
              </w:rPr>
              <w:t>Section 4.4: Evaluation and Monitoring Plan:</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_Toc235444607 \h </w:instrText>
            </w:r>
            <w:r w:rsidRPr="0055030F">
              <w:rPr>
                <w:noProof/>
                <w:webHidden/>
                <w:sz w:val="20"/>
                <w:szCs w:val="20"/>
              </w:rPr>
            </w:r>
            <w:r w:rsidRPr="0055030F">
              <w:rPr>
                <w:noProof/>
                <w:webHidden/>
                <w:sz w:val="20"/>
                <w:szCs w:val="20"/>
              </w:rPr>
              <w:fldChar w:fldCharType="separate"/>
            </w:r>
            <w:r w:rsidRPr="0055030F">
              <w:rPr>
                <w:noProof/>
                <w:webHidden/>
                <w:sz w:val="20"/>
                <w:szCs w:val="20"/>
              </w:rPr>
              <w:t>28</w:t>
            </w:r>
            <w:r w:rsidRPr="0055030F">
              <w:rPr>
                <w:noProof/>
                <w:webHidden/>
                <w:sz w:val="20"/>
                <w:szCs w:val="20"/>
              </w:rPr>
              <w:fldChar w:fldCharType="end"/>
            </w:r>
          </w:hyperlink>
        </w:p>
        <w:p w14:paraId="42D71E7E" w14:textId="00C12B30" w:rsidR="0055030F" w:rsidRPr="0055030F" w:rsidRDefault="0055030F">
          <w:pPr>
            <w:pStyle w:val="TOC2"/>
            <w:tabs>
              <w:tab w:val="right" w:leader="dot" w:pos="9016"/>
            </w:tabs>
            <w:rPr>
              <w:noProof/>
              <w:sz w:val="20"/>
              <w:szCs w:val="20"/>
            </w:rPr>
          </w:pPr>
          <w:hyperlink w:anchor="_Toc235444608" w:history="1">
            <w:r w:rsidRPr="0055030F">
              <w:rPr>
                <w:rStyle w:val="Hyperlink"/>
                <w:rFonts w:ascii="Arial" w:hAnsi="Arial" w:cs="Arial"/>
                <w:noProof/>
                <w:sz w:val="20"/>
                <w:szCs w:val="20"/>
              </w:rPr>
              <w:t>Figure: Table 7: Bentley Transformation Key Performance Indicators: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_Toc235444608 \h </w:instrText>
            </w:r>
            <w:r w:rsidRPr="0055030F">
              <w:rPr>
                <w:noProof/>
                <w:webHidden/>
                <w:sz w:val="20"/>
                <w:szCs w:val="20"/>
              </w:rPr>
            </w:r>
            <w:r w:rsidRPr="0055030F">
              <w:rPr>
                <w:noProof/>
                <w:webHidden/>
                <w:sz w:val="20"/>
                <w:szCs w:val="20"/>
              </w:rPr>
              <w:fldChar w:fldCharType="separate"/>
            </w:r>
            <w:r w:rsidRPr="0055030F">
              <w:rPr>
                <w:noProof/>
                <w:webHidden/>
                <w:sz w:val="20"/>
                <w:szCs w:val="20"/>
              </w:rPr>
              <w:t>28</w:t>
            </w:r>
            <w:r w:rsidRPr="0055030F">
              <w:rPr>
                <w:noProof/>
                <w:webHidden/>
                <w:sz w:val="20"/>
                <w:szCs w:val="20"/>
              </w:rPr>
              <w:fldChar w:fldCharType="end"/>
            </w:r>
          </w:hyperlink>
        </w:p>
        <w:p w14:paraId="51B99626" w14:textId="2D4FA955" w:rsidR="0055030F" w:rsidRPr="0055030F" w:rsidRDefault="0055030F">
          <w:pPr>
            <w:pStyle w:val="TOC2"/>
            <w:tabs>
              <w:tab w:val="right" w:leader="dot" w:pos="9016"/>
            </w:tabs>
            <w:rPr>
              <w:noProof/>
              <w:sz w:val="20"/>
              <w:szCs w:val="20"/>
            </w:rPr>
          </w:pPr>
          <w:hyperlink w:anchor="_Toc235444609" w:history="1">
            <w:r w:rsidRPr="0055030F">
              <w:rPr>
                <w:rStyle w:val="Hyperlink"/>
                <w:rFonts w:ascii="Arial" w:hAnsi="Arial" w:cs="Arial"/>
                <w:noProof/>
                <w:sz w:val="20"/>
                <w:szCs w:val="20"/>
              </w:rPr>
              <w:t>Section 4.5: Implementation Timeline:</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_Toc235444609 \h </w:instrText>
            </w:r>
            <w:r w:rsidRPr="0055030F">
              <w:rPr>
                <w:noProof/>
                <w:webHidden/>
                <w:sz w:val="20"/>
                <w:szCs w:val="20"/>
              </w:rPr>
            </w:r>
            <w:r w:rsidRPr="0055030F">
              <w:rPr>
                <w:noProof/>
                <w:webHidden/>
                <w:sz w:val="20"/>
                <w:szCs w:val="20"/>
              </w:rPr>
              <w:fldChar w:fldCharType="separate"/>
            </w:r>
            <w:r w:rsidRPr="0055030F">
              <w:rPr>
                <w:noProof/>
                <w:webHidden/>
                <w:sz w:val="20"/>
                <w:szCs w:val="20"/>
              </w:rPr>
              <w:t>30</w:t>
            </w:r>
            <w:r w:rsidRPr="0055030F">
              <w:rPr>
                <w:noProof/>
                <w:webHidden/>
                <w:sz w:val="20"/>
                <w:szCs w:val="20"/>
              </w:rPr>
              <w:fldChar w:fldCharType="end"/>
            </w:r>
          </w:hyperlink>
        </w:p>
        <w:p w14:paraId="57C2097E" w14:textId="35EDF2C9" w:rsidR="0055030F" w:rsidRPr="0055030F" w:rsidRDefault="0055030F">
          <w:pPr>
            <w:pStyle w:val="TOC2"/>
            <w:tabs>
              <w:tab w:val="right" w:leader="dot" w:pos="9016"/>
            </w:tabs>
            <w:rPr>
              <w:noProof/>
              <w:sz w:val="20"/>
              <w:szCs w:val="20"/>
            </w:rPr>
          </w:pPr>
          <w:hyperlink w:anchor="_Toc235444610" w:history="1">
            <w:r w:rsidRPr="0055030F">
              <w:rPr>
                <w:rStyle w:val="Hyperlink"/>
                <w:rFonts w:ascii="Arial" w:hAnsi="Arial" w:cs="Arial"/>
                <w:noProof/>
                <w:sz w:val="20"/>
                <w:szCs w:val="20"/>
              </w:rPr>
              <w:t>Figure 8: Table 8: Bentley Transformation Implementation Timeline:</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_Toc235444610 \h </w:instrText>
            </w:r>
            <w:r w:rsidRPr="0055030F">
              <w:rPr>
                <w:noProof/>
                <w:webHidden/>
                <w:sz w:val="20"/>
                <w:szCs w:val="20"/>
              </w:rPr>
            </w:r>
            <w:r w:rsidRPr="0055030F">
              <w:rPr>
                <w:noProof/>
                <w:webHidden/>
                <w:sz w:val="20"/>
                <w:szCs w:val="20"/>
              </w:rPr>
              <w:fldChar w:fldCharType="separate"/>
            </w:r>
            <w:r w:rsidRPr="0055030F">
              <w:rPr>
                <w:noProof/>
                <w:webHidden/>
                <w:sz w:val="20"/>
                <w:szCs w:val="20"/>
              </w:rPr>
              <w:t>30</w:t>
            </w:r>
            <w:r w:rsidRPr="0055030F">
              <w:rPr>
                <w:noProof/>
                <w:webHidden/>
                <w:sz w:val="20"/>
                <w:szCs w:val="20"/>
              </w:rPr>
              <w:fldChar w:fldCharType="end"/>
            </w:r>
          </w:hyperlink>
        </w:p>
        <w:p w14:paraId="49F310DF" w14:textId="6AA9D404" w:rsidR="0055030F" w:rsidRPr="0055030F" w:rsidRDefault="0055030F">
          <w:pPr>
            <w:pStyle w:val="TOC2"/>
            <w:tabs>
              <w:tab w:val="right" w:leader="dot" w:pos="9016"/>
            </w:tabs>
            <w:rPr>
              <w:noProof/>
              <w:sz w:val="20"/>
              <w:szCs w:val="20"/>
            </w:rPr>
          </w:pPr>
          <w:hyperlink w:anchor="_Toc235444611" w:history="1">
            <w:r w:rsidRPr="0055030F">
              <w:rPr>
                <w:rStyle w:val="Hyperlink"/>
                <w:rFonts w:ascii="Arial" w:hAnsi="Arial" w:cs="Arial"/>
                <w:noProof/>
                <w:sz w:val="20"/>
                <w:szCs w:val="20"/>
              </w:rPr>
              <w:t>Section 4.6: Risk Assessment and Mitigation:</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_Toc235444611 \h </w:instrText>
            </w:r>
            <w:r w:rsidRPr="0055030F">
              <w:rPr>
                <w:noProof/>
                <w:webHidden/>
                <w:sz w:val="20"/>
                <w:szCs w:val="20"/>
              </w:rPr>
            </w:r>
            <w:r w:rsidRPr="0055030F">
              <w:rPr>
                <w:noProof/>
                <w:webHidden/>
                <w:sz w:val="20"/>
                <w:szCs w:val="20"/>
              </w:rPr>
              <w:fldChar w:fldCharType="separate"/>
            </w:r>
            <w:r w:rsidRPr="0055030F">
              <w:rPr>
                <w:noProof/>
                <w:webHidden/>
                <w:sz w:val="20"/>
                <w:szCs w:val="20"/>
              </w:rPr>
              <w:t>31</w:t>
            </w:r>
            <w:r w:rsidRPr="0055030F">
              <w:rPr>
                <w:noProof/>
                <w:webHidden/>
                <w:sz w:val="20"/>
                <w:szCs w:val="20"/>
              </w:rPr>
              <w:fldChar w:fldCharType="end"/>
            </w:r>
          </w:hyperlink>
        </w:p>
        <w:p w14:paraId="0CDB1CA6" w14:textId="3E88C025" w:rsidR="0055030F" w:rsidRPr="0055030F" w:rsidRDefault="0055030F">
          <w:pPr>
            <w:pStyle w:val="TOC2"/>
            <w:tabs>
              <w:tab w:val="right" w:leader="dot" w:pos="9016"/>
            </w:tabs>
            <w:rPr>
              <w:noProof/>
              <w:sz w:val="20"/>
              <w:szCs w:val="20"/>
            </w:rPr>
          </w:pPr>
          <w:hyperlink w:anchor="_Toc235444612" w:history="1">
            <w:r w:rsidRPr="0055030F">
              <w:rPr>
                <w:rStyle w:val="Hyperlink"/>
                <w:rFonts w:ascii="Arial" w:hAnsi="Arial" w:cs="Arial"/>
                <w:noProof/>
                <w:sz w:val="20"/>
                <w:szCs w:val="20"/>
              </w:rPr>
              <w:t>Figure 9: Table 9: Risk Assessment and Mitigation Strategies: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_Toc235444612 \h </w:instrText>
            </w:r>
            <w:r w:rsidRPr="0055030F">
              <w:rPr>
                <w:noProof/>
                <w:webHidden/>
                <w:sz w:val="20"/>
                <w:szCs w:val="20"/>
              </w:rPr>
            </w:r>
            <w:r w:rsidRPr="0055030F">
              <w:rPr>
                <w:noProof/>
                <w:webHidden/>
                <w:sz w:val="20"/>
                <w:szCs w:val="20"/>
              </w:rPr>
              <w:fldChar w:fldCharType="separate"/>
            </w:r>
            <w:r w:rsidRPr="0055030F">
              <w:rPr>
                <w:noProof/>
                <w:webHidden/>
                <w:sz w:val="20"/>
                <w:szCs w:val="20"/>
              </w:rPr>
              <w:t>31</w:t>
            </w:r>
            <w:r w:rsidRPr="0055030F">
              <w:rPr>
                <w:noProof/>
                <w:webHidden/>
                <w:sz w:val="20"/>
                <w:szCs w:val="20"/>
              </w:rPr>
              <w:fldChar w:fldCharType="end"/>
            </w:r>
          </w:hyperlink>
        </w:p>
        <w:p w14:paraId="4CE6B36B" w14:textId="7C8F598E" w:rsidR="0055030F" w:rsidRPr="0055030F" w:rsidRDefault="0055030F">
          <w:pPr>
            <w:pStyle w:val="TOC1"/>
            <w:tabs>
              <w:tab w:val="right" w:leader="dot" w:pos="9016"/>
            </w:tabs>
            <w:rPr>
              <w:noProof/>
              <w:sz w:val="20"/>
              <w:szCs w:val="20"/>
            </w:rPr>
          </w:pPr>
          <w:hyperlink w:anchor="_Toc235444613" w:history="1">
            <w:r w:rsidRPr="0055030F">
              <w:rPr>
                <w:rStyle w:val="Hyperlink"/>
                <w:rFonts w:ascii="Arial" w:hAnsi="Arial" w:cs="Arial"/>
                <w:noProof/>
                <w:sz w:val="20"/>
                <w:szCs w:val="20"/>
              </w:rPr>
              <w:t>Section 5: Conclusion and Recommendations: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_Toc235444613 \h </w:instrText>
            </w:r>
            <w:r w:rsidRPr="0055030F">
              <w:rPr>
                <w:noProof/>
                <w:webHidden/>
                <w:sz w:val="20"/>
                <w:szCs w:val="20"/>
              </w:rPr>
            </w:r>
            <w:r w:rsidRPr="0055030F">
              <w:rPr>
                <w:noProof/>
                <w:webHidden/>
                <w:sz w:val="20"/>
                <w:szCs w:val="20"/>
              </w:rPr>
              <w:fldChar w:fldCharType="separate"/>
            </w:r>
            <w:r w:rsidRPr="0055030F">
              <w:rPr>
                <w:noProof/>
                <w:webHidden/>
                <w:sz w:val="20"/>
                <w:szCs w:val="20"/>
              </w:rPr>
              <w:t>32</w:t>
            </w:r>
            <w:r w:rsidRPr="0055030F">
              <w:rPr>
                <w:noProof/>
                <w:webHidden/>
                <w:sz w:val="20"/>
                <w:szCs w:val="20"/>
              </w:rPr>
              <w:fldChar w:fldCharType="end"/>
            </w:r>
          </w:hyperlink>
        </w:p>
        <w:p w14:paraId="497DE2AB" w14:textId="1550E45F" w:rsidR="0055030F" w:rsidRPr="0055030F" w:rsidRDefault="0055030F">
          <w:pPr>
            <w:pStyle w:val="TOC1"/>
            <w:tabs>
              <w:tab w:val="right" w:leader="dot" w:pos="9016"/>
            </w:tabs>
            <w:rPr>
              <w:noProof/>
              <w:sz w:val="20"/>
              <w:szCs w:val="20"/>
            </w:rPr>
          </w:pPr>
          <w:hyperlink w:anchor="_Toc235444614" w:history="1">
            <w:r w:rsidRPr="0055030F">
              <w:rPr>
                <w:rStyle w:val="Hyperlink"/>
                <w:rFonts w:ascii="Arial" w:hAnsi="Arial" w:cs="Arial"/>
                <w:noProof/>
                <w:sz w:val="20"/>
                <w:szCs w:val="20"/>
              </w:rPr>
              <w:t>APPENDIX:</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_Toc235444614 \h </w:instrText>
            </w:r>
            <w:r w:rsidRPr="0055030F">
              <w:rPr>
                <w:noProof/>
                <w:webHidden/>
                <w:sz w:val="20"/>
                <w:szCs w:val="20"/>
              </w:rPr>
            </w:r>
            <w:r w:rsidRPr="0055030F">
              <w:rPr>
                <w:noProof/>
                <w:webHidden/>
                <w:sz w:val="20"/>
                <w:szCs w:val="20"/>
              </w:rPr>
              <w:fldChar w:fldCharType="separate"/>
            </w:r>
            <w:r w:rsidRPr="0055030F">
              <w:rPr>
                <w:noProof/>
                <w:webHidden/>
                <w:sz w:val="20"/>
                <w:szCs w:val="20"/>
              </w:rPr>
              <w:t>33</w:t>
            </w:r>
            <w:r w:rsidRPr="0055030F">
              <w:rPr>
                <w:noProof/>
                <w:webHidden/>
                <w:sz w:val="20"/>
                <w:szCs w:val="20"/>
              </w:rPr>
              <w:fldChar w:fldCharType="end"/>
            </w:r>
          </w:hyperlink>
        </w:p>
        <w:p w14:paraId="7D6D88F1" w14:textId="06211D81" w:rsidR="0055030F" w:rsidRPr="0055030F" w:rsidRDefault="0055030F">
          <w:pPr>
            <w:pStyle w:val="TOC2"/>
            <w:tabs>
              <w:tab w:val="right" w:leader="dot" w:pos="9016"/>
            </w:tabs>
            <w:rPr>
              <w:noProof/>
              <w:sz w:val="20"/>
              <w:szCs w:val="20"/>
            </w:rPr>
          </w:pPr>
          <w:hyperlink w:anchor="_Toc235444615" w:history="1">
            <w:r w:rsidRPr="0055030F">
              <w:rPr>
                <w:rStyle w:val="Hyperlink"/>
                <w:rFonts w:ascii="Arial" w:hAnsi="Arial" w:cs="Arial"/>
                <w:noProof/>
                <w:sz w:val="20"/>
                <w:szCs w:val="20"/>
              </w:rPr>
              <w:t>Figure 10: Table 10: TOWS Analysis Summary:</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_Toc235444615 \h </w:instrText>
            </w:r>
            <w:r w:rsidRPr="0055030F">
              <w:rPr>
                <w:noProof/>
                <w:webHidden/>
                <w:sz w:val="20"/>
                <w:szCs w:val="20"/>
              </w:rPr>
            </w:r>
            <w:r w:rsidRPr="0055030F">
              <w:rPr>
                <w:noProof/>
                <w:webHidden/>
                <w:sz w:val="20"/>
                <w:szCs w:val="20"/>
              </w:rPr>
              <w:fldChar w:fldCharType="separate"/>
            </w:r>
            <w:r w:rsidRPr="0055030F">
              <w:rPr>
                <w:noProof/>
                <w:webHidden/>
                <w:sz w:val="20"/>
                <w:szCs w:val="20"/>
              </w:rPr>
              <w:t>33</w:t>
            </w:r>
            <w:r w:rsidRPr="0055030F">
              <w:rPr>
                <w:noProof/>
                <w:webHidden/>
                <w:sz w:val="20"/>
                <w:szCs w:val="20"/>
              </w:rPr>
              <w:fldChar w:fldCharType="end"/>
            </w:r>
          </w:hyperlink>
        </w:p>
        <w:p w14:paraId="6E2B890C" w14:textId="1F15C898" w:rsidR="0055030F" w:rsidRPr="0055030F" w:rsidRDefault="0055030F">
          <w:pPr>
            <w:pStyle w:val="TOC1"/>
            <w:tabs>
              <w:tab w:val="right" w:leader="dot" w:pos="9016"/>
            </w:tabs>
            <w:rPr>
              <w:noProof/>
              <w:sz w:val="20"/>
              <w:szCs w:val="20"/>
            </w:rPr>
          </w:pPr>
          <w:hyperlink w:anchor="_Toc235444616" w:history="1">
            <w:r w:rsidRPr="0055030F">
              <w:rPr>
                <w:rStyle w:val="Hyperlink"/>
                <w:rFonts w:ascii="Arial" w:hAnsi="Arial" w:cs="Arial"/>
                <w:noProof/>
                <w:sz w:val="20"/>
                <w:szCs w:val="20"/>
              </w:rPr>
              <w:t>Section 6: Reference List:</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_Toc235444616 \h </w:instrText>
            </w:r>
            <w:r w:rsidRPr="0055030F">
              <w:rPr>
                <w:noProof/>
                <w:webHidden/>
                <w:sz w:val="20"/>
                <w:szCs w:val="20"/>
              </w:rPr>
            </w:r>
            <w:r w:rsidRPr="0055030F">
              <w:rPr>
                <w:noProof/>
                <w:webHidden/>
                <w:sz w:val="20"/>
                <w:szCs w:val="20"/>
              </w:rPr>
              <w:fldChar w:fldCharType="separate"/>
            </w:r>
            <w:r w:rsidRPr="0055030F">
              <w:rPr>
                <w:noProof/>
                <w:webHidden/>
                <w:sz w:val="20"/>
                <w:szCs w:val="20"/>
              </w:rPr>
              <w:t>36</w:t>
            </w:r>
            <w:r w:rsidRPr="0055030F">
              <w:rPr>
                <w:noProof/>
                <w:webHidden/>
                <w:sz w:val="20"/>
                <w:szCs w:val="20"/>
              </w:rPr>
              <w:fldChar w:fldCharType="end"/>
            </w:r>
          </w:hyperlink>
        </w:p>
        <w:p w14:paraId="1735892C" w14:textId="73C2CBF9" w:rsidR="0055030F" w:rsidRPr="0055030F" w:rsidRDefault="0055030F">
          <w:pPr>
            <w:pStyle w:val="TOC1"/>
            <w:tabs>
              <w:tab w:val="right" w:leader="dot" w:pos="9016"/>
            </w:tabs>
            <w:rPr>
              <w:noProof/>
              <w:sz w:val="20"/>
              <w:szCs w:val="20"/>
            </w:rPr>
          </w:pPr>
          <w:hyperlink w:anchor="_Toc235444617" w:history="1">
            <w:r w:rsidRPr="0055030F">
              <w:rPr>
                <w:rStyle w:val="Hyperlink"/>
                <w:rFonts w:ascii="Arial" w:hAnsi="Arial" w:cs="Arial"/>
                <w:noProof/>
                <w:sz w:val="20"/>
                <w:szCs w:val="20"/>
              </w:rPr>
              <w:t>Links:</w:t>
            </w:r>
            <w:r w:rsidRPr="0055030F">
              <w:rPr>
                <w:noProof/>
                <w:webHidden/>
                <w:sz w:val="20"/>
                <w:szCs w:val="20"/>
              </w:rPr>
              <w:tab/>
            </w:r>
            <w:r w:rsidRPr="0055030F">
              <w:rPr>
                <w:noProof/>
                <w:webHidden/>
                <w:sz w:val="20"/>
                <w:szCs w:val="20"/>
              </w:rPr>
              <w:fldChar w:fldCharType="begin"/>
            </w:r>
            <w:r w:rsidRPr="0055030F">
              <w:rPr>
                <w:noProof/>
                <w:webHidden/>
                <w:sz w:val="20"/>
                <w:szCs w:val="20"/>
              </w:rPr>
              <w:instrText xml:space="preserve"> PAGEREF _Toc235444617 \h </w:instrText>
            </w:r>
            <w:r w:rsidRPr="0055030F">
              <w:rPr>
                <w:noProof/>
                <w:webHidden/>
                <w:sz w:val="20"/>
                <w:szCs w:val="20"/>
              </w:rPr>
            </w:r>
            <w:r w:rsidRPr="0055030F">
              <w:rPr>
                <w:noProof/>
                <w:webHidden/>
                <w:sz w:val="20"/>
                <w:szCs w:val="20"/>
              </w:rPr>
              <w:fldChar w:fldCharType="separate"/>
            </w:r>
            <w:r w:rsidRPr="0055030F">
              <w:rPr>
                <w:noProof/>
                <w:webHidden/>
                <w:sz w:val="20"/>
                <w:szCs w:val="20"/>
              </w:rPr>
              <w:t>39</w:t>
            </w:r>
            <w:r w:rsidRPr="0055030F">
              <w:rPr>
                <w:noProof/>
                <w:webHidden/>
                <w:sz w:val="20"/>
                <w:szCs w:val="20"/>
              </w:rPr>
              <w:fldChar w:fldCharType="end"/>
            </w:r>
          </w:hyperlink>
        </w:p>
        <w:p w14:paraId="2F318967" w14:textId="13181522" w:rsidR="0055030F" w:rsidRDefault="0055030F">
          <w:r>
            <w:rPr>
              <w:b/>
              <w:bCs/>
              <w:noProof/>
            </w:rPr>
            <w:lastRenderedPageBreak/>
            <w:fldChar w:fldCharType="end"/>
          </w:r>
        </w:p>
      </w:sdtContent>
    </w:sdt>
    <w:p w14:paraId="3AD41442" w14:textId="6D4E397D" w:rsidR="00F91636" w:rsidRPr="00722AEA" w:rsidRDefault="00F91636" w:rsidP="00512B93">
      <w:pPr>
        <w:pStyle w:val="Heading1"/>
        <w:rPr>
          <w:rFonts w:ascii="Arial" w:hAnsi="Arial" w:cs="Arial"/>
          <w:color w:val="000000" w:themeColor="text1"/>
          <w:sz w:val="36"/>
          <w:szCs w:val="36"/>
        </w:rPr>
      </w:pPr>
      <w:bookmarkStart w:id="1" w:name="_Toc235444585"/>
      <w:r w:rsidRPr="00722AEA">
        <w:rPr>
          <w:rFonts w:ascii="Arial" w:hAnsi="Arial" w:cs="Arial"/>
          <w:color w:val="000000" w:themeColor="text1"/>
          <w:sz w:val="36"/>
          <w:szCs w:val="36"/>
        </w:rPr>
        <w:t>Section 1: Introduction: Strategic Change Plan for Bentley Motors: Navigating the Electric Revolution and Market Volatility:</w:t>
      </w:r>
      <w:bookmarkEnd w:id="1"/>
    </w:p>
    <w:p w14:paraId="245A70F3" w14:textId="4B0946A7" w:rsidR="00AC6080"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Bentley Motors occupies a singular position within the global automotive landscape, representing the pinnacle of British luxury, craftsmanship, and engineering excellence. Founded in 1919 by W.O.</w:t>
      </w:r>
      <w:r w:rsidR="00CA255A">
        <w:rPr>
          <w:rFonts w:ascii="Arial" w:hAnsi="Arial" w:cs="Arial"/>
          <w:color w:val="000000" w:themeColor="text1"/>
          <w:sz w:val="22"/>
          <w:szCs w:val="22"/>
        </w:rPr>
        <w:t xml:space="preserve"> Bentley</w:t>
      </w:r>
      <w:r w:rsidRPr="00722AEA">
        <w:rPr>
          <w:rFonts w:ascii="Arial" w:hAnsi="Arial" w:cs="Arial"/>
          <w:color w:val="000000" w:themeColor="text1"/>
          <w:sz w:val="22"/>
          <w:szCs w:val="22"/>
        </w:rPr>
        <w:t>,</w:t>
      </w:r>
      <w:r w:rsidR="00F6770D">
        <w:rPr>
          <w:rFonts w:ascii="Arial" w:hAnsi="Arial" w:cs="Arial"/>
          <w:color w:val="000000" w:themeColor="text1"/>
          <w:sz w:val="22"/>
          <w:szCs w:val="22"/>
        </w:rPr>
        <w:t xml:space="preserve"> </w:t>
      </w:r>
      <w:r w:rsidR="00F6770D" w:rsidRPr="00F6770D">
        <w:rPr>
          <w:rFonts w:ascii="Arial" w:hAnsi="Arial" w:cs="Arial"/>
          <w:color w:val="000000" w:themeColor="text1"/>
          <w:sz w:val="22"/>
          <w:szCs w:val="22"/>
        </w:rPr>
        <w:t>Bentley has built an unmatched status by crafting the ultimate luxury sports cars for long-distance driving.</w:t>
      </w:r>
      <w:r w:rsidRPr="00722AEA">
        <w:rPr>
          <w:rFonts w:ascii="Arial" w:hAnsi="Arial" w:cs="Arial"/>
          <w:color w:val="000000" w:themeColor="text1"/>
          <w:sz w:val="22"/>
          <w:szCs w:val="22"/>
        </w:rPr>
        <w:t xml:space="preserve"> </w:t>
      </w:r>
      <w:r w:rsidR="00F6770D">
        <w:rPr>
          <w:rFonts w:ascii="Arial" w:hAnsi="Arial" w:cs="Arial"/>
          <w:color w:val="000000" w:themeColor="text1"/>
          <w:sz w:val="22"/>
          <w:szCs w:val="22"/>
        </w:rPr>
        <w:t>Hand-crafted</w:t>
      </w:r>
      <w:r w:rsidRPr="00722AEA">
        <w:rPr>
          <w:rFonts w:ascii="Arial" w:hAnsi="Arial" w:cs="Arial"/>
          <w:color w:val="000000" w:themeColor="text1"/>
          <w:sz w:val="22"/>
          <w:szCs w:val="22"/>
        </w:rPr>
        <w:t xml:space="preserve"> at its historic </w:t>
      </w:r>
      <w:proofErr w:type="spellStart"/>
      <w:r w:rsidRPr="00722AEA">
        <w:rPr>
          <w:rFonts w:ascii="Arial" w:hAnsi="Arial" w:cs="Arial"/>
          <w:color w:val="000000" w:themeColor="text1"/>
          <w:sz w:val="22"/>
          <w:szCs w:val="22"/>
        </w:rPr>
        <w:t>Pyms</w:t>
      </w:r>
      <w:proofErr w:type="spellEnd"/>
      <w:r w:rsidRPr="00722AEA">
        <w:rPr>
          <w:rFonts w:ascii="Arial" w:hAnsi="Arial" w:cs="Arial"/>
          <w:color w:val="000000" w:themeColor="text1"/>
          <w:sz w:val="22"/>
          <w:szCs w:val="22"/>
        </w:rPr>
        <w:t xml:space="preserve"> Lane factory in Crewe, England, and exported to over 60 markets worldwide. Since becoming a subsidiary of the Volkswagen Group in 1998, Bentley has maintained its distinctive identity whilst benefiting from the resources and technical expertise of one of the world's largest automotive manufacturers. </w:t>
      </w:r>
      <w:r w:rsidR="00916052" w:rsidRPr="00722AEA">
        <w:rPr>
          <w:rFonts w:ascii="Arial" w:hAnsi="Arial" w:cs="Arial"/>
          <w:color w:val="000000" w:themeColor="text1"/>
          <w:sz w:val="22"/>
          <w:szCs w:val="22"/>
        </w:rPr>
        <w:t>“</w:t>
      </w:r>
      <w:r w:rsidR="000B3E97" w:rsidRPr="00722AEA">
        <w:rPr>
          <w:rFonts w:ascii="Arial" w:hAnsi="Arial" w:cs="Arial"/>
          <w:color w:val="000000" w:themeColor="text1"/>
          <w:sz w:val="22"/>
          <w:szCs w:val="22"/>
        </w:rPr>
        <w:t xml:space="preserve">Bentley establish their brad has a </w:t>
      </w:r>
      <w:r w:rsidR="00916052" w:rsidRPr="00722AEA">
        <w:rPr>
          <w:rFonts w:ascii="Arial" w:hAnsi="Arial" w:cs="Arial"/>
          <w:color w:val="000000" w:themeColor="text1"/>
          <w:sz w:val="22"/>
          <w:szCs w:val="22"/>
        </w:rPr>
        <w:t>high-end luxury</w:t>
      </w:r>
      <w:r w:rsidR="000B3E97" w:rsidRPr="00722AEA">
        <w:rPr>
          <w:rFonts w:ascii="Arial" w:hAnsi="Arial" w:cs="Arial"/>
          <w:color w:val="000000" w:themeColor="text1"/>
          <w:sz w:val="22"/>
          <w:szCs w:val="22"/>
        </w:rPr>
        <w:t xml:space="preserve"> autom</w:t>
      </w:r>
      <w:r w:rsidR="0077658C" w:rsidRPr="00722AEA">
        <w:rPr>
          <w:rFonts w:ascii="Arial" w:hAnsi="Arial" w:cs="Arial"/>
          <w:color w:val="000000" w:themeColor="text1"/>
          <w:sz w:val="22"/>
          <w:szCs w:val="22"/>
        </w:rPr>
        <w:t>obile and operates in Crewe</w:t>
      </w:r>
      <w:r w:rsidR="00916052" w:rsidRPr="00722AEA">
        <w:rPr>
          <w:rFonts w:ascii="Arial" w:hAnsi="Arial" w:cs="Arial"/>
          <w:color w:val="000000" w:themeColor="text1"/>
          <w:sz w:val="22"/>
          <w:szCs w:val="22"/>
        </w:rPr>
        <w:t>, England</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77658C" w:rsidRPr="00722AEA">
        <w:rPr>
          <w:rFonts w:ascii="Arial" w:hAnsi="Arial" w:cs="Arial"/>
          <w:color w:val="000000" w:themeColor="text1"/>
          <w:sz w:val="22"/>
          <w:szCs w:val="22"/>
        </w:rPr>
        <w:t xml:space="preserve">” </w:t>
      </w:r>
      <w:r w:rsidR="00916052" w:rsidRPr="00722AEA">
        <w:rPr>
          <w:rFonts w:ascii="Arial" w:hAnsi="Arial" w:cs="Arial"/>
          <w:color w:val="000000" w:themeColor="text1"/>
          <w:sz w:val="22"/>
          <w:szCs w:val="22"/>
        </w:rPr>
        <w:t>(Bentley,</w:t>
      </w:r>
      <w:r w:rsidR="00CF75E5">
        <w:rPr>
          <w:rFonts w:ascii="Arial" w:hAnsi="Arial" w:cs="Arial"/>
          <w:color w:val="000000" w:themeColor="text1"/>
          <w:sz w:val="22"/>
          <w:szCs w:val="22"/>
        </w:rPr>
        <w:t xml:space="preserve"> </w:t>
      </w:r>
      <w:r w:rsidR="00916052" w:rsidRPr="00722AEA">
        <w:rPr>
          <w:rFonts w:ascii="Arial" w:hAnsi="Arial" w:cs="Arial"/>
          <w:color w:val="000000" w:themeColor="text1"/>
          <w:sz w:val="22"/>
          <w:szCs w:val="22"/>
        </w:rPr>
        <w:t xml:space="preserve">2026). </w:t>
      </w:r>
      <w:r w:rsidRPr="00722AEA">
        <w:rPr>
          <w:rFonts w:ascii="Arial" w:hAnsi="Arial" w:cs="Arial"/>
          <w:color w:val="000000" w:themeColor="text1"/>
          <w:sz w:val="22"/>
          <w:szCs w:val="22"/>
        </w:rPr>
        <w:t xml:space="preserve">However, the contemporary automotive industry finds itself at a critical </w:t>
      </w:r>
      <w:r w:rsidR="007E083B" w:rsidRPr="00722AEA">
        <w:rPr>
          <w:rFonts w:ascii="Arial" w:hAnsi="Arial" w:cs="Arial"/>
          <w:color w:val="000000" w:themeColor="text1"/>
          <w:sz w:val="22"/>
          <w:szCs w:val="22"/>
        </w:rPr>
        <w:t>inflexion</w:t>
      </w:r>
      <w:r w:rsidRPr="00722AEA">
        <w:rPr>
          <w:rFonts w:ascii="Arial" w:hAnsi="Arial" w:cs="Arial"/>
          <w:color w:val="000000" w:themeColor="text1"/>
          <w:sz w:val="22"/>
          <w:szCs w:val="22"/>
        </w:rPr>
        <w:t xml:space="preserve"> point. Traditional business models and manufacturing paradigms are being fundamentally challenged by technological disruption, environmental imperatives, and shifting consumer behaviours that demand unprecedented adaptation from established luxury manufacturers. Bentley's financial performance has deteriorated significantly, with 2025 revenue decreasing to £2.25 billion and operating profit declining 42% to £187 million.</w:t>
      </w:r>
      <w:r w:rsidR="00157A3A" w:rsidRPr="00722AEA">
        <w:rPr>
          <w:rFonts w:ascii="Arial" w:hAnsi="Arial" w:cs="Arial"/>
          <w:color w:val="000000" w:themeColor="text1"/>
          <w:sz w:val="22"/>
          <w:szCs w:val="22"/>
        </w:rPr>
        <w:t xml:space="preserve"> </w:t>
      </w:r>
      <w:r w:rsidR="00AA03EC" w:rsidRPr="00722AEA">
        <w:rPr>
          <w:rFonts w:ascii="Arial" w:hAnsi="Arial" w:cs="Arial"/>
          <w:color w:val="000000" w:themeColor="text1"/>
          <w:sz w:val="22"/>
          <w:szCs w:val="22"/>
        </w:rPr>
        <w:t>“</w:t>
      </w:r>
      <w:r w:rsidR="00157A3A" w:rsidRPr="00722AEA">
        <w:rPr>
          <w:rFonts w:ascii="Arial" w:hAnsi="Arial" w:cs="Arial"/>
          <w:color w:val="000000" w:themeColor="text1"/>
          <w:sz w:val="22"/>
          <w:szCs w:val="22"/>
        </w:rPr>
        <w:t xml:space="preserve">Bentley was </w:t>
      </w:r>
      <w:r w:rsidR="00AA03EC" w:rsidRPr="00722AEA">
        <w:rPr>
          <w:rFonts w:ascii="Arial" w:hAnsi="Arial" w:cs="Arial"/>
          <w:color w:val="000000" w:themeColor="text1"/>
          <w:sz w:val="22"/>
          <w:szCs w:val="22"/>
        </w:rPr>
        <w:t>established in 1919</w:t>
      </w:r>
      <w:r w:rsidR="00C108CD" w:rsidRPr="00722AEA">
        <w:rPr>
          <w:rFonts w:ascii="Arial" w:hAnsi="Arial" w:cs="Arial"/>
          <w:color w:val="000000" w:themeColor="text1"/>
          <w:sz w:val="22"/>
          <w:szCs w:val="22"/>
        </w:rPr>
        <w:t>,</w:t>
      </w:r>
      <w:r w:rsidR="00AA03EC" w:rsidRPr="00722AEA">
        <w:rPr>
          <w:rFonts w:ascii="Arial" w:hAnsi="Arial" w:cs="Arial"/>
          <w:color w:val="000000" w:themeColor="text1"/>
          <w:sz w:val="22"/>
          <w:szCs w:val="22"/>
        </w:rPr>
        <w:t xml:space="preserve"> and it </w:t>
      </w:r>
      <w:r w:rsidR="00C108CD" w:rsidRPr="00722AEA">
        <w:rPr>
          <w:rFonts w:ascii="Arial" w:hAnsi="Arial" w:cs="Arial"/>
          <w:color w:val="000000" w:themeColor="text1"/>
          <w:sz w:val="22"/>
          <w:szCs w:val="22"/>
        </w:rPr>
        <w:t xml:space="preserve">is </w:t>
      </w:r>
      <w:r w:rsidR="00AA03EC" w:rsidRPr="00722AEA">
        <w:rPr>
          <w:rFonts w:ascii="Arial" w:hAnsi="Arial" w:cs="Arial"/>
          <w:color w:val="000000" w:themeColor="text1"/>
          <w:sz w:val="22"/>
          <w:szCs w:val="22"/>
        </w:rPr>
        <w:t xml:space="preserve">considered a luxury </w:t>
      </w:r>
      <w:r w:rsidR="00CF75E5" w:rsidRPr="00722AEA">
        <w:rPr>
          <w:rFonts w:ascii="Arial" w:hAnsi="Arial" w:cs="Arial"/>
          <w:color w:val="000000" w:themeColor="text1"/>
          <w:sz w:val="22"/>
          <w:szCs w:val="22"/>
        </w:rPr>
        <w:t>brand</w:t>
      </w:r>
      <w:r w:rsidR="00CF75E5" w:rsidRPr="00CF75E5">
        <w:rPr>
          <w:rFonts w:ascii="Arial" w:hAnsi="Arial" w:cs="Arial"/>
          <w:color w:val="000000" w:themeColor="text1"/>
          <w:sz w:val="22"/>
          <w:szCs w:val="22"/>
        </w:rPr>
        <w:t xml:space="preserve"> according to</w:t>
      </w:r>
      <w:r w:rsidR="00AA03EC" w:rsidRPr="00722AEA">
        <w:rPr>
          <w:rFonts w:ascii="Arial" w:hAnsi="Arial" w:cs="Arial"/>
          <w:color w:val="000000" w:themeColor="text1"/>
          <w:sz w:val="22"/>
          <w:szCs w:val="22"/>
        </w:rPr>
        <w:t>” (</w:t>
      </w:r>
      <w:r w:rsidR="006F4717" w:rsidRPr="00722AEA">
        <w:rPr>
          <w:rFonts w:ascii="Arial" w:hAnsi="Arial" w:cs="Arial"/>
          <w:color w:val="000000" w:themeColor="text1"/>
          <w:sz w:val="22"/>
          <w:szCs w:val="22"/>
        </w:rPr>
        <w:t>Bentley Motors, 2026).</w:t>
      </w:r>
    </w:p>
    <w:p w14:paraId="1B0F572E" w14:textId="69451F03" w:rsidR="00E81BD9" w:rsidRPr="00722AEA" w:rsidRDefault="00E81BD9" w:rsidP="00500257">
      <w:pPr>
        <w:spacing w:line="360" w:lineRule="auto"/>
        <w:rPr>
          <w:color w:val="000000" w:themeColor="text1"/>
        </w:rPr>
      </w:pPr>
      <w:r w:rsidRPr="00722AEA">
        <w:rPr>
          <w:rFonts w:ascii="Arial" w:hAnsi="Arial" w:cs="Arial"/>
          <w:color w:val="000000" w:themeColor="text1"/>
          <w:sz w:val="22"/>
          <w:szCs w:val="22"/>
        </w:rPr>
        <w:t>The company also announced the potential loss of 275 jobs, representing approximately 6% of its 4,600-strong workforce, as part of efficiency activities to prepare for electrification. These challenges have been compounded by the rapid transition towards electric vehicles, with Bentley extending its full electrification timeline from 2030 to 2035 through the Beyond100+ strategy, announced in November 2024, in recognition of customer demand patterns and legislative realities.</w:t>
      </w:r>
      <w:r w:rsidR="002A271E" w:rsidRPr="00722AEA">
        <w:rPr>
          <w:rFonts w:ascii="Arial" w:hAnsi="Arial" w:cs="Arial"/>
          <w:color w:val="000000" w:themeColor="text1"/>
          <w:sz w:val="22"/>
          <w:szCs w:val="22"/>
        </w:rPr>
        <w:t xml:space="preserve"> “Bentley plans </w:t>
      </w:r>
      <w:r w:rsidR="009060CD" w:rsidRPr="00722AEA">
        <w:rPr>
          <w:rFonts w:ascii="Arial" w:hAnsi="Arial" w:cs="Arial"/>
          <w:color w:val="000000" w:themeColor="text1"/>
          <w:sz w:val="22"/>
          <w:szCs w:val="22"/>
        </w:rPr>
        <w:t xml:space="preserve">to </w:t>
      </w:r>
      <w:r w:rsidR="00DF0D8E" w:rsidRPr="00722AEA">
        <w:rPr>
          <w:rFonts w:ascii="Arial" w:hAnsi="Arial" w:cs="Arial"/>
          <w:color w:val="000000" w:themeColor="text1"/>
          <w:sz w:val="22"/>
          <w:szCs w:val="22"/>
        </w:rPr>
        <w:t>extend</w:t>
      </w:r>
      <w:r w:rsidR="009060CD" w:rsidRPr="00722AEA">
        <w:rPr>
          <w:rFonts w:ascii="Arial" w:hAnsi="Arial" w:cs="Arial"/>
          <w:color w:val="000000" w:themeColor="text1"/>
          <w:sz w:val="22"/>
          <w:szCs w:val="22"/>
        </w:rPr>
        <w:t xml:space="preserve"> to a full </w:t>
      </w:r>
      <w:r w:rsidR="00DF0D8E" w:rsidRPr="00722AEA">
        <w:rPr>
          <w:rFonts w:ascii="Arial" w:hAnsi="Arial" w:cs="Arial"/>
          <w:color w:val="000000" w:themeColor="text1"/>
          <w:sz w:val="22"/>
          <w:szCs w:val="22"/>
        </w:rPr>
        <w:t>electric</w:t>
      </w:r>
      <w:r w:rsidR="009060CD" w:rsidRPr="00722AEA">
        <w:rPr>
          <w:rFonts w:ascii="Arial" w:hAnsi="Arial" w:cs="Arial"/>
          <w:color w:val="000000" w:themeColor="text1"/>
          <w:sz w:val="22"/>
          <w:szCs w:val="22"/>
        </w:rPr>
        <w:t xml:space="preserve"> production around 2030</w:t>
      </w:r>
      <w:r w:rsidR="00500257" w:rsidRPr="00722AEA">
        <w:rPr>
          <w:rFonts w:ascii="Arial" w:hAnsi="Arial" w:cs="Arial"/>
          <w:color w:val="000000" w:themeColor="text1"/>
          <w:sz w:val="22"/>
          <w:szCs w:val="22"/>
        </w:rPr>
        <w:t xml:space="preserve"> to 2035</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500257" w:rsidRPr="00722AEA">
        <w:rPr>
          <w:rFonts w:ascii="Arial" w:hAnsi="Arial" w:cs="Arial"/>
          <w:color w:val="000000" w:themeColor="text1"/>
          <w:sz w:val="22"/>
          <w:szCs w:val="22"/>
        </w:rPr>
        <w:t xml:space="preserve"> (Mann, 2024).</w:t>
      </w:r>
    </w:p>
    <w:p w14:paraId="56365C87" w14:textId="77777777" w:rsidR="00E81BD9" w:rsidRDefault="00E81BD9"/>
    <w:p w14:paraId="59D8A0D4" w14:textId="77777777" w:rsidR="00E81BD9" w:rsidRDefault="00E81BD9"/>
    <w:p w14:paraId="7306E97C" w14:textId="77777777" w:rsidR="00E81BD9" w:rsidRDefault="00E81BD9"/>
    <w:p w14:paraId="684A6D8B" w14:textId="77777777" w:rsidR="00E81BD9" w:rsidRDefault="00E81BD9"/>
    <w:p w14:paraId="41C6B573" w14:textId="77777777" w:rsidR="00722AEA" w:rsidRDefault="00722AEA"/>
    <w:p w14:paraId="50A06A17" w14:textId="68D0C477" w:rsidR="00E81BD9" w:rsidRPr="00E81BD9" w:rsidRDefault="00E81BD9" w:rsidP="00E81BD9">
      <w:pPr>
        <w:spacing w:line="360" w:lineRule="auto"/>
        <w:rPr>
          <w:rFonts w:ascii="Arial" w:hAnsi="Arial" w:cs="Arial"/>
          <w:sz w:val="22"/>
          <w:szCs w:val="22"/>
        </w:rPr>
      </w:pPr>
      <w:r w:rsidRPr="00E81BD9">
        <w:rPr>
          <w:rFonts w:ascii="Arial" w:hAnsi="Arial" w:cs="Arial"/>
          <w:sz w:val="22"/>
          <w:szCs w:val="22"/>
        </w:rPr>
        <w:lastRenderedPageBreak/>
        <w:t xml:space="preserve">This report aims to present a comprehensive strategic change plan addressing these multifaceted challenges. The analysis examines recent organisational history, evaluates environmental pressures through </w:t>
      </w:r>
      <w:r>
        <w:rPr>
          <w:rFonts w:ascii="Arial" w:hAnsi="Arial" w:cs="Arial"/>
          <w:sz w:val="22"/>
          <w:szCs w:val="22"/>
        </w:rPr>
        <w:t xml:space="preserve">the </w:t>
      </w:r>
      <w:r w:rsidRPr="00E81BD9">
        <w:rPr>
          <w:rFonts w:ascii="Arial" w:hAnsi="Arial" w:cs="Arial"/>
          <w:sz w:val="22"/>
          <w:szCs w:val="22"/>
        </w:rPr>
        <w:t>PESTEL framework, and applies established change management models including Kotter's Eight-Step Model and Lewin's Three-Step Model, whilst critically evaluating their limitations in the context of Bentley's transformation. The report then develops practical recommendations including a detailed change management plan with clear objectives, financial considerations, communication strategies, evaluation mechanisms, and a comprehensive implementation timeline. Ultimately, the findings suggest Bentley must navigate a delicate balance between preserving its luxury heritage and embracing electrification imperatives, implementing cultural transformation through inclusive leadership whilst maintaining the 'value over volume' strategy that has underpinned its financial resilience.</w:t>
      </w:r>
    </w:p>
    <w:p w14:paraId="34834C80" w14:textId="77777777" w:rsidR="00AC6080" w:rsidRDefault="00AC6080"/>
    <w:p w14:paraId="21696ECE" w14:textId="77777777" w:rsidR="00E81BD9" w:rsidRDefault="00E81BD9"/>
    <w:p w14:paraId="1A675F42" w14:textId="77777777" w:rsidR="00E81BD9" w:rsidRDefault="00E81BD9"/>
    <w:p w14:paraId="397CCC26" w14:textId="77777777" w:rsidR="00E81BD9" w:rsidRDefault="00E81BD9"/>
    <w:p w14:paraId="2C8F05EF" w14:textId="77777777" w:rsidR="00E81BD9" w:rsidRDefault="00E81BD9"/>
    <w:p w14:paraId="7E0CD3FA" w14:textId="77777777" w:rsidR="00E81BD9" w:rsidRDefault="00E81BD9"/>
    <w:p w14:paraId="55B20BB0" w14:textId="77777777" w:rsidR="00E81BD9" w:rsidRDefault="00E81BD9"/>
    <w:p w14:paraId="3D8FFC06" w14:textId="77777777" w:rsidR="00E81BD9" w:rsidRDefault="00E81BD9"/>
    <w:p w14:paraId="1D833193" w14:textId="77777777" w:rsidR="00E81BD9" w:rsidRDefault="00E81BD9"/>
    <w:p w14:paraId="345A3721" w14:textId="77777777" w:rsidR="00E81BD9" w:rsidRDefault="00E81BD9"/>
    <w:p w14:paraId="4EDD16BC" w14:textId="77777777" w:rsidR="00E81BD9" w:rsidRDefault="00E81BD9"/>
    <w:p w14:paraId="21EA7F46" w14:textId="77777777" w:rsidR="00E81BD9" w:rsidRDefault="00E81BD9"/>
    <w:p w14:paraId="6685927A" w14:textId="77777777" w:rsidR="00E81BD9" w:rsidRDefault="00E81BD9"/>
    <w:p w14:paraId="1FBE7F8F" w14:textId="77777777" w:rsidR="00E81BD9" w:rsidRDefault="00E81BD9"/>
    <w:p w14:paraId="59E02E35" w14:textId="77777777" w:rsidR="00E81BD9" w:rsidRDefault="00E81BD9"/>
    <w:p w14:paraId="6D865E35" w14:textId="77777777" w:rsidR="00E81BD9" w:rsidRDefault="00E81BD9"/>
    <w:p w14:paraId="47CBDEE3" w14:textId="77777777" w:rsidR="00E81BD9" w:rsidRDefault="00E81BD9"/>
    <w:p w14:paraId="381B30DF" w14:textId="3BBDA174" w:rsidR="00E81BD9" w:rsidRPr="00722AEA" w:rsidRDefault="00E81BD9" w:rsidP="00E81BD9">
      <w:pPr>
        <w:pStyle w:val="Heading1"/>
        <w:rPr>
          <w:rFonts w:ascii="Arial" w:hAnsi="Arial" w:cs="Arial"/>
          <w:color w:val="000000" w:themeColor="text1"/>
          <w:sz w:val="36"/>
          <w:szCs w:val="36"/>
        </w:rPr>
      </w:pPr>
      <w:bookmarkStart w:id="2" w:name="_Toc235444586"/>
      <w:r w:rsidRPr="00722AEA">
        <w:rPr>
          <w:rFonts w:ascii="Arial" w:hAnsi="Arial" w:cs="Arial"/>
          <w:color w:val="000000" w:themeColor="text1"/>
          <w:sz w:val="36"/>
          <w:szCs w:val="36"/>
        </w:rPr>
        <w:lastRenderedPageBreak/>
        <w:t>Section 2: Analysis of Bentley's Recent History and Environmental Impact:</w:t>
      </w:r>
      <w:bookmarkEnd w:id="2"/>
    </w:p>
    <w:p w14:paraId="753288AF" w14:textId="1100BF01" w:rsidR="00E81BD9" w:rsidRPr="00722AEA" w:rsidRDefault="00E81BD9" w:rsidP="00E81BD9">
      <w:pPr>
        <w:pStyle w:val="Heading2"/>
        <w:rPr>
          <w:rFonts w:ascii="Arial" w:hAnsi="Arial" w:cs="Arial"/>
          <w:color w:val="000000" w:themeColor="text1"/>
        </w:rPr>
      </w:pPr>
      <w:bookmarkStart w:id="3" w:name="_Toc235444587"/>
      <w:r w:rsidRPr="00722AEA">
        <w:rPr>
          <w:rFonts w:ascii="Arial" w:hAnsi="Arial" w:cs="Arial"/>
          <w:color w:val="000000" w:themeColor="text1"/>
        </w:rPr>
        <w:t>Section 2.1: Historical Context and Strategic Evolution:</w:t>
      </w:r>
      <w:bookmarkEnd w:id="3"/>
    </w:p>
    <w:p w14:paraId="13E8FD3F" w14:textId="61F16C48" w:rsidR="00AC6080"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Bentley's recent history is characterised by a series of strategic decisions, operational transformations, and market dynamics that have shaped its current position. The acquisition by Volkswagen in 1998 provided the financial resources and technical platforms necessary for modernisation whilst preserving Bentley's distinctive British identity and craftsmanship.</w:t>
      </w:r>
      <w:r w:rsidR="007D45EF" w:rsidRPr="00722AEA">
        <w:rPr>
          <w:rFonts w:ascii="Arial" w:hAnsi="Arial" w:cs="Arial"/>
          <w:color w:val="000000" w:themeColor="text1"/>
          <w:sz w:val="22"/>
          <w:szCs w:val="22"/>
        </w:rPr>
        <w:t xml:space="preserve"> </w:t>
      </w:r>
      <w:r w:rsidR="00B5531D" w:rsidRPr="00722AEA">
        <w:rPr>
          <w:rFonts w:ascii="Arial" w:hAnsi="Arial" w:cs="Arial"/>
          <w:color w:val="000000" w:themeColor="text1"/>
          <w:sz w:val="22"/>
          <w:szCs w:val="22"/>
        </w:rPr>
        <w:t>“</w:t>
      </w:r>
      <w:r w:rsidR="007D45EF" w:rsidRPr="00722AEA">
        <w:rPr>
          <w:rFonts w:ascii="Arial" w:hAnsi="Arial" w:cs="Arial"/>
          <w:color w:val="000000" w:themeColor="text1"/>
          <w:sz w:val="22"/>
          <w:szCs w:val="22"/>
        </w:rPr>
        <w:t xml:space="preserve">Volkswagen acquired Bentley </w:t>
      </w:r>
      <w:r w:rsidR="00B5531D" w:rsidRPr="00722AEA">
        <w:rPr>
          <w:rFonts w:ascii="Arial" w:hAnsi="Arial" w:cs="Arial"/>
          <w:color w:val="000000" w:themeColor="text1"/>
          <w:sz w:val="22"/>
          <w:szCs w:val="22"/>
        </w:rPr>
        <w:t>Motors</w:t>
      </w:r>
      <w:r w:rsidR="007D45EF" w:rsidRPr="00722AEA">
        <w:rPr>
          <w:rFonts w:ascii="Arial" w:hAnsi="Arial" w:cs="Arial"/>
          <w:color w:val="000000" w:themeColor="text1"/>
          <w:sz w:val="22"/>
          <w:szCs w:val="22"/>
        </w:rPr>
        <w:t xml:space="preserve"> </w:t>
      </w:r>
      <w:r w:rsidR="00B77DBB" w:rsidRPr="00722AEA">
        <w:rPr>
          <w:rFonts w:ascii="Arial" w:hAnsi="Arial" w:cs="Arial"/>
          <w:color w:val="000000" w:themeColor="text1"/>
          <w:sz w:val="22"/>
          <w:szCs w:val="22"/>
        </w:rPr>
        <w:t>in 1998</w:t>
      </w:r>
      <w:r w:rsidR="00B5531D" w:rsidRPr="00722AEA">
        <w:rPr>
          <w:rFonts w:ascii="Arial" w:hAnsi="Arial" w:cs="Arial"/>
          <w:color w:val="000000" w:themeColor="text1"/>
          <w:sz w:val="22"/>
          <w:szCs w:val="22"/>
        </w:rPr>
        <w:t>,</w:t>
      </w:r>
      <w:r w:rsidR="00B77DBB" w:rsidRPr="00722AEA">
        <w:rPr>
          <w:rFonts w:ascii="Arial" w:hAnsi="Arial" w:cs="Arial"/>
          <w:color w:val="000000" w:themeColor="text1"/>
          <w:sz w:val="22"/>
          <w:szCs w:val="22"/>
        </w:rPr>
        <w:t xml:space="preserve"> and this brought the </w:t>
      </w:r>
      <w:r w:rsidR="00B5531D" w:rsidRPr="00722AEA">
        <w:rPr>
          <w:rFonts w:ascii="Arial" w:hAnsi="Arial" w:cs="Arial"/>
          <w:color w:val="000000" w:themeColor="text1"/>
          <w:sz w:val="22"/>
          <w:szCs w:val="22"/>
        </w:rPr>
        <w:t>Continental</w:t>
      </w:r>
      <w:r w:rsidR="00B77DBB" w:rsidRPr="00722AEA">
        <w:rPr>
          <w:rFonts w:ascii="Arial" w:hAnsi="Arial" w:cs="Arial"/>
          <w:color w:val="000000" w:themeColor="text1"/>
          <w:sz w:val="22"/>
          <w:szCs w:val="22"/>
        </w:rPr>
        <w:t xml:space="preserve"> GT to turn around</w:t>
      </w:r>
      <w:r w:rsidR="00B5531D" w:rsidRPr="00722AEA">
        <w:rPr>
          <w:rFonts w:ascii="Arial" w:hAnsi="Arial" w:cs="Arial"/>
          <w:color w:val="000000" w:themeColor="text1"/>
          <w:sz w:val="22"/>
          <w:szCs w:val="22"/>
        </w:rPr>
        <w:t xml:space="preserve"> the company </w:t>
      </w:r>
      <w:r w:rsidR="00D62D87" w:rsidRPr="00722AEA">
        <w:rPr>
          <w:rFonts w:ascii="Arial" w:hAnsi="Arial" w:cs="Arial"/>
          <w:color w:val="000000" w:themeColor="text1"/>
          <w:sz w:val="22"/>
          <w:szCs w:val="22"/>
        </w:rPr>
        <w:t>according to</w:t>
      </w:r>
      <w:r w:rsidR="00722AEA">
        <w:rPr>
          <w:rFonts w:ascii="Arial" w:hAnsi="Arial" w:cs="Arial"/>
          <w:color w:val="000000" w:themeColor="text1"/>
          <w:sz w:val="22"/>
          <w:szCs w:val="22"/>
        </w:rPr>
        <w:t>”</w:t>
      </w:r>
      <w:r w:rsidR="00D62D87" w:rsidRPr="00722AEA">
        <w:rPr>
          <w:rFonts w:ascii="Arial" w:hAnsi="Arial" w:cs="Arial"/>
          <w:color w:val="000000" w:themeColor="text1"/>
          <w:sz w:val="22"/>
          <w:szCs w:val="22"/>
        </w:rPr>
        <w:t xml:space="preserve"> </w:t>
      </w:r>
      <w:r w:rsidR="00B5531D" w:rsidRPr="00722AEA">
        <w:rPr>
          <w:rFonts w:ascii="Arial" w:hAnsi="Arial" w:cs="Arial"/>
          <w:color w:val="000000" w:themeColor="text1"/>
          <w:sz w:val="22"/>
          <w:szCs w:val="22"/>
        </w:rPr>
        <w:t xml:space="preserve">(Companies History, 2025). </w:t>
      </w:r>
      <w:r w:rsidRPr="00722AEA">
        <w:rPr>
          <w:rFonts w:ascii="Arial" w:hAnsi="Arial" w:cs="Arial"/>
          <w:color w:val="000000" w:themeColor="text1"/>
          <w:sz w:val="22"/>
          <w:szCs w:val="22"/>
        </w:rPr>
        <w:t>The introduction of the Continental GT in 2003 represented a watershed moment, transforming Bentley from a niche manufacturer of hand-built luxury cars to a volume producer of luxury grand tourers, significantly expanding its customer base and global presence. The subsequent expansion of the product portfolio, including the Flying Spur saloon, Bentayga SUV, and various limited editions, established Bentley as a comprehensive luxury brand capable of competing across multiple segments.</w:t>
      </w:r>
    </w:p>
    <w:p w14:paraId="32BC98CA" w14:textId="115D02CF" w:rsidR="000C185D" w:rsidRPr="00722AEA" w:rsidRDefault="000C185D" w:rsidP="000C185D">
      <w:pPr>
        <w:rPr>
          <w:rFonts w:ascii="Arial" w:hAnsi="Arial" w:cs="Arial"/>
          <w:b/>
          <w:bCs/>
        </w:rPr>
      </w:pPr>
      <w:r w:rsidRPr="00722AEA">
        <w:rPr>
          <w:rFonts w:ascii="Arial" w:hAnsi="Arial" w:cs="Arial"/>
          <w:b/>
          <w:bCs/>
        </w:rPr>
        <w:t>Figure 1: Sales performance of Bentley:</w:t>
      </w:r>
    </w:p>
    <w:p w14:paraId="7E85914A" w14:textId="77777777" w:rsidR="00185068" w:rsidRDefault="00185068" w:rsidP="00185068">
      <w:pPr>
        <w:rPr>
          <w:rFonts w:ascii="Arial" w:hAnsi="Arial" w:cs="Arial"/>
        </w:rPr>
      </w:pPr>
      <w:r w:rsidRPr="00CC3202">
        <w:rPr>
          <w:rFonts w:ascii="Arial" w:hAnsi="Arial" w:cs="Arial"/>
          <w:noProof/>
        </w:rPr>
        <w:drawing>
          <wp:inline distT="0" distB="0" distL="0" distR="0" wp14:anchorId="24D37805" wp14:editId="67E2D4E7">
            <wp:extent cx="4785360" cy="3193244"/>
            <wp:effectExtent l="0" t="0" r="0" b="7620"/>
            <wp:docPr id="284495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95264" name=""/>
                    <pic:cNvPicPr/>
                  </pic:nvPicPr>
                  <pic:blipFill>
                    <a:blip r:embed="rId9"/>
                    <a:stretch>
                      <a:fillRect/>
                    </a:stretch>
                  </pic:blipFill>
                  <pic:spPr>
                    <a:xfrm>
                      <a:off x="0" y="0"/>
                      <a:ext cx="4804473" cy="3205998"/>
                    </a:xfrm>
                    <a:prstGeom prst="rect">
                      <a:avLst/>
                    </a:prstGeom>
                  </pic:spPr>
                </pic:pic>
              </a:graphicData>
            </a:graphic>
          </wp:inline>
        </w:drawing>
      </w:r>
    </w:p>
    <w:p w14:paraId="35BC2647" w14:textId="274D84AF" w:rsidR="00844B4A" w:rsidRPr="00722AEA" w:rsidRDefault="007E6A6D" w:rsidP="00722AEA">
      <w:pPr>
        <w:spacing w:line="360" w:lineRule="auto"/>
        <w:rPr>
          <w:rFonts w:ascii="Arial" w:hAnsi="Arial" w:cs="Arial"/>
          <w:color w:val="000000" w:themeColor="text1"/>
        </w:rPr>
      </w:pPr>
      <w:r w:rsidRPr="00722AEA">
        <w:rPr>
          <w:rFonts w:ascii="Arial" w:hAnsi="Arial" w:cs="Arial"/>
          <w:color w:val="000000" w:themeColor="text1"/>
          <w:sz w:val="22"/>
          <w:szCs w:val="22"/>
        </w:rPr>
        <w:t>“</w:t>
      </w:r>
      <w:r w:rsidR="00EB413A" w:rsidRPr="00722AEA">
        <w:rPr>
          <w:rFonts w:ascii="Arial" w:hAnsi="Arial" w:cs="Arial"/>
          <w:color w:val="000000" w:themeColor="text1"/>
          <w:sz w:val="22"/>
          <w:szCs w:val="22"/>
        </w:rPr>
        <w:t xml:space="preserve">This table highlights </w:t>
      </w:r>
      <w:r w:rsidRPr="00722AEA">
        <w:rPr>
          <w:rFonts w:ascii="Arial" w:hAnsi="Arial" w:cs="Arial"/>
          <w:color w:val="000000" w:themeColor="text1"/>
          <w:sz w:val="22"/>
          <w:szCs w:val="22"/>
        </w:rPr>
        <w:t>Bentley's</w:t>
      </w:r>
      <w:r w:rsidR="00EB413A" w:rsidRPr="00722AEA">
        <w:rPr>
          <w:rFonts w:ascii="Arial" w:hAnsi="Arial" w:cs="Arial"/>
          <w:color w:val="000000" w:themeColor="text1"/>
          <w:sz w:val="22"/>
          <w:szCs w:val="22"/>
        </w:rPr>
        <w:t xml:space="preserve"> performance </w:t>
      </w:r>
      <w:r w:rsidRPr="00722AEA">
        <w:rPr>
          <w:rFonts w:ascii="Arial" w:hAnsi="Arial" w:cs="Arial"/>
          <w:color w:val="000000" w:themeColor="text1"/>
          <w:sz w:val="22"/>
          <w:szCs w:val="22"/>
        </w:rPr>
        <w:t>figures throughout recent years</w:t>
      </w:r>
      <w:r w:rsidR="00DA2195" w:rsidRPr="00722AEA">
        <w:rPr>
          <w:rFonts w:ascii="Arial" w:hAnsi="Arial" w:cs="Arial"/>
          <w:color w:val="000000" w:themeColor="text1"/>
          <w:sz w:val="22"/>
          <w:szCs w:val="22"/>
        </w:rPr>
        <w:t>,</w:t>
      </w:r>
      <w:r w:rsidR="000C185D" w:rsidRPr="00722AEA">
        <w:rPr>
          <w:rFonts w:ascii="Arial" w:hAnsi="Arial" w:cs="Arial"/>
          <w:color w:val="000000" w:themeColor="text1"/>
          <w:sz w:val="22"/>
          <w:szCs w:val="22"/>
        </w:rPr>
        <w:t xml:space="preserve"> with </w:t>
      </w:r>
      <w:r w:rsidR="00DA2195" w:rsidRPr="00722AEA">
        <w:rPr>
          <w:rFonts w:ascii="Arial" w:hAnsi="Arial" w:cs="Arial"/>
          <w:color w:val="000000" w:themeColor="text1"/>
          <w:sz w:val="22"/>
          <w:szCs w:val="22"/>
        </w:rPr>
        <w:t>2022 being their peak and 2025 being the lowest performance according to</w:t>
      </w:r>
      <w:r w:rsidRPr="00722AEA">
        <w:rPr>
          <w:rFonts w:ascii="Arial" w:hAnsi="Arial" w:cs="Arial"/>
          <w:color w:val="000000" w:themeColor="text1"/>
          <w:sz w:val="22"/>
          <w:szCs w:val="22"/>
        </w:rPr>
        <w:t>”</w:t>
      </w:r>
      <w:r w:rsidR="00E10229" w:rsidRPr="00722AEA">
        <w:rPr>
          <w:rFonts w:ascii="Arial" w:hAnsi="Arial" w:cs="Arial"/>
          <w:color w:val="000000" w:themeColor="text1"/>
          <w:sz w:val="22"/>
          <w:szCs w:val="22"/>
        </w:rPr>
        <w:t xml:space="preserve"> </w:t>
      </w:r>
      <w:r w:rsidR="00DD6568" w:rsidRPr="00722AEA">
        <w:rPr>
          <w:rFonts w:ascii="Arial" w:hAnsi="Arial" w:cs="Arial"/>
          <w:color w:val="000000" w:themeColor="text1"/>
          <w:sz w:val="22"/>
          <w:szCs w:val="22"/>
        </w:rPr>
        <w:t>(Statista, 2024).</w:t>
      </w:r>
    </w:p>
    <w:p w14:paraId="6F790B00" w14:textId="77777777" w:rsidR="00D62D87" w:rsidRDefault="00D62D87" w:rsidP="00E81BD9">
      <w:pPr>
        <w:spacing w:line="360" w:lineRule="auto"/>
        <w:rPr>
          <w:rFonts w:ascii="Arial" w:hAnsi="Arial" w:cs="Arial"/>
          <w:sz w:val="22"/>
          <w:szCs w:val="22"/>
        </w:rPr>
      </w:pPr>
    </w:p>
    <w:p w14:paraId="308E6C0F" w14:textId="495392A1"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lastRenderedPageBreak/>
        <w:t>The appointment of various leadership teams over the past decade has shaped Bentley's strategic direction, with a consistent emphasis on luxury, performance, and sustainability. However, the most significant strategic development has been the Beyond100 strategy, announced in 2020, which committed the organisation to a transformative journey towards full electrification and sustainability leadership. The strategy was subsequently refined to Beyond100+ in November 2024 in recognition of evolving market conditions and customer preferences, extending the full electrification timeline from 2030 to 2035.</w:t>
      </w:r>
      <w:r w:rsidR="006D5CA5" w:rsidRPr="00722AEA">
        <w:rPr>
          <w:rFonts w:ascii="Arial" w:hAnsi="Arial" w:cs="Arial"/>
          <w:color w:val="000000" w:themeColor="text1"/>
          <w:sz w:val="22"/>
          <w:szCs w:val="22"/>
        </w:rPr>
        <w:t xml:space="preserve"> “Bentley</w:t>
      </w:r>
      <w:r w:rsidR="001E6B89" w:rsidRPr="00722AEA">
        <w:rPr>
          <w:rFonts w:ascii="Arial" w:hAnsi="Arial" w:cs="Arial"/>
          <w:color w:val="000000" w:themeColor="text1"/>
          <w:sz w:val="22"/>
          <w:szCs w:val="22"/>
        </w:rPr>
        <w:t xml:space="preserve">’s Beyond100 strategy is a plan to </w:t>
      </w:r>
      <w:r w:rsidR="000B69B2" w:rsidRPr="00722AEA">
        <w:rPr>
          <w:rFonts w:ascii="Arial" w:hAnsi="Arial" w:cs="Arial"/>
          <w:color w:val="000000" w:themeColor="text1"/>
          <w:sz w:val="22"/>
          <w:szCs w:val="22"/>
        </w:rPr>
        <w:t>commit fully to electrification in the future</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0B69B2" w:rsidRPr="00722AEA">
        <w:rPr>
          <w:rFonts w:ascii="Arial" w:hAnsi="Arial" w:cs="Arial"/>
          <w:color w:val="000000" w:themeColor="text1"/>
          <w:sz w:val="22"/>
          <w:szCs w:val="22"/>
        </w:rPr>
        <w:t xml:space="preserve"> </w:t>
      </w:r>
      <w:r w:rsidR="00C92E63" w:rsidRPr="00722AEA">
        <w:rPr>
          <w:rFonts w:ascii="Arial" w:hAnsi="Arial" w:cs="Arial"/>
          <w:color w:val="000000" w:themeColor="text1"/>
          <w:sz w:val="22"/>
          <w:szCs w:val="22"/>
        </w:rPr>
        <w:t>(Bentley Motors, 2026).</w:t>
      </w:r>
      <w:r w:rsidRPr="00722AEA">
        <w:rPr>
          <w:rFonts w:ascii="Arial" w:hAnsi="Arial" w:cs="Arial"/>
          <w:color w:val="000000" w:themeColor="text1"/>
          <w:sz w:val="22"/>
          <w:szCs w:val="22"/>
        </w:rPr>
        <w:t xml:space="preserve"> This strategic evolution reflects the tension between visionary leadership and practical market realities that characterises Bentley's change journey. The strategy now commits Bentley to launching a new plug-in hybrid or battery electric vehicle model every year for the next decade, with the ambition of building only fully electric cars from 2035.</w:t>
      </w:r>
      <w:r w:rsidR="00921130" w:rsidRPr="00722AEA">
        <w:rPr>
          <w:rFonts w:ascii="Arial" w:hAnsi="Arial" w:cs="Arial"/>
          <w:color w:val="000000" w:themeColor="text1"/>
          <w:sz w:val="22"/>
          <w:szCs w:val="22"/>
        </w:rPr>
        <w:t xml:space="preserve"> “Bentley Motors has actively modernised its operations by shifting from traditional grand tourers to high-performance electric vehicles</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921130" w:rsidRPr="00722AEA">
        <w:rPr>
          <w:rFonts w:ascii="Arial" w:hAnsi="Arial" w:cs="Arial"/>
          <w:color w:val="000000" w:themeColor="text1"/>
          <w:sz w:val="22"/>
          <w:szCs w:val="22"/>
        </w:rPr>
        <w:t xml:space="preserve">” (Cheng, L., Huang, P., Zhang, M., Yang, R. and Wang, Y., 2025). </w:t>
      </w:r>
    </w:p>
    <w:p w14:paraId="350128AC" w14:textId="30B7E29C" w:rsidR="00E81BD9"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The "Dream Factory" initiative represents a tangible manifestation of Bentley's transformation ambitions, involving the comprehensive redevelopment of the 85-year-old </w:t>
      </w:r>
      <w:proofErr w:type="spellStart"/>
      <w:r w:rsidRPr="00722AEA">
        <w:rPr>
          <w:rFonts w:ascii="Arial" w:hAnsi="Arial" w:cs="Arial"/>
          <w:color w:val="000000" w:themeColor="text1"/>
          <w:sz w:val="22"/>
          <w:szCs w:val="22"/>
        </w:rPr>
        <w:t>Pyms</w:t>
      </w:r>
      <w:proofErr w:type="spellEnd"/>
      <w:r w:rsidRPr="00722AEA">
        <w:rPr>
          <w:rFonts w:ascii="Arial" w:hAnsi="Arial" w:cs="Arial"/>
          <w:color w:val="000000" w:themeColor="text1"/>
          <w:sz w:val="22"/>
          <w:szCs w:val="22"/>
        </w:rPr>
        <w:t xml:space="preserve"> Lane factory in Crewe to accommodate electric vehicle production. </w:t>
      </w:r>
      <w:r w:rsidR="007D3172" w:rsidRPr="00722AEA">
        <w:rPr>
          <w:rFonts w:ascii="Arial" w:hAnsi="Arial" w:cs="Arial"/>
          <w:color w:val="000000" w:themeColor="text1"/>
          <w:sz w:val="22"/>
          <w:szCs w:val="22"/>
        </w:rPr>
        <w:t>“Bentley's</w:t>
      </w:r>
      <w:r w:rsidR="00275187" w:rsidRPr="00722AEA">
        <w:rPr>
          <w:rFonts w:ascii="Arial" w:hAnsi="Arial" w:cs="Arial"/>
          <w:color w:val="000000" w:themeColor="text1"/>
          <w:sz w:val="22"/>
          <w:szCs w:val="22"/>
        </w:rPr>
        <w:t xml:space="preserve"> current </w:t>
      </w:r>
      <w:r w:rsidR="007D3172" w:rsidRPr="00722AEA">
        <w:rPr>
          <w:rFonts w:ascii="Arial" w:hAnsi="Arial" w:cs="Arial"/>
          <w:color w:val="000000" w:themeColor="text1"/>
          <w:sz w:val="22"/>
          <w:szCs w:val="22"/>
        </w:rPr>
        <w:t xml:space="preserve">operational </w:t>
      </w:r>
      <w:r w:rsidR="00275187" w:rsidRPr="00722AEA">
        <w:rPr>
          <w:rFonts w:ascii="Arial" w:hAnsi="Arial" w:cs="Arial"/>
          <w:color w:val="000000" w:themeColor="text1"/>
          <w:sz w:val="22"/>
          <w:szCs w:val="22"/>
        </w:rPr>
        <w:t>factory is 85 years old</w:t>
      </w:r>
      <w:r w:rsidR="007D3172" w:rsidRPr="00722AEA">
        <w:rPr>
          <w:rFonts w:ascii="Arial" w:hAnsi="Arial" w:cs="Arial"/>
          <w:color w:val="000000" w:themeColor="text1"/>
          <w:sz w:val="22"/>
          <w:szCs w:val="22"/>
        </w:rPr>
        <w:t xml:space="preserve"> in Crewe, England</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7D3172" w:rsidRPr="00722AEA">
        <w:rPr>
          <w:rFonts w:ascii="Arial" w:hAnsi="Arial" w:cs="Arial"/>
          <w:color w:val="000000" w:themeColor="text1"/>
          <w:sz w:val="22"/>
          <w:szCs w:val="22"/>
        </w:rPr>
        <w:t xml:space="preserve"> (Bentley Motors, 2026).</w:t>
      </w:r>
      <w:r w:rsidR="00275187"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This investment, described as the largest self-funded site investment programme in the company's 105-year history, encompasses new design centres, BEV assembly infrastructure, paint shops, and digital manufacturing capabilities. The project exemplifies the scale and ambition of Bentley's transformation whilst also highlighting the challenges of integrating new technologies and processes within an historic manufacturing environment.</w:t>
      </w:r>
      <w:r w:rsidR="00BB560E" w:rsidRPr="00722AEA">
        <w:rPr>
          <w:rFonts w:ascii="Arial" w:hAnsi="Arial" w:cs="Arial"/>
          <w:color w:val="000000" w:themeColor="text1"/>
          <w:sz w:val="22"/>
          <w:szCs w:val="22"/>
        </w:rPr>
        <w:t xml:space="preserve"> </w:t>
      </w:r>
      <w:r w:rsidR="00850E47" w:rsidRPr="00722AEA">
        <w:rPr>
          <w:rFonts w:ascii="Arial" w:hAnsi="Arial" w:cs="Arial"/>
          <w:color w:val="000000" w:themeColor="text1"/>
          <w:sz w:val="22"/>
          <w:szCs w:val="22"/>
        </w:rPr>
        <w:t>“</w:t>
      </w:r>
      <w:r w:rsidR="00BB560E" w:rsidRPr="00722AEA">
        <w:rPr>
          <w:rFonts w:ascii="Arial" w:hAnsi="Arial" w:cs="Arial"/>
          <w:color w:val="000000" w:themeColor="text1"/>
          <w:sz w:val="22"/>
          <w:szCs w:val="22"/>
        </w:rPr>
        <w:t xml:space="preserve">Bentley </w:t>
      </w:r>
      <w:r w:rsidR="00E17EA2" w:rsidRPr="00722AEA">
        <w:rPr>
          <w:rFonts w:ascii="Arial" w:hAnsi="Arial" w:cs="Arial"/>
          <w:color w:val="000000" w:themeColor="text1"/>
          <w:sz w:val="22"/>
          <w:szCs w:val="22"/>
        </w:rPr>
        <w:t>plans</w:t>
      </w:r>
      <w:r w:rsidR="00BB560E" w:rsidRPr="00722AEA">
        <w:rPr>
          <w:rFonts w:ascii="Arial" w:hAnsi="Arial" w:cs="Arial"/>
          <w:color w:val="000000" w:themeColor="text1"/>
          <w:sz w:val="22"/>
          <w:szCs w:val="22"/>
        </w:rPr>
        <w:t xml:space="preserve"> to invest </w:t>
      </w:r>
      <w:r w:rsidR="00E17EA2" w:rsidRPr="00722AEA">
        <w:rPr>
          <w:rFonts w:ascii="Arial" w:hAnsi="Arial" w:cs="Arial"/>
          <w:color w:val="000000" w:themeColor="text1"/>
          <w:sz w:val="22"/>
          <w:szCs w:val="22"/>
        </w:rPr>
        <w:t>in</w:t>
      </w:r>
      <w:r w:rsidR="00850E47" w:rsidRPr="00722AEA">
        <w:rPr>
          <w:rFonts w:ascii="Arial" w:hAnsi="Arial" w:cs="Arial"/>
          <w:color w:val="000000" w:themeColor="text1"/>
          <w:sz w:val="22"/>
          <w:szCs w:val="22"/>
        </w:rPr>
        <w:t xml:space="preserve"> a new factory for operation and future growth</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 xml:space="preserve">according to” </w:t>
      </w:r>
      <w:r w:rsidR="00850E47" w:rsidRPr="00722AEA">
        <w:rPr>
          <w:rFonts w:ascii="Arial" w:hAnsi="Arial" w:cs="Arial"/>
          <w:color w:val="000000" w:themeColor="text1"/>
          <w:sz w:val="22"/>
          <w:szCs w:val="22"/>
        </w:rPr>
        <w:t>(Aston Martin,2026)</w:t>
      </w:r>
      <w:r w:rsidR="007F16FF" w:rsidRPr="00722AEA">
        <w:rPr>
          <w:rFonts w:ascii="Arial" w:hAnsi="Arial" w:cs="Arial"/>
          <w:color w:val="000000" w:themeColor="text1"/>
          <w:sz w:val="22"/>
          <w:szCs w:val="22"/>
        </w:rPr>
        <w:t>.</w:t>
      </w:r>
    </w:p>
    <w:p w14:paraId="2DCCB4CE" w14:textId="77777777" w:rsidR="00722AEA" w:rsidRDefault="00722AEA" w:rsidP="00E81BD9">
      <w:pPr>
        <w:spacing w:line="360" w:lineRule="auto"/>
        <w:rPr>
          <w:rFonts w:ascii="Arial" w:hAnsi="Arial" w:cs="Arial"/>
          <w:color w:val="000000" w:themeColor="text1"/>
          <w:sz w:val="22"/>
          <w:szCs w:val="22"/>
        </w:rPr>
      </w:pPr>
    </w:p>
    <w:p w14:paraId="592F9371" w14:textId="77777777" w:rsidR="00722AEA" w:rsidRDefault="00722AEA" w:rsidP="00E81BD9">
      <w:pPr>
        <w:spacing w:line="360" w:lineRule="auto"/>
        <w:rPr>
          <w:rFonts w:ascii="Arial" w:hAnsi="Arial" w:cs="Arial"/>
          <w:color w:val="000000" w:themeColor="text1"/>
          <w:sz w:val="22"/>
          <w:szCs w:val="22"/>
        </w:rPr>
      </w:pPr>
    </w:p>
    <w:p w14:paraId="35DF54FD" w14:textId="77777777" w:rsidR="00722AEA" w:rsidRDefault="00722AEA" w:rsidP="00E81BD9">
      <w:pPr>
        <w:spacing w:line="360" w:lineRule="auto"/>
        <w:rPr>
          <w:rFonts w:ascii="Arial" w:hAnsi="Arial" w:cs="Arial"/>
          <w:color w:val="000000" w:themeColor="text1"/>
          <w:sz w:val="22"/>
          <w:szCs w:val="22"/>
        </w:rPr>
      </w:pPr>
    </w:p>
    <w:p w14:paraId="5EB8849E" w14:textId="77777777" w:rsidR="00722AEA" w:rsidRPr="00722AEA" w:rsidRDefault="00722AEA" w:rsidP="00E81BD9">
      <w:pPr>
        <w:spacing w:line="360" w:lineRule="auto"/>
        <w:rPr>
          <w:rFonts w:ascii="Arial" w:hAnsi="Arial" w:cs="Arial"/>
          <w:color w:val="000000" w:themeColor="text1"/>
          <w:sz w:val="22"/>
          <w:szCs w:val="22"/>
        </w:rPr>
      </w:pPr>
    </w:p>
    <w:p w14:paraId="43304C32" w14:textId="77777777" w:rsidR="00E81BD9" w:rsidRDefault="00E81BD9" w:rsidP="00E81BD9">
      <w:pPr>
        <w:spacing w:line="360" w:lineRule="auto"/>
        <w:rPr>
          <w:rFonts w:ascii="Arial" w:hAnsi="Arial" w:cs="Arial"/>
          <w:sz w:val="22"/>
          <w:szCs w:val="22"/>
        </w:rPr>
      </w:pPr>
    </w:p>
    <w:p w14:paraId="52BC4FF5" w14:textId="6BD2AD17" w:rsidR="00433E9A" w:rsidRPr="00722AEA" w:rsidRDefault="00433E9A" w:rsidP="00433E9A">
      <w:pPr>
        <w:pStyle w:val="Heading2"/>
        <w:rPr>
          <w:rFonts w:ascii="Arial" w:hAnsi="Arial" w:cs="Arial"/>
          <w:color w:val="000000" w:themeColor="text1"/>
        </w:rPr>
      </w:pPr>
      <w:bookmarkStart w:id="4" w:name="_Toc235444588"/>
      <w:r w:rsidRPr="00722AEA">
        <w:rPr>
          <w:rFonts w:ascii="Arial" w:hAnsi="Arial" w:cs="Arial"/>
          <w:color w:val="000000" w:themeColor="text1"/>
        </w:rPr>
        <w:lastRenderedPageBreak/>
        <w:t>Section 2.</w:t>
      </w:r>
      <w:r w:rsidR="00957CE9" w:rsidRPr="00722AEA">
        <w:rPr>
          <w:rFonts w:ascii="Arial" w:hAnsi="Arial" w:cs="Arial"/>
          <w:color w:val="000000" w:themeColor="text1"/>
        </w:rPr>
        <w:t>2</w:t>
      </w:r>
      <w:r w:rsidRPr="00722AEA">
        <w:rPr>
          <w:rFonts w:ascii="Arial" w:hAnsi="Arial" w:cs="Arial"/>
          <w:color w:val="000000" w:themeColor="text1"/>
        </w:rPr>
        <w:t>: External Environmental Analysis:</w:t>
      </w:r>
      <w:bookmarkEnd w:id="4"/>
    </w:p>
    <w:p w14:paraId="1D545B4C" w14:textId="3CC6BA8C" w:rsidR="00433E9A" w:rsidRPr="00722AEA" w:rsidRDefault="00433E9A" w:rsidP="00433E9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The external environment confronting Bentley is characterised by unprecedented levels of disruption, uncertainty, and competitive intensity. A comprehensive PESTEL analysis illuminates the macro-environmental factors shaping Bentley's strategic choices and operational challenges. Political Factors: The political environment presents significant challenges for Bentley, particularly regarding trade policy and regulatory frameworks. The imposition of US tariffs, including a 25% tariff on automotive imports, has directly impacted Bentley's competitiveness in its largest market, costing the company approximately £36 million in 2025. </w:t>
      </w:r>
      <w:r w:rsidR="00B1760E" w:rsidRPr="00722AEA">
        <w:rPr>
          <w:rFonts w:ascii="Arial" w:hAnsi="Arial" w:cs="Arial"/>
          <w:color w:val="000000" w:themeColor="text1"/>
          <w:sz w:val="22"/>
          <w:szCs w:val="22"/>
        </w:rPr>
        <w:t>“</w:t>
      </w:r>
      <w:r w:rsidR="008914D8" w:rsidRPr="00722AEA">
        <w:rPr>
          <w:rFonts w:ascii="Arial" w:hAnsi="Arial" w:cs="Arial"/>
          <w:color w:val="000000" w:themeColor="text1"/>
          <w:sz w:val="22"/>
          <w:szCs w:val="22"/>
        </w:rPr>
        <w:t xml:space="preserve">The USA </w:t>
      </w:r>
      <w:r w:rsidR="00B1760E" w:rsidRPr="00722AEA">
        <w:rPr>
          <w:rFonts w:ascii="Arial" w:hAnsi="Arial" w:cs="Arial"/>
          <w:color w:val="000000" w:themeColor="text1"/>
          <w:sz w:val="22"/>
          <w:szCs w:val="22"/>
        </w:rPr>
        <w:t>has imposed a 25% tariff on motor parts</w:t>
      </w:r>
      <w:r w:rsidR="007F16FF" w:rsidRPr="00722AEA">
        <w:rPr>
          <w:rFonts w:ascii="Arial" w:hAnsi="Arial" w:cs="Arial"/>
          <w:color w:val="000000" w:themeColor="text1"/>
          <w:sz w:val="22"/>
          <w:szCs w:val="22"/>
        </w:rPr>
        <w:t xml:space="preserve"> </w:t>
      </w:r>
      <w:r w:rsidR="001A01F2" w:rsidRPr="00722AEA">
        <w:rPr>
          <w:rFonts w:ascii="Arial" w:hAnsi="Arial" w:cs="Arial"/>
          <w:color w:val="000000" w:themeColor="text1"/>
          <w:sz w:val="22"/>
          <w:szCs w:val="22"/>
        </w:rPr>
        <w:t xml:space="preserve">costing Bentley £36 million </w:t>
      </w:r>
      <w:r w:rsidR="00B1760E" w:rsidRPr="00722AEA">
        <w:rPr>
          <w:rFonts w:ascii="Arial" w:hAnsi="Arial" w:cs="Arial"/>
          <w:color w:val="000000" w:themeColor="text1"/>
          <w:sz w:val="22"/>
          <w:szCs w:val="22"/>
        </w:rPr>
        <w:t>according to</w:t>
      </w:r>
      <w:r w:rsidR="007F16FF" w:rsidRPr="00722AEA">
        <w:rPr>
          <w:rFonts w:ascii="Arial" w:hAnsi="Arial" w:cs="Arial"/>
          <w:color w:val="000000" w:themeColor="text1"/>
          <w:sz w:val="22"/>
          <w:szCs w:val="22"/>
        </w:rPr>
        <w:t>”</w:t>
      </w:r>
      <w:r w:rsidR="00B1760E" w:rsidRPr="00722AEA">
        <w:rPr>
          <w:rFonts w:ascii="Arial" w:hAnsi="Arial" w:cs="Arial"/>
          <w:color w:val="000000" w:themeColor="text1"/>
          <w:sz w:val="22"/>
          <w:szCs w:val="22"/>
        </w:rPr>
        <w:t xml:space="preserve"> </w:t>
      </w:r>
      <w:r w:rsidR="00DA3EFF" w:rsidRPr="00722AEA">
        <w:rPr>
          <w:rFonts w:ascii="Arial" w:hAnsi="Arial" w:cs="Arial"/>
          <w:color w:val="000000" w:themeColor="text1"/>
          <w:sz w:val="22"/>
          <w:szCs w:val="22"/>
        </w:rPr>
        <w:t xml:space="preserve">(EY, </w:t>
      </w:r>
      <w:r w:rsidR="007F16FF" w:rsidRPr="00722AEA">
        <w:rPr>
          <w:rFonts w:ascii="Arial" w:hAnsi="Arial" w:cs="Arial"/>
          <w:color w:val="000000" w:themeColor="text1"/>
          <w:sz w:val="22"/>
          <w:szCs w:val="22"/>
        </w:rPr>
        <w:t>2025).</w:t>
      </w:r>
      <w:r w:rsidR="00B1760E"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The UK's departure from the European Union has created trade friction and customs complications, affecting supply chains and market access. Conversely, UK government policies incentivising electric vehicle adoption and penalising high-emission vehicles create both challenges and opportunities, potentially benefiting Bentley's electrification strategy whilst imposing costs on remaining internal combustion engine production. “Bentley faces tightening global emissions rules and shifting trade tariffs, forcing the brand to accelerate its shift toward luxury electric vehicles</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Pr="00722AEA">
        <w:rPr>
          <w:rFonts w:ascii="Arial" w:hAnsi="Arial" w:cs="Arial"/>
          <w:color w:val="000000" w:themeColor="text1"/>
          <w:sz w:val="22"/>
          <w:szCs w:val="22"/>
        </w:rPr>
        <w:t xml:space="preserve"> (Qadri, A.U. and Tariq, M., 2025). </w:t>
      </w:r>
    </w:p>
    <w:p w14:paraId="483F3EA9" w14:textId="1F22B22B" w:rsidR="00433E9A" w:rsidRPr="00722AEA" w:rsidRDefault="00433E9A" w:rsidP="00433E9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Economic Factors: Global economic conditions have created significant volatility for luxury manufacturers. Inflation, interest rate fluctuations, and currency volatility affect consumer purchasing power and corporate profitability. China, a key market representing approximately one in every two luxury cars in its segment, has experienced significant contraction, impacting Bentley's sales. </w:t>
      </w:r>
      <w:r w:rsidR="00AB4BFF" w:rsidRPr="00722AEA">
        <w:rPr>
          <w:rFonts w:ascii="Arial" w:hAnsi="Arial" w:cs="Arial"/>
          <w:color w:val="000000" w:themeColor="text1"/>
          <w:sz w:val="22"/>
          <w:szCs w:val="22"/>
        </w:rPr>
        <w:t>“</w:t>
      </w:r>
      <w:r w:rsidR="001A6A59" w:rsidRPr="00722AEA">
        <w:rPr>
          <w:rFonts w:ascii="Arial" w:hAnsi="Arial" w:cs="Arial"/>
          <w:color w:val="000000" w:themeColor="text1"/>
          <w:sz w:val="22"/>
          <w:szCs w:val="22"/>
        </w:rPr>
        <w:t>China's</w:t>
      </w:r>
      <w:r w:rsidR="00DD3FB1" w:rsidRPr="00722AEA">
        <w:rPr>
          <w:rFonts w:ascii="Arial" w:hAnsi="Arial" w:cs="Arial"/>
          <w:color w:val="000000" w:themeColor="text1"/>
          <w:sz w:val="22"/>
          <w:szCs w:val="22"/>
        </w:rPr>
        <w:t xml:space="preserve"> upcoming </w:t>
      </w:r>
      <w:r w:rsidR="00E60D17" w:rsidRPr="00722AEA">
        <w:rPr>
          <w:rFonts w:ascii="Arial" w:hAnsi="Arial" w:cs="Arial"/>
          <w:color w:val="000000" w:themeColor="text1"/>
          <w:sz w:val="22"/>
          <w:szCs w:val="22"/>
        </w:rPr>
        <w:t xml:space="preserve">dominance has impacted </w:t>
      </w:r>
      <w:r w:rsidR="001A6A59" w:rsidRPr="00722AEA">
        <w:rPr>
          <w:rFonts w:ascii="Arial" w:hAnsi="Arial" w:cs="Arial"/>
          <w:color w:val="000000" w:themeColor="text1"/>
          <w:sz w:val="22"/>
          <w:szCs w:val="22"/>
        </w:rPr>
        <w:t>Bentley's</w:t>
      </w:r>
      <w:r w:rsidR="00E60D17" w:rsidRPr="00722AEA">
        <w:rPr>
          <w:rFonts w:ascii="Arial" w:hAnsi="Arial" w:cs="Arial"/>
          <w:color w:val="000000" w:themeColor="text1"/>
          <w:sz w:val="22"/>
          <w:szCs w:val="22"/>
        </w:rPr>
        <w:t xml:space="preserve"> </w:t>
      </w:r>
      <w:r w:rsidR="006D6C08" w:rsidRPr="00722AEA">
        <w:rPr>
          <w:rFonts w:ascii="Arial" w:hAnsi="Arial" w:cs="Arial"/>
          <w:color w:val="000000" w:themeColor="text1"/>
          <w:sz w:val="22"/>
          <w:szCs w:val="22"/>
        </w:rPr>
        <w:t xml:space="preserve">performance; </w:t>
      </w:r>
      <w:r w:rsidR="00AB4BFF" w:rsidRPr="00722AEA">
        <w:rPr>
          <w:rFonts w:ascii="Arial" w:hAnsi="Arial" w:cs="Arial"/>
          <w:color w:val="000000" w:themeColor="text1"/>
          <w:sz w:val="22"/>
          <w:szCs w:val="22"/>
        </w:rPr>
        <w:t>however</w:t>
      </w:r>
      <w:r w:rsidR="006D6C08" w:rsidRPr="00722AEA">
        <w:rPr>
          <w:rFonts w:ascii="Arial" w:hAnsi="Arial" w:cs="Arial"/>
          <w:color w:val="000000" w:themeColor="text1"/>
          <w:sz w:val="22"/>
          <w:szCs w:val="22"/>
        </w:rPr>
        <w:t xml:space="preserve">, Bentley's </w:t>
      </w:r>
      <w:r w:rsidR="00AB4BFF" w:rsidRPr="00722AEA">
        <w:rPr>
          <w:rFonts w:ascii="Arial" w:hAnsi="Arial" w:cs="Arial"/>
          <w:color w:val="000000" w:themeColor="text1"/>
          <w:sz w:val="22"/>
          <w:szCs w:val="22"/>
        </w:rPr>
        <w:t>60</w:t>
      </w:r>
      <w:r w:rsidR="003E0CCE" w:rsidRPr="00722AEA">
        <w:rPr>
          <w:rFonts w:ascii="Arial" w:hAnsi="Arial" w:cs="Arial"/>
          <w:color w:val="000000" w:themeColor="text1"/>
          <w:sz w:val="22"/>
          <w:szCs w:val="22"/>
        </w:rPr>
        <w:t xml:space="preserve"> global markets </w:t>
      </w:r>
      <w:r w:rsidR="006D6C08" w:rsidRPr="00722AEA">
        <w:rPr>
          <w:rFonts w:ascii="Arial" w:hAnsi="Arial" w:cs="Arial"/>
          <w:color w:val="000000" w:themeColor="text1"/>
          <w:sz w:val="22"/>
          <w:szCs w:val="22"/>
        </w:rPr>
        <w:t>help</w:t>
      </w:r>
      <w:r w:rsidR="003E0CCE" w:rsidRPr="00722AEA">
        <w:rPr>
          <w:rFonts w:ascii="Arial" w:hAnsi="Arial" w:cs="Arial"/>
          <w:color w:val="000000" w:themeColor="text1"/>
          <w:sz w:val="22"/>
          <w:szCs w:val="22"/>
        </w:rPr>
        <w:t xml:space="preserve"> to maintain</w:t>
      </w:r>
      <w:r w:rsidR="00917189" w:rsidRPr="00722AEA">
        <w:rPr>
          <w:rFonts w:ascii="Arial" w:hAnsi="Arial" w:cs="Arial"/>
          <w:color w:val="000000" w:themeColor="text1"/>
          <w:sz w:val="22"/>
          <w:szCs w:val="22"/>
        </w:rPr>
        <w:t xml:space="preserve"> the </w:t>
      </w:r>
      <w:r w:rsidR="006D6C08" w:rsidRPr="00722AEA">
        <w:rPr>
          <w:rFonts w:ascii="Arial" w:hAnsi="Arial" w:cs="Arial"/>
          <w:color w:val="000000" w:themeColor="text1"/>
          <w:sz w:val="22"/>
          <w:szCs w:val="22"/>
        </w:rPr>
        <w:t>company's</w:t>
      </w:r>
      <w:r w:rsidR="00917189" w:rsidRPr="00722AEA">
        <w:rPr>
          <w:rFonts w:ascii="Arial" w:hAnsi="Arial" w:cs="Arial"/>
          <w:color w:val="000000" w:themeColor="text1"/>
          <w:sz w:val="22"/>
          <w:szCs w:val="22"/>
        </w:rPr>
        <w:t xml:space="preserve"> importance</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6D6C08" w:rsidRPr="00722AEA">
        <w:rPr>
          <w:rFonts w:ascii="Arial" w:hAnsi="Arial" w:cs="Arial"/>
          <w:color w:val="000000" w:themeColor="text1"/>
          <w:sz w:val="22"/>
          <w:szCs w:val="22"/>
        </w:rPr>
        <w:t xml:space="preserve"> (Reuters, 2022). </w:t>
      </w:r>
      <w:r w:rsidRPr="00722AEA">
        <w:rPr>
          <w:rFonts w:ascii="Arial" w:hAnsi="Arial" w:cs="Arial"/>
          <w:color w:val="000000" w:themeColor="text1"/>
          <w:sz w:val="22"/>
          <w:szCs w:val="22"/>
        </w:rPr>
        <w:t xml:space="preserve">However, the organisation's diversification across over 60 markets provides some resilience, with the UK market performing strongly. </w:t>
      </w:r>
    </w:p>
    <w:p w14:paraId="7C674EE6" w14:textId="77777777" w:rsidR="00722AEA" w:rsidRDefault="00722AEA" w:rsidP="00433E9A">
      <w:pPr>
        <w:spacing w:line="360" w:lineRule="auto"/>
        <w:rPr>
          <w:rFonts w:ascii="Arial" w:hAnsi="Arial" w:cs="Arial"/>
          <w:color w:val="000000" w:themeColor="text1"/>
          <w:sz w:val="22"/>
          <w:szCs w:val="22"/>
        </w:rPr>
      </w:pPr>
    </w:p>
    <w:p w14:paraId="2BE0F07F" w14:textId="77777777" w:rsidR="00722AEA" w:rsidRDefault="00722AEA" w:rsidP="00433E9A">
      <w:pPr>
        <w:spacing w:line="360" w:lineRule="auto"/>
        <w:rPr>
          <w:rFonts w:ascii="Arial" w:hAnsi="Arial" w:cs="Arial"/>
          <w:color w:val="000000" w:themeColor="text1"/>
          <w:sz w:val="22"/>
          <w:szCs w:val="22"/>
        </w:rPr>
      </w:pPr>
    </w:p>
    <w:p w14:paraId="4458A83F" w14:textId="77777777" w:rsidR="00722AEA" w:rsidRDefault="00722AEA" w:rsidP="00433E9A">
      <w:pPr>
        <w:spacing w:line="360" w:lineRule="auto"/>
        <w:rPr>
          <w:rFonts w:ascii="Arial" w:hAnsi="Arial" w:cs="Arial"/>
          <w:color w:val="000000" w:themeColor="text1"/>
          <w:sz w:val="22"/>
          <w:szCs w:val="22"/>
        </w:rPr>
      </w:pPr>
    </w:p>
    <w:p w14:paraId="346357F4" w14:textId="77777777" w:rsidR="00722AEA" w:rsidRDefault="00722AEA" w:rsidP="00433E9A">
      <w:pPr>
        <w:spacing w:line="360" w:lineRule="auto"/>
        <w:rPr>
          <w:rFonts w:ascii="Arial" w:hAnsi="Arial" w:cs="Arial"/>
          <w:color w:val="000000" w:themeColor="text1"/>
          <w:sz w:val="22"/>
          <w:szCs w:val="22"/>
        </w:rPr>
      </w:pPr>
    </w:p>
    <w:p w14:paraId="33179C38" w14:textId="77777777" w:rsidR="00722AEA" w:rsidRDefault="00722AEA" w:rsidP="00433E9A">
      <w:pPr>
        <w:spacing w:line="360" w:lineRule="auto"/>
        <w:rPr>
          <w:rFonts w:ascii="Arial" w:hAnsi="Arial" w:cs="Arial"/>
          <w:color w:val="000000" w:themeColor="text1"/>
          <w:sz w:val="22"/>
          <w:szCs w:val="22"/>
        </w:rPr>
      </w:pPr>
    </w:p>
    <w:p w14:paraId="08C61DF9" w14:textId="77777777" w:rsidR="00722AEA" w:rsidRDefault="00722AEA" w:rsidP="00433E9A">
      <w:pPr>
        <w:spacing w:line="360" w:lineRule="auto"/>
        <w:rPr>
          <w:rFonts w:ascii="Arial" w:hAnsi="Arial" w:cs="Arial"/>
          <w:color w:val="000000" w:themeColor="text1"/>
          <w:sz w:val="22"/>
          <w:szCs w:val="22"/>
        </w:rPr>
      </w:pPr>
    </w:p>
    <w:p w14:paraId="34BD67BC" w14:textId="77777777" w:rsidR="00722AEA" w:rsidRDefault="00722AEA" w:rsidP="00433E9A">
      <w:pPr>
        <w:spacing w:line="360" w:lineRule="auto"/>
        <w:rPr>
          <w:rFonts w:ascii="Arial" w:hAnsi="Arial" w:cs="Arial"/>
          <w:color w:val="000000" w:themeColor="text1"/>
          <w:sz w:val="22"/>
          <w:szCs w:val="22"/>
        </w:rPr>
      </w:pPr>
    </w:p>
    <w:p w14:paraId="600931B0" w14:textId="25F14658" w:rsidR="00433E9A" w:rsidRPr="00722AEA" w:rsidRDefault="00433E9A" w:rsidP="00722AE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lastRenderedPageBreak/>
        <w:t xml:space="preserve">Social Factors: Shifting social attitudes towards sustainability and environmental consciousness profoundly influence consumer behaviour in the luxury automotive sector. The emergence of electric vehicles as mainstream alternatives reflects growing environmental awareness and concerns about climate change. </w:t>
      </w:r>
      <w:r w:rsidR="00AF60DD" w:rsidRPr="00AF60DD">
        <w:rPr>
          <w:rFonts w:ascii="Arial" w:hAnsi="Arial" w:cs="Arial"/>
          <w:color w:val="000000" w:themeColor="text1"/>
          <w:sz w:val="22"/>
          <w:szCs w:val="22"/>
        </w:rPr>
        <w:t xml:space="preserve">Released on World Earth Day, Bentley’s 2025 Sustainability Report doubles down on </w:t>
      </w:r>
      <w:r w:rsidR="00AF60DD">
        <w:rPr>
          <w:rFonts w:ascii="Arial" w:hAnsi="Arial" w:cs="Arial"/>
          <w:color w:val="000000" w:themeColor="text1"/>
          <w:sz w:val="22"/>
          <w:szCs w:val="22"/>
        </w:rPr>
        <w:t>its</w:t>
      </w:r>
      <w:r w:rsidR="00AF60DD" w:rsidRPr="00AF60DD">
        <w:rPr>
          <w:rFonts w:ascii="Arial" w:hAnsi="Arial" w:cs="Arial"/>
          <w:color w:val="000000" w:themeColor="text1"/>
          <w:sz w:val="22"/>
          <w:szCs w:val="22"/>
        </w:rPr>
        <w:t xml:space="preserve"> green commitments. It outlines </w:t>
      </w:r>
      <w:r w:rsidR="00CF75E5">
        <w:rPr>
          <w:rFonts w:ascii="Arial" w:hAnsi="Arial" w:cs="Arial"/>
          <w:color w:val="000000" w:themeColor="text1"/>
          <w:sz w:val="22"/>
          <w:szCs w:val="22"/>
        </w:rPr>
        <w:t>its</w:t>
      </w:r>
      <w:r w:rsidR="00AF60DD" w:rsidRPr="00AF60DD">
        <w:rPr>
          <w:rFonts w:ascii="Arial" w:hAnsi="Arial" w:cs="Arial"/>
          <w:color w:val="000000" w:themeColor="text1"/>
          <w:sz w:val="22"/>
          <w:szCs w:val="22"/>
        </w:rPr>
        <w:t xml:space="preserve"> latest milestones under the Beyond100+ strategy, charting a practical path toward eco-friendly luxury in a fast-changing global market.</w:t>
      </w:r>
      <w:r w:rsidR="00AF60DD">
        <w:rPr>
          <w:rFonts w:ascii="Arial" w:hAnsi="Arial" w:cs="Arial"/>
          <w:color w:val="000000" w:themeColor="text1"/>
          <w:sz w:val="22"/>
          <w:szCs w:val="22"/>
        </w:rPr>
        <w:t xml:space="preserve"> </w:t>
      </w:r>
      <w:r w:rsidRPr="00722AEA">
        <w:rPr>
          <w:rFonts w:ascii="Arial" w:hAnsi="Arial" w:cs="Arial"/>
          <w:color w:val="000000" w:themeColor="text1"/>
          <w:sz w:val="22"/>
          <w:szCs w:val="22"/>
        </w:rPr>
        <w:t>However, the extension of the full electrification timeline from 2030 to 2035 reflects the social reality that many customers remain attached to internal combustion engine vehicles, particularly in the luxury segment where engine character and sound form part of the brand experience.</w:t>
      </w:r>
    </w:p>
    <w:p w14:paraId="5BC418AF" w14:textId="42200EC1" w:rsidR="00433E9A" w:rsidRPr="00722AEA" w:rsidRDefault="00433E9A" w:rsidP="00433E9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Technological Factors: Rapid technological advancement, particularly in electric powertrains, battery technology, autonomous driving systems, and connectivity, fundamentally shapes competition and consumer expectations. Bentley's response includes investment in battery-electric vehicle development, with the first fully electric Bentley scheduled for reveal in 2026 and described as the world's first true Luxury Urban SUV, less than five metres in length and offering an estimated 46 billion configuration options. </w:t>
      </w:r>
      <w:r w:rsidR="0034228A" w:rsidRPr="00722AEA">
        <w:rPr>
          <w:rFonts w:ascii="Arial" w:hAnsi="Arial" w:cs="Arial"/>
          <w:color w:val="000000" w:themeColor="text1"/>
          <w:sz w:val="22"/>
          <w:szCs w:val="22"/>
        </w:rPr>
        <w:t xml:space="preserve">“Bentley plans to </w:t>
      </w:r>
      <w:r w:rsidR="004002C1" w:rsidRPr="00722AEA">
        <w:rPr>
          <w:rFonts w:ascii="Arial" w:hAnsi="Arial" w:cs="Arial"/>
          <w:color w:val="000000" w:themeColor="text1"/>
          <w:sz w:val="22"/>
          <w:szCs w:val="22"/>
        </w:rPr>
        <w:t xml:space="preserve">unveil the </w:t>
      </w:r>
      <w:r w:rsidR="009D29E5" w:rsidRPr="00722AEA">
        <w:rPr>
          <w:rFonts w:ascii="Arial" w:hAnsi="Arial" w:cs="Arial"/>
          <w:color w:val="000000" w:themeColor="text1"/>
          <w:sz w:val="22"/>
          <w:szCs w:val="22"/>
        </w:rPr>
        <w:t>world's</w:t>
      </w:r>
      <w:r w:rsidR="004002C1" w:rsidRPr="00722AEA">
        <w:rPr>
          <w:rFonts w:ascii="Arial" w:hAnsi="Arial" w:cs="Arial"/>
          <w:color w:val="000000" w:themeColor="text1"/>
          <w:sz w:val="22"/>
          <w:szCs w:val="22"/>
        </w:rPr>
        <w:t xml:space="preserve"> first EV luxury SUV with 46 billion </w:t>
      </w:r>
      <w:r w:rsidR="00F10EB7" w:rsidRPr="00722AEA">
        <w:rPr>
          <w:rFonts w:ascii="Arial" w:hAnsi="Arial" w:cs="Arial"/>
          <w:color w:val="000000" w:themeColor="text1"/>
          <w:sz w:val="22"/>
          <w:szCs w:val="22"/>
        </w:rPr>
        <w:t>configurations,</w:t>
      </w:r>
      <w:r w:rsidR="00362F0F" w:rsidRPr="00722AEA">
        <w:rPr>
          <w:rFonts w:ascii="Arial" w:hAnsi="Arial" w:cs="Arial"/>
          <w:color w:val="000000" w:themeColor="text1"/>
          <w:sz w:val="22"/>
          <w:szCs w:val="22"/>
        </w:rPr>
        <w:t xml:space="preserve"> according to</w:t>
      </w:r>
      <w:r w:rsidR="009D29E5" w:rsidRPr="00722AEA">
        <w:rPr>
          <w:rFonts w:ascii="Arial" w:hAnsi="Arial" w:cs="Arial"/>
          <w:color w:val="000000" w:themeColor="text1"/>
          <w:sz w:val="22"/>
          <w:szCs w:val="22"/>
        </w:rPr>
        <w:t>”</w:t>
      </w:r>
      <w:r w:rsidR="00362F0F" w:rsidRPr="00722AEA">
        <w:rPr>
          <w:rFonts w:ascii="Arial" w:hAnsi="Arial" w:cs="Arial"/>
          <w:color w:val="000000" w:themeColor="text1"/>
          <w:sz w:val="22"/>
          <w:szCs w:val="22"/>
        </w:rPr>
        <w:t xml:space="preserve"> (Bentley Motors,2026)</w:t>
      </w:r>
      <w:r w:rsidR="009D29E5" w:rsidRPr="00722AEA">
        <w:rPr>
          <w:rFonts w:ascii="Arial" w:hAnsi="Arial" w:cs="Arial"/>
          <w:color w:val="000000" w:themeColor="text1"/>
          <w:sz w:val="22"/>
          <w:szCs w:val="22"/>
        </w:rPr>
        <w:t>.</w:t>
      </w:r>
      <w:r w:rsidR="00362F0F"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The organisation has also appointed Capgemini as its digital transformation partner to modernise manufacturing systems, strengthen AI and data capabilities, and integrate back-office processes.</w:t>
      </w:r>
      <w:r w:rsidR="0034228A" w:rsidRPr="00722AEA">
        <w:rPr>
          <w:rFonts w:ascii="Arial" w:hAnsi="Arial" w:cs="Arial"/>
          <w:color w:val="000000" w:themeColor="text1"/>
          <w:sz w:val="22"/>
          <w:szCs w:val="22"/>
        </w:rPr>
        <w:t xml:space="preserve"> </w:t>
      </w:r>
    </w:p>
    <w:p w14:paraId="0CF3D30F" w14:textId="2E65E608" w:rsidR="00433E9A" w:rsidRPr="00722AEA" w:rsidRDefault="00433E9A" w:rsidP="00433E9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Environmental Factors: Climate change and environmental sustainability represent both existential challenges and strategic opportunities for Bentley. The organisation has committed to decarbonisation through its Beyond100+ strategy, with its Crewe manufacturing site achieving carbon neutral certification under PAS 2060, operating on 100% green electricity since 2017 and 100% green gas since 2019.</w:t>
      </w:r>
      <w:r w:rsidR="002B053B" w:rsidRPr="00722AEA">
        <w:rPr>
          <w:rFonts w:ascii="Arial" w:hAnsi="Arial" w:cs="Arial"/>
          <w:color w:val="000000" w:themeColor="text1"/>
          <w:sz w:val="22"/>
          <w:szCs w:val="22"/>
        </w:rPr>
        <w:t xml:space="preserve"> </w:t>
      </w:r>
      <w:r w:rsidR="00887BD5" w:rsidRPr="00722AEA">
        <w:rPr>
          <w:rFonts w:ascii="Arial" w:hAnsi="Arial" w:cs="Arial"/>
          <w:color w:val="000000" w:themeColor="text1"/>
          <w:sz w:val="22"/>
          <w:szCs w:val="22"/>
        </w:rPr>
        <w:t>“Bentley</w:t>
      </w:r>
      <w:r w:rsidR="002B053B" w:rsidRPr="00722AEA">
        <w:rPr>
          <w:rFonts w:ascii="Arial" w:hAnsi="Arial" w:cs="Arial"/>
          <w:color w:val="000000" w:themeColor="text1"/>
          <w:sz w:val="22"/>
          <w:szCs w:val="22"/>
        </w:rPr>
        <w:t xml:space="preserve"> </w:t>
      </w:r>
      <w:r w:rsidR="005F489E" w:rsidRPr="00722AEA">
        <w:rPr>
          <w:rFonts w:ascii="Arial" w:hAnsi="Arial" w:cs="Arial"/>
          <w:color w:val="000000" w:themeColor="text1"/>
          <w:sz w:val="22"/>
          <w:szCs w:val="22"/>
        </w:rPr>
        <w:t>achieved a</w:t>
      </w:r>
      <w:r w:rsidR="002B053B" w:rsidRPr="00722AEA">
        <w:rPr>
          <w:rFonts w:ascii="Arial" w:hAnsi="Arial" w:cs="Arial"/>
          <w:color w:val="000000" w:themeColor="text1"/>
          <w:sz w:val="22"/>
          <w:szCs w:val="22"/>
        </w:rPr>
        <w:t xml:space="preserve"> 1</w:t>
      </w:r>
      <w:r w:rsidR="006A76AF" w:rsidRPr="00722AEA">
        <w:rPr>
          <w:rFonts w:ascii="Arial" w:hAnsi="Arial" w:cs="Arial"/>
          <w:color w:val="000000" w:themeColor="text1"/>
          <w:sz w:val="22"/>
          <w:szCs w:val="22"/>
        </w:rPr>
        <w:t xml:space="preserve">00% carbon </w:t>
      </w:r>
      <w:r w:rsidR="005F489E" w:rsidRPr="00722AEA">
        <w:rPr>
          <w:rFonts w:ascii="Arial" w:hAnsi="Arial" w:cs="Arial"/>
          <w:color w:val="000000" w:themeColor="text1"/>
          <w:sz w:val="22"/>
          <w:szCs w:val="22"/>
        </w:rPr>
        <w:t>neutral</w:t>
      </w:r>
      <w:r w:rsidR="006A76AF" w:rsidRPr="00722AEA">
        <w:rPr>
          <w:rFonts w:ascii="Arial" w:hAnsi="Arial" w:cs="Arial"/>
          <w:color w:val="000000" w:themeColor="text1"/>
          <w:sz w:val="22"/>
          <w:szCs w:val="22"/>
        </w:rPr>
        <w:t xml:space="preserve"> score and </w:t>
      </w:r>
      <w:r w:rsidR="00A306A9" w:rsidRPr="00722AEA">
        <w:rPr>
          <w:rFonts w:ascii="Arial" w:hAnsi="Arial" w:cs="Arial"/>
          <w:color w:val="000000" w:themeColor="text1"/>
          <w:sz w:val="22"/>
          <w:szCs w:val="22"/>
        </w:rPr>
        <w:t>a PAS</w:t>
      </w:r>
      <w:r w:rsidR="005538F3" w:rsidRPr="00722AEA">
        <w:rPr>
          <w:rFonts w:ascii="Arial" w:hAnsi="Arial" w:cs="Arial"/>
          <w:color w:val="000000" w:themeColor="text1"/>
          <w:sz w:val="22"/>
          <w:szCs w:val="22"/>
        </w:rPr>
        <w:t xml:space="preserve"> 2060 </w:t>
      </w:r>
      <w:r w:rsidR="006A76AF" w:rsidRPr="00722AEA">
        <w:rPr>
          <w:rFonts w:ascii="Arial" w:hAnsi="Arial" w:cs="Arial"/>
          <w:color w:val="000000" w:themeColor="text1"/>
          <w:sz w:val="22"/>
          <w:szCs w:val="22"/>
        </w:rPr>
        <w:t xml:space="preserve">certification since </w:t>
      </w:r>
      <w:r w:rsidR="00A306A9" w:rsidRPr="00722AEA">
        <w:rPr>
          <w:rFonts w:ascii="Arial" w:hAnsi="Arial" w:cs="Arial"/>
          <w:color w:val="000000" w:themeColor="text1"/>
          <w:sz w:val="22"/>
          <w:szCs w:val="22"/>
        </w:rPr>
        <w:t>2017</w:t>
      </w:r>
      <w:r w:rsidR="005538F3" w:rsidRPr="00722AEA">
        <w:rPr>
          <w:rFonts w:ascii="Arial" w:hAnsi="Arial" w:cs="Arial"/>
          <w:color w:val="000000" w:themeColor="text1"/>
          <w:sz w:val="22"/>
          <w:szCs w:val="22"/>
        </w:rPr>
        <w:t xml:space="preserve"> according to</w:t>
      </w:r>
      <w:r w:rsidR="00887BD5" w:rsidRPr="00722AEA">
        <w:rPr>
          <w:rFonts w:ascii="Arial" w:hAnsi="Arial" w:cs="Arial"/>
          <w:color w:val="000000" w:themeColor="text1"/>
          <w:sz w:val="22"/>
          <w:szCs w:val="22"/>
        </w:rPr>
        <w:t>”</w:t>
      </w:r>
      <w:r w:rsidR="005F489E" w:rsidRPr="00722AEA">
        <w:rPr>
          <w:rFonts w:ascii="Arial" w:hAnsi="Arial" w:cs="Arial"/>
          <w:color w:val="000000" w:themeColor="text1"/>
          <w:sz w:val="22"/>
          <w:szCs w:val="22"/>
        </w:rPr>
        <w:t xml:space="preserve"> (Bentley Motors,2026). </w:t>
      </w:r>
      <w:r w:rsidRPr="00722AEA">
        <w:rPr>
          <w:rFonts w:ascii="Arial" w:hAnsi="Arial" w:cs="Arial"/>
          <w:color w:val="000000" w:themeColor="text1"/>
          <w:sz w:val="22"/>
          <w:szCs w:val="22"/>
        </w:rPr>
        <w:t>The discontinuation of the iconic W12 engine and introduction of plug-in hybrid options across all models represent tangible progress towards sustainability objectives. Bentley also continues to advance Direct Air Capture technology, increase use of Sustainable Aviation Fuel for logistics, and deepen integration of lifecycle analysis into product and supplier decision-making.</w:t>
      </w:r>
    </w:p>
    <w:p w14:paraId="611126F1" w14:textId="77777777" w:rsidR="00722AEA" w:rsidRDefault="00722AEA" w:rsidP="00433E9A">
      <w:pPr>
        <w:spacing w:line="360" w:lineRule="auto"/>
        <w:rPr>
          <w:rFonts w:ascii="Arial" w:hAnsi="Arial" w:cs="Arial"/>
          <w:sz w:val="22"/>
          <w:szCs w:val="22"/>
        </w:rPr>
      </w:pPr>
    </w:p>
    <w:p w14:paraId="4E83AD84" w14:textId="77777777" w:rsidR="003E0713" w:rsidRDefault="003E0713" w:rsidP="00433E9A">
      <w:pPr>
        <w:spacing w:line="360" w:lineRule="auto"/>
        <w:rPr>
          <w:rFonts w:ascii="Arial" w:hAnsi="Arial" w:cs="Arial"/>
          <w:sz w:val="22"/>
          <w:szCs w:val="22"/>
        </w:rPr>
      </w:pPr>
    </w:p>
    <w:p w14:paraId="7F139C73" w14:textId="77777777" w:rsidR="00722AEA" w:rsidRDefault="00722AEA" w:rsidP="00433E9A">
      <w:pPr>
        <w:spacing w:line="360" w:lineRule="auto"/>
        <w:rPr>
          <w:rFonts w:ascii="Arial" w:hAnsi="Arial" w:cs="Arial"/>
          <w:sz w:val="22"/>
          <w:szCs w:val="22"/>
        </w:rPr>
      </w:pPr>
    </w:p>
    <w:p w14:paraId="4CAB99B1" w14:textId="5ABE7D6F" w:rsidR="00E81BD9" w:rsidRPr="00722AEA" w:rsidRDefault="00433E9A"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lastRenderedPageBreak/>
        <w:t xml:space="preserve">Legal Factors: Regulatory frameworks increasingly shape Bentley's strategic choices, particularly regarding emissions, vehicle safety, and consumer protection. EU and UK emissions regulations impose financial penalties on manufacturers failing to meet fleet average targets, creating incentives for electrification. Intellectual property laws, employment legislation, and health and safety regulations create compliance obligations and operational costs. </w:t>
      </w:r>
      <w:r w:rsidR="001F4013" w:rsidRPr="00722AEA">
        <w:rPr>
          <w:rFonts w:ascii="Arial" w:hAnsi="Arial" w:cs="Arial"/>
          <w:color w:val="000000" w:themeColor="text1"/>
          <w:sz w:val="22"/>
          <w:szCs w:val="22"/>
        </w:rPr>
        <w:t>“</w:t>
      </w:r>
      <w:r w:rsidR="00250003" w:rsidRPr="00722AEA">
        <w:rPr>
          <w:rFonts w:ascii="Arial" w:hAnsi="Arial" w:cs="Arial"/>
          <w:color w:val="000000" w:themeColor="text1"/>
          <w:sz w:val="22"/>
          <w:szCs w:val="22"/>
        </w:rPr>
        <w:t xml:space="preserve">Failure to meet the EU and </w:t>
      </w:r>
      <w:r w:rsidR="001F4013" w:rsidRPr="00722AEA">
        <w:rPr>
          <w:rFonts w:ascii="Arial" w:hAnsi="Arial" w:cs="Arial"/>
          <w:color w:val="000000" w:themeColor="text1"/>
          <w:sz w:val="22"/>
          <w:szCs w:val="22"/>
        </w:rPr>
        <w:t xml:space="preserve">UK emissions will result in a penalty fine according to” (Greater London Authority, 2018). </w:t>
      </w:r>
      <w:r w:rsidRPr="00722AEA">
        <w:rPr>
          <w:rFonts w:ascii="Arial" w:hAnsi="Arial" w:cs="Arial"/>
          <w:color w:val="000000" w:themeColor="text1"/>
          <w:sz w:val="22"/>
          <w:szCs w:val="22"/>
        </w:rPr>
        <w:t>The organisation's commitment to responsible business practices and ethical operations provides a foundation for navigating these legal requirements. “Analysing the PESTLE model will allow Bentley to understand external factors and policies</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Pr="00722AEA">
        <w:rPr>
          <w:rFonts w:ascii="Arial" w:hAnsi="Arial" w:cs="Arial"/>
          <w:color w:val="000000" w:themeColor="text1"/>
          <w:sz w:val="22"/>
          <w:szCs w:val="22"/>
        </w:rPr>
        <w:t xml:space="preserve"> (</w:t>
      </w:r>
      <w:proofErr w:type="spellStart"/>
      <w:r w:rsidRPr="00722AEA">
        <w:rPr>
          <w:rFonts w:ascii="Arial" w:hAnsi="Arial" w:cs="Arial"/>
          <w:color w:val="000000" w:themeColor="text1"/>
          <w:sz w:val="22"/>
          <w:szCs w:val="22"/>
        </w:rPr>
        <w:t>Bruijl</w:t>
      </w:r>
      <w:proofErr w:type="spellEnd"/>
      <w:r w:rsidRPr="00722AEA">
        <w:rPr>
          <w:rFonts w:ascii="Arial" w:hAnsi="Arial" w:cs="Arial"/>
          <w:color w:val="000000" w:themeColor="text1"/>
          <w:sz w:val="22"/>
          <w:szCs w:val="22"/>
        </w:rPr>
        <w:t xml:space="preserve">, D.G.H.T., 2025). </w:t>
      </w:r>
    </w:p>
    <w:p w14:paraId="5B0B0F58" w14:textId="77777777" w:rsidR="00E81BD9" w:rsidRDefault="00E81BD9" w:rsidP="00E81BD9">
      <w:pPr>
        <w:spacing w:line="360" w:lineRule="auto"/>
        <w:rPr>
          <w:rFonts w:ascii="Arial" w:hAnsi="Arial" w:cs="Arial"/>
          <w:color w:val="000000" w:themeColor="text1"/>
          <w:sz w:val="22"/>
          <w:szCs w:val="22"/>
        </w:rPr>
      </w:pPr>
    </w:p>
    <w:p w14:paraId="483D1EA9" w14:textId="77777777" w:rsidR="00722AEA" w:rsidRDefault="00722AEA" w:rsidP="00E81BD9">
      <w:pPr>
        <w:spacing w:line="360" w:lineRule="auto"/>
        <w:rPr>
          <w:rFonts w:ascii="Arial" w:hAnsi="Arial" w:cs="Arial"/>
          <w:color w:val="000000" w:themeColor="text1"/>
          <w:sz w:val="22"/>
          <w:szCs w:val="22"/>
        </w:rPr>
      </w:pPr>
    </w:p>
    <w:p w14:paraId="5DB32039" w14:textId="77777777" w:rsidR="00722AEA" w:rsidRDefault="00722AEA" w:rsidP="00E81BD9">
      <w:pPr>
        <w:spacing w:line="360" w:lineRule="auto"/>
        <w:rPr>
          <w:rFonts w:ascii="Arial" w:hAnsi="Arial" w:cs="Arial"/>
          <w:color w:val="000000" w:themeColor="text1"/>
          <w:sz w:val="22"/>
          <w:szCs w:val="22"/>
        </w:rPr>
      </w:pPr>
    </w:p>
    <w:p w14:paraId="51FA1E63" w14:textId="77777777" w:rsidR="00722AEA" w:rsidRDefault="00722AEA" w:rsidP="00E81BD9">
      <w:pPr>
        <w:spacing w:line="360" w:lineRule="auto"/>
        <w:rPr>
          <w:rFonts w:ascii="Arial" w:hAnsi="Arial" w:cs="Arial"/>
          <w:color w:val="000000" w:themeColor="text1"/>
          <w:sz w:val="22"/>
          <w:szCs w:val="22"/>
        </w:rPr>
      </w:pPr>
    </w:p>
    <w:p w14:paraId="7B5967DD" w14:textId="77777777" w:rsidR="00722AEA" w:rsidRDefault="00722AEA" w:rsidP="00E81BD9">
      <w:pPr>
        <w:spacing w:line="360" w:lineRule="auto"/>
        <w:rPr>
          <w:rFonts w:ascii="Arial" w:hAnsi="Arial" w:cs="Arial"/>
          <w:color w:val="000000" w:themeColor="text1"/>
          <w:sz w:val="22"/>
          <w:szCs w:val="22"/>
        </w:rPr>
      </w:pPr>
    </w:p>
    <w:p w14:paraId="031BF9FE" w14:textId="77777777" w:rsidR="00722AEA" w:rsidRDefault="00722AEA" w:rsidP="00E81BD9">
      <w:pPr>
        <w:spacing w:line="360" w:lineRule="auto"/>
        <w:rPr>
          <w:rFonts w:ascii="Arial" w:hAnsi="Arial" w:cs="Arial"/>
          <w:color w:val="000000" w:themeColor="text1"/>
          <w:sz w:val="22"/>
          <w:szCs w:val="22"/>
        </w:rPr>
      </w:pPr>
    </w:p>
    <w:p w14:paraId="65D07E7B" w14:textId="77777777" w:rsidR="00722AEA" w:rsidRDefault="00722AEA" w:rsidP="00E81BD9">
      <w:pPr>
        <w:spacing w:line="360" w:lineRule="auto"/>
        <w:rPr>
          <w:rFonts w:ascii="Arial" w:hAnsi="Arial" w:cs="Arial"/>
          <w:color w:val="000000" w:themeColor="text1"/>
          <w:sz w:val="22"/>
          <w:szCs w:val="22"/>
        </w:rPr>
      </w:pPr>
    </w:p>
    <w:p w14:paraId="7CDDDA35" w14:textId="77777777" w:rsidR="00722AEA" w:rsidRDefault="00722AEA" w:rsidP="00E81BD9">
      <w:pPr>
        <w:spacing w:line="360" w:lineRule="auto"/>
        <w:rPr>
          <w:rFonts w:ascii="Arial" w:hAnsi="Arial" w:cs="Arial"/>
          <w:color w:val="000000" w:themeColor="text1"/>
          <w:sz w:val="22"/>
          <w:szCs w:val="22"/>
        </w:rPr>
      </w:pPr>
    </w:p>
    <w:p w14:paraId="057FE9D4" w14:textId="77777777" w:rsidR="00722AEA" w:rsidRDefault="00722AEA" w:rsidP="00E81BD9">
      <w:pPr>
        <w:spacing w:line="360" w:lineRule="auto"/>
        <w:rPr>
          <w:rFonts w:ascii="Arial" w:hAnsi="Arial" w:cs="Arial"/>
          <w:color w:val="000000" w:themeColor="text1"/>
          <w:sz w:val="22"/>
          <w:szCs w:val="22"/>
        </w:rPr>
      </w:pPr>
    </w:p>
    <w:p w14:paraId="29203841" w14:textId="77777777" w:rsidR="00722AEA" w:rsidRDefault="00722AEA" w:rsidP="00E81BD9">
      <w:pPr>
        <w:spacing w:line="360" w:lineRule="auto"/>
        <w:rPr>
          <w:rFonts w:ascii="Arial" w:hAnsi="Arial" w:cs="Arial"/>
          <w:color w:val="000000" w:themeColor="text1"/>
          <w:sz w:val="22"/>
          <w:szCs w:val="22"/>
        </w:rPr>
      </w:pPr>
    </w:p>
    <w:p w14:paraId="231CE378" w14:textId="77777777" w:rsidR="00722AEA" w:rsidRDefault="00722AEA" w:rsidP="00E81BD9">
      <w:pPr>
        <w:spacing w:line="360" w:lineRule="auto"/>
        <w:rPr>
          <w:rFonts w:ascii="Arial" w:hAnsi="Arial" w:cs="Arial"/>
          <w:color w:val="000000" w:themeColor="text1"/>
          <w:sz w:val="22"/>
          <w:szCs w:val="22"/>
        </w:rPr>
      </w:pPr>
    </w:p>
    <w:p w14:paraId="479399C5" w14:textId="77777777" w:rsidR="00722AEA" w:rsidRDefault="00722AEA" w:rsidP="00E81BD9">
      <w:pPr>
        <w:spacing w:line="360" w:lineRule="auto"/>
        <w:rPr>
          <w:rFonts w:ascii="Arial" w:hAnsi="Arial" w:cs="Arial"/>
          <w:color w:val="000000" w:themeColor="text1"/>
          <w:sz w:val="22"/>
          <w:szCs w:val="22"/>
        </w:rPr>
      </w:pPr>
    </w:p>
    <w:p w14:paraId="13A44047" w14:textId="77777777" w:rsidR="00722AEA" w:rsidRDefault="00722AEA" w:rsidP="00E81BD9">
      <w:pPr>
        <w:spacing w:line="360" w:lineRule="auto"/>
        <w:rPr>
          <w:rFonts w:ascii="Arial" w:hAnsi="Arial" w:cs="Arial"/>
          <w:color w:val="000000" w:themeColor="text1"/>
          <w:sz w:val="22"/>
          <w:szCs w:val="22"/>
        </w:rPr>
      </w:pPr>
    </w:p>
    <w:p w14:paraId="5A52D0FC" w14:textId="77777777" w:rsidR="00722AEA" w:rsidRDefault="00722AEA" w:rsidP="00E81BD9">
      <w:pPr>
        <w:spacing w:line="360" w:lineRule="auto"/>
        <w:rPr>
          <w:rFonts w:ascii="Arial" w:hAnsi="Arial" w:cs="Arial"/>
          <w:color w:val="000000" w:themeColor="text1"/>
          <w:sz w:val="22"/>
          <w:szCs w:val="22"/>
        </w:rPr>
      </w:pPr>
    </w:p>
    <w:p w14:paraId="40C08559" w14:textId="77777777" w:rsidR="00722AEA" w:rsidRDefault="00722AEA" w:rsidP="00E81BD9">
      <w:pPr>
        <w:spacing w:line="360" w:lineRule="auto"/>
        <w:rPr>
          <w:rFonts w:ascii="Arial" w:hAnsi="Arial" w:cs="Arial"/>
          <w:color w:val="000000" w:themeColor="text1"/>
          <w:sz w:val="22"/>
          <w:szCs w:val="22"/>
        </w:rPr>
      </w:pPr>
    </w:p>
    <w:p w14:paraId="0CEA9152" w14:textId="77777777" w:rsidR="00722AEA" w:rsidRDefault="00722AEA" w:rsidP="00E81BD9">
      <w:pPr>
        <w:spacing w:line="360" w:lineRule="auto"/>
        <w:rPr>
          <w:rFonts w:ascii="Arial" w:hAnsi="Arial" w:cs="Arial"/>
          <w:color w:val="000000" w:themeColor="text1"/>
          <w:sz w:val="22"/>
          <w:szCs w:val="22"/>
        </w:rPr>
      </w:pPr>
    </w:p>
    <w:p w14:paraId="2A75D2EB" w14:textId="77777777" w:rsidR="00722AEA" w:rsidRDefault="00722AEA" w:rsidP="00E81BD9">
      <w:pPr>
        <w:spacing w:line="360" w:lineRule="auto"/>
        <w:rPr>
          <w:rFonts w:ascii="Arial" w:hAnsi="Arial" w:cs="Arial"/>
          <w:color w:val="000000" w:themeColor="text1"/>
          <w:sz w:val="22"/>
          <w:szCs w:val="22"/>
        </w:rPr>
      </w:pPr>
    </w:p>
    <w:p w14:paraId="1BA8FA4E" w14:textId="77777777" w:rsidR="00722AEA" w:rsidRDefault="00722AEA" w:rsidP="00E81BD9">
      <w:pPr>
        <w:spacing w:line="360" w:lineRule="auto"/>
        <w:rPr>
          <w:rFonts w:ascii="Arial" w:hAnsi="Arial" w:cs="Arial"/>
          <w:color w:val="000000" w:themeColor="text1"/>
          <w:sz w:val="22"/>
          <w:szCs w:val="22"/>
        </w:rPr>
      </w:pPr>
    </w:p>
    <w:p w14:paraId="5746519A" w14:textId="77777777" w:rsidR="00722AEA" w:rsidRPr="00722AEA" w:rsidRDefault="00722AEA" w:rsidP="00E81BD9">
      <w:pPr>
        <w:spacing w:line="360" w:lineRule="auto"/>
        <w:rPr>
          <w:rFonts w:ascii="Arial" w:hAnsi="Arial" w:cs="Arial"/>
          <w:color w:val="000000" w:themeColor="text1"/>
          <w:sz w:val="22"/>
          <w:szCs w:val="22"/>
        </w:rPr>
      </w:pPr>
    </w:p>
    <w:p w14:paraId="13F52D3A" w14:textId="7EE28BFC" w:rsidR="00E81BD9" w:rsidRPr="00722AEA" w:rsidRDefault="00E81BD9" w:rsidP="00E81BD9">
      <w:pPr>
        <w:pStyle w:val="Heading2"/>
        <w:rPr>
          <w:rFonts w:ascii="Arial" w:hAnsi="Arial" w:cs="Arial"/>
          <w:color w:val="000000" w:themeColor="text1"/>
        </w:rPr>
      </w:pPr>
      <w:bookmarkStart w:id="5" w:name="_Toc235444589"/>
      <w:r w:rsidRPr="00722AEA">
        <w:rPr>
          <w:rFonts w:ascii="Arial" w:hAnsi="Arial" w:cs="Arial"/>
          <w:color w:val="000000" w:themeColor="text1"/>
        </w:rPr>
        <w:lastRenderedPageBreak/>
        <w:t>Section 2.</w:t>
      </w:r>
      <w:r w:rsidR="00957CE9" w:rsidRPr="00722AEA">
        <w:rPr>
          <w:rFonts w:ascii="Arial" w:hAnsi="Arial" w:cs="Arial"/>
          <w:color w:val="000000" w:themeColor="text1"/>
        </w:rPr>
        <w:t>3</w:t>
      </w:r>
      <w:r w:rsidRPr="00722AEA">
        <w:rPr>
          <w:rFonts w:ascii="Arial" w:hAnsi="Arial" w:cs="Arial"/>
          <w:color w:val="000000" w:themeColor="text1"/>
        </w:rPr>
        <w:t>: Internal Environmental Analysis:</w:t>
      </w:r>
      <w:bookmarkEnd w:id="5"/>
    </w:p>
    <w:p w14:paraId="0C7E5FBB" w14:textId="79BAAEBC"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Internally, Bentley possesses significant strengths that support its transformation ambitions. The organisation's commitment to craftsmanship and quality remains a cornerstone of its competitive advantage, with each vehicle requiring extensive hand-crafting and incorporating bespoke features that command premium pricing. The Mulliner division, Bentley's bespoke personalisation service, has experienced increased demand, reflecting growing appetite for personalisation among ultra-wealthy customers and contributing to revenue resilience despite lower volumes. This 'value over volume' strategy, prioritising high-margin Speed and Mulliner derivatives, has underpinned Bentley's financial resilience despite challenging market conditions.</w:t>
      </w:r>
      <w:r w:rsidR="00192D97" w:rsidRPr="00722AEA">
        <w:rPr>
          <w:rFonts w:ascii="Arial" w:hAnsi="Arial" w:cs="Arial"/>
          <w:color w:val="000000" w:themeColor="text1"/>
          <w:sz w:val="22"/>
          <w:szCs w:val="22"/>
        </w:rPr>
        <w:t xml:space="preserve"> “Bentley blends traditional craftsmanship with its carbon-neutral </w:t>
      </w:r>
      <w:r w:rsidR="00333A63">
        <w:rPr>
          <w:rFonts w:ascii="Arial" w:hAnsi="Arial" w:cs="Arial"/>
          <w:color w:val="000000" w:themeColor="text1"/>
          <w:sz w:val="22"/>
          <w:szCs w:val="22"/>
        </w:rPr>
        <w:t>'</w:t>
      </w:r>
      <w:r w:rsidR="00192D97" w:rsidRPr="00722AEA">
        <w:rPr>
          <w:rFonts w:ascii="Arial" w:hAnsi="Arial" w:cs="Arial"/>
          <w:color w:val="000000" w:themeColor="text1"/>
          <w:sz w:val="22"/>
          <w:szCs w:val="22"/>
        </w:rPr>
        <w:t>Dream Factory</w:t>
      </w:r>
      <w:r w:rsidR="00333A63">
        <w:rPr>
          <w:rFonts w:ascii="Arial" w:hAnsi="Arial" w:cs="Arial"/>
          <w:color w:val="000000" w:themeColor="text1"/>
          <w:sz w:val="22"/>
          <w:szCs w:val="22"/>
        </w:rPr>
        <w:t>'</w:t>
      </w:r>
      <w:r w:rsidR="00192D97" w:rsidRPr="00722AEA">
        <w:rPr>
          <w:rFonts w:ascii="Arial" w:hAnsi="Arial" w:cs="Arial"/>
          <w:color w:val="000000" w:themeColor="text1"/>
          <w:sz w:val="22"/>
          <w:szCs w:val="22"/>
        </w:rPr>
        <w:t xml:space="preserve"> to drive its luxury electric future</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AD0357" w:rsidRPr="00722AEA">
        <w:rPr>
          <w:rFonts w:ascii="Arial" w:hAnsi="Arial" w:cs="Arial"/>
          <w:color w:val="000000" w:themeColor="text1"/>
          <w:sz w:val="22"/>
          <w:szCs w:val="22"/>
        </w:rPr>
        <w:t xml:space="preserve"> (Bentley Motors, 2026).</w:t>
      </w:r>
    </w:p>
    <w:p w14:paraId="6D1BA0E4" w14:textId="689910CF"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Bentley's workforce of approximately 4,600 highly skilled employees represents a significant resource but also presents challenges in terms of skills development and cultural adaptation to new technologies and working practices. The organisation's recognition as a UK Top Employer for the fourteenth consecutive year in 2025 suggests strength in employee relations and development, yet the announcement of up to 275 potential job cuts in 2026 reflects the difficult decisions necessary for long-term competitiveness. </w:t>
      </w:r>
      <w:r w:rsidR="00B12A5E" w:rsidRPr="00722AEA">
        <w:rPr>
          <w:rFonts w:ascii="Arial" w:hAnsi="Arial" w:cs="Arial"/>
          <w:color w:val="000000" w:themeColor="text1"/>
          <w:sz w:val="22"/>
          <w:szCs w:val="22"/>
        </w:rPr>
        <w:t xml:space="preserve">“Bentley </w:t>
      </w:r>
      <w:r w:rsidR="006B6084" w:rsidRPr="00722AEA">
        <w:rPr>
          <w:rFonts w:ascii="Arial" w:hAnsi="Arial" w:cs="Arial"/>
          <w:color w:val="000000" w:themeColor="text1"/>
          <w:sz w:val="22"/>
          <w:szCs w:val="22"/>
        </w:rPr>
        <w:t xml:space="preserve">was </w:t>
      </w:r>
      <w:r w:rsidR="0061572B" w:rsidRPr="00722AEA">
        <w:rPr>
          <w:rFonts w:ascii="Arial" w:hAnsi="Arial" w:cs="Arial"/>
          <w:color w:val="000000" w:themeColor="text1"/>
          <w:sz w:val="22"/>
          <w:szCs w:val="22"/>
        </w:rPr>
        <w:t>recognised</w:t>
      </w:r>
      <w:r w:rsidR="006B6084" w:rsidRPr="00722AEA">
        <w:rPr>
          <w:rFonts w:ascii="Arial" w:hAnsi="Arial" w:cs="Arial"/>
          <w:color w:val="000000" w:themeColor="text1"/>
          <w:sz w:val="22"/>
          <w:szCs w:val="22"/>
        </w:rPr>
        <w:t xml:space="preserve"> as the top employer for 14 years according to</w:t>
      </w:r>
      <w:r w:rsidR="0061572B" w:rsidRPr="00722AEA">
        <w:rPr>
          <w:rFonts w:ascii="Arial" w:hAnsi="Arial" w:cs="Arial"/>
          <w:color w:val="000000" w:themeColor="text1"/>
          <w:sz w:val="22"/>
          <w:szCs w:val="22"/>
        </w:rPr>
        <w:t xml:space="preserve">” (Bentley Motors, 2026). </w:t>
      </w:r>
      <w:r w:rsidR="00453562" w:rsidRPr="00453562">
        <w:rPr>
          <w:rFonts w:ascii="Arial" w:hAnsi="Arial" w:cs="Arial"/>
          <w:color w:val="000000" w:themeColor="text1"/>
          <w:sz w:val="22"/>
          <w:szCs w:val="22"/>
        </w:rPr>
        <w:t>The business has stepped up its environmental awareness programs and prepared its workforce with the skills needed for the shift to electric vehicles. At the same time, leadership made measurable progress toward fostering a fairer, more inclusive workplace culture.</w:t>
      </w:r>
      <w:r w:rsidR="00453562">
        <w:rPr>
          <w:rFonts w:ascii="Arial" w:hAnsi="Arial" w:cs="Arial"/>
          <w:color w:val="000000" w:themeColor="text1"/>
          <w:sz w:val="22"/>
          <w:szCs w:val="22"/>
        </w:rPr>
        <w:t xml:space="preserve"> </w:t>
      </w:r>
      <w:r w:rsidR="002307E2" w:rsidRPr="00722AEA">
        <w:rPr>
          <w:rFonts w:ascii="Arial" w:hAnsi="Arial" w:cs="Arial"/>
          <w:color w:val="000000" w:themeColor="text1"/>
          <w:sz w:val="22"/>
          <w:szCs w:val="22"/>
        </w:rPr>
        <w:t>“</w:t>
      </w:r>
      <w:r w:rsidR="004413B7" w:rsidRPr="00722AEA">
        <w:rPr>
          <w:rFonts w:ascii="Arial" w:hAnsi="Arial" w:cs="Arial"/>
          <w:color w:val="000000" w:themeColor="text1"/>
          <w:sz w:val="22"/>
          <w:szCs w:val="22"/>
        </w:rPr>
        <w:t>Bentley's</w:t>
      </w:r>
      <w:r w:rsidR="002307E2" w:rsidRPr="00722AEA">
        <w:rPr>
          <w:rFonts w:ascii="Arial" w:hAnsi="Arial" w:cs="Arial"/>
          <w:color w:val="000000" w:themeColor="text1"/>
          <w:sz w:val="22"/>
          <w:szCs w:val="22"/>
        </w:rPr>
        <w:t xml:space="preserve"> workforce is around 4000 employees to help maintain the brand's operational structure</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 xml:space="preserve">according to” </w:t>
      </w:r>
      <w:r w:rsidR="004413B7" w:rsidRPr="00722AEA">
        <w:rPr>
          <w:rFonts w:ascii="Arial" w:hAnsi="Arial" w:cs="Arial"/>
          <w:color w:val="000000" w:themeColor="text1"/>
          <w:sz w:val="22"/>
          <w:szCs w:val="22"/>
        </w:rPr>
        <w:t>(Bentley Motors, 2026).</w:t>
      </w:r>
    </w:p>
    <w:p w14:paraId="30D7DBE3" w14:textId="2B3B1975"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Financial performance has been volatile, with the organisation experiencing significant profitability in recent years followed by deterioration driven by external pressures. The 2025 operating profit of £187 million, whilst representing a 42% decline from the previous year, nevertheless represented Bentley's seventh consecutive year of profitability. </w:t>
      </w:r>
      <w:r w:rsidR="0087787E" w:rsidRPr="00722AEA">
        <w:rPr>
          <w:rFonts w:ascii="Arial" w:hAnsi="Arial" w:cs="Arial"/>
          <w:color w:val="000000" w:themeColor="text1"/>
          <w:sz w:val="22"/>
          <w:szCs w:val="22"/>
        </w:rPr>
        <w:t>“</w:t>
      </w:r>
      <w:r w:rsidR="00515D47" w:rsidRPr="00722AEA">
        <w:rPr>
          <w:rFonts w:ascii="Arial" w:hAnsi="Arial" w:cs="Arial"/>
          <w:color w:val="000000" w:themeColor="text1"/>
          <w:sz w:val="22"/>
          <w:szCs w:val="22"/>
        </w:rPr>
        <w:t xml:space="preserve">Bentley </w:t>
      </w:r>
      <w:r w:rsidR="005E1BBC" w:rsidRPr="00722AEA">
        <w:rPr>
          <w:rFonts w:ascii="Arial" w:hAnsi="Arial" w:cs="Arial"/>
          <w:color w:val="000000" w:themeColor="text1"/>
          <w:sz w:val="22"/>
          <w:szCs w:val="22"/>
        </w:rPr>
        <w:t>witnessed a £187 million profit in 2025 according to”</w:t>
      </w:r>
      <w:r w:rsidR="00C46A95" w:rsidRPr="00722AEA">
        <w:rPr>
          <w:rFonts w:ascii="Arial" w:hAnsi="Arial" w:cs="Arial"/>
          <w:color w:val="000000" w:themeColor="text1"/>
          <w:sz w:val="22"/>
          <w:szCs w:val="22"/>
        </w:rPr>
        <w:t xml:space="preserve"> (Automotive World, 2026).</w:t>
      </w:r>
      <w:r w:rsidR="002D5F5C">
        <w:rPr>
          <w:rFonts w:ascii="Arial" w:hAnsi="Arial" w:cs="Arial"/>
          <w:color w:val="000000" w:themeColor="text1"/>
          <w:sz w:val="22"/>
          <w:szCs w:val="22"/>
        </w:rPr>
        <w:t xml:space="preserve"> </w:t>
      </w:r>
      <w:r w:rsidR="002D5F5C" w:rsidRPr="002D5F5C">
        <w:rPr>
          <w:rFonts w:ascii="Arial" w:hAnsi="Arial" w:cs="Arial"/>
          <w:color w:val="000000" w:themeColor="text1"/>
          <w:sz w:val="22"/>
          <w:szCs w:val="22"/>
        </w:rPr>
        <w:t>Management pointed out that performance was hit by costs from Volkswagen's exit from a major vehicle platform, combined with trade tariffs and currency headwinds. Navigating these headwinds requires strict budget discipline to protect the capital needed for their ongoing market transition</w:t>
      </w:r>
      <w:r w:rsidRPr="00722AEA">
        <w:rPr>
          <w:rFonts w:ascii="Arial" w:hAnsi="Arial" w:cs="Arial"/>
          <w:color w:val="000000" w:themeColor="text1"/>
          <w:sz w:val="22"/>
          <w:szCs w:val="22"/>
        </w:rPr>
        <w:t>.</w:t>
      </w:r>
      <w:r w:rsidR="000B50AB" w:rsidRPr="00722AEA">
        <w:rPr>
          <w:rFonts w:ascii="Arial" w:hAnsi="Arial" w:cs="Arial"/>
          <w:color w:val="000000" w:themeColor="text1"/>
          <w:sz w:val="22"/>
          <w:szCs w:val="22"/>
        </w:rPr>
        <w:t xml:space="preserve"> </w:t>
      </w:r>
      <w:r w:rsidR="006E776A" w:rsidRPr="00722AEA">
        <w:rPr>
          <w:rFonts w:ascii="Arial" w:hAnsi="Arial" w:cs="Arial"/>
          <w:color w:val="000000" w:themeColor="text1"/>
          <w:sz w:val="22"/>
          <w:szCs w:val="22"/>
        </w:rPr>
        <w:t>R</w:t>
      </w:r>
      <w:r w:rsidR="000B50AB" w:rsidRPr="00722AEA">
        <w:rPr>
          <w:rFonts w:ascii="Arial" w:hAnsi="Arial" w:cs="Arial"/>
          <w:color w:val="000000" w:themeColor="text1"/>
          <w:sz w:val="22"/>
          <w:szCs w:val="22"/>
        </w:rPr>
        <w:t>eg</w:t>
      </w:r>
      <w:r w:rsidR="006E776A" w:rsidRPr="00722AEA">
        <w:rPr>
          <w:rFonts w:ascii="Arial" w:hAnsi="Arial" w:cs="Arial"/>
          <w:color w:val="000000" w:themeColor="text1"/>
          <w:sz w:val="22"/>
          <w:szCs w:val="22"/>
        </w:rPr>
        <w:t>arding the TOWS Analysis</w:t>
      </w:r>
      <w:r w:rsidR="0039524D" w:rsidRPr="00722AEA">
        <w:rPr>
          <w:rFonts w:ascii="Arial" w:hAnsi="Arial" w:cs="Arial"/>
          <w:color w:val="000000" w:themeColor="text1"/>
          <w:sz w:val="22"/>
          <w:szCs w:val="22"/>
        </w:rPr>
        <w:t>,</w:t>
      </w:r>
      <w:r w:rsidR="006E776A" w:rsidRPr="00722AEA">
        <w:rPr>
          <w:rFonts w:ascii="Arial" w:hAnsi="Arial" w:cs="Arial"/>
          <w:color w:val="000000" w:themeColor="text1"/>
          <w:sz w:val="22"/>
          <w:szCs w:val="22"/>
        </w:rPr>
        <w:t xml:space="preserve"> </w:t>
      </w:r>
      <w:r w:rsidR="005B2A3C" w:rsidRPr="00722AEA">
        <w:rPr>
          <w:rFonts w:ascii="Arial" w:hAnsi="Arial" w:cs="Arial"/>
          <w:color w:val="000000" w:themeColor="text1"/>
          <w:sz w:val="22"/>
          <w:szCs w:val="22"/>
        </w:rPr>
        <w:t xml:space="preserve">this segment has been </w:t>
      </w:r>
      <w:r w:rsidR="0039524D" w:rsidRPr="00722AEA">
        <w:rPr>
          <w:rFonts w:ascii="Arial" w:hAnsi="Arial" w:cs="Arial"/>
          <w:color w:val="000000" w:themeColor="text1"/>
          <w:sz w:val="22"/>
          <w:szCs w:val="22"/>
        </w:rPr>
        <w:t>covered</w:t>
      </w:r>
      <w:r w:rsidR="005B2A3C" w:rsidRPr="00722AEA">
        <w:rPr>
          <w:rFonts w:ascii="Arial" w:hAnsi="Arial" w:cs="Arial"/>
          <w:color w:val="000000" w:themeColor="text1"/>
          <w:sz w:val="22"/>
          <w:szCs w:val="22"/>
        </w:rPr>
        <w:t xml:space="preserve"> in the appendix section</w:t>
      </w:r>
      <w:r w:rsidR="00512B93" w:rsidRPr="00722AEA">
        <w:rPr>
          <w:rFonts w:ascii="Arial" w:hAnsi="Arial" w:cs="Arial"/>
          <w:color w:val="000000" w:themeColor="text1"/>
          <w:sz w:val="22"/>
          <w:szCs w:val="22"/>
        </w:rPr>
        <w:t>,</w:t>
      </w:r>
      <w:r w:rsidR="005B2A3C" w:rsidRPr="00722AEA">
        <w:rPr>
          <w:rFonts w:ascii="Arial" w:hAnsi="Arial" w:cs="Arial"/>
          <w:color w:val="000000" w:themeColor="text1"/>
          <w:sz w:val="22"/>
          <w:szCs w:val="22"/>
        </w:rPr>
        <w:t xml:space="preserve"> </w:t>
      </w:r>
      <w:r w:rsidR="007004FF" w:rsidRPr="00722AEA">
        <w:rPr>
          <w:rFonts w:ascii="Arial" w:hAnsi="Arial" w:cs="Arial"/>
          <w:color w:val="000000" w:themeColor="text1"/>
          <w:sz w:val="22"/>
          <w:szCs w:val="22"/>
        </w:rPr>
        <w:t xml:space="preserve">which </w:t>
      </w:r>
      <w:r w:rsidR="0039524D" w:rsidRPr="00722AEA">
        <w:rPr>
          <w:rFonts w:ascii="Arial" w:hAnsi="Arial" w:cs="Arial"/>
          <w:color w:val="000000" w:themeColor="text1"/>
          <w:sz w:val="22"/>
          <w:szCs w:val="22"/>
        </w:rPr>
        <w:t>analyses Bentley's</w:t>
      </w:r>
      <w:r w:rsidR="007004FF" w:rsidRPr="00722AEA">
        <w:rPr>
          <w:rFonts w:ascii="Arial" w:hAnsi="Arial" w:cs="Arial"/>
          <w:color w:val="000000" w:themeColor="text1"/>
          <w:sz w:val="22"/>
          <w:szCs w:val="22"/>
        </w:rPr>
        <w:t xml:space="preserve"> internal and external </w:t>
      </w:r>
      <w:r w:rsidR="0039524D" w:rsidRPr="00722AEA">
        <w:rPr>
          <w:rFonts w:ascii="Arial" w:hAnsi="Arial" w:cs="Arial"/>
          <w:color w:val="000000" w:themeColor="text1"/>
          <w:sz w:val="22"/>
          <w:szCs w:val="22"/>
        </w:rPr>
        <w:t>factors</w:t>
      </w:r>
      <w:r w:rsidR="007004FF" w:rsidRPr="00722AEA">
        <w:rPr>
          <w:rFonts w:ascii="Arial" w:hAnsi="Arial" w:cs="Arial"/>
          <w:color w:val="000000" w:themeColor="text1"/>
          <w:sz w:val="22"/>
          <w:szCs w:val="22"/>
        </w:rPr>
        <w:t xml:space="preserve"> </w:t>
      </w:r>
      <w:r w:rsidR="0039524D" w:rsidRPr="00722AEA">
        <w:rPr>
          <w:rFonts w:ascii="Arial" w:hAnsi="Arial" w:cs="Arial"/>
          <w:color w:val="000000" w:themeColor="text1"/>
          <w:sz w:val="22"/>
          <w:szCs w:val="22"/>
        </w:rPr>
        <w:t>and how these elements impact the organisation.</w:t>
      </w:r>
    </w:p>
    <w:p w14:paraId="6D1C65EC" w14:textId="77777777" w:rsidR="00E81BD9" w:rsidRPr="00722AEA" w:rsidRDefault="00E81BD9" w:rsidP="00E81BD9">
      <w:pPr>
        <w:spacing w:line="360" w:lineRule="auto"/>
        <w:rPr>
          <w:rFonts w:ascii="Arial" w:hAnsi="Arial" w:cs="Arial"/>
          <w:color w:val="000000" w:themeColor="text1"/>
          <w:sz w:val="22"/>
          <w:szCs w:val="22"/>
        </w:rPr>
      </w:pPr>
    </w:p>
    <w:p w14:paraId="7F3B1029" w14:textId="3B73BFA9" w:rsidR="00E81BD9" w:rsidRPr="00722AEA" w:rsidRDefault="00E81BD9" w:rsidP="00E81BD9">
      <w:pPr>
        <w:pStyle w:val="Heading2"/>
        <w:rPr>
          <w:rFonts w:ascii="Arial" w:hAnsi="Arial" w:cs="Arial"/>
          <w:color w:val="000000" w:themeColor="text1"/>
        </w:rPr>
      </w:pPr>
      <w:bookmarkStart w:id="6" w:name="_Toc235444590"/>
      <w:r w:rsidRPr="00722AEA">
        <w:rPr>
          <w:rFonts w:ascii="Arial" w:hAnsi="Arial" w:cs="Arial"/>
          <w:color w:val="000000" w:themeColor="text1"/>
        </w:rPr>
        <w:lastRenderedPageBreak/>
        <w:t>Section 2.4: Impact of Digital Disruption and Artificial Intelligence:</w:t>
      </w:r>
      <w:bookmarkEnd w:id="6"/>
    </w:p>
    <w:p w14:paraId="5A4629A8" w14:textId="22A161D1" w:rsidR="00AD114E"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 Digital disruption has profound implications for Bentley's business model and competitive positioning. The integration of artificial intelligence into vehicle systems, manufacturing processes, and customer interactions represents both a threat and an opportunity. Bentley has embraced digital transformation through its Dream Factory initiative, incorporating artificial intelligence hide inspection to improve the sustainability of leather use, virtual reality training, and digital twin simulation of production processes. The partnership with Capgemini aims to push Bentley's goal to transform its Crewe site into the 'Dream Factory', with modernised manufacturing systems, strengthened AI and data capabilities, and integrated back-office processes.</w:t>
      </w:r>
      <w:r w:rsidR="003F7CD8" w:rsidRPr="00722AEA">
        <w:rPr>
          <w:rFonts w:ascii="Arial" w:hAnsi="Arial" w:cs="Arial"/>
          <w:color w:val="000000" w:themeColor="text1"/>
          <w:sz w:val="22"/>
          <w:szCs w:val="22"/>
        </w:rPr>
        <w:t xml:space="preserve"> “Bentley embeds smart AI into its cabins to craft hyper-personalised luxury spaces that read a driver's mood and needs</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3F7CD8" w:rsidRPr="00722AEA">
        <w:rPr>
          <w:rFonts w:ascii="Arial" w:hAnsi="Arial" w:cs="Arial"/>
          <w:color w:val="000000" w:themeColor="text1"/>
          <w:sz w:val="22"/>
          <w:szCs w:val="22"/>
        </w:rPr>
        <w:t xml:space="preserve"> </w:t>
      </w:r>
      <w:r w:rsidR="00AD114E" w:rsidRPr="00722AEA">
        <w:rPr>
          <w:rFonts w:ascii="Arial" w:hAnsi="Arial" w:cs="Arial"/>
          <w:color w:val="000000" w:themeColor="text1"/>
          <w:sz w:val="22"/>
          <w:szCs w:val="22"/>
        </w:rPr>
        <w:t xml:space="preserve">(Shehadeh, M. and </w:t>
      </w:r>
      <w:proofErr w:type="spellStart"/>
      <w:r w:rsidR="00AD114E" w:rsidRPr="00722AEA">
        <w:rPr>
          <w:rFonts w:ascii="Arial" w:hAnsi="Arial" w:cs="Arial"/>
          <w:color w:val="000000" w:themeColor="text1"/>
          <w:sz w:val="22"/>
          <w:szCs w:val="22"/>
        </w:rPr>
        <w:t>Hussainey</w:t>
      </w:r>
      <w:proofErr w:type="spellEnd"/>
      <w:r w:rsidR="00AD114E" w:rsidRPr="00722AEA">
        <w:rPr>
          <w:rFonts w:ascii="Arial" w:hAnsi="Arial" w:cs="Arial"/>
          <w:color w:val="000000" w:themeColor="text1"/>
          <w:sz w:val="22"/>
          <w:szCs w:val="22"/>
        </w:rPr>
        <w:t>, K. eds., 2025). </w:t>
      </w:r>
    </w:p>
    <w:p w14:paraId="463297B6" w14:textId="1ADE393A"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However, the organisation faces challenges in developing the software capabilities required for connected, autonomous vehicles. Competing with technology companies and more digitally mature manufacturers for talent and capabilities creates pressure on the organisation's culture and investment priorities. The shift from mechanical engineering to software and electrical engineering expertise requires significant investment in training, recruitment, and organisational change.</w:t>
      </w:r>
    </w:p>
    <w:p w14:paraId="06137EC3" w14:textId="30C3434A" w:rsidR="009E0F13" w:rsidRPr="00722AEA" w:rsidRDefault="009E0F13" w:rsidP="009E0F13">
      <w:pPr>
        <w:pStyle w:val="Heading2"/>
        <w:rPr>
          <w:color w:val="000000" w:themeColor="text1"/>
        </w:rPr>
      </w:pPr>
      <w:bookmarkStart w:id="7" w:name="_Toc235444591"/>
      <w:r w:rsidRPr="00722AEA">
        <w:rPr>
          <w:color w:val="000000" w:themeColor="text1"/>
        </w:rPr>
        <w:t>Section 2.5: Summary of Environmental Impact on Bentley:</w:t>
      </w:r>
      <w:bookmarkEnd w:id="7"/>
    </w:p>
    <w:p w14:paraId="1C343332" w14:textId="7E43B213" w:rsidR="009E0F13" w:rsidRDefault="009E0F13" w:rsidP="00E81BD9">
      <w:pPr>
        <w:spacing w:line="360" w:lineRule="auto"/>
        <w:rPr>
          <w:rFonts w:ascii="Arial" w:hAnsi="Arial" w:cs="Arial"/>
          <w:sz w:val="22"/>
          <w:szCs w:val="22"/>
        </w:rPr>
      </w:pPr>
      <w:r w:rsidRPr="00722AEA">
        <w:rPr>
          <w:rFonts w:ascii="Arial" w:hAnsi="Arial" w:cs="Arial"/>
          <w:color w:val="000000" w:themeColor="text1"/>
          <w:sz w:val="22"/>
          <w:szCs w:val="22"/>
        </w:rPr>
        <w:t xml:space="preserve">Bentley's position is characterised by significant strengths: strong brand heritage, </w:t>
      </w:r>
      <w:r w:rsidRPr="009E0F13">
        <w:rPr>
          <w:rFonts w:ascii="Arial" w:hAnsi="Arial" w:cs="Arial"/>
          <w:sz w:val="22"/>
          <w:szCs w:val="22"/>
        </w:rPr>
        <w:t>commitment to craftsmanship, 'value over volume' strategy, and a global market presence. However, these strengths are offset by vulnerabilities: dependence on key markets including the US and China where tariffs and economic contraction have created challenges; the inherent tension between luxury heritage and electrification imperatives; and the financial pressure of funding transformation whilst maintaining profitability. The organisation must also navigate the human dimensions of change, including workforce adaptation, cultural transformation, and the leadership challenge of balancing continuity and transformation.</w:t>
      </w:r>
    </w:p>
    <w:p w14:paraId="6B02C6C3" w14:textId="77777777" w:rsidR="009E0F13" w:rsidRDefault="009E0F13" w:rsidP="00E81BD9">
      <w:pPr>
        <w:spacing w:line="360" w:lineRule="auto"/>
        <w:rPr>
          <w:rFonts w:ascii="Arial" w:hAnsi="Arial" w:cs="Arial"/>
          <w:sz w:val="22"/>
          <w:szCs w:val="22"/>
        </w:rPr>
      </w:pPr>
    </w:p>
    <w:p w14:paraId="06E0BDA5" w14:textId="77777777" w:rsidR="009E0F13" w:rsidRDefault="009E0F13" w:rsidP="00E81BD9">
      <w:pPr>
        <w:spacing w:line="360" w:lineRule="auto"/>
        <w:rPr>
          <w:rFonts w:ascii="Arial" w:hAnsi="Arial" w:cs="Arial"/>
          <w:sz w:val="22"/>
          <w:szCs w:val="22"/>
        </w:rPr>
      </w:pPr>
    </w:p>
    <w:p w14:paraId="5DD4D687" w14:textId="77777777" w:rsidR="009E0F13" w:rsidRDefault="009E0F13" w:rsidP="00E81BD9">
      <w:pPr>
        <w:spacing w:line="360" w:lineRule="auto"/>
        <w:rPr>
          <w:rFonts w:ascii="Arial" w:hAnsi="Arial" w:cs="Arial"/>
          <w:sz w:val="22"/>
          <w:szCs w:val="22"/>
        </w:rPr>
      </w:pPr>
    </w:p>
    <w:p w14:paraId="5B8388E3" w14:textId="77777777" w:rsidR="009E0F13" w:rsidRDefault="009E0F13" w:rsidP="00E81BD9">
      <w:pPr>
        <w:spacing w:line="360" w:lineRule="auto"/>
        <w:rPr>
          <w:rFonts w:ascii="Arial" w:hAnsi="Arial" w:cs="Arial"/>
          <w:sz w:val="22"/>
          <w:szCs w:val="22"/>
        </w:rPr>
      </w:pPr>
    </w:p>
    <w:p w14:paraId="3EA88CE1" w14:textId="77777777" w:rsidR="009E0F13" w:rsidRDefault="009E0F13" w:rsidP="00E81BD9">
      <w:pPr>
        <w:spacing w:line="360" w:lineRule="auto"/>
        <w:rPr>
          <w:rFonts w:ascii="Arial" w:hAnsi="Arial" w:cs="Arial"/>
          <w:sz w:val="22"/>
          <w:szCs w:val="22"/>
        </w:rPr>
      </w:pPr>
    </w:p>
    <w:p w14:paraId="3453D615" w14:textId="0F48A74B" w:rsidR="009E0F13" w:rsidRPr="00722AEA" w:rsidRDefault="009E0F13" w:rsidP="009E0F13">
      <w:pPr>
        <w:pStyle w:val="Heading1"/>
        <w:rPr>
          <w:rFonts w:ascii="Arial" w:hAnsi="Arial" w:cs="Arial"/>
          <w:color w:val="000000" w:themeColor="text1"/>
          <w:sz w:val="36"/>
          <w:szCs w:val="36"/>
        </w:rPr>
      </w:pPr>
      <w:bookmarkStart w:id="8" w:name="_Toc235444592"/>
      <w:r w:rsidRPr="00722AEA">
        <w:rPr>
          <w:rFonts w:ascii="Arial" w:hAnsi="Arial" w:cs="Arial"/>
          <w:color w:val="000000" w:themeColor="text1"/>
          <w:sz w:val="36"/>
          <w:szCs w:val="36"/>
        </w:rPr>
        <w:lastRenderedPageBreak/>
        <w:t>Section 3: Evaluation of Change Management Models and Leadership Approaches:</w:t>
      </w:r>
      <w:bookmarkEnd w:id="8"/>
      <w:r w:rsidRPr="00722AEA">
        <w:rPr>
          <w:rFonts w:ascii="Arial" w:hAnsi="Arial" w:cs="Arial"/>
          <w:color w:val="000000" w:themeColor="text1"/>
          <w:sz w:val="36"/>
          <w:szCs w:val="36"/>
        </w:rPr>
        <w:t xml:space="preserve"> </w:t>
      </w:r>
    </w:p>
    <w:p w14:paraId="0CCC75D7" w14:textId="503A6BB4" w:rsidR="009E0F13" w:rsidRPr="00722AEA" w:rsidRDefault="009E0F13" w:rsidP="009E0F13">
      <w:pPr>
        <w:pStyle w:val="Heading2"/>
        <w:rPr>
          <w:rFonts w:ascii="Arial" w:hAnsi="Arial" w:cs="Arial"/>
          <w:color w:val="000000" w:themeColor="text1"/>
        </w:rPr>
      </w:pPr>
      <w:bookmarkStart w:id="9" w:name="_Toc235444593"/>
      <w:r w:rsidRPr="00722AEA">
        <w:rPr>
          <w:rFonts w:ascii="Arial" w:hAnsi="Arial" w:cs="Arial"/>
          <w:color w:val="000000" w:themeColor="text1"/>
        </w:rPr>
        <w:t>Section3.1: Theoretical Framework for Change Management:</w:t>
      </w:r>
      <w:bookmarkEnd w:id="9"/>
    </w:p>
    <w:p w14:paraId="063E2AFC" w14:textId="16B0E014" w:rsidR="00E81BD9" w:rsidRPr="00722AEA" w:rsidRDefault="009E0F13"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The successful implementation of strategic change in complex organisations requires </w:t>
      </w:r>
      <w:r w:rsidR="007E083B" w:rsidRPr="00722AEA">
        <w:rPr>
          <w:rFonts w:ascii="Arial" w:hAnsi="Arial" w:cs="Arial"/>
          <w:color w:val="000000" w:themeColor="text1"/>
          <w:sz w:val="22"/>
          <w:szCs w:val="22"/>
        </w:rPr>
        <w:t xml:space="preserve">a </w:t>
      </w:r>
      <w:r w:rsidRPr="00722AEA">
        <w:rPr>
          <w:rFonts w:ascii="Arial" w:hAnsi="Arial" w:cs="Arial"/>
          <w:color w:val="000000" w:themeColor="text1"/>
          <w:sz w:val="22"/>
          <w:szCs w:val="22"/>
        </w:rPr>
        <w:t>sophisticated understanding of change management theory and practice. Two widely recognised models provide useful frameworks for analysing Bentley's transformation journey and developing future change management strategies. Kotter's Eight-Step Change Model, developed through extensive research into successful organisational transformations, emphasises the importance of creating urgency, building coalitions, developing vision, communicating vision, empowering action, generating short-term wins, consolidating gains, and anchoring change in culture. Lewin's Three-Step Model conceptualises change as a three-stage process of unfreezing, changing, and refreezing, offering a simpler framework for understanding the dynamics of organisational transformation.</w:t>
      </w:r>
      <w:r w:rsidR="00522958" w:rsidRPr="00722AEA">
        <w:rPr>
          <w:rFonts w:ascii="Arial" w:hAnsi="Arial" w:cs="Arial"/>
          <w:color w:val="000000" w:themeColor="text1"/>
          <w:sz w:val="22"/>
          <w:szCs w:val="22"/>
        </w:rPr>
        <w:t xml:space="preserve"> “Automotive brands use structured change models to guide factory workers through the bumpy shift from building gas engines to assembling complex electric vehicles</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522958" w:rsidRPr="00722AEA">
        <w:rPr>
          <w:rFonts w:ascii="Arial" w:hAnsi="Arial" w:cs="Arial"/>
          <w:color w:val="000000" w:themeColor="text1"/>
          <w:sz w:val="22"/>
          <w:szCs w:val="22"/>
        </w:rPr>
        <w:t xml:space="preserve"> (</w:t>
      </w:r>
      <w:r w:rsidR="00E17EA2" w:rsidRPr="00722AEA">
        <w:rPr>
          <w:rFonts w:ascii="Arial" w:hAnsi="Arial" w:cs="Arial"/>
          <w:color w:val="000000" w:themeColor="text1"/>
          <w:sz w:val="22"/>
          <w:szCs w:val="22"/>
        </w:rPr>
        <w:t xml:space="preserve">Thanh, U.T., 2022). </w:t>
      </w:r>
    </w:p>
    <w:p w14:paraId="34F459C6" w14:textId="77777777" w:rsidR="009E0F13" w:rsidRDefault="009E0F13" w:rsidP="00E81BD9">
      <w:pPr>
        <w:spacing w:line="360" w:lineRule="auto"/>
        <w:rPr>
          <w:rFonts w:ascii="Arial" w:hAnsi="Arial" w:cs="Arial"/>
          <w:sz w:val="22"/>
          <w:szCs w:val="22"/>
        </w:rPr>
      </w:pPr>
    </w:p>
    <w:p w14:paraId="27D8A109" w14:textId="77777777" w:rsidR="009E0F13" w:rsidRDefault="009E0F13" w:rsidP="00E81BD9">
      <w:pPr>
        <w:spacing w:line="360" w:lineRule="auto"/>
        <w:rPr>
          <w:rFonts w:ascii="Arial" w:hAnsi="Arial" w:cs="Arial"/>
          <w:sz w:val="22"/>
          <w:szCs w:val="22"/>
        </w:rPr>
      </w:pPr>
    </w:p>
    <w:p w14:paraId="6054C423" w14:textId="77777777" w:rsidR="009E0F13" w:rsidRDefault="009E0F13" w:rsidP="00E81BD9">
      <w:pPr>
        <w:spacing w:line="360" w:lineRule="auto"/>
        <w:rPr>
          <w:rFonts w:ascii="Arial" w:hAnsi="Arial" w:cs="Arial"/>
          <w:sz w:val="22"/>
          <w:szCs w:val="22"/>
        </w:rPr>
      </w:pPr>
    </w:p>
    <w:p w14:paraId="1689129A" w14:textId="77777777" w:rsidR="009E0F13" w:rsidRDefault="009E0F13" w:rsidP="00E81BD9">
      <w:pPr>
        <w:spacing w:line="360" w:lineRule="auto"/>
        <w:rPr>
          <w:rFonts w:ascii="Arial" w:hAnsi="Arial" w:cs="Arial"/>
          <w:sz w:val="22"/>
          <w:szCs w:val="22"/>
        </w:rPr>
      </w:pPr>
    </w:p>
    <w:p w14:paraId="19B4A0B8" w14:textId="77777777" w:rsidR="009E0F13" w:rsidRDefault="009E0F13" w:rsidP="00E81BD9">
      <w:pPr>
        <w:spacing w:line="360" w:lineRule="auto"/>
        <w:rPr>
          <w:rFonts w:ascii="Arial" w:hAnsi="Arial" w:cs="Arial"/>
          <w:sz w:val="22"/>
          <w:szCs w:val="22"/>
        </w:rPr>
      </w:pPr>
    </w:p>
    <w:p w14:paraId="5C3E2764" w14:textId="77777777" w:rsidR="009E0F13" w:rsidRDefault="009E0F13" w:rsidP="00E81BD9">
      <w:pPr>
        <w:spacing w:line="360" w:lineRule="auto"/>
        <w:rPr>
          <w:rFonts w:ascii="Arial" w:hAnsi="Arial" w:cs="Arial"/>
          <w:sz w:val="22"/>
          <w:szCs w:val="22"/>
        </w:rPr>
      </w:pPr>
    </w:p>
    <w:p w14:paraId="00184E73" w14:textId="77777777" w:rsidR="009E0F13" w:rsidRDefault="009E0F13" w:rsidP="00E81BD9">
      <w:pPr>
        <w:spacing w:line="360" w:lineRule="auto"/>
        <w:rPr>
          <w:rFonts w:ascii="Arial" w:hAnsi="Arial" w:cs="Arial"/>
          <w:sz w:val="22"/>
          <w:szCs w:val="22"/>
        </w:rPr>
      </w:pPr>
    </w:p>
    <w:p w14:paraId="1E0D156D" w14:textId="77777777" w:rsidR="009E0F13" w:rsidRDefault="009E0F13" w:rsidP="00E81BD9">
      <w:pPr>
        <w:spacing w:line="360" w:lineRule="auto"/>
        <w:rPr>
          <w:rFonts w:ascii="Arial" w:hAnsi="Arial" w:cs="Arial"/>
          <w:sz w:val="22"/>
          <w:szCs w:val="22"/>
        </w:rPr>
      </w:pPr>
    </w:p>
    <w:p w14:paraId="318FD75E" w14:textId="77777777" w:rsidR="009E0F13" w:rsidRDefault="009E0F13" w:rsidP="00E81BD9">
      <w:pPr>
        <w:spacing w:line="360" w:lineRule="auto"/>
        <w:rPr>
          <w:rFonts w:ascii="Arial" w:hAnsi="Arial" w:cs="Arial"/>
          <w:sz w:val="22"/>
          <w:szCs w:val="22"/>
        </w:rPr>
      </w:pPr>
    </w:p>
    <w:p w14:paraId="748886F7" w14:textId="77777777" w:rsidR="009E0F13" w:rsidRDefault="009E0F13" w:rsidP="00E81BD9">
      <w:pPr>
        <w:spacing w:line="360" w:lineRule="auto"/>
        <w:rPr>
          <w:rFonts w:ascii="Arial" w:hAnsi="Arial" w:cs="Arial"/>
          <w:sz w:val="22"/>
          <w:szCs w:val="22"/>
        </w:rPr>
      </w:pPr>
    </w:p>
    <w:p w14:paraId="29499979" w14:textId="77777777" w:rsidR="009E0F13" w:rsidRDefault="009E0F13" w:rsidP="00E81BD9">
      <w:pPr>
        <w:spacing w:line="360" w:lineRule="auto"/>
        <w:rPr>
          <w:rFonts w:ascii="Arial" w:hAnsi="Arial" w:cs="Arial"/>
          <w:sz w:val="22"/>
          <w:szCs w:val="22"/>
        </w:rPr>
      </w:pPr>
    </w:p>
    <w:p w14:paraId="76475576" w14:textId="77777777" w:rsidR="009E0F13" w:rsidRDefault="009E0F13" w:rsidP="00E81BD9">
      <w:pPr>
        <w:spacing w:line="360" w:lineRule="auto"/>
        <w:rPr>
          <w:rFonts w:ascii="Arial" w:hAnsi="Arial" w:cs="Arial"/>
          <w:sz w:val="22"/>
          <w:szCs w:val="22"/>
        </w:rPr>
      </w:pPr>
    </w:p>
    <w:p w14:paraId="72685CF2" w14:textId="77777777" w:rsidR="009E0F13" w:rsidRDefault="009E0F13" w:rsidP="00E81BD9">
      <w:pPr>
        <w:spacing w:line="360" w:lineRule="auto"/>
        <w:rPr>
          <w:rFonts w:ascii="Arial" w:hAnsi="Arial" w:cs="Arial"/>
          <w:sz w:val="22"/>
          <w:szCs w:val="22"/>
        </w:rPr>
      </w:pPr>
    </w:p>
    <w:p w14:paraId="2A79C4A9" w14:textId="77777777" w:rsidR="009E0F13" w:rsidRDefault="009E0F13" w:rsidP="00E81BD9">
      <w:pPr>
        <w:spacing w:line="360" w:lineRule="auto"/>
        <w:rPr>
          <w:rFonts w:ascii="Arial" w:hAnsi="Arial" w:cs="Arial"/>
          <w:sz w:val="22"/>
          <w:szCs w:val="22"/>
        </w:rPr>
      </w:pPr>
    </w:p>
    <w:p w14:paraId="1B6A4992" w14:textId="353FC2CB" w:rsidR="009E0F13" w:rsidRPr="00722AEA" w:rsidRDefault="009E0F13" w:rsidP="009E0F13">
      <w:pPr>
        <w:pStyle w:val="Heading2"/>
        <w:rPr>
          <w:rFonts w:ascii="Arial" w:hAnsi="Arial" w:cs="Arial"/>
          <w:color w:val="000000" w:themeColor="text1"/>
        </w:rPr>
      </w:pPr>
      <w:bookmarkStart w:id="10" w:name="_Toc235444594"/>
      <w:r w:rsidRPr="00722AEA">
        <w:rPr>
          <w:rFonts w:ascii="Arial" w:hAnsi="Arial" w:cs="Arial"/>
          <w:color w:val="000000" w:themeColor="text1"/>
        </w:rPr>
        <w:lastRenderedPageBreak/>
        <w:t>Table 1: Kotter's Eight-Step Model Applied to Bentley's Transformation:</w:t>
      </w:r>
      <w:bookmarkEnd w:id="10"/>
    </w:p>
    <w:tbl>
      <w:tblPr>
        <w:tblStyle w:val="GridTable4-Accent5"/>
        <w:tblW w:w="11341" w:type="dxa"/>
        <w:tblInd w:w="-998" w:type="dxa"/>
        <w:tblLook w:val="04A0" w:firstRow="1" w:lastRow="0" w:firstColumn="1" w:lastColumn="0" w:noHBand="0" w:noVBand="1"/>
      </w:tblPr>
      <w:tblGrid>
        <w:gridCol w:w="4471"/>
        <w:gridCol w:w="2833"/>
        <w:gridCol w:w="4037"/>
      </w:tblGrid>
      <w:tr w:rsidR="009E0F13" w14:paraId="648F5E6A" w14:textId="77777777" w:rsidTr="004745D4">
        <w:trPr>
          <w:cnfStyle w:val="100000000000" w:firstRow="1" w:lastRow="0" w:firstColumn="0" w:lastColumn="0" w:oddVBand="0" w:evenVBand="0" w:oddHBand="0"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4471" w:type="dxa"/>
          </w:tcPr>
          <w:p w14:paraId="5E9CA82D" w14:textId="26002577"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Kotter's Step </w:t>
            </w:r>
          </w:p>
        </w:tc>
        <w:tc>
          <w:tcPr>
            <w:tcW w:w="2833" w:type="dxa"/>
          </w:tcPr>
          <w:p w14:paraId="3AECB637" w14:textId="0B89FBDE" w:rsidR="009E0F13" w:rsidRDefault="009E0F13" w:rsidP="009E0F1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Application to Bentley </w:t>
            </w:r>
          </w:p>
        </w:tc>
        <w:tc>
          <w:tcPr>
            <w:tcW w:w="4037" w:type="dxa"/>
          </w:tcPr>
          <w:p w14:paraId="26173D17" w14:textId="47901810" w:rsidR="009E0F13" w:rsidRDefault="009E0F13" w:rsidP="009E0F1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Evidence/Action</w:t>
            </w:r>
          </w:p>
        </w:tc>
      </w:tr>
      <w:tr w:rsidR="009E0F13" w14:paraId="01DD3A38" w14:textId="77777777" w:rsidTr="004745D4">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6B25F826" w14:textId="37385A59"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1: Create Urgency </w:t>
            </w:r>
          </w:p>
        </w:tc>
        <w:tc>
          <w:tcPr>
            <w:tcW w:w="2833" w:type="dxa"/>
          </w:tcPr>
          <w:p w14:paraId="2AADBC5F" w14:textId="0179663B"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Establishing need for electrification and sustainability leadership </w:t>
            </w:r>
          </w:p>
        </w:tc>
        <w:tc>
          <w:tcPr>
            <w:tcW w:w="4037" w:type="dxa"/>
          </w:tcPr>
          <w:p w14:paraId="66205802" w14:textId="295383A2"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Climate change imperatives, regulatory pressures, competitive threat from Tesla and Chinese manufacturers</w:t>
            </w:r>
          </w:p>
        </w:tc>
      </w:tr>
      <w:tr w:rsidR="009E0F13" w14:paraId="610F8188" w14:textId="77777777" w:rsidTr="004745D4">
        <w:trPr>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1F0F22A1" w14:textId="6F2D4015"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2: Build Guiding Coalition </w:t>
            </w:r>
          </w:p>
        </w:tc>
        <w:tc>
          <w:tcPr>
            <w:tcW w:w="2833" w:type="dxa"/>
          </w:tcPr>
          <w:p w14:paraId="22B03B61" w14:textId="12A69685"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Forming leadership team to drive Beyond100+ strategy </w:t>
            </w:r>
          </w:p>
        </w:tc>
        <w:tc>
          <w:tcPr>
            <w:tcW w:w="4037" w:type="dxa"/>
          </w:tcPr>
          <w:p w14:paraId="5DE2CE41" w14:textId="1BE9256A"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CEO Walliser leadership, Board commitment, Sustainability Council, partnership with Capgemini</w:t>
            </w:r>
          </w:p>
        </w:tc>
      </w:tr>
      <w:tr w:rsidR="009E0F13" w14:paraId="4BD7CD4B" w14:textId="77777777" w:rsidTr="004745D4">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2AE92A28" w14:textId="009950D5"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3: Develop Vision and Strategy </w:t>
            </w:r>
          </w:p>
        </w:tc>
        <w:tc>
          <w:tcPr>
            <w:tcW w:w="2833" w:type="dxa"/>
          </w:tcPr>
          <w:p w14:paraId="4E02FBA6" w14:textId="30C1846A"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Creating Beyond100+ vision of sustainable luxury </w:t>
            </w:r>
          </w:p>
        </w:tc>
        <w:tc>
          <w:tcPr>
            <w:tcW w:w="4037" w:type="dxa"/>
          </w:tcPr>
          <w:p w14:paraId="637CF535" w14:textId="2596AF9E"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Leading in sustainability</w:t>
            </w:r>
            <w:r>
              <w:rPr>
                <w:rFonts w:ascii="Arial" w:hAnsi="Arial" w:cs="Arial"/>
                <w:sz w:val="22"/>
                <w:szCs w:val="22"/>
              </w:rPr>
              <w:t xml:space="preserve">, have </w:t>
            </w:r>
            <w:r w:rsidRPr="009E0F13">
              <w:rPr>
                <w:rFonts w:ascii="Arial" w:hAnsi="Arial" w:cs="Arial"/>
                <w:sz w:val="22"/>
                <w:szCs w:val="22"/>
              </w:rPr>
              <w:t>ambition, full electrification by 2035, annual PHEV/BEV launches</w:t>
            </w:r>
          </w:p>
        </w:tc>
      </w:tr>
      <w:tr w:rsidR="009E0F13" w14:paraId="17AD0C33" w14:textId="77777777" w:rsidTr="004745D4">
        <w:trPr>
          <w:trHeight w:val="1495"/>
        </w:trPr>
        <w:tc>
          <w:tcPr>
            <w:cnfStyle w:val="001000000000" w:firstRow="0" w:lastRow="0" w:firstColumn="1" w:lastColumn="0" w:oddVBand="0" w:evenVBand="0" w:oddHBand="0" w:evenHBand="0" w:firstRowFirstColumn="0" w:firstRowLastColumn="0" w:lastRowFirstColumn="0" w:lastRowLastColumn="0"/>
            <w:tcW w:w="4471" w:type="dxa"/>
          </w:tcPr>
          <w:p w14:paraId="30EB8453" w14:textId="7287AC7F"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4: Communicate Vision </w:t>
            </w:r>
          </w:p>
        </w:tc>
        <w:tc>
          <w:tcPr>
            <w:tcW w:w="2833" w:type="dxa"/>
          </w:tcPr>
          <w:p w14:paraId="564021F8" w14:textId="4552454D"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Articulating transformation journey to stakeholders </w:t>
            </w:r>
          </w:p>
        </w:tc>
        <w:tc>
          <w:tcPr>
            <w:tcW w:w="4037" w:type="dxa"/>
          </w:tcPr>
          <w:p w14:paraId="7563FB4F" w14:textId="00396707"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Sustainability Reports, public announcements, employee communication, World Earth Day reporting</w:t>
            </w:r>
          </w:p>
        </w:tc>
      </w:tr>
      <w:tr w:rsidR="009E0F13" w14:paraId="1A690C7D" w14:textId="77777777" w:rsidTr="004745D4">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64B9B5CD" w14:textId="2ED0193D"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5: Empower Action </w:t>
            </w:r>
          </w:p>
        </w:tc>
        <w:tc>
          <w:tcPr>
            <w:tcW w:w="2833" w:type="dxa"/>
          </w:tcPr>
          <w:p w14:paraId="438058EE" w14:textId="0901DD62"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Removing obstacles to change </w:t>
            </w:r>
          </w:p>
        </w:tc>
        <w:tc>
          <w:tcPr>
            <w:tcW w:w="4037" w:type="dxa"/>
          </w:tcPr>
          <w:p w14:paraId="2DE08C09" w14:textId="2796AA35"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Dream Factory £2.5bn investment, upskilling programmes, facilities transformation, Capgemini partnership</w:t>
            </w:r>
          </w:p>
        </w:tc>
      </w:tr>
      <w:tr w:rsidR="009E0F13" w14:paraId="1EB076A5" w14:textId="77777777" w:rsidTr="004745D4">
        <w:trPr>
          <w:trHeight w:val="1115"/>
        </w:trPr>
        <w:tc>
          <w:tcPr>
            <w:cnfStyle w:val="001000000000" w:firstRow="0" w:lastRow="0" w:firstColumn="1" w:lastColumn="0" w:oddVBand="0" w:evenVBand="0" w:oddHBand="0" w:evenHBand="0" w:firstRowFirstColumn="0" w:firstRowLastColumn="0" w:lastRowFirstColumn="0" w:lastRowLastColumn="0"/>
            <w:tcW w:w="4471" w:type="dxa"/>
          </w:tcPr>
          <w:p w14:paraId="4B10DB5F" w14:textId="234878CF"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6: Generate Short-term Wins </w:t>
            </w:r>
          </w:p>
        </w:tc>
        <w:tc>
          <w:tcPr>
            <w:tcW w:w="2833" w:type="dxa"/>
          </w:tcPr>
          <w:p w14:paraId="60BC9BAF" w14:textId="2E096C92"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Delivering progress milestones </w:t>
            </w:r>
          </w:p>
        </w:tc>
        <w:tc>
          <w:tcPr>
            <w:tcW w:w="4037" w:type="dxa"/>
          </w:tcPr>
          <w:p w14:paraId="3EAD700D" w14:textId="3A96EAE4" w:rsidR="009E0F13" w:rsidRDefault="004745D4"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PHEV introduction across all models, first BEV reveal 2026, carbon neutral certification achieved</w:t>
            </w:r>
          </w:p>
        </w:tc>
      </w:tr>
      <w:tr w:rsidR="009E0F13" w14:paraId="7EEB39EC" w14:textId="77777777" w:rsidTr="004745D4">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72C45C33" w14:textId="1E842B02" w:rsidR="009E0F13" w:rsidRDefault="004745D4" w:rsidP="009E0F13">
            <w:pPr>
              <w:spacing w:line="360" w:lineRule="auto"/>
              <w:rPr>
                <w:rFonts w:ascii="Arial" w:hAnsi="Arial" w:cs="Arial"/>
                <w:sz w:val="22"/>
                <w:szCs w:val="22"/>
              </w:rPr>
            </w:pPr>
            <w:r>
              <w:rPr>
                <w:rFonts w:ascii="Arial" w:hAnsi="Arial" w:cs="Arial"/>
                <w:sz w:val="22"/>
                <w:szCs w:val="22"/>
              </w:rPr>
              <w:t>S</w:t>
            </w:r>
            <w:r w:rsidRPr="004745D4">
              <w:rPr>
                <w:rFonts w:ascii="Arial" w:hAnsi="Arial" w:cs="Arial"/>
                <w:sz w:val="22"/>
                <w:szCs w:val="22"/>
              </w:rPr>
              <w:t xml:space="preserve">tep 7: Consolidate Gains </w:t>
            </w:r>
          </w:p>
        </w:tc>
        <w:tc>
          <w:tcPr>
            <w:tcW w:w="2833" w:type="dxa"/>
          </w:tcPr>
          <w:p w14:paraId="7211FC92" w14:textId="3D778733" w:rsidR="009E0F13" w:rsidRDefault="004745D4"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Building on successes for further change </w:t>
            </w:r>
          </w:p>
        </w:tc>
        <w:tc>
          <w:tcPr>
            <w:tcW w:w="4037" w:type="dxa"/>
          </w:tcPr>
          <w:p w14:paraId="37136A8B" w14:textId="25DE1AFC" w:rsidR="009E0F13" w:rsidRDefault="004745D4"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Beyond100 to Beyond100+ refinement, annual product launches, new Design Centre opened July 2025</w:t>
            </w:r>
          </w:p>
        </w:tc>
      </w:tr>
      <w:tr w:rsidR="009E0F13" w14:paraId="5181E1EC" w14:textId="77777777" w:rsidTr="004745D4">
        <w:trPr>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211A145D" w14:textId="0288302E" w:rsidR="009E0F13" w:rsidRDefault="004745D4" w:rsidP="009E0F13">
            <w:pPr>
              <w:spacing w:line="360" w:lineRule="auto"/>
              <w:rPr>
                <w:rFonts w:ascii="Arial" w:hAnsi="Arial" w:cs="Arial"/>
                <w:sz w:val="22"/>
                <w:szCs w:val="22"/>
              </w:rPr>
            </w:pPr>
            <w:r w:rsidRPr="004745D4">
              <w:rPr>
                <w:rFonts w:ascii="Arial" w:hAnsi="Arial" w:cs="Arial"/>
                <w:sz w:val="22"/>
                <w:szCs w:val="22"/>
              </w:rPr>
              <w:t xml:space="preserve">Step 8: Anchor in Culture </w:t>
            </w:r>
          </w:p>
        </w:tc>
        <w:tc>
          <w:tcPr>
            <w:tcW w:w="2833" w:type="dxa"/>
          </w:tcPr>
          <w:p w14:paraId="008BF08E" w14:textId="73A991AC" w:rsidR="009E0F13" w:rsidRDefault="004745D4"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Embedding sustainability in organisational DNA </w:t>
            </w:r>
          </w:p>
        </w:tc>
        <w:tc>
          <w:tcPr>
            <w:tcW w:w="4037" w:type="dxa"/>
          </w:tcPr>
          <w:p w14:paraId="139836FA" w14:textId="4B4666CC" w:rsidR="009E0F13" w:rsidRDefault="004745D4"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Carbon neutrality, diversity targets, stakeholder engagement, Carbon Literacy training</w:t>
            </w:r>
          </w:p>
        </w:tc>
      </w:tr>
    </w:tbl>
    <w:p w14:paraId="10BBC8F8" w14:textId="32D30B80" w:rsidR="004745D4" w:rsidRPr="00722AEA" w:rsidRDefault="00FC05FD" w:rsidP="00722AE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w:t>
      </w:r>
      <w:r w:rsidR="008C1CF7" w:rsidRPr="00722AEA">
        <w:rPr>
          <w:rFonts w:ascii="Arial" w:hAnsi="Arial" w:cs="Arial"/>
          <w:color w:val="000000" w:themeColor="text1"/>
          <w:sz w:val="22"/>
          <w:szCs w:val="22"/>
        </w:rPr>
        <w:t>Kotter's model</w:t>
      </w:r>
      <w:r w:rsidR="009723F6" w:rsidRPr="00722AEA">
        <w:rPr>
          <w:rFonts w:ascii="Arial" w:hAnsi="Arial" w:cs="Arial"/>
          <w:color w:val="000000" w:themeColor="text1"/>
          <w:sz w:val="22"/>
          <w:szCs w:val="22"/>
        </w:rPr>
        <w:t xml:space="preserve"> helps to shape </w:t>
      </w:r>
      <w:r w:rsidR="008C1CF7" w:rsidRPr="00722AEA">
        <w:rPr>
          <w:rFonts w:ascii="Arial" w:hAnsi="Arial" w:cs="Arial"/>
          <w:color w:val="000000" w:themeColor="text1"/>
          <w:sz w:val="22"/>
          <w:szCs w:val="22"/>
        </w:rPr>
        <w:t>and transform Bentley into a top luxury brand for the foreseeable future</w:t>
      </w:r>
      <w:r w:rsidR="0095277B" w:rsidRPr="00722AEA">
        <w:rPr>
          <w:rFonts w:ascii="Arial" w:hAnsi="Arial" w:cs="Arial"/>
          <w:color w:val="000000" w:themeColor="text1"/>
          <w:sz w:val="22"/>
          <w:szCs w:val="22"/>
        </w:rPr>
        <w:t xml:space="preserve"> using their Beyond100 strategy</w:t>
      </w:r>
      <w:r w:rsidRPr="00722AEA">
        <w:rPr>
          <w:rFonts w:ascii="Arial" w:hAnsi="Arial" w:cs="Arial"/>
          <w:color w:val="000000" w:themeColor="text1"/>
          <w:sz w:val="22"/>
          <w:szCs w:val="22"/>
        </w:rPr>
        <w:t xml:space="preserve"> that is highlighted in this table</w:t>
      </w:r>
      <w:r w:rsidR="0095277B"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a</w:t>
      </w:r>
      <w:r w:rsidR="0095277B" w:rsidRPr="00722AEA">
        <w:rPr>
          <w:rFonts w:ascii="Arial" w:hAnsi="Arial" w:cs="Arial"/>
          <w:color w:val="000000" w:themeColor="text1"/>
          <w:sz w:val="22"/>
          <w:szCs w:val="22"/>
        </w:rPr>
        <w:t>ccording</w:t>
      </w:r>
      <w:r w:rsidRPr="00722AEA">
        <w:rPr>
          <w:rFonts w:ascii="Arial" w:hAnsi="Arial" w:cs="Arial"/>
          <w:color w:val="000000" w:themeColor="text1"/>
          <w:sz w:val="22"/>
          <w:szCs w:val="22"/>
        </w:rPr>
        <w:t xml:space="preserve"> to</w:t>
      </w:r>
      <w:r w:rsidR="00C551AB" w:rsidRPr="00722AEA">
        <w:rPr>
          <w:rFonts w:ascii="Arial" w:hAnsi="Arial" w:cs="Arial"/>
          <w:color w:val="000000" w:themeColor="text1"/>
          <w:sz w:val="22"/>
          <w:szCs w:val="22"/>
        </w:rPr>
        <w:t>” (</w:t>
      </w:r>
      <w:proofErr w:type="spellStart"/>
      <w:r w:rsidR="00C551AB" w:rsidRPr="00722AEA">
        <w:rPr>
          <w:rFonts w:ascii="Arial" w:hAnsi="Arial" w:cs="Arial"/>
          <w:color w:val="000000" w:themeColor="text1"/>
          <w:sz w:val="22"/>
          <w:szCs w:val="22"/>
        </w:rPr>
        <w:t>Ciupan</w:t>
      </w:r>
      <w:proofErr w:type="spellEnd"/>
      <w:r w:rsidR="00C551AB" w:rsidRPr="00722AEA">
        <w:rPr>
          <w:rFonts w:ascii="Arial" w:hAnsi="Arial" w:cs="Arial"/>
          <w:color w:val="000000" w:themeColor="text1"/>
          <w:sz w:val="22"/>
          <w:szCs w:val="22"/>
        </w:rPr>
        <w:t xml:space="preserve"> and Lungu, 2025).</w:t>
      </w:r>
      <w:r w:rsidR="0095277B" w:rsidRPr="00722AEA">
        <w:rPr>
          <w:rFonts w:ascii="Arial" w:hAnsi="Arial" w:cs="Arial"/>
          <w:color w:val="000000" w:themeColor="text1"/>
          <w:sz w:val="22"/>
          <w:szCs w:val="22"/>
        </w:rPr>
        <w:t xml:space="preserve">  </w:t>
      </w:r>
      <w:r w:rsidR="008C1CF7" w:rsidRPr="00722AEA">
        <w:rPr>
          <w:rFonts w:ascii="Arial" w:hAnsi="Arial" w:cs="Arial"/>
          <w:color w:val="000000" w:themeColor="text1"/>
          <w:sz w:val="22"/>
          <w:szCs w:val="22"/>
        </w:rPr>
        <w:t xml:space="preserve"> </w:t>
      </w:r>
    </w:p>
    <w:p w14:paraId="7026D201" w14:textId="77777777" w:rsidR="00644958" w:rsidRPr="00722AEA" w:rsidRDefault="00644958" w:rsidP="009723F6">
      <w:pPr>
        <w:rPr>
          <w:rFonts w:ascii="Arial" w:hAnsi="Arial" w:cs="Arial"/>
          <w:color w:val="000000" w:themeColor="text1"/>
          <w:sz w:val="22"/>
          <w:szCs w:val="22"/>
        </w:rPr>
      </w:pPr>
    </w:p>
    <w:p w14:paraId="47E43E7E" w14:textId="77777777" w:rsidR="00644958" w:rsidRDefault="00644958" w:rsidP="009723F6">
      <w:pPr>
        <w:rPr>
          <w:rFonts w:ascii="Arial" w:hAnsi="Arial" w:cs="Arial"/>
          <w:color w:val="EE0000"/>
          <w:sz w:val="22"/>
          <w:szCs w:val="22"/>
        </w:rPr>
      </w:pPr>
    </w:p>
    <w:p w14:paraId="60C41D14" w14:textId="77777777" w:rsidR="00644958" w:rsidRDefault="00644958" w:rsidP="009723F6">
      <w:pPr>
        <w:rPr>
          <w:rFonts w:ascii="Arial" w:hAnsi="Arial" w:cs="Arial"/>
          <w:color w:val="EE0000"/>
          <w:sz w:val="22"/>
          <w:szCs w:val="22"/>
        </w:rPr>
      </w:pPr>
    </w:p>
    <w:p w14:paraId="73AEB5A6" w14:textId="77777777" w:rsidR="00722AEA" w:rsidRDefault="00722AEA" w:rsidP="009723F6">
      <w:pPr>
        <w:rPr>
          <w:rFonts w:ascii="Arial" w:hAnsi="Arial" w:cs="Arial"/>
          <w:color w:val="EE0000"/>
          <w:sz w:val="22"/>
          <w:szCs w:val="22"/>
        </w:rPr>
      </w:pPr>
    </w:p>
    <w:p w14:paraId="444E8143" w14:textId="3DE8F8B3" w:rsidR="00644958" w:rsidRPr="0079762A" w:rsidRDefault="00644958" w:rsidP="009723F6">
      <w:pPr>
        <w:rPr>
          <w:rFonts w:ascii="Arial" w:hAnsi="Arial" w:cs="Arial"/>
          <w:color w:val="000000" w:themeColor="text1"/>
          <w:sz w:val="32"/>
          <w:szCs w:val="32"/>
        </w:rPr>
      </w:pPr>
      <w:r w:rsidRPr="0079762A">
        <w:rPr>
          <w:rFonts w:ascii="Arial" w:hAnsi="Arial" w:cs="Arial"/>
          <w:color w:val="000000" w:themeColor="text1"/>
          <w:sz w:val="32"/>
          <w:szCs w:val="32"/>
        </w:rPr>
        <w:lastRenderedPageBreak/>
        <w:t xml:space="preserve">Figure </w:t>
      </w:r>
      <w:r w:rsidR="00722AEA" w:rsidRPr="0079762A">
        <w:rPr>
          <w:rFonts w:ascii="Arial" w:hAnsi="Arial" w:cs="Arial"/>
          <w:color w:val="000000" w:themeColor="text1"/>
          <w:sz w:val="32"/>
          <w:szCs w:val="32"/>
        </w:rPr>
        <w:t>2:</w:t>
      </w:r>
      <w:r w:rsidR="00283865" w:rsidRPr="0079762A">
        <w:rPr>
          <w:rFonts w:ascii="Arial" w:hAnsi="Arial" w:cs="Arial"/>
          <w:color w:val="000000" w:themeColor="text1"/>
          <w:sz w:val="32"/>
          <w:szCs w:val="32"/>
        </w:rPr>
        <w:t xml:space="preserve"> </w:t>
      </w:r>
      <w:r w:rsidR="004761E7" w:rsidRPr="0079762A">
        <w:rPr>
          <w:rFonts w:ascii="Arial" w:hAnsi="Arial" w:cs="Arial"/>
          <w:color w:val="000000" w:themeColor="text1"/>
          <w:sz w:val="32"/>
          <w:szCs w:val="32"/>
        </w:rPr>
        <w:t>Kotter's</w:t>
      </w:r>
      <w:r w:rsidR="00283865" w:rsidRPr="0079762A">
        <w:rPr>
          <w:rFonts w:ascii="Arial" w:hAnsi="Arial" w:cs="Arial"/>
          <w:color w:val="000000" w:themeColor="text1"/>
          <w:sz w:val="32"/>
          <w:szCs w:val="32"/>
        </w:rPr>
        <w:t xml:space="preserve"> Visualisation </w:t>
      </w:r>
      <w:r w:rsidR="00F75C82" w:rsidRPr="0079762A">
        <w:rPr>
          <w:rFonts w:ascii="Arial" w:hAnsi="Arial" w:cs="Arial"/>
          <w:color w:val="000000" w:themeColor="text1"/>
          <w:sz w:val="32"/>
          <w:szCs w:val="32"/>
        </w:rPr>
        <w:t>framework</w:t>
      </w:r>
      <w:r w:rsidR="004761E7" w:rsidRPr="0079762A">
        <w:rPr>
          <w:rFonts w:ascii="Arial" w:hAnsi="Arial" w:cs="Arial"/>
          <w:color w:val="000000" w:themeColor="text1"/>
          <w:sz w:val="32"/>
          <w:szCs w:val="32"/>
        </w:rPr>
        <w:t>:</w:t>
      </w:r>
    </w:p>
    <w:p w14:paraId="3110501C" w14:textId="3F6B2E0B" w:rsidR="00644958" w:rsidRPr="00FC05FD" w:rsidRDefault="00644958" w:rsidP="009723F6">
      <w:pPr>
        <w:rPr>
          <w:rFonts w:ascii="Arial" w:hAnsi="Arial" w:cs="Arial"/>
          <w:color w:val="EE0000"/>
          <w:sz w:val="22"/>
          <w:szCs w:val="22"/>
        </w:rPr>
      </w:pPr>
      <w:r>
        <w:rPr>
          <w:rFonts w:ascii="Arial" w:hAnsi="Arial" w:cs="Arial"/>
          <w:noProof/>
          <w:color w:val="EE0000"/>
          <w:sz w:val="22"/>
          <w:szCs w:val="22"/>
        </w:rPr>
        <w:drawing>
          <wp:inline distT="0" distB="0" distL="0" distR="0" wp14:anchorId="42725755" wp14:editId="55C4146B">
            <wp:extent cx="5923034" cy="3331706"/>
            <wp:effectExtent l="0" t="0" r="1905" b="2540"/>
            <wp:docPr id="1013990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9276" cy="3357717"/>
                    </a:xfrm>
                    <a:prstGeom prst="rect">
                      <a:avLst/>
                    </a:prstGeom>
                    <a:noFill/>
                  </pic:spPr>
                </pic:pic>
              </a:graphicData>
            </a:graphic>
          </wp:inline>
        </w:drawing>
      </w:r>
    </w:p>
    <w:p w14:paraId="3B1A54C9" w14:textId="77777777" w:rsidR="00C06EC6" w:rsidRDefault="00C06EC6" w:rsidP="00C06EC6"/>
    <w:p w14:paraId="7F44C8C4" w14:textId="77777777" w:rsidR="004761E7" w:rsidRDefault="004761E7" w:rsidP="00C06EC6"/>
    <w:p w14:paraId="2E894672" w14:textId="77777777" w:rsidR="004761E7" w:rsidRDefault="004761E7" w:rsidP="00C06EC6"/>
    <w:p w14:paraId="013FCB4D" w14:textId="77777777" w:rsidR="004761E7" w:rsidRDefault="004761E7" w:rsidP="00C06EC6"/>
    <w:p w14:paraId="13AAC811" w14:textId="77777777" w:rsidR="004761E7" w:rsidRDefault="004761E7" w:rsidP="00C06EC6"/>
    <w:p w14:paraId="743CD714" w14:textId="77777777" w:rsidR="004761E7" w:rsidRDefault="004761E7" w:rsidP="00C06EC6"/>
    <w:p w14:paraId="6760AE34" w14:textId="77777777" w:rsidR="004761E7" w:rsidRDefault="004761E7" w:rsidP="00C06EC6"/>
    <w:p w14:paraId="60535E9C" w14:textId="77777777" w:rsidR="004761E7" w:rsidRDefault="004761E7" w:rsidP="00C06EC6"/>
    <w:p w14:paraId="2CAE517E" w14:textId="77777777" w:rsidR="004761E7" w:rsidRDefault="004761E7" w:rsidP="00C06EC6"/>
    <w:p w14:paraId="5EC1FB9B" w14:textId="77777777" w:rsidR="004761E7" w:rsidRDefault="004761E7" w:rsidP="00C06EC6"/>
    <w:p w14:paraId="35AB847E" w14:textId="77777777" w:rsidR="004761E7" w:rsidRDefault="004761E7" w:rsidP="00C06EC6"/>
    <w:p w14:paraId="69F97DCF" w14:textId="77777777" w:rsidR="004761E7" w:rsidRDefault="004761E7" w:rsidP="00C06EC6"/>
    <w:p w14:paraId="2C2C7548" w14:textId="77777777" w:rsidR="004761E7" w:rsidRDefault="004761E7" w:rsidP="00C06EC6"/>
    <w:p w14:paraId="3E4D3E73" w14:textId="77777777" w:rsidR="004761E7" w:rsidRPr="00C06EC6" w:rsidRDefault="004761E7" w:rsidP="00C06EC6"/>
    <w:p w14:paraId="07371950" w14:textId="74AC4ABA" w:rsidR="004745D4" w:rsidRPr="004761E7" w:rsidRDefault="004745D4" w:rsidP="004745D4">
      <w:pPr>
        <w:pStyle w:val="Heading2"/>
        <w:rPr>
          <w:rFonts w:ascii="Arial" w:hAnsi="Arial" w:cs="Arial"/>
          <w:color w:val="000000" w:themeColor="text1"/>
        </w:rPr>
      </w:pPr>
      <w:bookmarkStart w:id="11" w:name="_Toc235444595"/>
      <w:r w:rsidRPr="004761E7">
        <w:rPr>
          <w:rFonts w:ascii="Arial" w:hAnsi="Arial" w:cs="Arial"/>
          <w:color w:val="000000" w:themeColor="text1"/>
        </w:rPr>
        <w:lastRenderedPageBreak/>
        <w:t>Figure 2: Table 2: Lewin's Three-Step Model Applied to Bentley's Change Journey:</w:t>
      </w:r>
      <w:bookmarkEnd w:id="11"/>
    </w:p>
    <w:p w14:paraId="0F198E44" w14:textId="37F52879"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Lewin's model provides a complementary perspective, illuminating the psychological dimensions of Bentley's transformation. The unfreezing phase is evident in Bentley's recognition of the need for change, driven by regulatory pressures, competitive dynamics, and shifting consumer preferences. The changing phase is represented by the current transformation, encompassing Dream Factory development, product portfolio electrification, and capability building. The refreezing phase will involve institutionalising new approaches as Bentley transitions to an all-electric future and embeds sustainability in its core operations.</w:t>
      </w:r>
      <w:r w:rsidR="00D40CEF" w:rsidRPr="004761E7">
        <w:rPr>
          <w:rFonts w:ascii="Arial" w:hAnsi="Arial" w:cs="Arial"/>
          <w:color w:val="000000" w:themeColor="text1"/>
          <w:sz w:val="22"/>
          <w:szCs w:val="22"/>
        </w:rPr>
        <w:t xml:space="preserve"> </w:t>
      </w:r>
      <w:r w:rsidR="00BD0474" w:rsidRPr="004761E7">
        <w:rPr>
          <w:rFonts w:ascii="Arial" w:hAnsi="Arial" w:cs="Arial"/>
          <w:color w:val="000000" w:themeColor="text1"/>
          <w:sz w:val="22"/>
          <w:szCs w:val="22"/>
        </w:rPr>
        <w:t>“Car brands use Lewin’s model to melt away old combustion habits, reshape assembly lines for electric tech, and lock in new green manufacturing mindsets</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 xml:space="preserve">according to” </w:t>
      </w:r>
      <w:r w:rsidR="00BD0474" w:rsidRPr="004761E7">
        <w:rPr>
          <w:rFonts w:ascii="Arial" w:hAnsi="Arial" w:cs="Arial"/>
          <w:color w:val="000000" w:themeColor="text1"/>
          <w:sz w:val="22"/>
          <w:szCs w:val="22"/>
        </w:rPr>
        <w:t>(</w:t>
      </w:r>
      <w:r w:rsidR="00504BA3" w:rsidRPr="004761E7">
        <w:rPr>
          <w:rFonts w:ascii="Arial" w:hAnsi="Arial" w:cs="Arial"/>
          <w:color w:val="000000" w:themeColor="text1"/>
          <w:sz w:val="22"/>
          <w:szCs w:val="22"/>
        </w:rPr>
        <w:t xml:space="preserve">Burnes, B., 2020). </w:t>
      </w:r>
    </w:p>
    <w:tbl>
      <w:tblPr>
        <w:tblStyle w:val="GridTable4-Accent4"/>
        <w:tblW w:w="0" w:type="auto"/>
        <w:tblLook w:val="04A0" w:firstRow="1" w:lastRow="0" w:firstColumn="1" w:lastColumn="0" w:noHBand="0" w:noVBand="1"/>
      </w:tblPr>
      <w:tblGrid>
        <w:gridCol w:w="3005"/>
        <w:gridCol w:w="3005"/>
        <w:gridCol w:w="3006"/>
      </w:tblGrid>
      <w:tr w:rsidR="004745D4" w14:paraId="74926BEB" w14:textId="77777777" w:rsidTr="004745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158FDFF" w14:textId="3DC54450" w:rsidR="004745D4" w:rsidRDefault="004745D4" w:rsidP="004745D4">
            <w:pPr>
              <w:spacing w:line="360" w:lineRule="auto"/>
              <w:rPr>
                <w:rFonts w:ascii="Arial" w:hAnsi="Arial" w:cs="Arial"/>
                <w:sz w:val="22"/>
                <w:szCs w:val="22"/>
              </w:rPr>
            </w:pPr>
            <w:r w:rsidRPr="004745D4">
              <w:rPr>
                <w:rFonts w:ascii="Arial" w:hAnsi="Arial" w:cs="Arial"/>
                <w:sz w:val="22"/>
                <w:szCs w:val="22"/>
              </w:rPr>
              <w:t xml:space="preserve">Phase </w:t>
            </w:r>
          </w:p>
        </w:tc>
        <w:tc>
          <w:tcPr>
            <w:tcW w:w="3005" w:type="dxa"/>
          </w:tcPr>
          <w:p w14:paraId="0E14ECF7" w14:textId="5C7E4BA3" w:rsidR="004745D4" w:rsidRDefault="004745D4" w:rsidP="004745D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Description </w:t>
            </w:r>
          </w:p>
        </w:tc>
        <w:tc>
          <w:tcPr>
            <w:tcW w:w="3006" w:type="dxa"/>
          </w:tcPr>
          <w:p w14:paraId="53D38497" w14:textId="742895A3" w:rsidR="004745D4" w:rsidRDefault="004745D4" w:rsidP="004745D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Bentley Evidence</w:t>
            </w:r>
          </w:p>
        </w:tc>
      </w:tr>
      <w:tr w:rsidR="004745D4" w14:paraId="0EB19542" w14:textId="77777777" w:rsidTr="00474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43191F" w14:textId="2E8E20EB" w:rsidR="004745D4" w:rsidRDefault="004745D4" w:rsidP="004745D4">
            <w:pPr>
              <w:spacing w:line="360" w:lineRule="auto"/>
              <w:rPr>
                <w:rFonts w:ascii="Arial" w:hAnsi="Arial" w:cs="Arial"/>
                <w:sz w:val="22"/>
                <w:szCs w:val="22"/>
              </w:rPr>
            </w:pPr>
            <w:r w:rsidRPr="004745D4">
              <w:rPr>
                <w:rFonts w:ascii="Arial" w:hAnsi="Arial" w:cs="Arial"/>
                <w:sz w:val="22"/>
                <w:szCs w:val="22"/>
              </w:rPr>
              <w:t xml:space="preserve">Unfreezing </w:t>
            </w:r>
          </w:p>
        </w:tc>
        <w:tc>
          <w:tcPr>
            <w:tcW w:w="3005" w:type="dxa"/>
          </w:tcPr>
          <w:p w14:paraId="192792C1" w14:textId="50E350B7" w:rsidR="004745D4" w:rsidRDefault="004745D4" w:rsidP="004745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Creating motivation for change, challenging existing beliefs </w:t>
            </w:r>
          </w:p>
        </w:tc>
        <w:tc>
          <w:tcPr>
            <w:tcW w:w="3006" w:type="dxa"/>
          </w:tcPr>
          <w:p w14:paraId="1E35BD73" w14:textId="3B9C6109" w:rsidR="004745D4" w:rsidRDefault="004745D4" w:rsidP="004745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Beyond100+ strategy, recognition of regulatory and competitive pressures, acknowledging 42% profit decline</w:t>
            </w:r>
          </w:p>
        </w:tc>
      </w:tr>
      <w:tr w:rsidR="004745D4" w14:paraId="4B121C01" w14:textId="77777777" w:rsidTr="004745D4">
        <w:tc>
          <w:tcPr>
            <w:cnfStyle w:val="001000000000" w:firstRow="0" w:lastRow="0" w:firstColumn="1" w:lastColumn="0" w:oddVBand="0" w:evenVBand="0" w:oddHBand="0" w:evenHBand="0" w:firstRowFirstColumn="0" w:firstRowLastColumn="0" w:lastRowFirstColumn="0" w:lastRowLastColumn="0"/>
            <w:tcW w:w="3005" w:type="dxa"/>
          </w:tcPr>
          <w:p w14:paraId="4DB7CC75" w14:textId="6F6D708F" w:rsidR="004745D4" w:rsidRDefault="004745D4" w:rsidP="004745D4">
            <w:pPr>
              <w:spacing w:line="360" w:lineRule="auto"/>
              <w:rPr>
                <w:rFonts w:ascii="Arial" w:hAnsi="Arial" w:cs="Arial"/>
                <w:sz w:val="22"/>
                <w:szCs w:val="22"/>
              </w:rPr>
            </w:pPr>
            <w:r w:rsidRPr="004745D4">
              <w:rPr>
                <w:rFonts w:ascii="Arial" w:hAnsi="Arial" w:cs="Arial"/>
                <w:sz w:val="22"/>
                <w:szCs w:val="22"/>
              </w:rPr>
              <w:t xml:space="preserve">Changing </w:t>
            </w:r>
          </w:p>
        </w:tc>
        <w:tc>
          <w:tcPr>
            <w:tcW w:w="3005" w:type="dxa"/>
          </w:tcPr>
          <w:p w14:paraId="1F2B8949" w14:textId="7D26D4AA" w:rsidR="004745D4" w:rsidRDefault="004745D4" w:rsidP="004745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Implementation of new approaches, processes, behaviours </w:t>
            </w:r>
          </w:p>
        </w:tc>
        <w:tc>
          <w:tcPr>
            <w:tcW w:w="3006" w:type="dxa"/>
          </w:tcPr>
          <w:p w14:paraId="643E74C2" w14:textId="55B96CA7" w:rsidR="004745D4" w:rsidRDefault="004745D4" w:rsidP="004745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Dream Factory development, product portfolio electrification, capability building, BEV reveal 2026</w:t>
            </w:r>
          </w:p>
        </w:tc>
      </w:tr>
      <w:tr w:rsidR="004745D4" w14:paraId="03477565" w14:textId="77777777" w:rsidTr="00474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0C930ED" w14:textId="1176733A" w:rsidR="004745D4" w:rsidRDefault="004745D4" w:rsidP="004745D4">
            <w:pPr>
              <w:spacing w:line="360" w:lineRule="auto"/>
              <w:rPr>
                <w:rFonts w:ascii="Arial" w:hAnsi="Arial" w:cs="Arial"/>
                <w:sz w:val="22"/>
                <w:szCs w:val="22"/>
              </w:rPr>
            </w:pPr>
            <w:r w:rsidRPr="004745D4">
              <w:rPr>
                <w:rFonts w:ascii="Arial" w:hAnsi="Arial" w:cs="Arial"/>
                <w:sz w:val="22"/>
                <w:szCs w:val="22"/>
              </w:rPr>
              <w:t xml:space="preserve">Refreezing </w:t>
            </w:r>
          </w:p>
        </w:tc>
        <w:tc>
          <w:tcPr>
            <w:tcW w:w="3005" w:type="dxa"/>
          </w:tcPr>
          <w:p w14:paraId="1166B06B" w14:textId="396E3307" w:rsidR="004745D4" w:rsidRDefault="004745D4" w:rsidP="004745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Stabilising new state, institutionalising new approaches </w:t>
            </w:r>
          </w:p>
        </w:tc>
        <w:tc>
          <w:tcPr>
            <w:tcW w:w="3006" w:type="dxa"/>
          </w:tcPr>
          <w:p w14:paraId="2B8AB4D1" w14:textId="53A87613" w:rsidR="004745D4" w:rsidRDefault="004745D4" w:rsidP="004745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Embedding sustainability in operations, carbon neutral certification, new ways of working</w:t>
            </w:r>
          </w:p>
        </w:tc>
      </w:tr>
    </w:tbl>
    <w:p w14:paraId="6A5356D3" w14:textId="77777777" w:rsidR="004745D4" w:rsidRPr="004745D4" w:rsidRDefault="004745D4" w:rsidP="004745D4">
      <w:pPr>
        <w:spacing w:line="360" w:lineRule="auto"/>
        <w:rPr>
          <w:rFonts w:ascii="Arial" w:hAnsi="Arial" w:cs="Arial"/>
          <w:sz w:val="22"/>
          <w:szCs w:val="22"/>
        </w:rPr>
      </w:pPr>
    </w:p>
    <w:p w14:paraId="47910087" w14:textId="77777777" w:rsidR="004745D4" w:rsidRDefault="004745D4" w:rsidP="00E81BD9">
      <w:pPr>
        <w:spacing w:line="360" w:lineRule="auto"/>
        <w:rPr>
          <w:rFonts w:ascii="Arial" w:hAnsi="Arial" w:cs="Arial"/>
          <w:sz w:val="22"/>
          <w:szCs w:val="22"/>
        </w:rPr>
      </w:pPr>
    </w:p>
    <w:p w14:paraId="4335D8ED" w14:textId="77777777" w:rsidR="00B377E4" w:rsidRDefault="00B377E4" w:rsidP="00E81BD9">
      <w:pPr>
        <w:spacing w:line="360" w:lineRule="auto"/>
        <w:rPr>
          <w:rFonts w:ascii="Arial" w:hAnsi="Arial" w:cs="Arial"/>
          <w:sz w:val="22"/>
          <w:szCs w:val="22"/>
        </w:rPr>
      </w:pPr>
    </w:p>
    <w:p w14:paraId="54BCE779" w14:textId="77777777" w:rsidR="00B377E4" w:rsidRDefault="00B377E4" w:rsidP="00E81BD9">
      <w:pPr>
        <w:spacing w:line="360" w:lineRule="auto"/>
        <w:rPr>
          <w:rFonts w:ascii="Arial" w:hAnsi="Arial" w:cs="Arial"/>
          <w:sz w:val="22"/>
          <w:szCs w:val="22"/>
        </w:rPr>
      </w:pPr>
    </w:p>
    <w:p w14:paraId="69EC2ADA" w14:textId="77777777" w:rsidR="00B377E4" w:rsidRDefault="00B377E4" w:rsidP="00E81BD9">
      <w:pPr>
        <w:spacing w:line="360" w:lineRule="auto"/>
        <w:rPr>
          <w:rFonts w:ascii="Arial" w:hAnsi="Arial" w:cs="Arial"/>
          <w:sz w:val="22"/>
          <w:szCs w:val="22"/>
        </w:rPr>
      </w:pPr>
    </w:p>
    <w:p w14:paraId="1B8A4A7E" w14:textId="77777777" w:rsidR="00B377E4" w:rsidRDefault="00B377E4" w:rsidP="00E81BD9">
      <w:pPr>
        <w:spacing w:line="360" w:lineRule="auto"/>
        <w:rPr>
          <w:rFonts w:ascii="Arial" w:hAnsi="Arial" w:cs="Arial"/>
          <w:sz w:val="22"/>
          <w:szCs w:val="22"/>
        </w:rPr>
      </w:pPr>
    </w:p>
    <w:p w14:paraId="3A9AE41C" w14:textId="28AD031A" w:rsidR="001B4C9E" w:rsidRPr="0079762A" w:rsidRDefault="001B4C9E" w:rsidP="00E81BD9">
      <w:pPr>
        <w:spacing w:line="360" w:lineRule="auto"/>
        <w:rPr>
          <w:rFonts w:ascii="Arial" w:hAnsi="Arial" w:cs="Arial"/>
          <w:sz w:val="32"/>
          <w:szCs w:val="32"/>
        </w:rPr>
      </w:pPr>
      <w:r w:rsidRPr="0079762A">
        <w:rPr>
          <w:rFonts w:ascii="Arial" w:hAnsi="Arial" w:cs="Arial"/>
          <w:sz w:val="32"/>
          <w:szCs w:val="32"/>
        </w:rPr>
        <w:lastRenderedPageBreak/>
        <w:t xml:space="preserve">Figure </w:t>
      </w:r>
      <w:r w:rsidR="004761E7" w:rsidRPr="0079762A">
        <w:rPr>
          <w:rFonts w:ascii="Arial" w:hAnsi="Arial" w:cs="Arial"/>
          <w:sz w:val="32"/>
          <w:szCs w:val="32"/>
        </w:rPr>
        <w:t>3</w:t>
      </w:r>
      <w:r w:rsidRPr="0079762A">
        <w:rPr>
          <w:rFonts w:ascii="Arial" w:hAnsi="Arial" w:cs="Arial"/>
          <w:sz w:val="32"/>
          <w:szCs w:val="32"/>
        </w:rPr>
        <w:t>:</w:t>
      </w:r>
      <w:r w:rsidR="004761E7" w:rsidRPr="0079762A">
        <w:rPr>
          <w:rFonts w:ascii="Arial" w:hAnsi="Arial" w:cs="Arial"/>
          <w:sz w:val="32"/>
          <w:szCs w:val="32"/>
        </w:rPr>
        <w:t xml:space="preserve"> </w:t>
      </w:r>
      <w:r w:rsidR="001B4294" w:rsidRPr="0079762A">
        <w:rPr>
          <w:rFonts w:ascii="Arial" w:hAnsi="Arial" w:cs="Arial"/>
          <w:sz w:val="32"/>
          <w:szCs w:val="32"/>
        </w:rPr>
        <w:t xml:space="preserve">Lewin’s </w:t>
      </w:r>
      <w:r w:rsidR="004761E7" w:rsidRPr="0079762A">
        <w:rPr>
          <w:rFonts w:ascii="Arial" w:hAnsi="Arial" w:cs="Arial"/>
          <w:sz w:val="32"/>
          <w:szCs w:val="32"/>
        </w:rPr>
        <w:t>framework</w:t>
      </w:r>
      <w:r w:rsidR="001B4294" w:rsidRPr="0079762A">
        <w:rPr>
          <w:rFonts w:ascii="Arial" w:hAnsi="Arial" w:cs="Arial"/>
          <w:sz w:val="32"/>
          <w:szCs w:val="32"/>
        </w:rPr>
        <w:t xml:space="preserve"> visualisation table:</w:t>
      </w:r>
    </w:p>
    <w:p w14:paraId="289E4F2A" w14:textId="26666C9B" w:rsidR="00766A75" w:rsidRPr="004761E7" w:rsidRDefault="00B377E4" w:rsidP="00E81BD9">
      <w:pPr>
        <w:spacing w:line="360" w:lineRule="auto"/>
        <w:rPr>
          <w:rFonts w:ascii="Arial" w:hAnsi="Arial" w:cs="Arial"/>
          <w:sz w:val="22"/>
          <w:szCs w:val="22"/>
        </w:rPr>
      </w:pPr>
      <w:r>
        <w:rPr>
          <w:rFonts w:ascii="Arial" w:hAnsi="Arial" w:cs="Arial"/>
          <w:noProof/>
          <w:sz w:val="22"/>
          <w:szCs w:val="22"/>
        </w:rPr>
        <w:drawing>
          <wp:inline distT="0" distB="0" distL="0" distR="0" wp14:anchorId="0D2DEE84" wp14:editId="0F574F26">
            <wp:extent cx="6076950" cy="3457575"/>
            <wp:effectExtent l="0" t="0" r="0" b="9525"/>
            <wp:docPr id="1650199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6950" cy="3457575"/>
                    </a:xfrm>
                    <a:prstGeom prst="rect">
                      <a:avLst/>
                    </a:prstGeom>
                    <a:noFill/>
                  </pic:spPr>
                </pic:pic>
              </a:graphicData>
            </a:graphic>
          </wp:inline>
        </w:drawing>
      </w:r>
      <w:r w:rsidR="008F57AD" w:rsidRPr="004761E7">
        <w:rPr>
          <w:rFonts w:ascii="Arial" w:hAnsi="Arial" w:cs="Arial"/>
          <w:color w:val="000000" w:themeColor="text1"/>
          <w:sz w:val="22"/>
          <w:szCs w:val="22"/>
        </w:rPr>
        <w:t xml:space="preserve">“This visualisation table highlights </w:t>
      </w:r>
      <w:r w:rsidR="001C4CD1" w:rsidRPr="004761E7">
        <w:rPr>
          <w:rFonts w:ascii="Arial" w:hAnsi="Arial" w:cs="Arial"/>
          <w:color w:val="000000" w:themeColor="text1"/>
          <w:sz w:val="22"/>
          <w:szCs w:val="22"/>
        </w:rPr>
        <w:t xml:space="preserve">and </w:t>
      </w:r>
      <w:r w:rsidR="001858F8" w:rsidRPr="004761E7">
        <w:rPr>
          <w:rFonts w:ascii="Arial" w:hAnsi="Arial" w:cs="Arial"/>
          <w:color w:val="000000" w:themeColor="text1"/>
          <w:sz w:val="22"/>
          <w:szCs w:val="22"/>
        </w:rPr>
        <w:t>breaks down the</w:t>
      </w:r>
      <w:r w:rsidR="008F57AD" w:rsidRPr="004761E7">
        <w:rPr>
          <w:rFonts w:ascii="Arial" w:hAnsi="Arial" w:cs="Arial"/>
          <w:color w:val="000000" w:themeColor="text1"/>
          <w:sz w:val="22"/>
          <w:szCs w:val="22"/>
        </w:rPr>
        <w:t xml:space="preserve"> key </w:t>
      </w:r>
      <w:r w:rsidR="001C4CD1" w:rsidRPr="004761E7">
        <w:rPr>
          <w:rFonts w:ascii="Arial" w:hAnsi="Arial" w:cs="Arial"/>
          <w:color w:val="000000" w:themeColor="text1"/>
          <w:sz w:val="22"/>
          <w:szCs w:val="22"/>
        </w:rPr>
        <w:t>components</w:t>
      </w:r>
      <w:r w:rsidR="008F57AD" w:rsidRPr="004761E7">
        <w:rPr>
          <w:rFonts w:ascii="Arial" w:hAnsi="Arial" w:cs="Arial"/>
          <w:color w:val="000000" w:themeColor="text1"/>
          <w:sz w:val="22"/>
          <w:szCs w:val="22"/>
        </w:rPr>
        <w:t xml:space="preserve"> </w:t>
      </w:r>
      <w:r w:rsidR="001858F8" w:rsidRPr="004761E7">
        <w:rPr>
          <w:rFonts w:ascii="Arial" w:hAnsi="Arial" w:cs="Arial"/>
          <w:color w:val="000000" w:themeColor="text1"/>
          <w:sz w:val="22"/>
          <w:szCs w:val="22"/>
        </w:rPr>
        <w:t>re</w:t>
      </w:r>
      <w:r w:rsidR="00E610B9" w:rsidRPr="004761E7">
        <w:rPr>
          <w:rFonts w:ascii="Arial" w:hAnsi="Arial" w:cs="Arial"/>
          <w:color w:val="000000" w:themeColor="text1"/>
          <w:sz w:val="22"/>
          <w:szCs w:val="22"/>
        </w:rPr>
        <w:t>garding Lewin</w:t>
      </w:r>
      <w:r w:rsidR="001B4C9E" w:rsidRPr="004761E7">
        <w:rPr>
          <w:rFonts w:ascii="Arial" w:hAnsi="Arial" w:cs="Arial"/>
          <w:color w:val="000000" w:themeColor="text1"/>
          <w:sz w:val="22"/>
          <w:szCs w:val="22"/>
        </w:rPr>
        <w:t>’</w:t>
      </w:r>
      <w:r w:rsidR="00E610B9" w:rsidRPr="004761E7">
        <w:rPr>
          <w:rFonts w:ascii="Arial" w:hAnsi="Arial" w:cs="Arial"/>
          <w:color w:val="000000" w:themeColor="text1"/>
          <w:sz w:val="22"/>
          <w:szCs w:val="22"/>
        </w:rPr>
        <w:t xml:space="preserve">s model </w:t>
      </w:r>
      <w:r w:rsidR="001C4CD1" w:rsidRPr="004761E7">
        <w:rPr>
          <w:rFonts w:ascii="Arial" w:hAnsi="Arial" w:cs="Arial"/>
          <w:color w:val="000000" w:themeColor="text1"/>
          <w:sz w:val="22"/>
          <w:szCs w:val="22"/>
        </w:rPr>
        <w:t>for Bentley Motors</w:t>
      </w:r>
      <w:r w:rsidR="00E610B9" w:rsidRPr="004761E7">
        <w:rPr>
          <w:rFonts w:ascii="Arial" w:hAnsi="Arial" w:cs="Arial"/>
          <w:color w:val="000000" w:themeColor="text1"/>
          <w:sz w:val="22"/>
          <w:szCs w:val="22"/>
        </w:rPr>
        <w:t xml:space="preserve"> according to” (Visual Paradigm, 2022).</w:t>
      </w:r>
    </w:p>
    <w:p w14:paraId="1CB37766" w14:textId="77777777" w:rsidR="004745D4" w:rsidRDefault="004745D4" w:rsidP="00E81BD9">
      <w:pPr>
        <w:spacing w:line="360" w:lineRule="auto"/>
        <w:rPr>
          <w:rFonts w:ascii="Arial" w:hAnsi="Arial" w:cs="Arial"/>
          <w:sz w:val="22"/>
          <w:szCs w:val="22"/>
        </w:rPr>
      </w:pPr>
    </w:p>
    <w:p w14:paraId="6C716E56" w14:textId="77777777" w:rsidR="004745D4" w:rsidRDefault="004745D4" w:rsidP="00E81BD9">
      <w:pPr>
        <w:spacing w:line="360" w:lineRule="auto"/>
        <w:rPr>
          <w:rFonts w:ascii="Arial" w:hAnsi="Arial" w:cs="Arial"/>
          <w:sz w:val="22"/>
          <w:szCs w:val="22"/>
        </w:rPr>
      </w:pPr>
    </w:p>
    <w:p w14:paraId="3BE7F0ED" w14:textId="77777777" w:rsidR="004745D4" w:rsidRDefault="004745D4" w:rsidP="00E81BD9">
      <w:pPr>
        <w:spacing w:line="360" w:lineRule="auto"/>
        <w:rPr>
          <w:rFonts w:ascii="Arial" w:hAnsi="Arial" w:cs="Arial"/>
          <w:sz w:val="22"/>
          <w:szCs w:val="22"/>
        </w:rPr>
      </w:pPr>
    </w:p>
    <w:p w14:paraId="24F4510A" w14:textId="77777777" w:rsidR="004761E7" w:rsidRDefault="004761E7" w:rsidP="00E81BD9">
      <w:pPr>
        <w:spacing w:line="360" w:lineRule="auto"/>
        <w:rPr>
          <w:rFonts w:ascii="Arial" w:hAnsi="Arial" w:cs="Arial"/>
          <w:sz w:val="22"/>
          <w:szCs w:val="22"/>
        </w:rPr>
      </w:pPr>
    </w:p>
    <w:p w14:paraId="5E1E5BD3" w14:textId="77777777" w:rsidR="004761E7" w:rsidRDefault="004761E7" w:rsidP="00E81BD9">
      <w:pPr>
        <w:spacing w:line="360" w:lineRule="auto"/>
        <w:rPr>
          <w:rFonts w:ascii="Arial" w:hAnsi="Arial" w:cs="Arial"/>
          <w:sz w:val="22"/>
          <w:szCs w:val="22"/>
        </w:rPr>
      </w:pPr>
    </w:p>
    <w:p w14:paraId="49FEA8B8" w14:textId="77777777" w:rsidR="004761E7" w:rsidRDefault="004761E7" w:rsidP="00E81BD9">
      <w:pPr>
        <w:spacing w:line="360" w:lineRule="auto"/>
        <w:rPr>
          <w:rFonts w:ascii="Arial" w:hAnsi="Arial" w:cs="Arial"/>
          <w:sz w:val="22"/>
          <w:szCs w:val="22"/>
        </w:rPr>
      </w:pPr>
    </w:p>
    <w:p w14:paraId="6B81F320" w14:textId="77777777" w:rsidR="004761E7" w:rsidRDefault="004761E7" w:rsidP="00E81BD9">
      <w:pPr>
        <w:spacing w:line="360" w:lineRule="auto"/>
        <w:rPr>
          <w:rFonts w:ascii="Arial" w:hAnsi="Arial" w:cs="Arial"/>
          <w:sz w:val="22"/>
          <w:szCs w:val="22"/>
        </w:rPr>
      </w:pPr>
    </w:p>
    <w:p w14:paraId="36AAD503" w14:textId="77777777" w:rsidR="004761E7" w:rsidRDefault="004761E7" w:rsidP="00E81BD9">
      <w:pPr>
        <w:spacing w:line="360" w:lineRule="auto"/>
        <w:rPr>
          <w:rFonts w:ascii="Arial" w:hAnsi="Arial" w:cs="Arial"/>
          <w:sz w:val="22"/>
          <w:szCs w:val="22"/>
        </w:rPr>
      </w:pPr>
    </w:p>
    <w:p w14:paraId="5C36F195" w14:textId="77777777" w:rsidR="004761E7" w:rsidRDefault="004761E7" w:rsidP="00E81BD9">
      <w:pPr>
        <w:spacing w:line="360" w:lineRule="auto"/>
        <w:rPr>
          <w:rFonts w:ascii="Arial" w:hAnsi="Arial" w:cs="Arial"/>
          <w:sz w:val="22"/>
          <w:szCs w:val="22"/>
        </w:rPr>
      </w:pPr>
    </w:p>
    <w:p w14:paraId="7949A4A3" w14:textId="77777777" w:rsidR="004761E7" w:rsidRDefault="004761E7" w:rsidP="00E81BD9">
      <w:pPr>
        <w:spacing w:line="360" w:lineRule="auto"/>
        <w:rPr>
          <w:rFonts w:ascii="Arial" w:hAnsi="Arial" w:cs="Arial"/>
          <w:sz w:val="22"/>
          <w:szCs w:val="22"/>
        </w:rPr>
      </w:pPr>
    </w:p>
    <w:p w14:paraId="717F855F" w14:textId="77777777" w:rsidR="004745D4" w:rsidRDefault="004745D4" w:rsidP="00E81BD9">
      <w:pPr>
        <w:spacing w:line="360" w:lineRule="auto"/>
        <w:rPr>
          <w:rFonts w:ascii="Arial" w:hAnsi="Arial" w:cs="Arial"/>
          <w:sz w:val="22"/>
          <w:szCs w:val="22"/>
        </w:rPr>
      </w:pPr>
    </w:p>
    <w:p w14:paraId="794E995E" w14:textId="646FB021" w:rsidR="004745D4" w:rsidRPr="004761E7" w:rsidRDefault="004745D4" w:rsidP="004745D4">
      <w:pPr>
        <w:pStyle w:val="Heading2"/>
        <w:rPr>
          <w:rFonts w:ascii="Arial" w:hAnsi="Arial" w:cs="Arial"/>
          <w:color w:val="000000" w:themeColor="text1"/>
        </w:rPr>
      </w:pPr>
      <w:bookmarkStart w:id="12" w:name="_Toc235444596"/>
      <w:r w:rsidRPr="004761E7">
        <w:rPr>
          <w:rFonts w:ascii="Arial" w:hAnsi="Arial" w:cs="Arial"/>
          <w:color w:val="000000" w:themeColor="text1"/>
        </w:rPr>
        <w:lastRenderedPageBreak/>
        <w:t>Section 3.2: Application of Change Management Models to Bentley:</w:t>
      </w:r>
      <w:bookmarkEnd w:id="12"/>
    </w:p>
    <w:p w14:paraId="380732E4" w14:textId="36881E43"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 xml:space="preserve">Analysing Bentley's transformation through Kotter's model reveals both achievements and challenges. The organisation has created significant urgency through its Beyond100+ strategy, communicating the imperative for change driven by environmental, regulatory, and competitive pressures. The guiding coalition includes senior leadership, the Sustainability Council, and engagement with stakeholders in developing its ESG materiality assessment. The vision is clearly articulated through the "leading in sustainability" ambition, with tangible commitments including full electrification by 2035 and achievement of carbon neutrality. </w:t>
      </w:r>
      <w:r w:rsidR="00E77A2E" w:rsidRPr="004761E7">
        <w:rPr>
          <w:rFonts w:ascii="Arial" w:hAnsi="Arial" w:cs="Arial"/>
          <w:color w:val="000000" w:themeColor="text1"/>
          <w:sz w:val="22"/>
          <w:szCs w:val="22"/>
        </w:rPr>
        <w:t>“As an analytical framework, ESG requires Bentley to balance high-end vehicle production with environmental protection and ethical business practices</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A96DE6" w:rsidRPr="004761E7">
        <w:rPr>
          <w:rFonts w:ascii="Arial" w:hAnsi="Arial" w:cs="Arial"/>
          <w:color w:val="000000" w:themeColor="text1"/>
          <w:sz w:val="22"/>
          <w:szCs w:val="22"/>
        </w:rPr>
        <w:t xml:space="preserve"> (Stratsys, 2024)</w:t>
      </w:r>
      <w:r w:rsidR="00CF75E5">
        <w:rPr>
          <w:rFonts w:ascii="Arial" w:hAnsi="Arial" w:cs="Arial"/>
          <w:color w:val="000000" w:themeColor="text1"/>
          <w:sz w:val="22"/>
          <w:szCs w:val="22"/>
        </w:rPr>
        <w:t>.</w:t>
      </w:r>
      <w:r w:rsidR="00A96DE6" w:rsidRPr="004761E7">
        <w:rPr>
          <w:rFonts w:ascii="Arial" w:hAnsi="Arial" w:cs="Arial"/>
          <w:color w:val="000000" w:themeColor="text1"/>
          <w:sz w:val="22"/>
          <w:szCs w:val="22"/>
        </w:rPr>
        <w:t xml:space="preserve"> </w:t>
      </w:r>
      <w:r w:rsidRPr="004761E7">
        <w:rPr>
          <w:rFonts w:ascii="Arial" w:hAnsi="Arial" w:cs="Arial"/>
          <w:color w:val="000000" w:themeColor="text1"/>
          <w:sz w:val="22"/>
          <w:szCs w:val="22"/>
        </w:rPr>
        <w:t xml:space="preserve">However, challenges remain in communicating </w:t>
      </w:r>
      <w:r w:rsidR="007E083B" w:rsidRPr="004761E7">
        <w:rPr>
          <w:rFonts w:ascii="Arial" w:hAnsi="Arial" w:cs="Arial"/>
          <w:color w:val="000000" w:themeColor="text1"/>
          <w:sz w:val="22"/>
          <w:szCs w:val="22"/>
        </w:rPr>
        <w:t xml:space="preserve">the </w:t>
      </w:r>
      <w:r w:rsidRPr="004761E7">
        <w:rPr>
          <w:rFonts w:ascii="Arial" w:hAnsi="Arial" w:cs="Arial"/>
          <w:color w:val="000000" w:themeColor="text1"/>
          <w:sz w:val="22"/>
          <w:szCs w:val="22"/>
        </w:rPr>
        <w:t>vision effectively across the organisation, particularly given the tension between luxury heritage and sustainability imperatives. Empowerment of broad-based action has been partially achieved through investment in Dream Factory facilities, training programmes, and new product development, but cultural change remains a work in progress. The extension of the electrification timeline from 2030 to 2035, driven by market realities, potentially undermines the urgency created by earlier commitments, highlighting the tension between visionary leadership and practical constraints.</w:t>
      </w:r>
      <w:r w:rsidR="00452F45" w:rsidRPr="004761E7">
        <w:rPr>
          <w:rFonts w:ascii="Arial" w:hAnsi="Arial" w:cs="Arial"/>
          <w:color w:val="000000" w:themeColor="text1"/>
          <w:sz w:val="22"/>
          <w:szCs w:val="22"/>
        </w:rPr>
        <w:t xml:space="preserve"> “Car makers use materiality assessments to pinpoint where supply chain emissions and battery recycling intersect with long-term profitability</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according to”</w:t>
      </w:r>
      <w:r w:rsidR="006829A4" w:rsidRPr="004761E7">
        <w:rPr>
          <w:rFonts w:ascii="Arial" w:hAnsi="Arial" w:cs="Arial"/>
          <w:color w:val="000000" w:themeColor="text1"/>
          <w:sz w:val="22"/>
          <w:szCs w:val="22"/>
        </w:rPr>
        <w:t xml:space="preserve"> (</w:t>
      </w:r>
      <w:r w:rsidR="00F44C40" w:rsidRPr="004761E7">
        <w:rPr>
          <w:rFonts w:ascii="Arial" w:hAnsi="Arial" w:cs="Arial"/>
          <w:color w:val="000000" w:themeColor="text1"/>
          <w:sz w:val="22"/>
          <w:szCs w:val="22"/>
        </w:rPr>
        <w:t xml:space="preserve">Garst, J., Maas, K. and </w:t>
      </w:r>
      <w:proofErr w:type="spellStart"/>
      <w:r w:rsidR="00F44C40" w:rsidRPr="004761E7">
        <w:rPr>
          <w:rFonts w:ascii="Arial" w:hAnsi="Arial" w:cs="Arial"/>
          <w:color w:val="000000" w:themeColor="text1"/>
          <w:sz w:val="22"/>
          <w:szCs w:val="22"/>
        </w:rPr>
        <w:t>Suijs</w:t>
      </w:r>
      <w:proofErr w:type="spellEnd"/>
      <w:r w:rsidR="00F44C40" w:rsidRPr="004761E7">
        <w:rPr>
          <w:rFonts w:ascii="Arial" w:hAnsi="Arial" w:cs="Arial"/>
          <w:color w:val="000000" w:themeColor="text1"/>
          <w:sz w:val="22"/>
          <w:szCs w:val="22"/>
        </w:rPr>
        <w:t xml:space="preserve">, J., 2022). </w:t>
      </w:r>
    </w:p>
    <w:p w14:paraId="549A16BE" w14:textId="16E0F3C5"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 xml:space="preserve">The leadership approach at Bentley reflects the complexity of managing change in a luxury manufacturer with deep heritage and demanding stakeholders. </w:t>
      </w:r>
      <w:r w:rsidR="007E083B" w:rsidRPr="004761E7">
        <w:rPr>
          <w:rFonts w:ascii="Arial" w:hAnsi="Arial" w:cs="Arial"/>
          <w:color w:val="000000" w:themeColor="text1"/>
          <w:sz w:val="22"/>
          <w:szCs w:val="22"/>
        </w:rPr>
        <w:t>Dr</w:t>
      </w:r>
      <w:r w:rsidRPr="004761E7">
        <w:rPr>
          <w:rFonts w:ascii="Arial" w:hAnsi="Arial" w:cs="Arial"/>
          <w:color w:val="000000" w:themeColor="text1"/>
          <w:sz w:val="22"/>
          <w:szCs w:val="22"/>
        </w:rPr>
        <w:t xml:space="preserve"> Frank-Steffen Walliser, CEO since 2024, has demonstrated a pragmatic leadership style, </w:t>
      </w:r>
      <w:proofErr w:type="gramStart"/>
      <w:r w:rsidRPr="004761E7">
        <w:rPr>
          <w:rFonts w:ascii="Arial" w:hAnsi="Arial" w:cs="Arial"/>
          <w:color w:val="000000" w:themeColor="text1"/>
          <w:sz w:val="22"/>
          <w:szCs w:val="22"/>
        </w:rPr>
        <w:t>acknowledging</w:t>
      </w:r>
      <w:proofErr w:type="gramEnd"/>
      <w:r w:rsidRPr="004761E7">
        <w:rPr>
          <w:rFonts w:ascii="Arial" w:hAnsi="Arial" w:cs="Arial"/>
          <w:color w:val="000000" w:themeColor="text1"/>
          <w:sz w:val="22"/>
          <w:szCs w:val="22"/>
        </w:rPr>
        <w:t xml:space="preserve"> challenging market conditions whilst maintaining commitment to transformation.</w:t>
      </w:r>
      <w:r w:rsidR="0094471C" w:rsidRPr="004761E7">
        <w:rPr>
          <w:rFonts w:ascii="Arial" w:hAnsi="Arial" w:cs="Arial"/>
          <w:color w:val="000000" w:themeColor="text1"/>
          <w:sz w:val="22"/>
          <w:szCs w:val="22"/>
        </w:rPr>
        <w:t xml:space="preserve"> </w:t>
      </w:r>
      <w:r w:rsidR="00014415" w:rsidRPr="004761E7">
        <w:rPr>
          <w:rFonts w:ascii="Arial" w:hAnsi="Arial" w:cs="Arial"/>
          <w:color w:val="000000" w:themeColor="text1"/>
          <w:sz w:val="22"/>
          <w:szCs w:val="22"/>
        </w:rPr>
        <w:t>“</w:t>
      </w:r>
      <w:proofErr w:type="gramStart"/>
      <w:r w:rsidR="00447FE8" w:rsidRPr="004761E7">
        <w:rPr>
          <w:rFonts w:ascii="Arial" w:hAnsi="Arial" w:cs="Arial"/>
          <w:color w:val="000000" w:themeColor="text1"/>
          <w:sz w:val="22"/>
          <w:szCs w:val="22"/>
        </w:rPr>
        <w:t>Bentley's</w:t>
      </w:r>
      <w:r w:rsidR="0094471C" w:rsidRPr="004761E7">
        <w:rPr>
          <w:rFonts w:ascii="Arial" w:hAnsi="Arial" w:cs="Arial"/>
          <w:color w:val="000000" w:themeColor="text1"/>
          <w:sz w:val="22"/>
          <w:szCs w:val="22"/>
        </w:rPr>
        <w:t xml:space="preserve"> </w:t>
      </w:r>
      <w:r w:rsidR="00447FE8" w:rsidRPr="004761E7">
        <w:rPr>
          <w:rFonts w:ascii="Arial" w:hAnsi="Arial" w:cs="Arial"/>
          <w:color w:val="000000" w:themeColor="text1"/>
          <w:sz w:val="22"/>
          <w:szCs w:val="22"/>
        </w:rPr>
        <w:t xml:space="preserve"> CEO</w:t>
      </w:r>
      <w:proofErr w:type="gramEnd"/>
      <w:r w:rsidR="00447FE8" w:rsidRPr="004761E7">
        <w:rPr>
          <w:rFonts w:ascii="Arial" w:hAnsi="Arial" w:cs="Arial"/>
          <w:color w:val="000000" w:themeColor="text1"/>
          <w:sz w:val="22"/>
          <w:szCs w:val="22"/>
        </w:rPr>
        <w:t xml:space="preserve"> </w:t>
      </w:r>
      <w:r w:rsidR="00014415" w:rsidRPr="004761E7">
        <w:rPr>
          <w:rFonts w:ascii="Arial" w:hAnsi="Arial" w:cs="Arial"/>
          <w:color w:val="000000" w:themeColor="text1"/>
          <w:sz w:val="22"/>
          <w:szCs w:val="22"/>
        </w:rPr>
        <w:t>plans</w:t>
      </w:r>
      <w:r w:rsidR="0094471C" w:rsidRPr="004761E7">
        <w:rPr>
          <w:rFonts w:ascii="Arial" w:hAnsi="Arial" w:cs="Arial"/>
          <w:color w:val="000000" w:themeColor="text1"/>
          <w:sz w:val="22"/>
          <w:szCs w:val="22"/>
        </w:rPr>
        <w:t xml:space="preserve"> to </w:t>
      </w:r>
      <w:r w:rsidR="00014415" w:rsidRPr="004761E7">
        <w:rPr>
          <w:rFonts w:ascii="Arial" w:hAnsi="Arial" w:cs="Arial"/>
          <w:color w:val="000000" w:themeColor="text1"/>
          <w:sz w:val="22"/>
          <w:szCs w:val="22"/>
        </w:rPr>
        <w:t>analyse</w:t>
      </w:r>
      <w:r w:rsidR="00447FE8" w:rsidRPr="004761E7">
        <w:rPr>
          <w:rFonts w:ascii="Arial" w:hAnsi="Arial" w:cs="Arial"/>
          <w:color w:val="000000" w:themeColor="text1"/>
          <w:sz w:val="22"/>
          <w:szCs w:val="22"/>
        </w:rPr>
        <w:t xml:space="preserve"> and reflect o</w:t>
      </w:r>
      <w:r w:rsidR="00014415" w:rsidRPr="004761E7">
        <w:rPr>
          <w:rFonts w:ascii="Arial" w:hAnsi="Arial" w:cs="Arial"/>
          <w:color w:val="000000" w:themeColor="text1"/>
          <w:sz w:val="22"/>
          <w:szCs w:val="22"/>
        </w:rPr>
        <w:t>n</w:t>
      </w:r>
      <w:r w:rsidR="00447FE8" w:rsidRPr="004761E7">
        <w:rPr>
          <w:rFonts w:ascii="Arial" w:hAnsi="Arial" w:cs="Arial"/>
          <w:color w:val="000000" w:themeColor="text1"/>
          <w:sz w:val="22"/>
          <w:szCs w:val="22"/>
        </w:rPr>
        <w:t xml:space="preserve"> the </w:t>
      </w:r>
      <w:r w:rsidR="00014415" w:rsidRPr="004761E7">
        <w:rPr>
          <w:rFonts w:ascii="Arial" w:hAnsi="Arial" w:cs="Arial"/>
          <w:color w:val="000000" w:themeColor="text1"/>
          <w:sz w:val="22"/>
          <w:szCs w:val="22"/>
        </w:rPr>
        <w:t>company's strategy</w:t>
      </w:r>
      <w:r w:rsidR="00447FE8" w:rsidRPr="004761E7">
        <w:rPr>
          <w:rFonts w:ascii="Arial" w:hAnsi="Arial" w:cs="Arial"/>
          <w:color w:val="000000" w:themeColor="text1"/>
          <w:sz w:val="22"/>
          <w:szCs w:val="22"/>
        </w:rPr>
        <w:t xml:space="preserve"> approach to better uplif</w:t>
      </w:r>
      <w:r w:rsidR="00014415" w:rsidRPr="004761E7">
        <w:rPr>
          <w:rFonts w:ascii="Arial" w:hAnsi="Arial" w:cs="Arial"/>
          <w:color w:val="000000" w:themeColor="text1"/>
          <w:sz w:val="22"/>
          <w:szCs w:val="22"/>
        </w:rPr>
        <w:t>t</w:t>
      </w:r>
      <w:r w:rsidR="00447FE8" w:rsidRPr="004761E7">
        <w:rPr>
          <w:rFonts w:ascii="Arial" w:hAnsi="Arial" w:cs="Arial"/>
          <w:color w:val="000000" w:themeColor="text1"/>
          <w:sz w:val="22"/>
          <w:szCs w:val="22"/>
        </w:rPr>
        <w:t xml:space="preserve"> </w:t>
      </w:r>
      <w:r w:rsidR="00014415" w:rsidRPr="004761E7">
        <w:rPr>
          <w:rFonts w:ascii="Arial" w:hAnsi="Arial" w:cs="Arial"/>
          <w:color w:val="000000" w:themeColor="text1"/>
          <w:sz w:val="22"/>
          <w:szCs w:val="22"/>
        </w:rPr>
        <w:t>the company’s brand according to” (Bentley Motors,2026).</w:t>
      </w:r>
      <w:r w:rsidRPr="004761E7">
        <w:rPr>
          <w:rFonts w:ascii="Arial" w:hAnsi="Arial" w:cs="Arial"/>
          <w:color w:val="000000" w:themeColor="text1"/>
          <w:sz w:val="22"/>
          <w:szCs w:val="22"/>
        </w:rPr>
        <w:t xml:space="preserve"> The emphasis on "value over volume" reflects a strategic approach that leverages Bentley's brand strength and customer loyalty to maintain profitability despite market volatility. Leadership of the Dream Factory project demonstrates the importance of inclusive, participative approaches to change management, involving employees early in the planning process to build commitment and improve outcomes.</w:t>
      </w:r>
    </w:p>
    <w:p w14:paraId="34DE80F7" w14:textId="77777777" w:rsidR="004745D4" w:rsidRPr="004761E7" w:rsidRDefault="004745D4" w:rsidP="004745D4">
      <w:pPr>
        <w:spacing w:line="360" w:lineRule="auto"/>
        <w:rPr>
          <w:rFonts w:ascii="Arial" w:hAnsi="Arial" w:cs="Arial"/>
          <w:color w:val="000000" w:themeColor="text1"/>
          <w:sz w:val="22"/>
          <w:szCs w:val="22"/>
        </w:rPr>
      </w:pPr>
    </w:p>
    <w:p w14:paraId="254F2A0A" w14:textId="77777777" w:rsidR="004745D4" w:rsidRDefault="004745D4" w:rsidP="004745D4">
      <w:pPr>
        <w:spacing w:line="360" w:lineRule="auto"/>
        <w:rPr>
          <w:rFonts w:ascii="Arial" w:hAnsi="Arial" w:cs="Arial"/>
          <w:sz w:val="22"/>
          <w:szCs w:val="22"/>
        </w:rPr>
      </w:pPr>
    </w:p>
    <w:p w14:paraId="5CB11A6D" w14:textId="390CD25A" w:rsidR="004745D4" w:rsidRPr="004761E7" w:rsidRDefault="004745D4" w:rsidP="004745D4">
      <w:pPr>
        <w:pStyle w:val="Heading2"/>
        <w:rPr>
          <w:rFonts w:ascii="Arial" w:hAnsi="Arial" w:cs="Arial"/>
          <w:color w:val="000000" w:themeColor="text1"/>
        </w:rPr>
      </w:pPr>
      <w:bookmarkStart w:id="13" w:name="_Toc235444597"/>
      <w:r w:rsidRPr="004761E7">
        <w:rPr>
          <w:rFonts w:ascii="Arial" w:hAnsi="Arial" w:cs="Arial"/>
          <w:color w:val="000000" w:themeColor="text1"/>
        </w:rPr>
        <w:lastRenderedPageBreak/>
        <w:t>Section 3.3: Leadership Approaches and Organisational Culture:</w:t>
      </w:r>
      <w:bookmarkEnd w:id="13"/>
    </w:p>
    <w:p w14:paraId="61179980" w14:textId="1E7F05E5"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Leadership plays a critical role in successful organisational change, and Bentley's transformation journey offers valuable insights into leadership challenges and approaches. The leadership of the organisation has evolved from the visionary, expansive approach of the early 2000s to a more pragmatic, execution-focused style that balances transformation with operational resilience.</w:t>
      </w:r>
      <w:r w:rsidR="00CD22FB" w:rsidRPr="004761E7">
        <w:rPr>
          <w:rFonts w:ascii="Arial" w:hAnsi="Arial" w:cs="Arial"/>
          <w:color w:val="000000" w:themeColor="text1"/>
          <w:sz w:val="22"/>
          <w:szCs w:val="22"/>
        </w:rPr>
        <w:t xml:space="preserve"> </w:t>
      </w:r>
      <w:r w:rsidR="003C34EB" w:rsidRPr="004761E7">
        <w:rPr>
          <w:rFonts w:ascii="Arial" w:hAnsi="Arial" w:cs="Arial"/>
          <w:color w:val="000000" w:themeColor="text1"/>
          <w:sz w:val="22"/>
          <w:szCs w:val="22"/>
        </w:rPr>
        <w:t>“</w:t>
      </w:r>
      <w:r w:rsidR="00CD22FB" w:rsidRPr="004761E7">
        <w:rPr>
          <w:rFonts w:ascii="Arial" w:hAnsi="Arial" w:cs="Arial"/>
          <w:color w:val="000000" w:themeColor="text1"/>
          <w:sz w:val="22"/>
          <w:szCs w:val="22"/>
        </w:rPr>
        <w:t>Bentley’s previous CE</w:t>
      </w:r>
      <w:r w:rsidR="000E555E" w:rsidRPr="004761E7">
        <w:rPr>
          <w:rFonts w:ascii="Arial" w:hAnsi="Arial" w:cs="Arial"/>
          <w:color w:val="000000" w:themeColor="text1"/>
          <w:sz w:val="22"/>
          <w:szCs w:val="22"/>
        </w:rPr>
        <w:t>O</w:t>
      </w:r>
      <w:r w:rsidR="00765F7E" w:rsidRPr="004761E7">
        <w:rPr>
          <w:rFonts w:ascii="Arial" w:hAnsi="Arial" w:cs="Arial"/>
          <w:color w:val="000000" w:themeColor="text1"/>
          <w:sz w:val="22"/>
          <w:szCs w:val="22"/>
        </w:rPr>
        <w:t>,</w:t>
      </w:r>
      <w:r w:rsidR="000E555E" w:rsidRPr="004761E7">
        <w:rPr>
          <w:rFonts w:ascii="Arial" w:hAnsi="Arial" w:cs="Arial"/>
          <w:color w:val="000000" w:themeColor="text1"/>
          <w:sz w:val="22"/>
          <w:szCs w:val="22"/>
        </w:rPr>
        <w:t xml:space="preserve"> Tony </w:t>
      </w:r>
      <w:r w:rsidR="003C34EB" w:rsidRPr="004761E7">
        <w:rPr>
          <w:rFonts w:ascii="Arial" w:hAnsi="Arial" w:cs="Arial"/>
          <w:color w:val="000000" w:themeColor="text1"/>
          <w:sz w:val="22"/>
          <w:szCs w:val="22"/>
        </w:rPr>
        <w:t>Gott</w:t>
      </w:r>
      <w:r w:rsidR="00765F7E" w:rsidRPr="004761E7">
        <w:rPr>
          <w:rFonts w:ascii="Arial" w:hAnsi="Arial" w:cs="Arial"/>
          <w:color w:val="000000" w:themeColor="text1"/>
          <w:sz w:val="22"/>
          <w:szCs w:val="22"/>
        </w:rPr>
        <w:t>,</w:t>
      </w:r>
      <w:r w:rsidR="003C34EB" w:rsidRPr="004761E7">
        <w:rPr>
          <w:rFonts w:ascii="Arial" w:hAnsi="Arial" w:cs="Arial"/>
          <w:color w:val="000000" w:themeColor="text1"/>
          <w:sz w:val="22"/>
          <w:szCs w:val="22"/>
        </w:rPr>
        <w:t xml:space="preserve"> </w:t>
      </w:r>
      <w:r w:rsidR="000E555E" w:rsidRPr="004761E7">
        <w:rPr>
          <w:rFonts w:ascii="Arial" w:hAnsi="Arial" w:cs="Arial"/>
          <w:color w:val="000000" w:themeColor="text1"/>
          <w:sz w:val="22"/>
          <w:szCs w:val="22"/>
        </w:rPr>
        <w:t>had a visionary approach compared to the current C</w:t>
      </w:r>
      <w:r w:rsidR="003C34EB" w:rsidRPr="004761E7">
        <w:rPr>
          <w:rFonts w:ascii="Arial" w:hAnsi="Arial" w:cs="Arial"/>
          <w:color w:val="000000" w:themeColor="text1"/>
          <w:sz w:val="22"/>
          <w:szCs w:val="22"/>
        </w:rPr>
        <w:t>EO</w:t>
      </w:r>
      <w:r w:rsidR="00765F7E" w:rsidRPr="004761E7">
        <w:rPr>
          <w:rFonts w:ascii="Arial" w:hAnsi="Arial" w:cs="Arial"/>
          <w:color w:val="000000" w:themeColor="text1"/>
          <w:sz w:val="22"/>
          <w:szCs w:val="22"/>
        </w:rPr>
        <w:t xml:space="preserve">, </w:t>
      </w:r>
      <w:r w:rsidR="00165E6D" w:rsidRPr="004761E7">
        <w:rPr>
          <w:rFonts w:ascii="Arial" w:hAnsi="Arial" w:cs="Arial"/>
          <w:color w:val="000000" w:themeColor="text1"/>
          <w:sz w:val="22"/>
          <w:szCs w:val="22"/>
        </w:rPr>
        <w:t>Dr Frank-Steffen Walliser, an execution-style approach according to</w:t>
      </w:r>
      <w:r w:rsidR="00765F7E" w:rsidRPr="004761E7">
        <w:rPr>
          <w:rFonts w:ascii="Arial" w:hAnsi="Arial" w:cs="Arial"/>
          <w:color w:val="000000" w:themeColor="text1"/>
          <w:sz w:val="22"/>
          <w:szCs w:val="22"/>
        </w:rPr>
        <w:t>” (Volkswagen AG, 2001).</w:t>
      </w:r>
      <w:r w:rsidRPr="004761E7">
        <w:rPr>
          <w:rFonts w:ascii="Arial" w:hAnsi="Arial" w:cs="Arial"/>
          <w:color w:val="000000" w:themeColor="text1"/>
          <w:sz w:val="22"/>
          <w:szCs w:val="22"/>
        </w:rPr>
        <w:t xml:space="preserve"> The current CEO has emphasised the need for "difficult decisions" to secure long-term competitiveness, including potential job cuts, whilst simultaneously investing at "unprecedented levels" in the Dream Factory and product development.</w:t>
      </w:r>
      <w:r w:rsidR="00CD22FB" w:rsidRPr="004761E7">
        <w:rPr>
          <w:rFonts w:ascii="Arial" w:hAnsi="Arial" w:cs="Arial"/>
          <w:color w:val="000000" w:themeColor="text1"/>
          <w:sz w:val="22"/>
          <w:szCs w:val="22"/>
        </w:rPr>
        <w:t xml:space="preserve"> </w:t>
      </w:r>
    </w:p>
    <w:p w14:paraId="49D418FF" w14:textId="3E5A8962"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Transformational leadership is particularly relevant to the Bentley context, where the organisation's transformation requires not just incremental improvement but fundamental changes in business model, product portfolio, and operational approach. Transformational leaders can create the psychological safety and motivation required for such fundamental change, helping employees and stakeholders embrace new approaches whilst maintaining commitment to the organisation's core values. The Dream Factory initiative exemplifies this approach, with leaders creating a clear vision, communicating consistently, and involving employees in the journey from the outset.</w:t>
      </w:r>
    </w:p>
    <w:p w14:paraId="56F71D30" w14:textId="1B56BFBC" w:rsidR="004745D4" w:rsidRPr="004761E7" w:rsidRDefault="008C013E"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Organisational culture at Bentley represents both a potential barrier to and enabler of change. The culture of craftsmanship, quality, and British heritage that has defined Bentley's identity for over a century provides a foundation for the brand's positioning and customer loyalty. However, these cultural attributes can also create resistance to the fundamental change required by electrification and digitalisation. The transition from internal combustion engine to electric vehicle production requires not just new skills but new mindsets, challenging established professional identities and ways of working.</w:t>
      </w:r>
      <w:r w:rsidR="00A8185B" w:rsidRPr="004761E7">
        <w:rPr>
          <w:rFonts w:ascii="Arial" w:hAnsi="Arial" w:cs="Arial"/>
          <w:color w:val="000000" w:themeColor="text1"/>
          <w:sz w:val="22"/>
          <w:szCs w:val="22"/>
        </w:rPr>
        <w:t xml:space="preserve"> “Car executives are ditching rigid, top-down control for collaborative leadership to help factory teams adapt to rapid tech changes</w:t>
      </w:r>
      <w:r w:rsidR="00CF75E5">
        <w:rPr>
          <w:rFonts w:ascii="Arial" w:hAnsi="Arial" w:cs="Arial"/>
          <w:color w:val="000000" w:themeColor="text1"/>
          <w:sz w:val="22"/>
          <w:szCs w:val="22"/>
        </w:rPr>
        <w:t xml:space="preserve"> </w:t>
      </w:r>
      <w:r w:rsidR="00CF75E5" w:rsidRPr="00CF75E5">
        <w:rPr>
          <w:rFonts w:ascii="Arial" w:hAnsi="Arial" w:cs="Arial"/>
          <w:color w:val="000000" w:themeColor="text1"/>
          <w:sz w:val="22"/>
          <w:szCs w:val="22"/>
        </w:rPr>
        <w:t xml:space="preserve">according to” </w:t>
      </w:r>
      <w:r w:rsidR="00A8185B" w:rsidRPr="004761E7">
        <w:rPr>
          <w:rFonts w:ascii="Arial" w:hAnsi="Arial" w:cs="Arial"/>
          <w:color w:val="000000" w:themeColor="text1"/>
          <w:sz w:val="22"/>
          <w:szCs w:val="22"/>
        </w:rPr>
        <w:t>(</w:t>
      </w:r>
      <w:r w:rsidR="00E37D29" w:rsidRPr="004761E7">
        <w:rPr>
          <w:rFonts w:ascii="Arial" w:hAnsi="Arial" w:cs="Arial"/>
          <w:color w:val="000000" w:themeColor="text1"/>
          <w:sz w:val="22"/>
          <w:szCs w:val="22"/>
        </w:rPr>
        <w:t xml:space="preserve">Serpa, S., 2016). </w:t>
      </w:r>
    </w:p>
    <w:p w14:paraId="78039AF2" w14:textId="77777777" w:rsidR="008C013E" w:rsidRPr="004761E7" w:rsidRDefault="008C013E" w:rsidP="004745D4">
      <w:pPr>
        <w:spacing w:line="360" w:lineRule="auto"/>
        <w:rPr>
          <w:rFonts w:ascii="Arial" w:hAnsi="Arial" w:cs="Arial"/>
          <w:color w:val="000000" w:themeColor="text1"/>
          <w:sz w:val="22"/>
          <w:szCs w:val="22"/>
        </w:rPr>
      </w:pPr>
    </w:p>
    <w:p w14:paraId="1302AC57" w14:textId="77777777" w:rsidR="008C013E" w:rsidRPr="004761E7" w:rsidRDefault="008C013E" w:rsidP="004745D4">
      <w:pPr>
        <w:spacing w:line="360" w:lineRule="auto"/>
        <w:rPr>
          <w:rFonts w:ascii="Arial" w:hAnsi="Arial" w:cs="Arial"/>
          <w:color w:val="000000" w:themeColor="text1"/>
          <w:sz w:val="22"/>
          <w:szCs w:val="22"/>
        </w:rPr>
      </w:pPr>
    </w:p>
    <w:p w14:paraId="7F44CF88" w14:textId="77777777" w:rsidR="008C013E" w:rsidRPr="004761E7" w:rsidRDefault="008C013E" w:rsidP="004745D4">
      <w:pPr>
        <w:spacing w:line="360" w:lineRule="auto"/>
        <w:rPr>
          <w:rFonts w:ascii="Arial" w:hAnsi="Arial" w:cs="Arial"/>
          <w:color w:val="000000" w:themeColor="text1"/>
          <w:sz w:val="22"/>
          <w:szCs w:val="22"/>
        </w:rPr>
      </w:pPr>
    </w:p>
    <w:p w14:paraId="69672174" w14:textId="77777777" w:rsidR="008C013E" w:rsidRDefault="008C013E" w:rsidP="004745D4">
      <w:pPr>
        <w:spacing w:line="360" w:lineRule="auto"/>
        <w:rPr>
          <w:rFonts w:ascii="Arial" w:hAnsi="Arial" w:cs="Arial"/>
          <w:sz w:val="22"/>
          <w:szCs w:val="22"/>
        </w:rPr>
      </w:pPr>
    </w:p>
    <w:p w14:paraId="0C077B12" w14:textId="659B779D" w:rsidR="008C013E" w:rsidRPr="004761E7" w:rsidRDefault="008C013E" w:rsidP="008C013E">
      <w:pPr>
        <w:pStyle w:val="Heading2"/>
        <w:rPr>
          <w:rFonts w:ascii="Arial" w:hAnsi="Arial" w:cs="Arial"/>
          <w:color w:val="000000" w:themeColor="text1"/>
        </w:rPr>
      </w:pPr>
      <w:bookmarkStart w:id="14" w:name="_Toc235444598"/>
      <w:r w:rsidRPr="004761E7">
        <w:rPr>
          <w:rFonts w:ascii="Arial" w:hAnsi="Arial" w:cs="Arial"/>
          <w:color w:val="000000" w:themeColor="text1"/>
        </w:rPr>
        <w:lastRenderedPageBreak/>
        <w:t xml:space="preserve">Figure 4: Table </w:t>
      </w:r>
      <w:r w:rsidR="00607062">
        <w:rPr>
          <w:rFonts w:ascii="Arial" w:hAnsi="Arial" w:cs="Arial"/>
          <w:color w:val="000000" w:themeColor="text1"/>
        </w:rPr>
        <w:t>4</w:t>
      </w:r>
      <w:r w:rsidRPr="004761E7">
        <w:rPr>
          <w:rFonts w:ascii="Arial" w:hAnsi="Arial" w:cs="Arial"/>
          <w:color w:val="000000" w:themeColor="text1"/>
        </w:rPr>
        <w:t>: Bentley's Organisational Culture Assessment:</w:t>
      </w:r>
      <w:bookmarkEnd w:id="14"/>
    </w:p>
    <w:tbl>
      <w:tblPr>
        <w:tblStyle w:val="GridTable4-Accent6"/>
        <w:tblW w:w="10065" w:type="dxa"/>
        <w:tblLook w:val="04A0" w:firstRow="1" w:lastRow="0" w:firstColumn="1" w:lastColumn="0" w:noHBand="0" w:noVBand="1"/>
      </w:tblPr>
      <w:tblGrid>
        <w:gridCol w:w="3152"/>
        <w:gridCol w:w="3005"/>
        <w:gridCol w:w="3908"/>
      </w:tblGrid>
      <w:tr w:rsidR="008C013E" w14:paraId="352B7BA3" w14:textId="77777777" w:rsidTr="00B27D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2" w:type="dxa"/>
          </w:tcPr>
          <w:p w14:paraId="0870E2CD" w14:textId="3A9628DA" w:rsidR="008C013E" w:rsidRDefault="008C013E" w:rsidP="008C013E">
            <w:pPr>
              <w:spacing w:line="360" w:lineRule="auto"/>
              <w:rPr>
                <w:rFonts w:ascii="Arial" w:hAnsi="Arial" w:cs="Arial"/>
                <w:sz w:val="22"/>
                <w:szCs w:val="22"/>
              </w:rPr>
            </w:pPr>
            <w:r w:rsidRPr="008C013E">
              <w:rPr>
                <w:rFonts w:ascii="Arial" w:hAnsi="Arial" w:cs="Arial"/>
                <w:sz w:val="22"/>
                <w:szCs w:val="22"/>
              </w:rPr>
              <w:t xml:space="preserve">Cultural Dimension </w:t>
            </w:r>
          </w:p>
        </w:tc>
        <w:tc>
          <w:tcPr>
            <w:tcW w:w="3005" w:type="dxa"/>
          </w:tcPr>
          <w:p w14:paraId="6DB98F9D" w14:textId="0823C43A" w:rsidR="008C013E" w:rsidRDefault="008C013E" w:rsidP="008C01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C013E">
              <w:rPr>
                <w:rFonts w:ascii="Arial" w:hAnsi="Arial" w:cs="Arial"/>
                <w:sz w:val="22"/>
                <w:szCs w:val="22"/>
              </w:rPr>
              <w:t xml:space="preserve">Assessment for Bentley </w:t>
            </w:r>
          </w:p>
        </w:tc>
        <w:tc>
          <w:tcPr>
            <w:tcW w:w="3908" w:type="dxa"/>
          </w:tcPr>
          <w:p w14:paraId="02C75C45" w14:textId="5F2BA6A2" w:rsidR="008C013E" w:rsidRDefault="008C013E" w:rsidP="008C01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C013E">
              <w:rPr>
                <w:rFonts w:ascii="Arial" w:hAnsi="Arial" w:cs="Arial"/>
                <w:sz w:val="22"/>
                <w:szCs w:val="22"/>
              </w:rPr>
              <w:t>Implications for Change</w:t>
            </w:r>
          </w:p>
        </w:tc>
      </w:tr>
      <w:tr w:rsidR="008C013E" w14:paraId="258C34B5" w14:textId="77777777" w:rsidTr="00B27D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2" w:type="dxa"/>
          </w:tcPr>
          <w:p w14:paraId="6032FB60" w14:textId="2C95C7EC" w:rsidR="008C013E" w:rsidRDefault="002F165F" w:rsidP="008C013E">
            <w:pPr>
              <w:spacing w:line="360" w:lineRule="auto"/>
              <w:rPr>
                <w:rFonts w:ascii="Arial" w:hAnsi="Arial" w:cs="Arial"/>
                <w:sz w:val="22"/>
                <w:szCs w:val="22"/>
              </w:rPr>
            </w:pPr>
            <w:r w:rsidRPr="002F165F">
              <w:rPr>
                <w:rFonts w:ascii="Arial" w:hAnsi="Arial" w:cs="Arial"/>
                <w:sz w:val="22"/>
                <w:szCs w:val="22"/>
              </w:rPr>
              <w:t xml:space="preserve">Innovation and Risk-taking </w:t>
            </w:r>
          </w:p>
        </w:tc>
        <w:tc>
          <w:tcPr>
            <w:tcW w:w="3005" w:type="dxa"/>
          </w:tcPr>
          <w:p w14:paraId="1EE27695" w14:textId="06037767" w:rsidR="008C013E" w:rsidRDefault="002F165F"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F165F">
              <w:rPr>
                <w:rFonts w:ascii="Arial" w:hAnsi="Arial" w:cs="Arial"/>
                <w:sz w:val="22"/>
                <w:szCs w:val="22"/>
              </w:rPr>
              <w:t xml:space="preserve">Strong in product development, cautious in business model </w:t>
            </w:r>
          </w:p>
        </w:tc>
        <w:tc>
          <w:tcPr>
            <w:tcW w:w="3908" w:type="dxa"/>
          </w:tcPr>
          <w:p w14:paraId="70EBEA66" w14:textId="4E086829" w:rsidR="008C013E" w:rsidRDefault="002F165F"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F165F">
              <w:rPr>
                <w:rFonts w:ascii="Arial" w:hAnsi="Arial" w:cs="Arial"/>
                <w:sz w:val="22"/>
                <w:szCs w:val="22"/>
              </w:rPr>
              <w:t>Need to balance heritage with innovation, embrace new technologies</w:t>
            </w:r>
          </w:p>
        </w:tc>
      </w:tr>
      <w:tr w:rsidR="008C013E" w14:paraId="2EE0B3EB" w14:textId="77777777" w:rsidTr="00B27D9C">
        <w:tc>
          <w:tcPr>
            <w:cnfStyle w:val="001000000000" w:firstRow="0" w:lastRow="0" w:firstColumn="1" w:lastColumn="0" w:oddVBand="0" w:evenVBand="0" w:oddHBand="0" w:evenHBand="0" w:firstRowFirstColumn="0" w:firstRowLastColumn="0" w:lastRowFirstColumn="0" w:lastRowLastColumn="0"/>
            <w:tcW w:w="3152" w:type="dxa"/>
          </w:tcPr>
          <w:p w14:paraId="0ECEBBBB" w14:textId="5251D03B" w:rsidR="008C013E" w:rsidRDefault="00316A43" w:rsidP="008C013E">
            <w:pPr>
              <w:spacing w:line="360" w:lineRule="auto"/>
              <w:rPr>
                <w:rFonts w:ascii="Arial" w:hAnsi="Arial" w:cs="Arial"/>
                <w:sz w:val="22"/>
                <w:szCs w:val="22"/>
              </w:rPr>
            </w:pPr>
            <w:r w:rsidRPr="00316A43">
              <w:rPr>
                <w:rFonts w:ascii="Arial" w:hAnsi="Arial" w:cs="Arial"/>
                <w:sz w:val="22"/>
                <w:szCs w:val="22"/>
              </w:rPr>
              <w:t xml:space="preserve">Attention to Detail </w:t>
            </w:r>
          </w:p>
        </w:tc>
        <w:tc>
          <w:tcPr>
            <w:tcW w:w="3005" w:type="dxa"/>
          </w:tcPr>
          <w:p w14:paraId="2C049C59" w14:textId="7BFB8A41" w:rsidR="008C013E" w:rsidRDefault="001500CE"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00CE">
              <w:rPr>
                <w:rFonts w:ascii="Arial" w:hAnsi="Arial" w:cs="Arial"/>
                <w:sz w:val="22"/>
                <w:szCs w:val="22"/>
              </w:rPr>
              <w:t xml:space="preserve">Exceptional craftsmanship and quality focus </w:t>
            </w:r>
          </w:p>
        </w:tc>
        <w:tc>
          <w:tcPr>
            <w:tcW w:w="3908" w:type="dxa"/>
          </w:tcPr>
          <w:p w14:paraId="47EECAA3" w14:textId="7BF3EA9A" w:rsidR="008C013E" w:rsidRDefault="001500CE"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00CE">
              <w:rPr>
                <w:rFonts w:ascii="Arial" w:hAnsi="Arial" w:cs="Arial"/>
                <w:sz w:val="22"/>
                <w:szCs w:val="22"/>
              </w:rPr>
              <w:t>Foundation for quality in new technologies, strength to leverage</w:t>
            </w:r>
          </w:p>
        </w:tc>
      </w:tr>
      <w:tr w:rsidR="008C013E" w14:paraId="03A2B161" w14:textId="77777777" w:rsidTr="00B27D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2" w:type="dxa"/>
          </w:tcPr>
          <w:p w14:paraId="7D631D01" w14:textId="597C65AF" w:rsidR="008C013E" w:rsidRDefault="001500CE" w:rsidP="008C013E">
            <w:pPr>
              <w:spacing w:line="360" w:lineRule="auto"/>
              <w:rPr>
                <w:rFonts w:ascii="Arial" w:hAnsi="Arial" w:cs="Arial"/>
                <w:sz w:val="22"/>
                <w:szCs w:val="22"/>
              </w:rPr>
            </w:pPr>
            <w:r w:rsidRPr="001500CE">
              <w:rPr>
                <w:rFonts w:ascii="Arial" w:hAnsi="Arial" w:cs="Arial"/>
                <w:sz w:val="22"/>
                <w:szCs w:val="22"/>
              </w:rPr>
              <w:t xml:space="preserve">Outcome Orientation </w:t>
            </w:r>
          </w:p>
        </w:tc>
        <w:tc>
          <w:tcPr>
            <w:tcW w:w="3005" w:type="dxa"/>
          </w:tcPr>
          <w:p w14:paraId="5E5C9903" w14:textId="7EC9C0BC" w:rsidR="008C013E" w:rsidRDefault="001500CE"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500CE">
              <w:rPr>
                <w:rFonts w:ascii="Arial" w:hAnsi="Arial" w:cs="Arial"/>
                <w:sz w:val="22"/>
                <w:szCs w:val="22"/>
              </w:rPr>
              <w:t xml:space="preserve">Value over volume strategy, focus on results </w:t>
            </w:r>
          </w:p>
        </w:tc>
        <w:tc>
          <w:tcPr>
            <w:tcW w:w="3908" w:type="dxa"/>
          </w:tcPr>
          <w:p w14:paraId="2166E66D" w14:textId="1CF3FB7D" w:rsidR="008C013E" w:rsidRDefault="00F01A12"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01A12">
              <w:rPr>
                <w:rFonts w:ascii="Arial" w:hAnsi="Arial" w:cs="Arial"/>
                <w:sz w:val="22"/>
                <w:szCs w:val="22"/>
              </w:rPr>
              <w:t>Drives efficiency and performance, supports change momentum</w:t>
            </w:r>
          </w:p>
        </w:tc>
      </w:tr>
      <w:tr w:rsidR="008C013E" w14:paraId="4D4194BB" w14:textId="77777777" w:rsidTr="00B27D9C">
        <w:tc>
          <w:tcPr>
            <w:cnfStyle w:val="001000000000" w:firstRow="0" w:lastRow="0" w:firstColumn="1" w:lastColumn="0" w:oddVBand="0" w:evenVBand="0" w:oddHBand="0" w:evenHBand="0" w:firstRowFirstColumn="0" w:firstRowLastColumn="0" w:lastRowFirstColumn="0" w:lastRowLastColumn="0"/>
            <w:tcW w:w="3152" w:type="dxa"/>
          </w:tcPr>
          <w:p w14:paraId="137B782F" w14:textId="2A442DCC" w:rsidR="008C013E" w:rsidRDefault="00F01A12" w:rsidP="008C013E">
            <w:pPr>
              <w:spacing w:line="360" w:lineRule="auto"/>
              <w:rPr>
                <w:rFonts w:ascii="Arial" w:hAnsi="Arial" w:cs="Arial"/>
                <w:sz w:val="22"/>
                <w:szCs w:val="22"/>
              </w:rPr>
            </w:pPr>
            <w:r w:rsidRPr="00F01A12">
              <w:rPr>
                <w:rFonts w:ascii="Arial" w:hAnsi="Arial" w:cs="Arial"/>
                <w:sz w:val="22"/>
                <w:szCs w:val="22"/>
              </w:rPr>
              <w:t xml:space="preserve">People Orientation </w:t>
            </w:r>
          </w:p>
        </w:tc>
        <w:tc>
          <w:tcPr>
            <w:tcW w:w="3005" w:type="dxa"/>
          </w:tcPr>
          <w:p w14:paraId="02BE616B" w14:textId="75EBDD57" w:rsidR="008C013E" w:rsidRDefault="00F01A12"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01A12">
              <w:rPr>
                <w:rFonts w:ascii="Arial" w:hAnsi="Arial" w:cs="Arial"/>
                <w:sz w:val="22"/>
                <w:szCs w:val="22"/>
              </w:rPr>
              <w:t xml:space="preserve">UK Top Employer, employee investment </w:t>
            </w:r>
          </w:p>
        </w:tc>
        <w:tc>
          <w:tcPr>
            <w:tcW w:w="3908" w:type="dxa"/>
          </w:tcPr>
          <w:p w14:paraId="5CABFE24" w14:textId="749742FF" w:rsidR="008C013E" w:rsidRDefault="00F01A12"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01A12">
              <w:rPr>
                <w:rFonts w:ascii="Arial" w:hAnsi="Arial" w:cs="Arial"/>
                <w:sz w:val="22"/>
                <w:szCs w:val="22"/>
              </w:rPr>
              <w:t>Supports change acceptance, builds trust and commitment</w:t>
            </w:r>
          </w:p>
        </w:tc>
      </w:tr>
      <w:tr w:rsidR="008C013E" w14:paraId="154210AA" w14:textId="77777777" w:rsidTr="00B27D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2" w:type="dxa"/>
          </w:tcPr>
          <w:p w14:paraId="67F398C2" w14:textId="7FA4519A" w:rsidR="008C013E" w:rsidRDefault="003E1B47" w:rsidP="008C013E">
            <w:pPr>
              <w:spacing w:line="360" w:lineRule="auto"/>
              <w:rPr>
                <w:rFonts w:ascii="Arial" w:hAnsi="Arial" w:cs="Arial"/>
                <w:sz w:val="22"/>
                <w:szCs w:val="22"/>
              </w:rPr>
            </w:pPr>
            <w:r w:rsidRPr="003E1B47">
              <w:rPr>
                <w:rFonts w:ascii="Arial" w:hAnsi="Arial" w:cs="Arial"/>
                <w:sz w:val="22"/>
                <w:szCs w:val="22"/>
              </w:rPr>
              <w:t xml:space="preserve">Team Orientation </w:t>
            </w:r>
          </w:p>
        </w:tc>
        <w:tc>
          <w:tcPr>
            <w:tcW w:w="3005" w:type="dxa"/>
          </w:tcPr>
          <w:p w14:paraId="0738279E" w14:textId="58C387DE" w:rsidR="008C013E" w:rsidRDefault="003E1B47"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E1B47">
              <w:rPr>
                <w:rFonts w:ascii="Arial" w:hAnsi="Arial" w:cs="Arial"/>
                <w:sz w:val="22"/>
                <w:szCs w:val="22"/>
              </w:rPr>
              <w:t xml:space="preserve">Strong internal collaboration </w:t>
            </w:r>
          </w:p>
        </w:tc>
        <w:tc>
          <w:tcPr>
            <w:tcW w:w="3908" w:type="dxa"/>
          </w:tcPr>
          <w:p w14:paraId="10548369" w14:textId="604038B2" w:rsidR="008C013E" w:rsidRDefault="003E1B47"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E1B47">
              <w:rPr>
                <w:rFonts w:ascii="Arial" w:hAnsi="Arial" w:cs="Arial"/>
                <w:sz w:val="22"/>
                <w:szCs w:val="22"/>
              </w:rPr>
              <w:t>Enables cross-functional change, supports Dream Factory approach</w:t>
            </w:r>
          </w:p>
        </w:tc>
      </w:tr>
      <w:tr w:rsidR="008C013E" w14:paraId="0F766AF5" w14:textId="77777777" w:rsidTr="00B27D9C">
        <w:tc>
          <w:tcPr>
            <w:cnfStyle w:val="001000000000" w:firstRow="0" w:lastRow="0" w:firstColumn="1" w:lastColumn="0" w:oddVBand="0" w:evenVBand="0" w:oddHBand="0" w:evenHBand="0" w:firstRowFirstColumn="0" w:firstRowLastColumn="0" w:lastRowFirstColumn="0" w:lastRowLastColumn="0"/>
            <w:tcW w:w="3152" w:type="dxa"/>
          </w:tcPr>
          <w:p w14:paraId="2286021B" w14:textId="3EC1D2E0" w:rsidR="008C013E" w:rsidRDefault="00B27D9C" w:rsidP="008C013E">
            <w:pPr>
              <w:spacing w:line="360" w:lineRule="auto"/>
              <w:rPr>
                <w:rFonts w:ascii="Arial" w:hAnsi="Arial" w:cs="Arial"/>
                <w:sz w:val="22"/>
                <w:szCs w:val="22"/>
              </w:rPr>
            </w:pPr>
            <w:r w:rsidRPr="00B27D9C">
              <w:rPr>
                <w:rFonts w:ascii="Arial" w:hAnsi="Arial" w:cs="Arial"/>
                <w:sz w:val="22"/>
                <w:szCs w:val="22"/>
              </w:rPr>
              <w:t xml:space="preserve">Stability </w:t>
            </w:r>
          </w:p>
        </w:tc>
        <w:tc>
          <w:tcPr>
            <w:tcW w:w="3005" w:type="dxa"/>
          </w:tcPr>
          <w:p w14:paraId="0A0B9011" w14:textId="65E1F586" w:rsidR="008C013E" w:rsidRDefault="00B27D9C"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7D9C">
              <w:rPr>
                <w:rFonts w:ascii="Arial" w:hAnsi="Arial" w:cs="Arial"/>
                <w:sz w:val="22"/>
                <w:szCs w:val="22"/>
              </w:rPr>
              <w:t xml:space="preserve">Deep heritage, established practices </w:t>
            </w:r>
          </w:p>
        </w:tc>
        <w:tc>
          <w:tcPr>
            <w:tcW w:w="3908" w:type="dxa"/>
          </w:tcPr>
          <w:p w14:paraId="78A28FE0" w14:textId="2894F9A3" w:rsidR="008C013E" w:rsidRDefault="00B27D9C"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7D9C">
              <w:rPr>
                <w:rFonts w:ascii="Arial" w:hAnsi="Arial" w:cs="Arial"/>
                <w:sz w:val="22"/>
                <w:szCs w:val="22"/>
              </w:rPr>
              <w:t>Potential barrier to transformation, requires active cultural change</w:t>
            </w:r>
          </w:p>
        </w:tc>
      </w:tr>
    </w:tbl>
    <w:p w14:paraId="20D087C2" w14:textId="3C689DD6" w:rsidR="008C013E" w:rsidRPr="004761E7" w:rsidRDefault="002108E9" w:rsidP="008C013E">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 xml:space="preserve">“Bentley’s workplace culture beautifully blends classic British craftsmanship with a modern push toward electric tech, though recent corporate shifts are testing this long-held family </w:t>
      </w:r>
      <w:r w:rsidR="009023B6" w:rsidRPr="004761E7">
        <w:rPr>
          <w:rFonts w:ascii="Arial" w:hAnsi="Arial" w:cs="Arial"/>
          <w:color w:val="000000" w:themeColor="text1"/>
          <w:sz w:val="22"/>
          <w:szCs w:val="22"/>
        </w:rPr>
        <w:t>ethos</w:t>
      </w:r>
      <w:r w:rsidR="00995B59" w:rsidRPr="004761E7">
        <w:rPr>
          <w:rFonts w:ascii="Arial" w:hAnsi="Arial" w:cs="Arial"/>
          <w:color w:val="000000" w:themeColor="text1"/>
          <w:sz w:val="22"/>
          <w:szCs w:val="22"/>
        </w:rPr>
        <w:t xml:space="preserve"> according to</w:t>
      </w:r>
      <w:r w:rsidR="005D3F5A" w:rsidRPr="004761E7">
        <w:rPr>
          <w:rFonts w:ascii="Arial" w:hAnsi="Arial" w:cs="Arial"/>
          <w:color w:val="000000" w:themeColor="text1"/>
          <w:sz w:val="22"/>
          <w:szCs w:val="22"/>
        </w:rPr>
        <w:t>” (Bentley Motors,2026).</w:t>
      </w:r>
    </w:p>
    <w:p w14:paraId="2448F0FE" w14:textId="77777777" w:rsidR="002108E9" w:rsidRPr="008C013E" w:rsidRDefault="002108E9" w:rsidP="008C013E">
      <w:pPr>
        <w:spacing w:line="360" w:lineRule="auto"/>
        <w:rPr>
          <w:rFonts w:ascii="Arial" w:hAnsi="Arial" w:cs="Arial"/>
          <w:sz w:val="22"/>
          <w:szCs w:val="22"/>
        </w:rPr>
      </w:pPr>
    </w:p>
    <w:p w14:paraId="57698399" w14:textId="77777777" w:rsidR="000C4EB2" w:rsidRDefault="000C4EB2" w:rsidP="000C4EB2"/>
    <w:p w14:paraId="46702E65" w14:textId="77777777" w:rsidR="007A3FE9" w:rsidRDefault="007A3FE9" w:rsidP="000C4EB2"/>
    <w:p w14:paraId="1BC032B9" w14:textId="77777777" w:rsidR="004761E7" w:rsidRDefault="004761E7" w:rsidP="000C4EB2"/>
    <w:p w14:paraId="79DCD922" w14:textId="77777777" w:rsidR="004761E7" w:rsidRDefault="004761E7" w:rsidP="000C4EB2"/>
    <w:p w14:paraId="42087086" w14:textId="77777777" w:rsidR="004761E7" w:rsidRDefault="004761E7" w:rsidP="000C4EB2"/>
    <w:p w14:paraId="7ACF9C1A" w14:textId="77777777" w:rsidR="004761E7" w:rsidRDefault="004761E7" w:rsidP="000C4EB2"/>
    <w:p w14:paraId="05C2A9AE" w14:textId="77777777" w:rsidR="004761E7" w:rsidRDefault="004761E7" w:rsidP="000C4EB2"/>
    <w:p w14:paraId="0B7984EB" w14:textId="77777777" w:rsidR="004761E7" w:rsidRDefault="004761E7" w:rsidP="000C4EB2"/>
    <w:p w14:paraId="45454B83" w14:textId="77777777" w:rsidR="0000192B" w:rsidRDefault="0000192B" w:rsidP="000C4EB2"/>
    <w:p w14:paraId="475AB1FF" w14:textId="77777777" w:rsidR="0000192B" w:rsidRDefault="0000192B" w:rsidP="000C4EB2"/>
    <w:p w14:paraId="1C5252F5" w14:textId="77777777" w:rsidR="0000192B" w:rsidRDefault="0000192B" w:rsidP="000C4EB2"/>
    <w:p w14:paraId="02EF2607" w14:textId="2D80BA83" w:rsidR="00F37DEC" w:rsidRPr="0000192B" w:rsidRDefault="00505D34" w:rsidP="00505D34">
      <w:pPr>
        <w:pStyle w:val="Heading2"/>
        <w:rPr>
          <w:rFonts w:ascii="Arial" w:hAnsi="Arial" w:cs="Arial"/>
          <w:color w:val="000000" w:themeColor="text1"/>
        </w:rPr>
      </w:pPr>
      <w:bookmarkStart w:id="15" w:name="_Toc235444599"/>
      <w:r w:rsidRPr="0000192B">
        <w:rPr>
          <w:rFonts w:ascii="Arial" w:hAnsi="Arial" w:cs="Arial"/>
          <w:color w:val="000000" w:themeColor="text1"/>
        </w:rPr>
        <w:lastRenderedPageBreak/>
        <w:t>Section 3.4: Critical Evaluation of Change Models:</w:t>
      </w:r>
      <w:bookmarkEnd w:id="15"/>
    </w:p>
    <w:p w14:paraId="3F49C3DC" w14:textId="175A5FA5" w:rsidR="007E083B" w:rsidRPr="004761E7" w:rsidRDefault="007E083B" w:rsidP="002B1C09">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 xml:space="preserve">While Kotter's and Lewin's models provide valuable frameworks for understanding Bentley's transformation, both have limitations that must be acknowledged. Kotter's model assumes a linear progression through eight steps, yet organisational change is rarely so orderly. Bentley's experience demonstrates this clearly the extension of the electrification timeline from 2030 to 2035 represents a step backwards that Kotter's model does not easily accommodate. </w:t>
      </w:r>
      <w:r w:rsidR="009916D6" w:rsidRPr="004761E7">
        <w:rPr>
          <w:rFonts w:ascii="Arial" w:hAnsi="Arial" w:cs="Arial"/>
          <w:color w:val="000000" w:themeColor="text1"/>
          <w:sz w:val="22"/>
          <w:szCs w:val="22"/>
        </w:rPr>
        <w:t xml:space="preserve">“A critical evaluation of change models highlights how Lewin’s framework effectively structures Bentley’s technological shift, yet it struggles to reconcile the emotional friction caused by simultaneous corporate downsizing according to” </w:t>
      </w:r>
      <w:r w:rsidR="00967673" w:rsidRPr="004761E7">
        <w:rPr>
          <w:rFonts w:ascii="Arial" w:hAnsi="Arial" w:cs="Arial"/>
          <w:color w:val="000000" w:themeColor="text1"/>
          <w:sz w:val="22"/>
          <w:szCs w:val="22"/>
        </w:rPr>
        <w:t>(Hussain et al., 2018).</w:t>
      </w:r>
      <w:r w:rsidR="009916D6" w:rsidRPr="004761E7">
        <w:rPr>
          <w:rFonts w:ascii="Arial" w:hAnsi="Arial" w:cs="Arial"/>
          <w:color w:val="000000" w:themeColor="text1"/>
          <w:sz w:val="22"/>
          <w:szCs w:val="22"/>
        </w:rPr>
        <w:t xml:space="preserve"> </w:t>
      </w:r>
      <w:r w:rsidRPr="004761E7">
        <w:rPr>
          <w:rFonts w:ascii="Arial" w:hAnsi="Arial" w:cs="Arial"/>
          <w:color w:val="000000" w:themeColor="text1"/>
          <w:sz w:val="22"/>
          <w:szCs w:val="22"/>
        </w:rPr>
        <w:t xml:space="preserve">The model also assumes a single leader driving change, whereas Bentley's transformation involves multiple stakeholders, including the Volkswagen Group parent company, whose decisions about platform discontinuation have significantly impacted Bentley's financial performance. </w:t>
      </w:r>
    </w:p>
    <w:p w14:paraId="157F7597" w14:textId="1A07FB8B" w:rsidR="002B1C09" w:rsidRPr="004761E7" w:rsidRDefault="007E083B" w:rsidP="002B1C09">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Lewin's model, whilst elegant in its simplicity, has been criticised for oversimplifying complex organisational dynamics. The model suggests change can be neatly divided into three phases, yet Bentley's transformation demonstrates that unfreezing, changing, and refreezing occur simultaneously across different parts of the organisation. Some departments may be fully engaged in the changing phase whilst others remain in unfreezing or have already moved towards refreezing. This creates organisational tension and requires sophisticated leadership to manage.</w:t>
      </w:r>
    </w:p>
    <w:p w14:paraId="082A5C58" w14:textId="1CF4A8E4" w:rsidR="00E81BD9" w:rsidRPr="004761E7" w:rsidRDefault="004C5A6C" w:rsidP="00E81BD9">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Furthermore, both models arguably underestimate the importance of power dynamics and organisational politics in change. Bentley's relationship with the Volkswagen Group, the influence of the luxury customer base, and the expectations of UK government and community stakeholders all create political pressures that shape the change journey. A more nuanced approach that acknowledges these dimensions would strengthen the analysis and inform more effective change management strategies.</w:t>
      </w:r>
    </w:p>
    <w:p w14:paraId="35335040" w14:textId="77777777" w:rsidR="004C5A6C" w:rsidRDefault="004C5A6C" w:rsidP="00E81BD9">
      <w:pPr>
        <w:spacing w:line="360" w:lineRule="auto"/>
        <w:rPr>
          <w:rFonts w:ascii="Arial" w:hAnsi="Arial" w:cs="Arial"/>
          <w:sz w:val="22"/>
          <w:szCs w:val="22"/>
        </w:rPr>
      </w:pPr>
    </w:p>
    <w:p w14:paraId="1E62A083" w14:textId="77777777" w:rsidR="004C5A6C" w:rsidRDefault="004C5A6C" w:rsidP="00E81BD9">
      <w:pPr>
        <w:spacing w:line="360" w:lineRule="auto"/>
        <w:rPr>
          <w:rFonts w:ascii="Arial" w:hAnsi="Arial" w:cs="Arial"/>
          <w:sz w:val="22"/>
          <w:szCs w:val="22"/>
        </w:rPr>
      </w:pPr>
    </w:p>
    <w:p w14:paraId="5131F9DC" w14:textId="77777777" w:rsidR="004C5A6C" w:rsidRDefault="004C5A6C" w:rsidP="00E81BD9">
      <w:pPr>
        <w:spacing w:line="360" w:lineRule="auto"/>
        <w:rPr>
          <w:rFonts w:ascii="Arial" w:hAnsi="Arial" w:cs="Arial"/>
          <w:sz w:val="22"/>
          <w:szCs w:val="22"/>
        </w:rPr>
      </w:pPr>
    </w:p>
    <w:p w14:paraId="356D66ED" w14:textId="77777777" w:rsidR="004C5A6C" w:rsidRDefault="004C5A6C" w:rsidP="00E81BD9">
      <w:pPr>
        <w:spacing w:line="360" w:lineRule="auto"/>
        <w:rPr>
          <w:rFonts w:ascii="Arial" w:hAnsi="Arial" w:cs="Arial"/>
          <w:sz w:val="22"/>
          <w:szCs w:val="22"/>
        </w:rPr>
      </w:pPr>
    </w:p>
    <w:p w14:paraId="773190FB" w14:textId="77777777" w:rsidR="004C5A6C" w:rsidRDefault="004C5A6C" w:rsidP="00E81BD9">
      <w:pPr>
        <w:spacing w:line="360" w:lineRule="auto"/>
        <w:rPr>
          <w:rFonts w:ascii="Arial" w:hAnsi="Arial" w:cs="Arial"/>
          <w:sz w:val="22"/>
          <w:szCs w:val="22"/>
        </w:rPr>
      </w:pPr>
    </w:p>
    <w:p w14:paraId="69F054F4" w14:textId="77777777" w:rsidR="004C5A6C" w:rsidRDefault="004C5A6C" w:rsidP="00E81BD9">
      <w:pPr>
        <w:spacing w:line="360" w:lineRule="auto"/>
        <w:rPr>
          <w:rFonts w:ascii="Arial" w:hAnsi="Arial" w:cs="Arial"/>
          <w:sz w:val="22"/>
          <w:szCs w:val="22"/>
        </w:rPr>
      </w:pPr>
    </w:p>
    <w:p w14:paraId="1CEC1E30" w14:textId="77777777" w:rsidR="00F83937" w:rsidRPr="002E3DDC" w:rsidRDefault="00F83937" w:rsidP="00496D14">
      <w:pPr>
        <w:pStyle w:val="Heading1"/>
        <w:rPr>
          <w:rFonts w:ascii="Arial" w:hAnsi="Arial" w:cs="Arial"/>
          <w:color w:val="000000" w:themeColor="text1"/>
          <w:sz w:val="36"/>
          <w:szCs w:val="36"/>
        </w:rPr>
      </w:pPr>
      <w:bookmarkStart w:id="16" w:name="_Toc235444600"/>
      <w:r w:rsidRPr="002E3DDC">
        <w:rPr>
          <w:rFonts w:ascii="Arial" w:hAnsi="Arial" w:cs="Arial"/>
          <w:color w:val="000000" w:themeColor="text1"/>
          <w:sz w:val="36"/>
          <w:szCs w:val="36"/>
        </w:rPr>
        <w:lastRenderedPageBreak/>
        <w:t>Section 4: Proposed Strategic Change Management Plan:</w:t>
      </w:r>
      <w:bookmarkEnd w:id="16"/>
    </w:p>
    <w:p w14:paraId="0F0AAA2A" w14:textId="7D25B3B3" w:rsidR="004C5A6C" w:rsidRPr="002E3DDC" w:rsidRDefault="00496D14" w:rsidP="00496D14">
      <w:pPr>
        <w:pStyle w:val="Heading2"/>
        <w:rPr>
          <w:rFonts w:ascii="Arial" w:hAnsi="Arial" w:cs="Arial"/>
          <w:color w:val="000000" w:themeColor="text1"/>
        </w:rPr>
      </w:pPr>
      <w:bookmarkStart w:id="17" w:name="_Toc235444601"/>
      <w:r w:rsidRPr="002E3DDC">
        <w:rPr>
          <w:rFonts w:ascii="Arial" w:hAnsi="Arial" w:cs="Arial"/>
          <w:color w:val="000000" w:themeColor="text1"/>
        </w:rPr>
        <w:t xml:space="preserve">Section </w:t>
      </w:r>
      <w:r w:rsidR="00F83937" w:rsidRPr="002E3DDC">
        <w:rPr>
          <w:rFonts w:ascii="Arial" w:hAnsi="Arial" w:cs="Arial"/>
          <w:color w:val="000000" w:themeColor="text1"/>
        </w:rPr>
        <w:t>4.1</w:t>
      </w:r>
      <w:r w:rsidRPr="002E3DDC">
        <w:rPr>
          <w:rFonts w:ascii="Arial" w:hAnsi="Arial" w:cs="Arial"/>
          <w:color w:val="000000" w:themeColor="text1"/>
        </w:rPr>
        <w:t>:</w:t>
      </w:r>
      <w:r w:rsidR="00F83937" w:rsidRPr="002E3DDC">
        <w:rPr>
          <w:rFonts w:ascii="Arial" w:hAnsi="Arial" w:cs="Arial"/>
          <w:color w:val="000000" w:themeColor="text1"/>
        </w:rPr>
        <w:t xml:space="preserve"> Vision and Objectives</w:t>
      </w:r>
      <w:r w:rsidRPr="002E3DDC">
        <w:rPr>
          <w:rFonts w:ascii="Arial" w:hAnsi="Arial" w:cs="Arial"/>
          <w:color w:val="000000" w:themeColor="text1"/>
        </w:rPr>
        <w:t>:</w:t>
      </w:r>
      <w:bookmarkEnd w:id="17"/>
    </w:p>
    <w:p w14:paraId="0489333D" w14:textId="5E32D476" w:rsidR="00496D14" w:rsidRDefault="0090223E" w:rsidP="0090223E">
      <w:pPr>
        <w:spacing w:line="360" w:lineRule="auto"/>
        <w:rPr>
          <w:rFonts w:ascii="Arial" w:hAnsi="Arial" w:cs="Arial"/>
          <w:sz w:val="22"/>
          <w:szCs w:val="22"/>
        </w:rPr>
      </w:pPr>
      <w:r w:rsidRPr="0090223E">
        <w:rPr>
          <w:rFonts w:ascii="Arial" w:hAnsi="Arial" w:cs="Arial"/>
          <w:sz w:val="22"/>
          <w:szCs w:val="22"/>
        </w:rPr>
        <w:t>The proposed change management plan for Bentley is anchored in a clear strategic vision: to transform the organisation into the world's leading sustainable luxury automotive manufacturer, delivering exceptional electric vehicles that honour the company's heritage of craftsmanship, performance, and luxury whilst embracing the opportunities of digitalisation and sustainability. This vision acknowledges the need for fundamental transformation whilst maintaining continuity with Bentley's distinctive identity and values, recognising that successful change builds upon organisational strengths rather than abandoning them entirely.</w:t>
      </w:r>
    </w:p>
    <w:p w14:paraId="6908D365" w14:textId="334269E9" w:rsidR="0090223E" w:rsidRDefault="00EE2C88" w:rsidP="0090223E">
      <w:pPr>
        <w:spacing w:line="360" w:lineRule="auto"/>
        <w:rPr>
          <w:rFonts w:ascii="Arial" w:hAnsi="Arial" w:cs="Arial"/>
          <w:sz w:val="22"/>
          <w:szCs w:val="22"/>
        </w:rPr>
      </w:pPr>
      <w:r w:rsidRPr="00EE2C88">
        <w:rPr>
          <w:rFonts w:ascii="Arial" w:hAnsi="Arial" w:cs="Arial"/>
          <w:sz w:val="22"/>
          <w:szCs w:val="22"/>
        </w:rPr>
        <w:t>The vision is supported by five strategic objectives that provide specific guidance for the transformation journey:</w:t>
      </w:r>
    </w:p>
    <w:p w14:paraId="7E8957DF" w14:textId="05325814" w:rsidR="00EE2C88" w:rsidRDefault="00290F1E" w:rsidP="0090223E">
      <w:pPr>
        <w:spacing w:line="360" w:lineRule="auto"/>
        <w:rPr>
          <w:rFonts w:ascii="Arial" w:hAnsi="Arial" w:cs="Arial"/>
          <w:sz w:val="22"/>
          <w:szCs w:val="22"/>
        </w:rPr>
      </w:pPr>
      <w:r w:rsidRPr="00290F1E">
        <w:rPr>
          <w:rFonts w:ascii="Arial" w:hAnsi="Arial" w:cs="Arial"/>
          <w:sz w:val="22"/>
          <w:szCs w:val="22"/>
        </w:rPr>
        <w:t>Objective 1: Achieve Portfolio Electrification</w:t>
      </w:r>
      <w:r w:rsidR="00CF75E5">
        <w:rPr>
          <w:rFonts w:ascii="Arial" w:hAnsi="Arial" w:cs="Arial"/>
          <w:sz w:val="22"/>
          <w:szCs w:val="22"/>
        </w:rPr>
        <w:t>.</w:t>
      </w:r>
      <w:r w:rsidRPr="00290F1E">
        <w:rPr>
          <w:rFonts w:ascii="Arial" w:hAnsi="Arial" w:cs="Arial"/>
          <w:sz w:val="22"/>
          <w:szCs w:val="22"/>
        </w:rPr>
        <w:t xml:space="preserve"> Deliver full electrification of the product portfolio by 2035, with the first fully electric Bentley revealed in 2026 and at least one new PHEV or BEV product launched annually for the next decade. This objective aligns with regulatory requirements, market trends, and changing consumer preferences whilst addressing the existential threat posed by the transition away from internal combustion engines.</w:t>
      </w:r>
    </w:p>
    <w:p w14:paraId="6A420955" w14:textId="72BBD429" w:rsidR="00290F1E" w:rsidRDefault="00290F1E" w:rsidP="0090223E">
      <w:pPr>
        <w:spacing w:line="360" w:lineRule="auto"/>
        <w:rPr>
          <w:rFonts w:ascii="Arial" w:hAnsi="Arial" w:cs="Arial"/>
          <w:sz w:val="22"/>
          <w:szCs w:val="22"/>
        </w:rPr>
      </w:pPr>
      <w:r w:rsidRPr="00290F1E">
        <w:rPr>
          <w:rFonts w:ascii="Arial" w:hAnsi="Arial" w:cs="Arial"/>
          <w:sz w:val="22"/>
          <w:szCs w:val="22"/>
        </w:rPr>
        <w:t>Objective 2: Implement Dream Factory Transformation</w:t>
      </w:r>
      <w:r w:rsidR="00967673">
        <w:rPr>
          <w:rFonts w:ascii="Arial" w:hAnsi="Arial" w:cs="Arial"/>
          <w:sz w:val="22"/>
          <w:szCs w:val="22"/>
        </w:rPr>
        <w:t xml:space="preserve">. </w:t>
      </w:r>
      <w:r w:rsidRPr="00290F1E">
        <w:rPr>
          <w:rFonts w:ascii="Arial" w:hAnsi="Arial" w:cs="Arial"/>
          <w:sz w:val="22"/>
          <w:szCs w:val="22"/>
        </w:rPr>
        <w:t>Complete the comprehensive redevelopment of the Crewe manufacturing facility to enable electric vehicle production, incorporating state-of-the-art digital manufacturing technologies, Industry 4.0 capabilities, and sustainability features. This objective requires significant investment in facilities, equipment, and employee skills development.</w:t>
      </w:r>
    </w:p>
    <w:p w14:paraId="4C7A10B7" w14:textId="20EF08B0" w:rsidR="00290F1E" w:rsidRDefault="00290F1E" w:rsidP="0090223E">
      <w:pPr>
        <w:spacing w:line="360" w:lineRule="auto"/>
        <w:rPr>
          <w:rFonts w:ascii="Arial" w:hAnsi="Arial" w:cs="Arial"/>
          <w:sz w:val="22"/>
          <w:szCs w:val="22"/>
        </w:rPr>
      </w:pPr>
      <w:r w:rsidRPr="00290F1E">
        <w:rPr>
          <w:rFonts w:ascii="Arial" w:hAnsi="Arial" w:cs="Arial"/>
          <w:sz w:val="22"/>
          <w:szCs w:val="22"/>
        </w:rPr>
        <w:t>Objective 3: Strengthen Financial Sustainability</w:t>
      </w:r>
      <w:r w:rsidR="00967673">
        <w:rPr>
          <w:rFonts w:ascii="Arial" w:hAnsi="Arial" w:cs="Arial"/>
          <w:sz w:val="22"/>
          <w:szCs w:val="22"/>
        </w:rPr>
        <w:t xml:space="preserve">. </w:t>
      </w:r>
      <w:r w:rsidRPr="00290F1E">
        <w:rPr>
          <w:rFonts w:ascii="Arial" w:hAnsi="Arial" w:cs="Arial"/>
          <w:sz w:val="22"/>
          <w:szCs w:val="22"/>
        </w:rPr>
        <w:t>Achieve sustainable profitability through the 'value over volume' strategy, leveraging bespoke personalisation, high-margin derivatives, and pricing power to maintain financial resilience despite market volatility and transformation investment. This objective addresses the organisation's financial challenges and creates resources for continued investment.</w:t>
      </w:r>
    </w:p>
    <w:p w14:paraId="4A4FBE94" w14:textId="77777777" w:rsidR="00290F1E" w:rsidRDefault="00290F1E" w:rsidP="0090223E">
      <w:pPr>
        <w:spacing w:line="360" w:lineRule="auto"/>
        <w:rPr>
          <w:rFonts w:ascii="Arial" w:hAnsi="Arial" w:cs="Arial"/>
          <w:sz w:val="22"/>
          <w:szCs w:val="22"/>
        </w:rPr>
      </w:pPr>
    </w:p>
    <w:p w14:paraId="2630E94E" w14:textId="77777777" w:rsidR="00290F1E" w:rsidRDefault="00290F1E" w:rsidP="0090223E">
      <w:pPr>
        <w:spacing w:line="360" w:lineRule="auto"/>
        <w:rPr>
          <w:rFonts w:ascii="Arial" w:hAnsi="Arial" w:cs="Arial"/>
          <w:sz w:val="22"/>
          <w:szCs w:val="22"/>
        </w:rPr>
      </w:pPr>
    </w:p>
    <w:p w14:paraId="06E5A306" w14:textId="77777777" w:rsidR="00290F1E" w:rsidRDefault="00290F1E" w:rsidP="0090223E">
      <w:pPr>
        <w:spacing w:line="360" w:lineRule="auto"/>
        <w:rPr>
          <w:rFonts w:ascii="Arial" w:hAnsi="Arial" w:cs="Arial"/>
          <w:sz w:val="22"/>
          <w:szCs w:val="22"/>
        </w:rPr>
      </w:pPr>
    </w:p>
    <w:p w14:paraId="045F4F7C" w14:textId="344C425F" w:rsidR="00290F1E" w:rsidRDefault="00633ED1" w:rsidP="0090223E">
      <w:pPr>
        <w:spacing w:line="360" w:lineRule="auto"/>
        <w:rPr>
          <w:rFonts w:ascii="Arial" w:hAnsi="Arial" w:cs="Arial"/>
          <w:sz w:val="22"/>
          <w:szCs w:val="22"/>
        </w:rPr>
      </w:pPr>
      <w:r w:rsidRPr="00633ED1">
        <w:rPr>
          <w:rFonts w:ascii="Arial" w:hAnsi="Arial" w:cs="Arial"/>
          <w:sz w:val="22"/>
          <w:szCs w:val="22"/>
        </w:rPr>
        <w:lastRenderedPageBreak/>
        <w:t>Objective 4: Build Future-Ready Workforce</w:t>
      </w:r>
      <w:r w:rsidR="00333A63">
        <w:rPr>
          <w:rFonts w:ascii="Arial" w:hAnsi="Arial" w:cs="Arial"/>
          <w:sz w:val="22"/>
          <w:szCs w:val="22"/>
        </w:rPr>
        <w:t>.</w:t>
      </w:r>
      <w:r w:rsidRPr="00633ED1">
        <w:rPr>
          <w:rFonts w:ascii="Arial" w:hAnsi="Arial" w:cs="Arial"/>
          <w:sz w:val="22"/>
          <w:szCs w:val="22"/>
        </w:rPr>
        <w:t xml:space="preserve"> Develop the capabilities, skills, and mindsets required for electric vehicle manufacture and digital business models through investment in training, development, and cultural transformation. This objective recognises the importance of people in enabling and sustaining change.</w:t>
      </w:r>
    </w:p>
    <w:p w14:paraId="612986A4" w14:textId="38FB9CE7" w:rsidR="00633ED1" w:rsidRDefault="00633ED1" w:rsidP="0090223E">
      <w:pPr>
        <w:spacing w:line="360" w:lineRule="auto"/>
        <w:rPr>
          <w:rFonts w:ascii="Arial" w:hAnsi="Arial" w:cs="Arial"/>
          <w:sz w:val="22"/>
          <w:szCs w:val="22"/>
        </w:rPr>
      </w:pPr>
      <w:r w:rsidRPr="00633ED1">
        <w:rPr>
          <w:rFonts w:ascii="Arial" w:hAnsi="Arial" w:cs="Arial"/>
          <w:sz w:val="22"/>
          <w:szCs w:val="22"/>
        </w:rPr>
        <w:t>Objective 5: Enhance Sustainability Leadership</w:t>
      </w:r>
      <w:r w:rsidR="00504D0A">
        <w:rPr>
          <w:rFonts w:ascii="Arial" w:hAnsi="Arial" w:cs="Arial"/>
          <w:sz w:val="22"/>
          <w:szCs w:val="22"/>
        </w:rPr>
        <w:t>.</w:t>
      </w:r>
      <w:r w:rsidRPr="00633ED1">
        <w:rPr>
          <w:rFonts w:ascii="Arial" w:hAnsi="Arial" w:cs="Arial"/>
          <w:sz w:val="22"/>
          <w:szCs w:val="22"/>
        </w:rPr>
        <w:t xml:space="preserve"> Strengthen sustainability across the value chain, from responsible sourcing to circular economy approaches, reducing environmental impact whilst creating new business opportunities and enhancing brand reputation. This objective responds to stakeholder expectations and positions Bentley for long-term sustainability.</w:t>
      </w:r>
    </w:p>
    <w:p w14:paraId="32DF213E" w14:textId="77777777" w:rsidR="00633ED1" w:rsidRDefault="00633ED1" w:rsidP="0090223E">
      <w:pPr>
        <w:spacing w:line="360" w:lineRule="auto"/>
        <w:rPr>
          <w:rFonts w:ascii="Arial" w:hAnsi="Arial" w:cs="Arial"/>
          <w:sz w:val="22"/>
          <w:szCs w:val="22"/>
        </w:rPr>
      </w:pPr>
    </w:p>
    <w:p w14:paraId="0445BE68" w14:textId="77777777" w:rsidR="00633ED1" w:rsidRDefault="00633ED1" w:rsidP="0090223E">
      <w:pPr>
        <w:spacing w:line="360" w:lineRule="auto"/>
        <w:rPr>
          <w:rFonts w:ascii="Arial" w:hAnsi="Arial" w:cs="Arial"/>
          <w:sz w:val="22"/>
          <w:szCs w:val="22"/>
        </w:rPr>
      </w:pPr>
    </w:p>
    <w:p w14:paraId="3E7B2855" w14:textId="77777777" w:rsidR="00633ED1" w:rsidRDefault="00633ED1" w:rsidP="0090223E">
      <w:pPr>
        <w:spacing w:line="360" w:lineRule="auto"/>
        <w:rPr>
          <w:rFonts w:ascii="Arial" w:hAnsi="Arial" w:cs="Arial"/>
          <w:sz w:val="22"/>
          <w:szCs w:val="22"/>
        </w:rPr>
      </w:pPr>
    </w:p>
    <w:p w14:paraId="14B5AD38" w14:textId="77777777" w:rsidR="00633ED1" w:rsidRDefault="00633ED1" w:rsidP="0090223E">
      <w:pPr>
        <w:spacing w:line="360" w:lineRule="auto"/>
        <w:rPr>
          <w:rFonts w:ascii="Arial" w:hAnsi="Arial" w:cs="Arial"/>
          <w:sz w:val="22"/>
          <w:szCs w:val="22"/>
        </w:rPr>
      </w:pPr>
    </w:p>
    <w:p w14:paraId="08F6C177" w14:textId="77777777" w:rsidR="00633ED1" w:rsidRDefault="00633ED1" w:rsidP="0090223E">
      <w:pPr>
        <w:spacing w:line="360" w:lineRule="auto"/>
        <w:rPr>
          <w:rFonts w:ascii="Arial" w:hAnsi="Arial" w:cs="Arial"/>
          <w:sz w:val="22"/>
          <w:szCs w:val="22"/>
        </w:rPr>
      </w:pPr>
    </w:p>
    <w:p w14:paraId="33EBD3F1" w14:textId="77777777" w:rsidR="00633ED1" w:rsidRDefault="00633ED1" w:rsidP="0090223E">
      <w:pPr>
        <w:spacing w:line="360" w:lineRule="auto"/>
        <w:rPr>
          <w:rFonts w:ascii="Arial" w:hAnsi="Arial" w:cs="Arial"/>
          <w:sz w:val="22"/>
          <w:szCs w:val="22"/>
        </w:rPr>
      </w:pPr>
    </w:p>
    <w:p w14:paraId="0C45B697" w14:textId="77777777" w:rsidR="00633ED1" w:rsidRDefault="00633ED1" w:rsidP="0090223E">
      <w:pPr>
        <w:spacing w:line="360" w:lineRule="auto"/>
        <w:rPr>
          <w:rFonts w:ascii="Arial" w:hAnsi="Arial" w:cs="Arial"/>
          <w:sz w:val="22"/>
          <w:szCs w:val="22"/>
        </w:rPr>
      </w:pPr>
    </w:p>
    <w:p w14:paraId="1A4FEF3E" w14:textId="77777777" w:rsidR="00633ED1" w:rsidRDefault="00633ED1" w:rsidP="0090223E">
      <w:pPr>
        <w:spacing w:line="360" w:lineRule="auto"/>
        <w:rPr>
          <w:rFonts w:ascii="Arial" w:hAnsi="Arial" w:cs="Arial"/>
          <w:sz w:val="22"/>
          <w:szCs w:val="22"/>
        </w:rPr>
      </w:pPr>
    </w:p>
    <w:p w14:paraId="34696DDC" w14:textId="77777777" w:rsidR="00633ED1" w:rsidRDefault="00633ED1" w:rsidP="0090223E">
      <w:pPr>
        <w:spacing w:line="360" w:lineRule="auto"/>
        <w:rPr>
          <w:rFonts w:ascii="Arial" w:hAnsi="Arial" w:cs="Arial"/>
          <w:sz w:val="22"/>
          <w:szCs w:val="22"/>
        </w:rPr>
      </w:pPr>
    </w:p>
    <w:p w14:paraId="17370AF6" w14:textId="77777777" w:rsidR="00633ED1" w:rsidRDefault="00633ED1" w:rsidP="0090223E">
      <w:pPr>
        <w:spacing w:line="360" w:lineRule="auto"/>
        <w:rPr>
          <w:rFonts w:ascii="Arial" w:hAnsi="Arial" w:cs="Arial"/>
          <w:sz w:val="22"/>
          <w:szCs w:val="22"/>
        </w:rPr>
      </w:pPr>
    </w:p>
    <w:p w14:paraId="2E2C6BD8" w14:textId="77777777" w:rsidR="00633ED1" w:rsidRDefault="00633ED1" w:rsidP="0090223E">
      <w:pPr>
        <w:spacing w:line="360" w:lineRule="auto"/>
        <w:rPr>
          <w:rFonts w:ascii="Arial" w:hAnsi="Arial" w:cs="Arial"/>
          <w:sz w:val="22"/>
          <w:szCs w:val="22"/>
        </w:rPr>
      </w:pPr>
    </w:p>
    <w:p w14:paraId="0F03226A" w14:textId="77777777" w:rsidR="00633ED1" w:rsidRDefault="00633ED1" w:rsidP="0090223E">
      <w:pPr>
        <w:spacing w:line="360" w:lineRule="auto"/>
        <w:rPr>
          <w:rFonts w:ascii="Arial" w:hAnsi="Arial" w:cs="Arial"/>
          <w:sz w:val="22"/>
          <w:szCs w:val="22"/>
        </w:rPr>
      </w:pPr>
    </w:p>
    <w:p w14:paraId="28F4F739" w14:textId="77777777" w:rsidR="00633ED1" w:rsidRDefault="00633ED1" w:rsidP="0090223E">
      <w:pPr>
        <w:spacing w:line="360" w:lineRule="auto"/>
        <w:rPr>
          <w:rFonts w:ascii="Arial" w:hAnsi="Arial" w:cs="Arial"/>
          <w:sz w:val="22"/>
          <w:szCs w:val="22"/>
        </w:rPr>
      </w:pPr>
    </w:p>
    <w:p w14:paraId="67457400" w14:textId="77777777" w:rsidR="00633ED1" w:rsidRDefault="00633ED1" w:rsidP="0090223E">
      <w:pPr>
        <w:spacing w:line="360" w:lineRule="auto"/>
        <w:rPr>
          <w:rFonts w:ascii="Arial" w:hAnsi="Arial" w:cs="Arial"/>
          <w:sz w:val="22"/>
          <w:szCs w:val="22"/>
        </w:rPr>
      </w:pPr>
    </w:p>
    <w:p w14:paraId="40D7E028" w14:textId="77777777" w:rsidR="00633ED1" w:rsidRDefault="00633ED1" w:rsidP="0090223E">
      <w:pPr>
        <w:spacing w:line="360" w:lineRule="auto"/>
        <w:rPr>
          <w:rFonts w:ascii="Arial" w:hAnsi="Arial" w:cs="Arial"/>
          <w:sz w:val="22"/>
          <w:szCs w:val="22"/>
        </w:rPr>
      </w:pPr>
    </w:p>
    <w:p w14:paraId="242505BE" w14:textId="77777777" w:rsidR="00633ED1" w:rsidRDefault="00633ED1" w:rsidP="0090223E">
      <w:pPr>
        <w:spacing w:line="360" w:lineRule="auto"/>
        <w:rPr>
          <w:rFonts w:ascii="Arial" w:hAnsi="Arial" w:cs="Arial"/>
          <w:sz w:val="22"/>
          <w:szCs w:val="22"/>
        </w:rPr>
      </w:pPr>
    </w:p>
    <w:p w14:paraId="07841BFC" w14:textId="77777777" w:rsidR="00633ED1" w:rsidRDefault="00633ED1" w:rsidP="0090223E">
      <w:pPr>
        <w:spacing w:line="360" w:lineRule="auto"/>
        <w:rPr>
          <w:rFonts w:ascii="Arial" w:hAnsi="Arial" w:cs="Arial"/>
          <w:sz w:val="22"/>
          <w:szCs w:val="22"/>
        </w:rPr>
      </w:pPr>
    </w:p>
    <w:p w14:paraId="0DE323C9" w14:textId="77777777" w:rsidR="00633ED1" w:rsidRDefault="00633ED1" w:rsidP="0090223E">
      <w:pPr>
        <w:spacing w:line="360" w:lineRule="auto"/>
        <w:rPr>
          <w:rFonts w:ascii="Arial" w:hAnsi="Arial" w:cs="Arial"/>
          <w:sz w:val="22"/>
          <w:szCs w:val="22"/>
        </w:rPr>
      </w:pPr>
    </w:p>
    <w:p w14:paraId="65F31D90" w14:textId="77777777" w:rsidR="00633ED1" w:rsidRDefault="00633ED1" w:rsidP="0090223E">
      <w:pPr>
        <w:spacing w:line="360" w:lineRule="auto"/>
        <w:rPr>
          <w:rFonts w:ascii="Arial" w:hAnsi="Arial" w:cs="Arial"/>
          <w:sz w:val="22"/>
          <w:szCs w:val="22"/>
        </w:rPr>
      </w:pPr>
    </w:p>
    <w:p w14:paraId="303788A2" w14:textId="28FE2A8E" w:rsidR="0039320A" w:rsidRPr="00877995" w:rsidRDefault="0039320A" w:rsidP="0039320A">
      <w:pPr>
        <w:pStyle w:val="Heading2"/>
        <w:rPr>
          <w:rFonts w:ascii="Arial" w:hAnsi="Arial" w:cs="Arial"/>
          <w:color w:val="000000" w:themeColor="text1"/>
        </w:rPr>
      </w:pPr>
      <w:bookmarkStart w:id="18" w:name="_Toc235444602"/>
      <w:r w:rsidRPr="00877995">
        <w:rPr>
          <w:rFonts w:ascii="Arial" w:hAnsi="Arial" w:cs="Arial"/>
          <w:color w:val="000000" w:themeColor="text1"/>
        </w:rPr>
        <w:lastRenderedPageBreak/>
        <w:t>Section</w:t>
      </w:r>
      <w:r w:rsidR="00277E95" w:rsidRPr="00877995">
        <w:rPr>
          <w:rFonts w:ascii="Arial" w:hAnsi="Arial" w:cs="Arial"/>
          <w:color w:val="000000" w:themeColor="text1"/>
        </w:rPr>
        <w:t xml:space="preserve"> </w:t>
      </w:r>
      <w:r w:rsidRPr="00877995">
        <w:rPr>
          <w:rFonts w:ascii="Arial" w:hAnsi="Arial" w:cs="Arial"/>
          <w:color w:val="000000" w:themeColor="text1"/>
        </w:rPr>
        <w:t>4.2: Financial Plan:</w:t>
      </w:r>
      <w:bookmarkEnd w:id="18"/>
    </w:p>
    <w:p w14:paraId="19796278" w14:textId="45BE4A5C" w:rsidR="00633ED1" w:rsidRDefault="0039320A" w:rsidP="0090223E">
      <w:pPr>
        <w:spacing w:line="360" w:lineRule="auto"/>
        <w:rPr>
          <w:rFonts w:ascii="Arial" w:hAnsi="Arial" w:cs="Arial"/>
          <w:sz w:val="22"/>
          <w:szCs w:val="22"/>
        </w:rPr>
      </w:pPr>
      <w:r w:rsidRPr="0039320A">
        <w:rPr>
          <w:rFonts w:ascii="Arial" w:hAnsi="Arial" w:cs="Arial"/>
          <w:sz w:val="22"/>
          <w:szCs w:val="22"/>
        </w:rPr>
        <w:t>The implementation of this strategic change plan requires substantial financial investment, balancing the costs of transformation with the need for financial sustainability during the transition period. Bentley's financial plan must address multiple priorities whilst managing the organisation's exposure to market volatility and currency fluctuations.</w:t>
      </w:r>
    </w:p>
    <w:p w14:paraId="7650F127" w14:textId="74B6EF10" w:rsidR="00633ED1" w:rsidRPr="00877995" w:rsidRDefault="00277E95" w:rsidP="0039320A">
      <w:pPr>
        <w:pStyle w:val="Heading2"/>
        <w:rPr>
          <w:rFonts w:ascii="Arial" w:hAnsi="Arial" w:cs="Arial"/>
          <w:color w:val="000000" w:themeColor="text1"/>
        </w:rPr>
      </w:pPr>
      <w:bookmarkStart w:id="19" w:name="_Toc235444603"/>
      <w:r w:rsidRPr="00877995">
        <w:rPr>
          <w:rFonts w:ascii="Arial" w:hAnsi="Arial" w:cs="Arial"/>
          <w:color w:val="000000" w:themeColor="text1"/>
        </w:rPr>
        <w:t>Figure 4: Table 4: Bentley Financial Performance Summary 2023-2025:</w:t>
      </w:r>
      <w:bookmarkEnd w:id="19"/>
    </w:p>
    <w:tbl>
      <w:tblPr>
        <w:tblStyle w:val="GridTable4-Accent5"/>
        <w:tblW w:w="0" w:type="auto"/>
        <w:tblLook w:val="04A0" w:firstRow="1" w:lastRow="0" w:firstColumn="1" w:lastColumn="0" w:noHBand="0" w:noVBand="1"/>
      </w:tblPr>
      <w:tblGrid>
        <w:gridCol w:w="1803"/>
        <w:gridCol w:w="1803"/>
        <w:gridCol w:w="1803"/>
        <w:gridCol w:w="1803"/>
        <w:gridCol w:w="1804"/>
      </w:tblGrid>
      <w:tr w:rsidR="001B171A" w14:paraId="5D4C8422" w14:textId="77777777" w:rsidTr="00AB7F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571A328" w14:textId="191A73A0" w:rsidR="001B171A" w:rsidRDefault="00954A90" w:rsidP="00277E95">
            <w:pPr>
              <w:spacing w:line="360" w:lineRule="auto"/>
              <w:rPr>
                <w:rFonts w:ascii="Arial" w:hAnsi="Arial" w:cs="Arial"/>
                <w:sz w:val="22"/>
                <w:szCs w:val="22"/>
              </w:rPr>
            </w:pPr>
            <w:r w:rsidRPr="00954A90">
              <w:rPr>
                <w:rFonts w:ascii="Arial" w:hAnsi="Arial" w:cs="Arial"/>
                <w:sz w:val="22"/>
                <w:szCs w:val="22"/>
              </w:rPr>
              <w:t xml:space="preserve">Financial Metric </w:t>
            </w:r>
          </w:p>
        </w:tc>
        <w:tc>
          <w:tcPr>
            <w:tcW w:w="1803" w:type="dxa"/>
          </w:tcPr>
          <w:p w14:paraId="738CDA9E" w14:textId="1DB6B9E3" w:rsidR="001B171A" w:rsidRDefault="00954A90" w:rsidP="00277E9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54A90">
              <w:rPr>
                <w:rFonts w:ascii="Arial" w:hAnsi="Arial" w:cs="Arial"/>
                <w:sz w:val="22"/>
                <w:szCs w:val="22"/>
              </w:rPr>
              <w:t xml:space="preserve">2023 </w:t>
            </w:r>
          </w:p>
        </w:tc>
        <w:tc>
          <w:tcPr>
            <w:tcW w:w="1803" w:type="dxa"/>
          </w:tcPr>
          <w:p w14:paraId="7DABDC3A" w14:textId="45ECFA0A" w:rsidR="001B171A" w:rsidRDefault="00954A90" w:rsidP="00277E9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54A90">
              <w:rPr>
                <w:rFonts w:ascii="Arial" w:hAnsi="Arial" w:cs="Arial"/>
                <w:sz w:val="22"/>
                <w:szCs w:val="22"/>
              </w:rPr>
              <w:t xml:space="preserve">2024 </w:t>
            </w:r>
          </w:p>
        </w:tc>
        <w:tc>
          <w:tcPr>
            <w:tcW w:w="1803" w:type="dxa"/>
          </w:tcPr>
          <w:p w14:paraId="452C8E96" w14:textId="403745F3" w:rsidR="001B171A" w:rsidRDefault="00954A90" w:rsidP="00277E9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54A90">
              <w:rPr>
                <w:rFonts w:ascii="Arial" w:hAnsi="Arial" w:cs="Arial"/>
                <w:sz w:val="22"/>
                <w:szCs w:val="22"/>
              </w:rPr>
              <w:t xml:space="preserve">2025 </w:t>
            </w:r>
          </w:p>
        </w:tc>
        <w:tc>
          <w:tcPr>
            <w:tcW w:w="1804" w:type="dxa"/>
          </w:tcPr>
          <w:p w14:paraId="5966F186" w14:textId="23835019" w:rsidR="001B171A" w:rsidRDefault="00954A90" w:rsidP="00277E9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54A90">
              <w:rPr>
                <w:rFonts w:ascii="Arial" w:hAnsi="Arial" w:cs="Arial"/>
                <w:sz w:val="22"/>
                <w:szCs w:val="22"/>
              </w:rPr>
              <w:t>Trend</w:t>
            </w:r>
          </w:p>
        </w:tc>
      </w:tr>
      <w:tr w:rsidR="001B171A" w14:paraId="5F1839BC" w14:textId="77777777" w:rsidTr="00AB7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B76001D" w14:textId="585C2EAD" w:rsidR="001B171A" w:rsidRDefault="008D1F71" w:rsidP="00277E95">
            <w:pPr>
              <w:spacing w:line="360" w:lineRule="auto"/>
              <w:rPr>
                <w:rFonts w:ascii="Arial" w:hAnsi="Arial" w:cs="Arial"/>
                <w:sz w:val="22"/>
                <w:szCs w:val="22"/>
              </w:rPr>
            </w:pPr>
            <w:r w:rsidRPr="008D1F71">
              <w:rPr>
                <w:rFonts w:ascii="Arial" w:hAnsi="Arial" w:cs="Arial"/>
                <w:sz w:val="22"/>
                <w:szCs w:val="22"/>
              </w:rPr>
              <w:t xml:space="preserve">Revenue (£ billion) </w:t>
            </w:r>
          </w:p>
        </w:tc>
        <w:tc>
          <w:tcPr>
            <w:tcW w:w="1803" w:type="dxa"/>
          </w:tcPr>
          <w:p w14:paraId="58EF4ABA" w14:textId="5AFB0AFA" w:rsidR="001B171A" w:rsidRDefault="00CF741D"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CF741D">
              <w:rPr>
                <w:rFonts w:ascii="Arial" w:hAnsi="Arial" w:cs="Arial"/>
                <w:sz w:val="22"/>
                <w:szCs w:val="22"/>
              </w:rPr>
              <w:t xml:space="preserve">2.5 </w:t>
            </w:r>
          </w:p>
        </w:tc>
        <w:tc>
          <w:tcPr>
            <w:tcW w:w="1803" w:type="dxa"/>
          </w:tcPr>
          <w:p w14:paraId="6F129483" w14:textId="61614D34" w:rsidR="001B171A" w:rsidRDefault="00CF741D"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CF741D">
              <w:rPr>
                <w:rFonts w:ascii="Arial" w:hAnsi="Arial" w:cs="Arial"/>
                <w:sz w:val="22"/>
                <w:szCs w:val="22"/>
              </w:rPr>
              <w:t xml:space="preserve">2.3 </w:t>
            </w:r>
          </w:p>
        </w:tc>
        <w:tc>
          <w:tcPr>
            <w:tcW w:w="1803" w:type="dxa"/>
          </w:tcPr>
          <w:p w14:paraId="36D868B7" w14:textId="09A6E231" w:rsidR="001B171A" w:rsidRDefault="00CF741D"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F741D">
              <w:rPr>
                <w:rFonts w:ascii="Arial" w:hAnsi="Arial" w:cs="Arial"/>
                <w:sz w:val="22"/>
                <w:szCs w:val="22"/>
              </w:rPr>
              <w:t xml:space="preserve">2.25 </w:t>
            </w:r>
          </w:p>
        </w:tc>
        <w:tc>
          <w:tcPr>
            <w:tcW w:w="1804" w:type="dxa"/>
          </w:tcPr>
          <w:p w14:paraId="27360987" w14:textId="624024E6" w:rsidR="001B171A" w:rsidRDefault="00CF741D"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F741D">
              <w:rPr>
                <w:rFonts w:ascii="Arial" w:hAnsi="Arial" w:cs="Arial"/>
                <w:sz w:val="22"/>
                <w:szCs w:val="22"/>
              </w:rPr>
              <w:t>Declining</w:t>
            </w:r>
          </w:p>
        </w:tc>
      </w:tr>
      <w:tr w:rsidR="001B171A" w14:paraId="46DF6D0E" w14:textId="77777777" w:rsidTr="00AB7F73">
        <w:tc>
          <w:tcPr>
            <w:cnfStyle w:val="001000000000" w:firstRow="0" w:lastRow="0" w:firstColumn="1" w:lastColumn="0" w:oddVBand="0" w:evenVBand="0" w:oddHBand="0" w:evenHBand="0" w:firstRowFirstColumn="0" w:firstRowLastColumn="0" w:lastRowFirstColumn="0" w:lastRowLastColumn="0"/>
            <w:tcW w:w="1803" w:type="dxa"/>
          </w:tcPr>
          <w:p w14:paraId="3F6BDC41" w14:textId="76685701" w:rsidR="001B171A" w:rsidRDefault="00D503E5" w:rsidP="00277E95">
            <w:pPr>
              <w:spacing w:line="360" w:lineRule="auto"/>
              <w:rPr>
                <w:rFonts w:ascii="Arial" w:hAnsi="Arial" w:cs="Arial"/>
                <w:sz w:val="22"/>
                <w:szCs w:val="22"/>
              </w:rPr>
            </w:pPr>
            <w:r w:rsidRPr="00D503E5">
              <w:rPr>
                <w:rFonts w:ascii="Arial" w:hAnsi="Arial" w:cs="Arial"/>
                <w:sz w:val="22"/>
                <w:szCs w:val="22"/>
              </w:rPr>
              <w:t xml:space="preserve">Operating Profit (£ million) </w:t>
            </w:r>
          </w:p>
        </w:tc>
        <w:tc>
          <w:tcPr>
            <w:tcW w:w="1803" w:type="dxa"/>
          </w:tcPr>
          <w:p w14:paraId="27ED863A" w14:textId="366A3FDB" w:rsidR="001B171A" w:rsidRDefault="00D503E5"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D503E5">
              <w:rPr>
                <w:rFonts w:ascii="Arial" w:hAnsi="Arial" w:cs="Arial"/>
                <w:sz w:val="22"/>
                <w:szCs w:val="22"/>
              </w:rPr>
              <w:t xml:space="preserve">480 </w:t>
            </w:r>
          </w:p>
        </w:tc>
        <w:tc>
          <w:tcPr>
            <w:tcW w:w="1803" w:type="dxa"/>
          </w:tcPr>
          <w:p w14:paraId="5E432607" w14:textId="75672CD7" w:rsidR="001B171A" w:rsidRPr="00D503E5" w:rsidRDefault="00D503E5" w:rsidP="00D503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D503E5">
              <w:rPr>
                <w:rFonts w:ascii="Arial" w:hAnsi="Arial" w:cs="Arial"/>
                <w:sz w:val="22"/>
                <w:szCs w:val="22"/>
              </w:rPr>
              <w:t xml:space="preserve">310 </w:t>
            </w:r>
          </w:p>
        </w:tc>
        <w:tc>
          <w:tcPr>
            <w:tcW w:w="1803" w:type="dxa"/>
          </w:tcPr>
          <w:p w14:paraId="5116B4E8" w14:textId="6D94506B" w:rsidR="001B171A" w:rsidRDefault="00D503E5"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503E5">
              <w:rPr>
                <w:rFonts w:ascii="Arial" w:hAnsi="Arial" w:cs="Arial"/>
                <w:sz w:val="22"/>
                <w:szCs w:val="22"/>
              </w:rPr>
              <w:t xml:space="preserve">187 </w:t>
            </w:r>
          </w:p>
        </w:tc>
        <w:tc>
          <w:tcPr>
            <w:tcW w:w="1804" w:type="dxa"/>
          </w:tcPr>
          <w:p w14:paraId="6F27045E" w14:textId="6DDE02E4" w:rsidR="001B171A" w:rsidRDefault="00D503E5"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503E5">
              <w:rPr>
                <w:rFonts w:ascii="Arial" w:hAnsi="Arial" w:cs="Arial"/>
                <w:sz w:val="22"/>
                <w:szCs w:val="22"/>
              </w:rPr>
              <w:t>Declining</w:t>
            </w:r>
          </w:p>
        </w:tc>
      </w:tr>
      <w:tr w:rsidR="001B171A" w14:paraId="54212EA4" w14:textId="77777777" w:rsidTr="00AB7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46782F0" w14:textId="6EE99B1F" w:rsidR="001B171A" w:rsidRDefault="00F84787" w:rsidP="00277E95">
            <w:pPr>
              <w:spacing w:line="360" w:lineRule="auto"/>
              <w:rPr>
                <w:rFonts w:ascii="Arial" w:hAnsi="Arial" w:cs="Arial"/>
                <w:sz w:val="22"/>
                <w:szCs w:val="22"/>
              </w:rPr>
            </w:pPr>
            <w:r w:rsidRPr="00F84787">
              <w:rPr>
                <w:rFonts w:ascii="Arial" w:hAnsi="Arial" w:cs="Arial"/>
                <w:sz w:val="22"/>
                <w:szCs w:val="22"/>
              </w:rPr>
              <w:t xml:space="preserve">Operating Margin </w:t>
            </w:r>
          </w:p>
        </w:tc>
        <w:tc>
          <w:tcPr>
            <w:tcW w:w="1803" w:type="dxa"/>
          </w:tcPr>
          <w:p w14:paraId="1216E44B" w14:textId="0B93BDFB" w:rsidR="001B171A" w:rsidRDefault="00F84787"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F84787">
              <w:rPr>
                <w:rFonts w:ascii="Arial" w:hAnsi="Arial" w:cs="Arial"/>
                <w:sz w:val="22"/>
                <w:szCs w:val="22"/>
              </w:rPr>
              <w:t xml:space="preserve">19% </w:t>
            </w:r>
          </w:p>
        </w:tc>
        <w:tc>
          <w:tcPr>
            <w:tcW w:w="1803" w:type="dxa"/>
          </w:tcPr>
          <w:p w14:paraId="1340C014" w14:textId="3AA9856A" w:rsidR="001B171A" w:rsidRDefault="00F84787"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F84787">
              <w:rPr>
                <w:rFonts w:ascii="Arial" w:hAnsi="Arial" w:cs="Arial"/>
                <w:sz w:val="22"/>
                <w:szCs w:val="22"/>
              </w:rPr>
              <w:t xml:space="preserve">13% </w:t>
            </w:r>
          </w:p>
        </w:tc>
        <w:tc>
          <w:tcPr>
            <w:tcW w:w="1803" w:type="dxa"/>
          </w:tcPr>
          <w:p w14:paraId="361586E6" w14:textId="29C680D3" w:rsidR="001B171A" w:rsidRDefault="00F84787"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84787">
              <w:rPr>
                <w:rFonts w:ascii="Arial" w:hAnsi="Arial" w:cs="Arial"/>
                <w:sz w:val="22"/>
                <w:szCs w:val="22"/>
              </w:rPr>
              <w:t xml:space="preserve">8.3% </w:t>
            </w:r>
          </w:p>
        </w:tc>
        <w:tc>
          <w:tcPr>
            <w:tcW w:w="1804" w:type="dxa"/>
          </w:tcPr>
          <w:p w14:paraId="72E4F1E7" w14:textId="3BA3F5E1" w:rsidR="001B171A" w:rsidRDefault="00F84787"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84787">
              <w:rPr>
                <w:rFonts w:ascii="Arial" w:hAnsi="Arial" w:cs="Arial"/>
                <w:sz w:val="22"/>
                <w:szCs w:val="22"/>
              </w:rPr>
              <w:t>Declinin</w:t>
            </w:r>
            <w:r>
              <w:rPr>
                <w:rFonts w:ascii="Arial" w:hAnsi="Arial" w:cs="Arial"/>
                <w:sz w:val="22"/>
                <w:szCs w:val="22"/>
              </w:rPr>
              <w:t>g</w:t>
            </w:r>
          </w:p>
        </w:tc>
      </w:tr>
      <w:tr w:rsidR="001B171A" w14:paraId="1AD03B59" w14:textId="77777777" w:rsidTr="00AB7F73">
        <w:tc>
          <w:tcPr>
            <w:cnfStyle w:val="001000000000" w:firstRow="0" w:lastRow="0" w:firstColumn="1" w:lastColumn="0" w:oddVBand="0" w:evenVBand="0" w:oddHBand="0" w:evenHBand="0" w:firstRowFirstColumn="0" w:firstRowLastColumn="0" w:lastRowFirstColumn="0" w:lastRowLastColumn="0"/>
            <w:tcW w:w="1803" w:type="dxa"/>
          </w:tcPr>
          <w:p w14:paraId="18073002" w14:textId="6C7D0D56" w:rsidR="001B171A" w:rsidRDefault="00F427D9" w:rsidP="00277E95">
            <w:pPr>
              <w:spacing w:line="360" w:lineRule="auto"/>
              <w:rPr>
                <w:rFonts w:ascii="Arial" w:hAnsi="Arial" w:cs="Arial"/>
                <w:sz w:val="22"/>
                <w:szCs w:val="22"/>
              </w:rPr>
            </w:pPr>
            <w:r w:rsidRPr="00F427D9">
              <w:rPr>
                <w:rFonts w:ascii="Arial" w:hAnsi="Arial" w:cs="Arial"/>
                <w:sz w:val="22"/>
                <w:szCs w:val="22"/>
              </w:rPr>
              <w:t xml:space="preserve">Revenue per Vehicle </w:t>
            </w:r>
          </w:p>
        </w:tc>
        <w:tc>
          <w:tcPr>
            <w:tcW w:w="1803" w:type="dxa"/>
          </w:tcPr>
          <w:p w14:paraId="66C97BD0" w14:textId="2B10C80C" w:rsidR="001B171A" w:rsidRDefault="00F427D9"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427D9">
              <w:rPr>
                <w:rFonts w:ascii="Arial" w:hAnsi="Arial" w:cs="Arial"/>
                <w:sz w:val="22"/>
                <w:szCs w:val="22"/>
              </w:rPr>
              <w:t xml:space="preserve">Baseline </w:t>
            </w:r>
          </w:p>
        </w:tc>
        <w:tc>
          <w:tcPr>
            <w:tcW w:w="1803" w:type="dxa"/>
          </w:tcPr>
          <w:p w14:paraId="5A9FD884" w14:textId="0E165BFD" w:rsidR="001B171A" w:rsidRDefault="00F427D9"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427D9">
              <w:rPr>
                <w:rFonts w:ascii="Arial" w:hAnsi="Arial" w:cs="Arial"/>
                <w:sz w:val="22"/>
                <w:szCs w:val="22"/>
              </w:rPr>
              <w:t xml:space="preserve">+10% </w:t>
            </w:r>
          </w:p>
        </w:tc>
        <w:tc>
          <w:tcPr>
            <w:tcW w:w="1803" w:type="dxa"/>
          </w:tcPr>
          <w:p w14:paraId="414226C1" w14:textId="395F181A" w:rsidR="001B171A" w:rsidRDefault="00F427D9"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427D9">
              <w:rPr>
                <w:rFonts w:ascii="Arial" w:hAnsi="Arial" w:cs="Arial"/>
                <w:sz w:val="22"/>
                <w:szCs w:val="22"/>
              </w:rPr>
              <w:t xml:space="preserve">Further increase </w:t>
            </w:r>
          </w:p>
        </w:tc>
        <w:tc>
          <w:tcPr>
            <w:tcW w:w="1804" w:type="dxa"/>
          </w:tcPr>
          <w:p w14:paraId="21D59C0C" w14:textId="102C678D" w:rsidR="001B171A" w:rsidRDefault="00AB7F73"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7F73">
              <w:rPr>
                <w:rFonts w:ascii="Arial" w:hAnsi="Arial" w:cs="Arial"/>
                <w:sz w:val="22"/>
                <w:szCs w:val="22"/>
              </w:rPr>
              <w:t>Improving</w:t>
            </w:r>
          </w:p>
        </w:tc>
      </w:tr>
      <w:tr w:rsidR="001B171A" w14:paraId="41BA901E" w14:textId="77777777" w:rsidTr="00AB7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18187A5" w14:textId="0DC85240" w:rsidR="001B171A" w:rsidRDefault="00AB7F73" w:rsidP="00277E95">
            <w:pPr>
              <w:spacing w:line="360" w:lineRule="auto"/>
              <w:rPr>
                <w:rFonts w:ascii="Arial" w:hAnsi="Arial" w:cs="Arial"/>
                <w:sz w:val="22"/>
                <w:szCs w:val="22"/>
              </w:rPr>
            </w:pPr>
            <w:r w:rsidRPr="00AB7F73">
              <w:rPr>
                <w:rFonts w:ascii="Arial" w:hAnsi="Arial" w:cs="Arial"/>
                <w:sz w:val="22"/>
                <w:szCs w:val="22"/>
              </w:rPr>
              <w:t xml:space="preserve">Customer Deliveries </w:t>
            </w:r>
          </w:p>
        </w:tc>
        <w:tc>
          <w:tcPr>
            <w:tcW w:w="1803" w:type="dxa"/>
          </w:tcPr>
          <w:p w14:paraId="213D9544" w14:textId="76B4A60B" w:rsidR="001B171A" w:rsidRDefault="00AB7F73"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AB7F73">
              <w:rPr>
                <w:rFonts w:ascii="Arial" w:hAnsi="Arial" w:cs="Arial"/>
                <w:sz w:val="22"/>
                <w:szCs w:val="22"/>
              </w:rPr>
              <w:t xml:space="preserve">10,650 </w:t>
            </w:r>
          </w:p>
        </w:tc>
        <w:tc>
          <w:tcPr>
            <w:tcW w:w="1803" w:type="dxa"/>
          </w:tcPr>
          <w:p w14:paraId="529420C0" w14:textId="4F385795" w:rsidR="001B171A" w:rsidRPr="00AB7F73" w:rsidRDefault="00AB7F73" w:rsidP="00AB7F7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AB7F73">
              <w:rPr>
                <w:rFonts w:ascii="Arial" w:hAnsi="Arial" w:cs="Arial"/>
                <w:sz w:val="22"/>
                <w:szCs w:val="22"/>
              </w:rPr>
              <w:t xml:space="preserve">10,650 </w:t>
            </w:r>
          </w:p>
        </w:tc>
        <w:tc>
          <w:tcPr>
            <w:tcW w:w="1803" w:type="dxa"/>
          </w:tcPr>
          <w:p w14:paraId="17B957CB" w14:textId="4376D88B" w:rsidR="001B171A" w:rsidRDefault="00AB7F73"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7F73">
              <w:rPr>
                <w:rFonts w:ascii="Arial" w:hAnsi="Arial" w:cs="Arial"/>
                <w:sz w:val="22"/>
                <w:szCs w:val="22"/>
              </w:rPr>
              <w:t xml:space="preserve">10,131 </w:t>
            </w:r>
          </w:p>
        </w:tc>
        <w:tc>
          <w:tcPr>
            <w:tcW w:w="1804" w:type="dxa"/>
          </w:tcPr>
          <w:p w14:paraId="3C69CBC1" w14:textId="415E2F07" w:rsidR="001B171A" w:rsidRDefault="00AB7F73"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7F73">
              <w:rPr>
                <w:rFonts w:ascii="Arial" w:hAnsi="Arial" w:cs="Arial"/>
                <w:sz w:val="22"/>
                <w:szCs w:val="22"/>
              </w:rPr>
              <w:t>Declining</w:t>
            </w:r>
          </w:p>
        </w:tc>
      </w:tr>
    </w:tbl>
    <w:p w14:paraId="30732FDC" w14:textId="2EFB9FFF" w:rsidR="00277E95" w:rsidRPr="00877995" w:rsidRDefault="00FC3DAE" w:rsidP="00277E95">
      <w:pPr>
        <w:spacing w:line="360" w:lineRule="auto"/>
        <w:rPr>
          <w:rFonts w:ascii="Arial" w:hAnsi="Arial" w:cs="Arial"/>
          <w:color w:val="000000" w:themeColor="text1"/>
          <w:sz w:val="22"/>
          <w:szCs w:val="22"/>
        </w:rPr>
      </w:pPr>
      <w:r w:rsidRPr="00877995">
        <w:rPr>
          <w:rFonts w:ascii="Arial" w:hAnsi="Arial" w:cs="Arial"/>
          <w:color w:val="000000" w:themeColor="text1"/>
          <w:sz w:val="22"/>
          <w:szCs w:val="22"/>
        </w:rPr>
        <w:t>“</w:t>
      </w:r>
      <w:r w:rsidR="00BB39B2" w:rsidRPr="00877995">
        <w:rPr>
          <w:rFonts w:ascii="Arial" w:hAnsi="Arial" w:cs="Arial"/>
          <w:color w:val="000000" w:themeColor="text1"/>
          <w:sz w:val="22"/>
          <w:szCs w:val="22"/>
        </w:rPr>
        <w:t xml:space="preserve">This table highlights Bentley’s </w:t>
      </w:r>
      <w:r w:rsidR="00B37FDB" w:rsidRPr="00877995">
        <w:rPr>
          <w:rFonts w:ascii="Arial" w:hAnsi="Arial" w:cs="Arial"/>
          <w:color w:val="000000" w:themeColor="text1"/>
          <w:sz w:val="22"/>
          <w:szCs w:val="22"/>
        </w:rPr>
        <w:t xml:space="preserve">Performance Index regarding profits and </w:t>
      </w:r>
      <w:r w:rsidRPr="00877995">
        <w:rPr>
          <w:rFonts w:ascii="Arial" w:hAnsi="Arial" w:cs="Arial"/>
          <w:color w:val="000000" w:themeColor="text1"/>
          <w:sz w:val="22"/>
          <w:szCs w:val="22"/>
        </w:rPr>
        <w:t>losses</w:t>
      </w:r>
      <w:r w:rsidR="00B37FDB" w:rsidRPr="00877995">
        <w:rPr>
          <w:rFonts w:ascii="Arial" w:hAnsi="Arial" w:cs="Arial"/>
          <w:color w:val="000000" w:themeColor="text1"/>
          <w:sz w:val="22"/>
          <w:szCs w:val="22"/>
        </w:rPr>
        <w:t xml:space="preserve"> according to</w:t>
      </w:r>
      <w:r w:rsidRPr="00877995">
        <w:rPr>
          <w:rFonts w:ascii="Arial" w:hAnsi="Arial" w:cs="Arial"/>
          <w:color w:val="000000" w:themeColor="text1"/>
          <w:sz w:val="22"/>
          <w:szCs w:val="22"/>
        </w:rPr>
        <w:t>” (Bentley Motors, 2026)</w:t>
      </w:r>
      <w:r w:rsidR="00C07A12" w:rsidRPr="00877995">
        <w:rPr>
          <w:rFonts w:ascii="Arial" w:hAnsi="Arial" w:cs="Arial"/>
          <w:color w:val="000000" w:themeColor="text1"/>
          <w:sz w:val="22"/>
          <w:szCs w:val="22"/>
        </w:rPr>
        <w:t>.</w:t>
      </w:r>
    </w:p>
    <w:p w14:paraId="063C78EB" w14:textId="77777777" w:rsidR="00CF75E5" w:rsidRDefault="00CF75E5" w:rsidP="0090223E">
      <w:pPr>
        <w:spacing w:line="360" w:lineRule="auto"/>
        <w:rPr>
          <w:rFonts w:ascii="Arial" w:hAnsi="Arial" w:cs="Arial"/>
          <w:color w:val="000000" w:themeColor="text1"/>
          <w:sz w:val="22"/>
          <w:szCs w:val="22"/>
        </w:rPr>
      </w:pPr>
    </w:p>
    <w:p w14:paraId="2A8EAE91" w14:textId="77777777" w:rsidR="00CF75E5" w:rsidRDefault="00CF75E5" w:rsidP="0090223E">
      <w:pPr>
        <w:spacing w:line="360" w:lineRule="auto"/>
        <w:rPr>
          <w:rFonts w:ascii="Arial" w:hAnsi="Arial" w:cs="Arial"/>
          <w:color w:val="000000" w:themeColor="text1"/>
          <w:sz w:val="22"/>
          <w:szCs w:val="22"/>
        </w:rPr>
      </w:pPr>
    </w:p>
    <w:p w14:paraId="279004E2" w14:textId="77777777" w:rsidR="00CF75E5" w:rsidRDefault="00CF75E5" w:rsidP="0090223E">
      <w:pPr>
        <w:spacing w:line="360" w:lineRule="auto"/>
        <w:rPr>
          <w:rFonts w:ascii="Arial" w:hAnsi="Arial" w:cs="Arial"/>
          <w:color w:val="000000" w:themeColor="text1"/>
          <w:sz w:val="22"/>
          <w:szCs w:val="22"/>
        </w:rPr>
      </w:pPr>
    </w:p>
    <w:p w14:paraId="45135F7F" w14:textId="77777777" w:rsidR="00CF75E5" w:rsidRDefault="00CF75E5" w:rsidP="0090223E">
      <w:pPr>
        <w:spacing w:line="360" w:lineRule="auto"/>
        <w:rPr>
          <w:rFonts w:ascii="Arial" w:hAnsi="Arial" w:cs="Arial"/>
          <w:color w:val="000000" w:themeColor="text1"/>
          <w:sz w:val="22"/>
          <w:szCs w:val="22"/>
        </w:rPr>
      </w:pPr>
    </w:p>
    <w:p w14:paraId="1B0A020E" w14:textId="77777777" w:rsidR="00CF75E5" w:rsidRDefault="00CF75E5" w:rsidP="0090223E">
      <w:pPr>
        <w:spacing w:line="360" w:lineRule="auto"/>
        <w:rPr>
          <w:rFonts w:ascii="Arial" w:hAnsi="Arial" w:cs="Arial"/>
          <w:color w:val="000000" w:themeColor="text1"/>
          <w:sz w:val="22"/>
          <w:szCs w:val="22"/>
        </w:rPr>
      </w:pPr>
    </w:p>
    <w:p w14:paraId="419E0BC4" w14:textId="77777777" w:rsidR="00CF75E5" w:rsidRDefault="00CF75E5" w:rsidP="0090223E">
      <w:pPr>
        <w:spacing w:line="360" w:lineRule="auto"/>
        <w:rPr>
          <w:rFonts w:ascii="Arial" w:hAnsi="Arial" w:cs="Arial"/>
          <w:color w:val="000000" w:themeColor="text1"/>
          <w:sz w:val="22"/>
          <w:szCs w:val="22"/>
        </w:rPr>
      </w:pPr>
    </w:p>
    <w:p w14:paraId="23A6CB7A" w14:textId="77777777" w:rsidR="00CF75E5" w:rsidRDefault="00CF75E5" w:rsidP="0090223E">
      <w:pPr>
        <w:spacing w:line="360" w:lineRule="auto"/>
        <w:rPr>
          <w:rFonts w:ascii="Arial" w:hAnsi="Arial" w:cs="Arial"/>
          <w:color w:val="000000" w:themeColor="text1"/>
          <w:sz w:val="22"/>
          <w:szCs w:val="22"/>
        </w:rPr>
      </w:pPr>
    </w:p>
    <w:p w14:paraId="25FE9039" w14:textId="77777777" w:rsidR="00CF75E5" w:rsidRDefault="00CF75E5" w:rsidP="0090223E">
      <w:pPr>
        <w:spacing w:line="360" w:lineRule="auto"/>
        <w:rPr>
          <w:rFonts w:ascii="Arial" w:hAnsi="Arial" w:cs="Arial"/>
          <w:color w:val="000000" w:themeColor="text1"/>
          <w:sz w:val="22"/>
          <w:szCs w:val="22"/>
        </w:rPr>
      </w:pPr>
    </w:p>
    <w:p w14:paraId="1342DBD3" w14:textId="50D8BE04" w:rsidR="00F32F20" w:rsidRDefault="00984552" w:rsidP="0090223E">
      <w:pPr>
        <w:spacing w:line="360" w:lineRule="auto"/>
        <w:rPr>
          <w:rFonts w:ascii="Arial" w:hAnsi="Arial" w:cs="Arial"/>
          <w:sz w:val="22"/>
          <w:szCs w:val="22"/>
        </w:rPr>
      </w:pPr>
      <w:r w:rsidRPr="00984552">
        <w:rPr>
          <w:rFonts w:ascii="Arial" w:hAnsi="Arial" w:cs="Arial"/>
          <w:color w:val="000000" w:themeColor="text1"/>
          <w:sz w:val="22"/>
          <w:szCs w:val="22"/>
        </w:rPr>
        <w:lastRenderedPageBreak/>
        <w:t>Bringing in £2.25 billion, the company saw its revenue slip by a mere 1% compared to last year</w:t>
      </w:r>
      <w:r w:rsidR="004878FC">
        <w:rPr>
          <w:rFonts w:ascii="Arial" w:hAnsi="Arial" w:cs="Arial"/>
          <w:color w:val="000000" w:themeColor="text1"/>
          <w:sz w:val="22"/>
          <w:szCs w:val="22"/>
        </w:rPr>
        <w:t>,</w:t>
      </w:r>
      <w:r>
        <w:rPr>
          <w:rFonts w:ascii="Arial" w:hAnsi="Arial" w:cs="Arial"/>
          <w:color w:val="000000" w:themeColor="text1"/>
          <w:sz w:val="22"/>
          <w:szCs w:val="22"/>
        </w:rPr>
        <w:t xml:space="preserve"> </w:t>
      </w:r>
      <w:r w:rsidRPr="00984552">
        <w:rPr>
          <w:rFonts w:ascii="Arial" w:hAnsi="Arial" w:cs="Arial"/>
          <w:color w:val="000000" w:themeColor="text1"/>
          <w:sz w:val="22"/>
          <w:szCs w:val="22"/>
        </w:rPr>
        <w:t xml:space="preserve">a clear sign that </w:t>
      </w:r>
      <w:r>
        <w:rPr>
          <w:rFonts w:ascii="Arial" w:hAnsi="Arial" w:cs="Arial"/>
          <w:color w:val="000000" w:themeColor="text1"/>
          <w:sz w:val="22"/>
          <w:szCs w:val="22"/>
        </w:rPr>
        <w:t>prioritising</w:t>
      </w:r>
      <w:r w:rsidRPr="00984552">
        <w:rPr>
          <w:rFonts w:ascii="Arial" w:hAnsi="Arial" w:cs="Arial"/>
          <w:color w:val="000000" w:themeColor="text1"/>
          <w:sz w:val="22"/>
          <w:szCs w:val="22"/>
        </w:rPr>
        <w:t xml:space="preserve"> high-margin sales over raw volume pays off. Although overall car deliveries dipped 5% to 10,131 vehicles, the shortfall was effectively balanced out by strong pricing, a shift toward premium model variants, and steady demand for bespoke Mulliner </w:t>
      </w:r>
      <w:r>
        <w:rPr>
          <w:rFonts w:ascii="Arial" w:hAnsi="Arial" w:cs="Arial"/>
          <w:color w:val="000000" w:themeColor="text1"/>
          <w:sz w:val="22"/>
          <w:szCs w:val="22"/>
        </w:rPr>
        <w:t>customisations</w:t>
      </w:r>
      <w:r w:rsidRPr="00984552">
        <w:rPr>
          <w:rFonts w:ascii="Arial" w:hAnsi="Arial" w:cs="Arial"/>
          <w:color w:val="000000" w:themeColor="text1"/>
          <w:sz w:val="22"/>
          <w:szCs w:val="22"/>
        </w:rPr>
        <w:t>.</w:t>
      </w:r>
      <w:r>
        <w:rPr>
          <w:rFonts w:ascii="Arial" w:hAnsi="Arial" w:cs="Arial"/>
          <w:color w:val="000000" w:themeColor="text1"/>
          <w:sz w:val="22"/>
          <w:szCs w:val="22"/>
        </w:rPr>
        <w:t xml:space="preserve"> </w:t>
      </w:r>
      <w:r w:rsidR="00C07A12" w:rsidRPr="00877995">
        <w:rPr>
          <w:rFonts w:ascii="Arial" w:hAnsi="Arial" w:cs="Arial"/>
          <w:color w:val="000000" w:themeColor="text1"/>
          <w:sz w:val="22"/>
          <w:szCs w:val="22"/>
        </w:rPr>
        <w:t>“Even though total car deliveries dropped to 10,131 units, Bentley countered the decline by leaning into high-end customisation and stricter pricing models, sustaining a stable £2.25 billion revenue that directly funds their upcoming 2026 battery-powered vehicle platforms</w:t>
      </w:r>
      <w:r w:rsidR="00607062">
        <w:rPr>
          <w:rFonts w:ascii="Arial" w:hAnsi="Arial" w:cs="Arial"/>
          <w:color w:val="000000" w:themeColor="text1"/>
          <w:sz w:val="22"/>
          <w:szCs w:val="22"/>
        </w:rPr>
        <w:t xml:space="preserve"> according to</w:t>
      </w:r>
      <w:r w:rsidR="00C07A12" w:rsidRPr="00877995">
        <w:rPr>
          <w:rFonts w:ascii="Arial" w:hAnsi="Arial" w:cs="Arial"/>
          <w:color w:val="000000" w:themeColor="text1"/>
          <w:sz w:val="22"/>
          <w:szCs w:val="22"/>
        </w:rPr>
        <w:t xml:space="preserve">” (Bentley Motors, 2026). </w:t>
      </w:r>
      <w:r w:rsidR="00EC1FD6" w:rsidRPr="00EC1FD6">
        <w:rPr>
          <w:rFonts w:ascii="Arial" w:hAnsi="Arial" w:cs="Arial"/>
          <w:color w:val="000000" w:themeColor="text1"/>
          <w:sz w:val="22"/>
          <w:szCs w:val="22"/>
        </w:rPr>
        <w:t>The Bentayga holds its crown as Bentley's most popular vehicle. Looking ahead, the brand's sales momentum is expected to get an extra boost following the late 2025 rollout of the high-performance Bentayga Speed in major global markets.</w:t>
      </w:r>
      <w:r w:rsidR="00F32F20" w:rsidRPr="00877995">
        <w:rPr>
          <w:rFonts w:ascii="Arial" w:hAnsi="Arial" w:cs="Arial"/>
          <w:color w:val="000000" w:themeColor="text1"/>
          <w:sz w:val="22"/>
          <w:szCs w:val="22"/>
        </w:rPr>
        <w:t xml:space="preserve"> Product development investment priorities include the development of electric vehicle platforms, battery systems, and electric drivetrains, as well as the ongoing refinement of plug-in hybrid technology. The first fully electric Bentley, a Luxury Urban SUV, is on track for reveal in 2026, with market deliveries expected in 2027</w:t>
      </w:r>
      <w:r w:rsidR="00F32F20" w:rsidRPr="00F32F20">
        <w:rPr>
          <w:rFonts w:ascii="Arial" w:hAnsi="Arial" w:cs="Arial"/>
          <w:sz w:val="22"/>
          <w:szCs w:val="22"/>
        </w:rPr>
        <w:t>.</w:t>
      </w:r>
    </w:p>
    <w:p w14:paraId="4EB63FC7" w14:textId="7A862AA2" w:rsidR="00F32F20" w:rsidRDefault="00B96FB1" w:rsidP="0090223E">
      <w:pPr>
        <w:spacing w:line="360" w:lineRule="auto"/>
        <w:rPr>
          <w:rFonts w:ascii="Arial" w:hAnsi="Arial" w:cs="Arial"/>
          <w:sz w:val="22"/>
          <w:szCs w:val="22"/>
        </w:rPr>
      </w:pPr>
      <w:r w:rsidRPr="00B96FB1">
        <w:rPr>
          <w:rFonts w:ascii="Arial" w:hAnsi="Arial" w:cs="Arial"/>
          <w:sz w:val="22"/>
          <w:szCs w:val="22"/>
        </w:rPr>
        <w:t xml:space="preserve">Upgrade funding for Bentley’s "Dream Factory" is actively reshaping its historic </w:t>
      </w:r>
      <w:proofErr w:type="spellStart"/>
      <w:r w:rsidRPr="00B96FB1">
        <w:rPr>
          <w:rFonts w:ascii="Arial" w:hAnsi="Arial" w:cs="Arial"/>
          <w:sz w:val="22"/>
          <w:szCs w:val="22"/>
        </w:rPr>
        <w:t>Pyms</w:t>
      </w:r>
      <w:proofErr w:type="spellEnd"/>
      <w:r w:rsidRPr="00B96FB1">
        <w:rPr>
          <w:rFonts w:ascii="Arial" w:hAnsi="Arial" w:cs="Arial"/>
          <w:sz w:val="22"/>
          <w:szCs w:val="22"/>
        </w:rPr>
        <w:t xml:space="preserve"> Lane site. Key milestones include a fresh design studio that went live in July 2025 and an electric vehicle assembly line that is almost ready for production. Additionally, a new multi-level paint facility is prepared to give buyers access to nearly 100 bespoke colour options.</w:t>
      </w:r>
      <w:r>
        <w:rPr>
          <w:rFonts w:ascii="Arial" w:hAnsi="Arial" w:cs="Arial"/>
          <w:sz w:val="22"/>
          <w:szCs w:val="22"/>
        </w:rPr>
        <w:t xml:space="preserve"> </w:t>
      </w:r>
      <w:r w:rsidR="00F32F20" w:rsidRPr="00F32F20">
        <w:rPr>
          <w:rFonts w:ascii="Arial" w:hAnsi="Arial" w:cs="Arial"/>
          <w:sz w:val="22"/>
          <w:szCs w:val="22"/>
        </w:rPr>
        <w:t>The organisation is self-funding these upgrades, reflecting its commitment to transformation without reliance on external financing. This approach demonstrates confidence in the business case for transformation but also creates pressure on cash flow and short-term profitability.</w:t>
      </w:r>
    </w:p>
    <w:p w14:paraId="2D9D13E5" w14:textId="31E1F9F1" w:rsidR="00F32F20" w:rsidRPr="0090223E" w:rsidRDefault="000F4097" w:rsidP="0090223E">
      <w:pPr>
        <w:spacing w:line="360" w:lineRule="auto"/>
        <w:rPr>
          <w:rFonts w:ascii="Arial" w:hAnsi="Arial" w:cs="Arial"/>
          <w:sz w:val="22"/>
          <w:szCs w:val="22"/>
        </w:rPr>
      </w:pPr>
      <w:r w:rsidRPr="000F4097">
        <w:rPr>
          <w:rFonts w:ascii="Arial" w:hAnsi="Arial" w:cs="Arial"/>
          <w:sz w:val="22"/>
          <w:szCs w:val="22"/>
        </w:rPr>
        <w:t>The financial plan must also address the costs of workforce transformation, including training, development programmes, and potential severance costs associated with restructuring. The announcement of up to 275 job cuts in 2026 reflects the difficult decisions required to align the workforce with future requirements. The financial impact of these decisions, including consultation costs and potential redundancy payments, must be managed whilst maintaining employee engagement and morale.</w:t>
      </w:r>
    </w:p>
    <w:p w14:paraId="1FF2483E" w14:textId="77777777" w:rsidR="00E81BD9" w:rsidRDefault="00E81BD9" w:rsidP="00E81BD9">
      <w:pPr>
        <w:spacing w:line="360" w:lineRule="auto"/>
        <w:rPr>
          <w:rFonts w:ascii="Arial" w:hAnsi="Arial" w:cs="Arial"/>
          <w:sz w:val="22"/>
          <w:szCs w:val="22"/>
        </w:rPr>
      </w:pPr>
    </w:p>
    <w:p w14:paraId="631214CF" w14:textId="77777777" w:rsidR="00E81BD9" w:rsidRDefault="00E81BD9" w:rsidP="00E81BD9">
      <w:pPr>
        <w:spacing w:line="360" w:lineRule="auto"/>
        <w:rPr>
          <w:rFonts w:ascii="Arial" w:hAnsi="Arial" w:cs="Arial"/>
          <w:sz w:val="22"/>
          <w:szCs w:val="22"/>
        </w:rPr>
      </w:pPr>
    </w:p>
    <w:p w14:paraId="0ADA4AA3" w14:textId="77777777" w:rsidR="00E81BD9" w:rsidRDefault="00E81BD9" w:rsidP="00E81BD9">
      <w:pPr>
        <w:spacing w:line="360" w:lineRule="auto"/>
        <w:rPr>
          <w:rFonts w:ascii="Arial" w:hAnsi="Arial" w:cs="Arial"/>
          <w:sz w:val="22"/>
          <w:szCs w:val="22"/>
        </w:rPr>
      </w:pPr>
    </w:p>
    <w:p w14:paraId="5DF71725" w14:textId="77777777" w:rsidR="00E81BD9" w:rsidRDefault="00E81BD9" w:rsidP="00E81BD9">
      <w:pPr>
        <w:spacing w:line="360" w:lineRule="auto"/>
        <w:rPr>
          <w:rFonts w:ascii="Arial" w:hAnsi="Arial" w:cs="Arial"/>
          <w:sz w:val="22"/>
          <w:szCs w:val="22"/>
        </w:rPr>
      </w:pPr>
    </w:p>
    <w:p w14:paraId="363A1B22" w14:textId="77777777" w:rsidR="00AC6080" w:rsidRDefault="00AC6080"/>
    <w:p w14:paraId="36530629" w14:textId="2667F9E3" w:rsidR="00AC6080" w:rsidRPr="00877995" w:rsidRDefault="002F29DA" w:rsidP="002F29DA">
      <w:pPr>
        <w:pStyle w:val="Heading2"/>
        <w:rPr>
          <w:rFonts w:ascii="Arial" w:hAnsi="Arial" w:cs="Arial"/>
          <w:color w:val="000000" w:themeColor="text1"/>
        </w:rPr>
      </w:pPr>
      <w:bookmarkStart w:id="20" w:name="_Toc235444604"/>
      <w:r w:rsidRPr="00877995">
        <w:rPr>
          <w:rFonts w:ascii="Arial" w:hAnsi="Arial" w:cs="Arial"/>
          <w:color w:val="000000" w:themeColor="text1"/>
        </w:rPr>
        <w:lastRenderedPageBreak/>
        <w:t>Figure 5: Table 5: Bentley Transformation Investment Priorities:</w:t>
      </w:r>
      <w:bookmarkEnd w:id="20"/>
    </w:p>
    <w:tbl>
      <w:tblPr>
        <w:tblStyle w:val="GridTable4-Accent4"/>
        <w:tblW w:w="0" w:type="auto"/>
        <w:tblLook w:val="04A0" w:firstRow="1" w:lastRow="0" w:firstColumn="1" w:lastColumn="0" w:noHBand="0" w:noVBand="1"/>
      </w:tblPr>
      <w:tblGrid>
        <w:gridCol w:w="3005"/>
        <w:gridCol w:w="3005"/>
        <w:gridCol w:w="3006"/>
      </w:tblGrid>
      <w:tr w:rsidR="00B96C99" w14:paraId="5BE1FB9F" w14:textId="77777777" w:rsidTr="00DE64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8FDEFCB" w14:textId="48641480" w:rsidR="00B96C99" w:rsidRDefault="008F4FA9" w:rsidP="002F29DA">
            <w:pPr>
              <w:spacing w:line="360" w:lineRule="auto"/>
              <w:rPr>
                <w:rFonts w:ascii="Arial" w:hAnsi="Arial" w:cs="Arial"/>
                <w:sz w:val="22"/>
                <w:szCs w:val="22"/>
              </w:rPr>
            </w:pPr>
            <w:r w:rsidRPr="008F4FA9">
              <w:rPr>
                <w:rFonts w:ascii="Arial" w:hAnsi="Arial" w:cs="Arial"/>
                <w:sz w:val="22"/>
                <w:szCs w:val="22"/>
              </w:rPr>
              <w:t xml:space="preserve">Investment Area </w:t>
            </w:r>
          </w:p>
        </w:tc>
        <w:tc>
          <w:tcPr>
            <w:tcW w:w="3005" w:type="dxa"/>
          </w:tcPr>
          <w:p w14:paraId="10E504BB" w14:textId="6986A007" w:rsidR="00B96C99" w:rsidRDefault="008F4FA9" w:rsidP="002F29D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F4FA9">
              <w:rPr>
                <w:rFonts w:ascii="Arial" w:hAnsi="Arial" w:cs="Arial"/>
                <w:sz w:val="22"/>
                <w:szCs w:val="22"/>
              </w:rPr>
              <w:t xml:space="preserve">Description </w:t>
            </w:r>
          </w:p>
        </w:tc>
        <w:tc>
          <w:tcPr>
            <w:tcW w:w="3006" w:type="dxa"/>
          </w:tcPr>
          <w:p w14:paraId="3CF34670" w14:textId="6CB623AD" w:rsidR="00B96C99" w:rsidRDefault="008F4FA9" w:rsidP="002F29D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F4FA9">
              <w:rPr>
                <w:rFonts w:ascii="Arial" w:hAnsi="Arial" w:cs="Arial"/>
                <w:sz w:val="22"/>
                <w:szCs w:val="22"/>
              </w:rPr>
              <w:t>Expected Completion</w:t>
            </w:r>
          </w:p>
        </w:tc>
      </w:tr>
      <w:tr w:rsidR="00B96C99" w14:paraId="5B9F65F6" w14:textId="77777777" w:rsidTr="00DE64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7EE0CD" w14:textId="3DC66C3D" w:rsidR="00B96C99" w:rsidRDefault="00524D8D" w:rsidP="002F29DA">
            <w:pPr>
              <w:spacing w:line="360" w:lineRule="auto"/>
              <w:rPr>
                <w:rFonts w:ascii="Arial" w:hAnsi="Arial" w:cs="Arial"/>
                <w:sz w:val="22"/>
                <w:szCs w:val="22"/>
              </w:rPr>
            </w:pPr>
            <w:r w:rsidRPr="00524D8D">
              <w:rPr>
                <w:rFonts w:ascii="Arial" w:hAnsi="Arial" w:cs="Arial"/>
                <w:sz w:val="22"/>
                <w:szCs w:val="22"/>
              </w:rPr>
              <w:t xml:space="preserve">BEV Assembly Line </w:t>
            </w:r>
          </w:p>
        </w:tc>
        <w:tc>
          <w:tcPr>
            <w:tcW w:w="3005" w:type="dxa"/>
          </w:tcPr>
          <w:p w14:paraId="2982CA60" w14:textId="22BB12B7" w:rsidR="00B96C99" w:rsidRDefault="00524D8D"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24D8D">
              <w:rPr>
                <w:rFonts w:ascii="Arial" w:hAnsi="Arial" w:cs="Arial"/>
                <w:sz w:val="22"/>
                <w:szCs w:val="22"/>
              </w:rPr>
              <w:t xml:space="preserve">Conversion of A1 building for electric vehicle production </w:t>
            </w:r>
          </w:p>
        </w:tc>
        <w:tc>
          <w:tcPr>
            <w:tcW w:w="3006" w:type="dxa"/>
          </w:tcPr>
          <w:p w14:paraId="199A9DAB" w14:textId="7DC9B066" w:rsidR="00B96C99" w:rsidRDefault="00524D8D"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24D8D">
              <w:rPr>
                <w:rFonts w:ascii="Arial" w:hAnsi="Arial" w:cs="Arial"/>
                <w:sz w:val="22"/>
                <w:szCs w:val="22"/>
              </w:rPr>
              <w:t>Nearing completion (2026)</w:t>
            </w:r>
          </w:p>
        </w:tc>
      </w:tr>
      <w:tr w:rsidR="00B96C99" w14:paraId="7FD99FBB" w14:textId="77777777" w:rsidTr="00DE64AA">
        <w:tc>
          <w:tcPr>
            <w:cnfStyle w:val="001000000000" w:firstRow="0" w:lastRow="0" w:firstColumn="1" w:lastColumn="0" w:oddVBand="0" w:evenVBand="0" w:oddHBand="0" w:evenHBand="0" w:firstRowFirstColumn="0" w:firstRowLastColumn="0" w:lastRowFirstColumn="0" w:lastRowLastColumn="0"/>
            <w:tcW w:w="3005" w:type="dxa"/>
          </w:tcPr>
          <w:p w14:paraId="0D177B17" w14:textId="2FE85D03" w:rsidR="00B96C99" w:rsidRDefault="00B144C4" w:rsidP="002F29DA">
            <w:pPr>
              <w:spacing w:line="360" w:lineRule="auto"/>
              <w:rPr>
                <w:rFonts w:ascii="Arial" w:hAnsi="Arial" w:cs="Arial"/>
                <w:sz w:val="22"/>
                <w:szCs w:val="22"/>
              </w:rPr>
            </w:pPr>
            <w:r w:rsidRPr="00B144C4">
              <w:rPr>
                <w:rFonts w:ascii="Arial" w:hAnsi="Arial" w:cs="Arial"/>
                <w:sz w:val="22"/>
                <w:szCs w:val="22"/>
              </w:rPr>
              <w:t xml:space="preserve">Design Centre </w:t>
            </w:r>
          </w:p>
        </w:tc>
        <w:tc>
          <w:tcPr>
            <w:tcW w:w="3005" w:type="dxa"/>
          </w:tcPr>
          <w:p w14:paraId="58D9EA56" w14:textId="15780D7F" w:rsidR="00B96C99" w:rsidRDefault="00B144C4" w:rsidP="002F29D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44C4">
              <w:rPr>
                <w:rFonts w:ascii="Arial" w:hAnsi="Arial" w:cs="Arial"/>
                <w:sz w:val="22"/>
                <w:szCs w:val="22"/>
              </w:rPr>
              <w:t xml:space="preserve">State-of-the-art design facility </w:t>
            </w:r>
          </w:p>
        </w:tc>
        <w:tc>
          <w:tcPr>
            <w:tcW w:w="3006" w:type="dxa"/>
          </w:tcPr>
          <w:p w14:paraId="3AFFBBEF" w14:textId="39AA7D28" w:rsidR="00B96C99" w:rsidRDefault="00B144C4" w:rsidP="002F29D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44C4">
              <w:rPr>
                <w:rFonts w:ascii="Arial" w:hAnsi="Arial" w:cs="Arial"/>
                <w:sz w:val="22"/>
                <w:szCs w:val="22"/>
              </w:rPr>
              <w:t>Completed July 2025</w:t>
            </w:r>
          </w:p>
        </w:tc>
      </w:tr>
      <w:tr w:rsidR="00B96C99" w14:paraId="0F38B745" w14:textId="77777777" w:rsidTr="00DE64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D1B5F4" w14:textId="2378A04B" w:rsidR="00B96C99" w:rsidRDefault="001C3AF3" w:rsidP="002F29DA">
            <w:pPr>
              <w:spacing w:line="360" w:lineRule="auto"/>
              <w:rPr>
                <w:rFonts w:ascii="Arial" w:hAnsi="Arial" w:cs="Arial"/>
                <w:sz w:val="22"/>
                <w:szCs w:val="22"/>
              </w:rPr>
            </w:pPr>
            <w:r w:rsidRPr="001C3AF3">
              <w:rPr>
                <w:rFonts w:ascii="Arial" w:hAnsi="Arial" w:cs="Arial"/>
                <w:sz w:val="22"/>
                <w:szCs w:val="22"/>
              </w:rPr>
              <w:t xml:space="preserve">Paint Shop </w:t>
            </w:r>
          </w:p>
        </w:tc>
        <w:tc>
          <w:tcPr>
            <w:tcW w:w="3005" w:type="dxa"/>
          </w:tcPr>
          <w:p w14:paraId="3A3E3692" w14:textId="52082979" w:rsidR="00B96C99" w:rsidRDefault="001C3AF3"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C3AF3">
              <w:rPr>
                <w:rFonts w:ascii="Arial" w:hAnsi="Arial" w:cs="Arial"/>
                <w:sz w:val="22"/>
                <w:szCs w:val="22"/>
              </w:rPr>
              <w:t xml:space="preserve">New facility offering close to 100 colour options </w:t>
            </w:r>
          </w:p>
        </w:tc>
        <w:tc>
          <w:tcPr>
            <w:tcW w:w="3006" w:type="dxa"/>
          </w:tcPr>
          <w:p w14:paraId="7FC04C36" w14:textId="1E2BD855" w:rsidR="00B96C99" w:rsidRDefault="001C3AF3"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C3AF3">
              <w:rPr>
                <w:rFonts w:ascii="Arial" w:hAnsi="Arial" w:cs="Arial"/>
                <w:sz w:val="22"/>
                <w:szCs w:val="22"/>
              </w:rPr>
              <w:t>2026</w:t>
            </w:r>
          </w:p>
        </w:tc>
      </w:tr>
      <w:tr w:rsidR="00B96C99" w14:paraId="256B9E52" w14:textId="77777777" w:rsidTr="00DE64AA">
        <w:tc>
          <w:tcPr>
            <w:cnfStyle w:val="001000000000" w:firstRow="0" w:lastRow="0" w:firstColumn="1" w:lastColumn="0" w:oddVBand="0" w:evenVBand="0" w:oddHBand="0" w:evenHBand="0" w:firstRowFirstColumn="0" w:firstRowLastColumn="0" w:lastRowFirstColumn="0" w:lastRowLastColumn="0"/>
            <w:tcW w:w="3005" w:type="dxa"/>
          </w:tcPr>
          <w:p w14:paraId="0DDB8B17" w14:textId="164D2BB6" w:rsidR="00B96C99" w:rsidRDefault="00561C34" w:rsidP="002F29DA">
            <w:pPr>
              <w:spacing w:line="360" w:lineRule="auto"/>
              <w:rPr>
                <w:rFonts w:ascii="Arial" w:hAnsi="Arial" w:cs="Arial"/>
                <w:sz w:val="22"/>
                <w:szCs w:val="22"/>
              </w:rPr>
            </w:pPr>
            <w:r w:rsidRPr="00561C34">
              <w:rPr>
                <w:rFonts w:ascii="Arial" w:hAnsi="Arial" w:cs="Arial"/>
                <w:sz w:val="22"/>
                <w:szCs w:val="22"/>
              </w:rPr>
              <w:t xml:space="preserve">Digital Manufacturing </w:t>
            </w:r>
          </w:p>
        </w:tc>
        <w:tc>
          <w:tcPr>
            <w:tcW w:w="3005" w:type="dxa"/>
          </w:tcPr>
          <w:p w14:paraId="3A73AD99" w14:textId="1B1AE452" w:rsidR="00B96C99" w:rsidRDefault="00561C34" w:rsidP="002F29D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61C34">
              <w:rPr>
                <w:rFonts w:ascii="Arial" w:hAnsi="Arial" w:cs="Arial"/>
                <w:sz w:val="22"/>
                <w:szCs w:val="22"/>
              </w:rPr>
              <w:t xml:space="preserve">AI, data capabilities, back-office integration </w:t>
            </w:r>
          </w:p>
        </w:tc>
        <w:tc>
          <w:tcPr>
            <w:tcW w:w="3006" w:type="dxa"/>
          </w:tcPr>
          <w:p w14:paraId="02D7A1EC" w14:textId="71B5EA37" w:rsidR="00B96C99" w:rsidRDefault="00561C34" w:rsidP="002F29D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61C34">
              <w:rPr>
                <w:rFonts w:ascii="Arial" w:hAnsi="Arial" w:cs="Arial"/>
                <w:sz w:val="22"/>
                <w:szCs w:val="22"/>
              </w:rPr>
              <w:t>Ongoing</w:t>
            </w:r>
          </w:p>
        </w:tc>
      </w:tr>
      <w:tr w:rsidR="00B96C99" w14:paraId="34A0FF8D" w14:textId="77777777" w:rsidTr="00DE64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CA5837D" w14:textId="65C27F61" w:rsidR="00B96C99" w:rsidRDefault="00DE64AA" w:rsidP="002F29DA">
            <w:pPr>
              <w:spacing w:line="360" w:lineRule="auto"/>
              <w:rPr>
                <w:rFonts w:ascii="Arial" w:hAnsi="Arial" w:cs="Arial"/>
                <w:sz w:val="22"/>
                <w:szCs w:val="22"/>
              </w:rPr>
            </w:pPr>
            <w:r w:rsidRPr="00DE64AA">
              <w:rPr>
                <w:rFonts w:ascii="Arial" w:hAnsi="Arial" w:cs="Arial"/>
                <w:sz w:val="22"/>
                <w:szCs w:val="22"/>
              </w:rPr>
              <w:t xml:space="preserve">Product Development </w:t>
            </w:r>
          </w:p>
        </w:tc>
        <w:tc>
          <w:tcPr>
            <w:tcW w:w="3005" w:type="dxa"/>
          </w:tcPr>
          <w:p w14:paraId="64B218C4" w14:textId="70FBA81A" w:rsidR="00B96C99" w:rsidRDefault="00DE64AA"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E64AA">
              <w:rPr>
                <w:rFonts w:ascii="Arial" w:hAnsi="Arial" w:cs="Arial"/>
                <w:sz w:val="22"/>
                <w:szCs w:val="22"/>
              </w:rPr>
              <w:t xml:space="preserve">First BEV reveal, annual PHEV/BEV launches </w:t>
            </w:r>
          </w:p>
        </w:tc>
        <w:tc>
          <w:tcPr>
            <w:tcW w:w="3006" w:type="dxa"/>
          </w:tcPr>
          <w:p w14:paraId="1F6D068D" w14:textId="32F613A3" w:rsidR="00B96C99" w:rsidRDefault="00DE64AA"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E64AA">
              <w:rPr>
                <w:rFonts w:ascii="Arial" w:hAnsi="Arial" w:cs="Arial"/>
                <w:sz w:val="22"/>
                <w:szCs w:val="22"/>
              </w:rPr>
              <w:t>BEV 2026, ongoing annually</w:t>
            </w:r>
          </w:p>
        </w:tc>
      </w:tr>
    </w:tbl>
    <w:p w14:paraId="1D68D89A" w14:textId="2D45BA9F" w:rsidR="002F29DA" w:rsidRPr="00877995" w:rsidRDefault="00500A28" w:rsidP="002F29DA">
      <w:pPr>
        <w:spacing w:line="360" w:lineRule="auto"/>
        <w:rPr>
          <w:rFonts w:ascii="Arial" w:hAnsi="Arial" w:cs="Arial"/>
          <w:color w:val="000000" w:themeColor="text1"/>
          <w:sz w:val="22"/>
          <w:szCs w:val="22"/>
        </w:rPr>
      </w:pPr>
      <w:r w:rsidRPr="00877995">
        <w:rPr>
          <w:rFonts w:ascii="Arial" w:hAnsi="Arial" w:cs="Arial"/>
          <w:color w:val="000000" w:themeColor="text1"/>
          <w:sz w:val="22"/>
          <w:szCs w:val="22"/>
        </w:rPr>
        <w:t>“</w:t>
      </w:r>
      <w:r w:rsidR="00BF078B" w:rsidRPr="00877995">
        <w:rPr>
          <w:rFonts w:ascii="Arial" w:hAnsi="Arial" w:cs="Arial"/>
          <w:color w:val="000000" w:themeColor="text1"/>
          <w:sz w:val="22"/>
          <w:szCs w:val="22"/>
        </w:rPr>
        <w:t xml:space="preserve">This table </w:t>
      </w:r>
      <w:r w:rsidR="00F51869" w:rsidRPr="00877995">
        <w:rPr>
          <w:rFonts w:ascii="Arial" w:hAnsi="Arial" w:cs="Arial"/>
          <w:color w:val="000000" w:themeColor="text1"/>
          <w:sz w:val="22"/>
          <w:szCs w:val="22"/>
        </w:rPr>
        <w:t>highlights Bentley's</w:t>
      </w:r>
      <w:r w:rsidR="00BF078B" w:rsidRPr="00877995">
        <w:rPr>
          <w:rFonts w:ascii="Arial" w:hAnsi="Arial" w:cs="Arial"/>
          <w:color w:val="000000" w:themeColor="text1"/>
          <w:sz w:val="22"/>
          <w:szCs w:val="22"/>
        </w:rPr>
        <w:t xml:space="preserve"> </w:t>
      </w:r>
      <w:r w:rsidR="00D33ECE" w:rsidRPr="00877995">
        <w:rPr>
          <w:rFonts w:ascii="Arial" w:hAnsi="Arial" w:cs="Arial"/>
          <w:color w:val="000000" w:themeColor="text1"/>
          <w:sz w:val="22"/>
          <w:szCs w:val="22"/>
        </w:rPr>
        <w:t xml:space="preserve">transformational investment priorities to </w:t>
      </w:r>
      <w:r w:rsidRPr="00877995">
        <w:rPr>
          <w:rFonts w:ascii="Arial" w:hAnsi="Arial" w:cs="Arial"/>
          <w:color w:val="000000" w:themeColor="text1"/>
          <w:sz w:val="22"/>
          <w:szCs w:val="22"/>
        </w:rPr>
        <w:t>improve the company according to” (Bentley Motors, 2026).</w:t>
      </w:r>
    </w:p>
    <w:p w14:paraId="2B6767C0" w14:textId="3D5FE064" w:rsidR="00AC6080" w:rsidRPr="00877995" w:rsidRDefault="00F823A6" w:rsidP="00F823A6">
      <w:pPr>
        <w:spacing w:line="360" w:lineRule="auto"/>
        <w:rPr>
          <w:rFonts w:ascii="Arial" w:hAnsi="Arial" w:cs="Arial"/>
          <w:color w:val="000000" w:themeColor="text1"/>
          <w:sz w:val="22"/>
          <w:szCs w:val="22"/>
        </w:rPr>
      </w:pPr>
      <w:r w:rsidRPr="00877995">
        <w:rPr>
          <w:rFonts w:ascii="Arial" w:hAnsi="Arial" w:cs="Arial"/>
          <w:color w:val="000000" w:themeColor="text1"/>
          <w:sz w:val="22"/>
          <w:szCs w:val="22"/>
        </w:rPr>
        <w:t>Risk management is critical given the uncertainties associated with market conditions, technology development, and regulatory changes. US tariffs cost Bentley approximately £36 million in 2025, and the company has acknowledged that such costs may be passed on to consumers. The financial plan must include contingencies for potential disruptions, including trade tensions, economic downturns, and supply chain issues. The 'value over volume' strategy provides some resilience, with pricing power and customer loyalty helping to mitigate volume declines.</w:t>
      </w:r>
    </w:p>
    <w:p w14:paraId="1581D06C" w14:textId="77777777" w:rsidR="00877995" w:rsidRDefault="00877995" w:rsidP="00F823A6">
      <w:pPr>
        <w:spacing w:line="360" w:lineRule="auto"/>
        <w:rPr>
          <w:rFonts w:ascii="Arial" w:hAnsi="Arial" w:cs="Arial"/>
          <w:sz w:val="22"/>
          <w:szCs w:val="22"/>
        </w:rPr>
      </w:pPr>
    </w:p>
    <w:p w14:paraId="0F9FE791" w14:textId="77777777" w:rsidR="00FD7C36" w:rsidRDefault="00FD7C36" w:rsidP="00F823A6">
      <w:pPr>
        <w:spacing w:line="360" w:lineRule="auto"/>
        <w:rPr>
          <w:rFonts w:ascii="Arial" w:hAnsi="Arial" w:cs="Arial"/>
          <w:sz w:val="22"/>
          <w:szCs w:val="22"/>
        </w:rPr>
      </w:pPr>
    </w:p>
    <w:p w14:paraId="3EB7F690" w14:textId="77777777" w:rsidR="00FD7C36" w:rsidRDefault="00FD7C36" w:rsidP="00F823A6">
      <w:pPr>
        <w:spacing w:line="360" w:lineRule="auto"/>
        <w:rPr>
          <w:rFonts w:ascii="Arial" w:hAnsi="Arial" w:cs="Arial"/>
          <w:sz w:val="22"/>
          <w:szCs w:val="22"/>
        </w:rPr>
      </w:pPr>
    </w:p>
    <w:p w14:paraId="6F047F4A" w14:textId="77777777" w:rsidR="00FD7C36" w:rsidRDefault="00FD7C36" w:rsidP="00F823A6">
      <w:pPr>
        <w:spacing w:line="360" w:lineRule="auto"/>
        <w:rPr>
          <w:rFonts w:ascii="Arial" w:hAnsi="Arial" w:cs="Arial"/>
          <w:sz w:val="22"/>
          <w:szCs w:val="22"/>
        </w:rPr>
      </w:pPr>
    </w:p>
    <w:p w14:paraId="0AE9A1A5" w14:textId="77777777" w:rsidR="00FD7C36" w:rsidRDefault="00FD7C36" w:rsidP="00F823A6">
      <w:pPr>
        <w:spacing w:line="360" w:lineRule="auto"/>
        <w:rPr>
          <w:rFonts w:ascii="Arial" w:hAnsi="Arial" w:cs="Arial"/>
          <w:sz w:val="22"/>
          <w:szCs w:val="22"/>
        </w:rPr>
      </w:pPr>
    </w:p>
    <w:p w14:paraId="4FED8948" w14:textId="77777777" w:rsidR="00FD7C36" w:rsidRDefault="00FD7C36" w:rsidP="00F823A6">
      <w:pPr>
        <w:spacing w:line="360" w:lineRule="auto"/>
        <w:rPr>
          <w:rFonts w:ascii="Arial" w:hAnsi="Arial" w:cs="Arial"/>
          <w:sz w:val="22"/>
          <w:szCs w:val="22"/>
        </w:rPr>
      </w:pPr>
    </w:p>
    <w:p w14:paraId="4A3FC99A" w14:textId="77777777" w:rsidR="00FD7C36" w:rsidRDefault="00FD7C36" w:rsidP="00F823A6">
      <w:pPr>
        <w:spacing w:line="360" w:lineRule="auto"/>
        <w:rPr>
          <w:rFonts w:ascii="Arial" w:hAnsi="Arial" w:cs="Arial"/>
          <w:sz w:val="22"/>
          <w:szCs w:val="22"/>
        </w:rPr>
      </w:pPr>
    </w:p>
    <w:p w14:paraId="75C08157" w14:textId="77777777" w:rsidR="00FD7C36" w:rsidRDefault="00FD7C36" w:rsidP="00F823A6">
      <w:pPr>
        <w:spacing w:line="360" w:lineRule="auto"/>
        <w:rPr>
          <w:rFonts w:ascii="Arial" w:hAnsi="Arial" w:cs="Arial"/>
          <w:sz w:val="22"/>
          <w:szCs w:val="22"/>
        </w:rPr>
      </w:pPr>
    </w:p>
    <w:p w14:paraId="5658CA81" w14:textId="77777777" w:rsidR="00FD7C36" w:rsidRDefault="00FD7C36" w:rsidP="00F823A6">
      <w:pPr>
        <w:spacing w:line="360" w:lineRule="auto"/>
        <w:rPr>
          <w:rFonts w:ascii="Arial" w:hAnsi="Arial" w:cs="Arial"/>
          <w:sz w:val="22"/>
          <w:szCs w:val="22"/>
        </w:rPr>
      </w:pPr>
    </w:p>
    <w:p w14:paraId="4642B644" w14:textId="2AD5EFE1" w:rsidR="00F823A6" w:rsidRPr="00877995" w:rsidRDefault="00F823A6" w:rsidP="00F823A6">
      <w:pPr>
        <w:pStyle w:val="Heading2"/>
        <w:rPr>
          <w:rFonts w:ascii="Arial" w:hAnsi="Arial" w:cs="Arial"/>
          <w:color w:val="000000" w:themeColor="text1"/>
        </w:rPr>
      </w:pPr>
      <w:bookmarkStart w:id="21" w:name="_Toc235444605"/>
      <w:r w:rsidRPr="00877995">
        <w:rPr>
          <w:rFonts w:ascii="Arial" w:hAnsi="Arial" w:cs="Arial"/>
          <w:color w:val="000000" w:themeColor="text1"/>
        </w:rPr>
        <w:lastRenderedPageBreak/>
        <w:t>Section4.3: Communication Plan:</w:t>
      </w:r>
      <w:bookmarkEnd w:id="21"/>
    </w:p>
    <w:p w14:paraId="6B2E137E" w14:textId="1F47C0CB" w:rsidR="00AC6080" w:rsidRDefault="00061F82" w:rsidP="00F823A6">
      <w:pPr>
        <w:spacing w:line="360" w:lineRule="auto"/>
        <w:rPr>
          <w:rFonts w:ascii="Arial" w:hAnsi="Arial" w:cs="Arial"/>
          <w:sz w:val="22"/>
          <w:szCs w:val="22"/>
        </w:rPr>
      </w:pPr>
      <w:r w:rsidRPr="00061F82">
        <w:rPr>
          <w:rFonts w:ascii="Arial" w:hAnsi="Arial" w:cs="Arial"/>
          <w:sz w:val="22"/>
          <w:szCs w:val="22"/>
        </w:rPr>
        <w:t xml:space="preserve">Effective communication is </w:t>
      </w:r>
      <w:r w:rsidR="00107D22">
        <w:rPr>
          <w:rFonts w:ascii="Arial" w:hAnsi="Arial" w:cs="Arial"/>
          <w:sz w:val="22"/>
          <w:szCs w:val="22"/>
        </w:rPr>
        <w:t xml:space="preserve">vital </w:t>
      </w:r>
      <w:r w:rsidRPr="00061F82">
        <w:rPr>
          <w:rFonts w:ascii="Arial" w:hAnsi="Arial" w:cs="Arial"/>
          <w:sz w:val="22"/>
          <w:szCs w:val="22"/>
        </w:rPr>
        <w:t xml:space="preserve">for successful change </w:t>
      </w:r>
      <w:r w:rsidR="007929F6">
        <w:rPr>
          <w:rFonts w:ascii="Arial" w:hAnsi="Arial" w:cs="Arial"/>
          <w:sz w:val="22"/>
          <w:szCs w:val="22"/>
        </w:rPr>
        <w:t>leadership</w:t>
      </w:r>
      <w:r w:rsidRPr="00061F82">
        <w:rPr>
          <w:rFonts w:ascii="Arial" w:hAnsi="Arial" w:cs="Arial"/>
          <w:sz w:val="22"/>
          <w:szCs w:val="22"/>
        </w:rPr>
        <w:t>, building understanding, commitment, and momentum for the transformation. Bentley's communication plan must address diverse stakeholder groups with different information needs, communication preferences, and concerns.</w:t>
      </w:r>
    </w:p>
    <w:p w14:paraId="3109ABC1" w14:textId="216B598A" w:rsidR="00061F82" w:rsidRPr="00877995" w:rsidRDefault="00061F82" w:rsidP="00687A14">
      <w:pPr>
        <w:pStyle w:val="Heading2"/>
        <w:rPr>
          <w:rFonts w:ascii="Arial" w:hAnsi="Arial" w:cs="Arial"/>
          <w:color w:val="000000" w:themeColor="text1"/>
        </w:rPr>
      </w:pPr>
      <w:bookmarkStart w:id="22" w:name="_Toc235444606"/>
      <w:r w:rsidRPr="00877995">
        <w:rPr>
          <w:rFonts w:ascii="Arial" w:hAnsi="Arial" w:cs="Arial"/>
          <w:color w:val="000000" w:themeColor="text1"/>
        </w:rPr>
        <w:t>Figure 6: Table 6: Bentley Stakeholder Communication Matrix:</w:t>
      </w:r>
      <w:bookmarkEnd w:id="22"/>
    </w:p>
    <w:tbl>
      <w:tblPr>
        <w:tblStyle w:val="GridTable4-Accent4"/>
        <w:tblW w:w="11199" w:type="dxa"/>
        <w:tblInd w:w="-856" w:type="dxa"/>
        <w:tblLook w:val="04A0" w:firstRow="1" w:lastRow="0" w:firstColumn="1" w:lastColumn="0" w:noHBand="0" w:noVBand="1"/>
      </w:tblPr>
      <w:tblGrid>
        <w:gridCol w:w="1610"/>
        <w:gridCol w:w="3352"/>
        <w:gridCol w:w="2238"/>
        <w:gridCol w:w="3999"/>
      </w:tblGrid>
      <w:tr w:rsidR="004271DC" w14:paraId="10E54BD9" w14:textId="77777777" w:rsidTr="00EF3641">
        <w:trPr>
          <w:cnfStyle w:val="100000000000" w:firstRow="1" w:lastRow="0" w:firstColumn="0" w:lastColumn="0" w:oddVBand="0" w:evenVBand="0" w:oddHBand="0" w:evenHBand="0" w:firstRowFirstColumn="0" w:firstRowLastColumn="0" w:lastRowFirstColumn="0" w:lastRowLastColumn="0"/>
          <w:trHeight w:val="718"/>
        </w:trPr>
        <w:tc>
          <w:tcPr>
            <w:cnfStyle w:val="001000000000" w:firstRow="0" w:lastRow="0" w:firstColumn="1" w:lastColumn="0" w:oddVBand="0" w:evenVBand="0" w:oddHBand="0" w:evenHBand="0" w:firstRowFirstColumn="0" w:firstRowLastColumn="0" w:lastRowFirstColumn="0" w:lastRowLastColumn="0"/>
            <w:tcW w:w="1610" w:type="dxa"/>
          </w:tcPr>
          <w:p w14:paraId="08714516" w14:textId="040C59E5" w:rsidR="004271DC" w:rsidRDefault="00E36BA6" w:rsidP="004271DC">
            <w:pPr>
              <w:spacing w:line="360" w:lineRule="auto"/>
              <w:rPr>
                <w:rFonts w:ascii="Arial" w:hAnsi="Arial" w:cs="Arial"/>
                <w:sz w:val="22"/>
                <w:szCs w:val="22"/>
              </w:rPr>
            </w:pPr>
            <w:r w:rsidRPr="00E36BA6">
              <w:rPr>
                <w:rFonts w:ascii="Arial" w:hAnsi="Arial" w:cs="Arial"/>
                <w:sz w:val="22"/>
                <w:szCs w:val="22"/>
              </w:rPr>
              <w:t xml:space="preserve">Stakeholder Group </w:t>
            </w:r>
          </w:p>
        </w:tc>
        <w:tc>
          <w:tcPr>
            <w:tcW w:w="3352" w:type="dxa"/>
          </w:tcPr>
          <w:p w14:paraId="7C742179" w14:textId="1447B46E" w:rsidR="004271DC" w:rsidRDefault="00E71672" w:rsidP="004271D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71672">
              <w:rPr>
                <w:rFonts w:ascii="Arial" w:hAnsi="Arial" w:cs="Arial"/>
                <w:sz w:val="22"/>
                <w:szCs w:val="22"/>
              </w:rPr>
              <w:t xml:space="preserve">Key Concerns </w:t>
            </w:r>
          </w:p>
        </w:tc>
        <w:tc>
          <w:tcPr>
            <w:tcW w:w="2238" w:type="dxa"/>
          </w:tcPr>
          <w:p w14:paraId="0E351FE9" w14:textId="1DE18C79" w:rsidR="004271DC" w:rsidRDefault="00E71672" w:rsidP="004271D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71672">
              <w:rPr>
                <w:rFonts w:ascii="Arial" w:hAnsi="Arial" w:cs="Arial"/>
                <w:sz w:val="22"/>
                <w:szCs w:val="22"/>
              </w:rPr>
              <w:t>Communication Channel</w:t>
            </w:r>
          </w:p>
        </w:tc>
        <w:tc>
          <w:tcPr>
            <w:tcW w:w="3999" w:type="dxa"/>
          </w:tcPr>
          <w:p w14:paraId="2715F85A" w14:textId="2A2EF3E8" w:rsidR="004271DC" w:rsidRDefault="00331E3E" w:rsidP="004271D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31E3E">
              <w:rPr>
                <w:rFonts w:ascii="Arial" w:hAnsi="Arial" w:cs="Arial"/>
                <w:sz w:val="22"/>
                <w:szCs w:val="22"/>
              </w:rPr>
              <w:t>Key Messages</w:t>
            </w:r>
          </w:p>
        </w:tc>
      </w:tr>
      <w:tr w:rsidR="004271DC" w14:paraId="781AE427" w14:textId="77777777" w:rsidTr="00EF3641">
        <w:trPr>
          <w:cnfStyle w:val="000000100000" w:firstRow="0" w:lastRow="0" w:firstColumn="0" w:lastColumn="0" w:oddVBand="0" w:evenVBand="0" w:oddHBand="1" w:evenHBand="0" w:firstRowFirstColumn="0" w:firstRowLastColumn="0" w:lastRowFirstColumn="0" w:lastRowLastColumn="0"/>
          <w:trHeight w:val="1082"/>
        </w:trPr>
        <w:tc>
          <w:tcPr>
            <w:cnfStyle w:val="001000000000" w:firstRow="0" w:lastRow="0" w:firstColumn="1" w:lastColumn="0" w:oddVBand="0" w:evenVBand="0" w:oddHBand="0" w:evenHBand="0" w:firstRowFirstColumn="0" w:firstRowLastColumn="0" w:lastRowFirstColumn="0" w:lastRowLastColumn="0"/>
            <w:tcW w:w="1610" w:type="dxa"/>
          </w:tcPr>
          <w:p w14:paraId="479B6B52" w14:textId="3CE51883" w:rsidR="004271DC" w:rsidRDefault="00EC26CE" w:rsidP="004271DC">
            <w:pPr>
              <w:spacing w:line="360" w:lineRule="auto"/>
              <w:rPr>
                <w:rFonts w:ascii="Arial" w:hAnsi="Arial" w:cs="Arial"/>
                <w:sz w:val="22"/>
                <w:szCs w:val="22"/>
              </w:rPr>
            </w:pPr>
            <w:r w:rsidRPr="00EC26CE">
              <w:rPr>
                <w:rFonts w:ascii="Arial" w:hAnsi="Arial" w:cs="Arial"/>
                <w:sz w:val="22"/>
                <w:szCs w:val="22"/>
              </w:rPr>
              <w:t xml:space="preserve">Employees </w:t>
            </w:r>
          </w:p>
        </w:tc>
        <w:tc>
          <w:tcPr>
            <w:tcW w:w="3352" w:type="dxa"/>
          </w:tcPr>
          <w:p w14:paraId="3070F811" w14:textId="2B18A62E" w:rsidR="004271DC" w:rsidRDefault="0084392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4392A">
              <w:rPr>
                <w:rFonts w:ascii="Arial" w:hAnsi="Arial" w:cs="Arial"/>
                <w:sz w:val="22"/>
                <w:szCs w:val="22"/>
              </w:rPr>
              <w:t xml:space="preserve">Job security, skill development, culture change </w:t>
            </w:r>
          </w:p>
        </w:tc>
        <w:tc>
          <w:tcPr>
            <w:tcW w:w="2238" w:type="dxa"/>
          </w:tcPr>
          <w:p w14:paraId="78E95E64" w14:textId="7D4406A1" w:rsidR="004271DC" w:rsidRDefault="0084392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4392A">
              <w:rPr>
                <w:rFonts w:ascii="Arial" w:hAnsi="Arial" w:cs="Arial"/>
                <w:sz w:val="22"/>
                <w:szCs w:val="22"/>
              </w:rPr>
              <w:t xml:space="preserve">Town halls, internal newsletters, digital platforms </w:t>
            </w:r>
          </w:p>
        </w:tc>
        <w:tc>
          <w:tcPr>
            <w:tcW w:w="3999" w:type="dxa"/>
          </w:tcPr>
          <w:p w14:paraId="2BD727B4" w14:textId="35BF4E18" w:rsidR="004271DC" w:rsidRDefault="0084392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4392A">
              <w:rPr>
                <w:rFonts w:ascii="Arial" w:hAnsi="Arial" w:cs="Arial"/>
                <w:sz w:val="22"/>
                <w:szCs w:val="22"/>
              </w:rPr>
              <w:t>Transformation vision, skill development opportunities, consultation process</w:t>
            </w:r>
          </w:p>
        </w:tc>
      </w:tr>
      <w:tr w:rsidR="004271DC" w14:paraId="43C21255" w14:textId="77777777" w:rsidTr="00EF3641">
        <w:trPr>
          <w:trHeight w:val="1071"/>
        </w:trPr>
        <w:tc>
          <w:tcPr>
            <w:cnfStyle w:val="001000000000" w:firstRow="0" w:lastRow="0" w:firstColumn="1" w:lastColumn="0" w:oddVBand="0" w:evenVBand="0" w:oddHBand="0" w:evenHBand="0" w:firstRowFirstColumn="0" w:firstRowLastColumn="0" w:lastRowFirstColumn="0" w:lastRowLastColumn="0"/>
            <w:tcW w:w="1610" w:type="dxa"/>
          </w:tcPr>
          <w:p w14:paraId="3AAF9C1D" w14:textId="067A95C0" w:rsidR="004271DC" w:rsidRDefault="008A7F53" w:rsidP="004271DC">
            <w:pPr>
              <w:spacing w:line="360" w:lineRule="auto"/>
              <w:rPr>
                <w:rFonts w:ascii="Arial" w:hAnsi="Arial" w:cs="Arial"/>
                <w:sz w:val="22"/>
                <w:szCs w:val="22"/>
              </w:rPr>
            </w:pPr>
            <w:r w:rsidRPr="008A7F53">
              <w:rPr>
                <w:rFonts w:ascii="Arial" w:hAnsi="Arial" w:cs="Arial"/>
                <w:sz w:val="22"/>
                <w:szCs w:val="22"/>
              </w:rPr>
              <w:t xml:space="preserve">Customers </w:t>
            </w:r>
          </w:p>
        </w:tc>
        <w:tc>
          <w:tcPr>
            <w:tcW w:w="3352" w:type="dxa"/>
          </w:tcPr>
          <w:p w14:paraId="7E04C665" w14:textId="2BE7940F" w:rsidR="004271DC" w:rsidRDefault="008A7F53"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7F53">
              <w:rPr>
                <w:rFonts w:ascii="Arial" w:hAnsi="Arial" w:cs="Arial"/>
                <w:sz w:val="22"/>
                <w:szCs w:val="22"/>
              </w:rPr>
              <w:t xml:space="preserve">Brand identity, product evolution, sustainability </w:t>
            </w:r>
          </w:p>
        </w:tc>
        <w:tc>
          <w:tcPr>
            <w:tcW w:w="2238" w:type="dxa"/>
          </w:tcPr>
          <w:p w14:paraId="183C03EF" w14:textId="583C87ED" w:rsidR="004271DC" w:rsidRDefault="008A7F53"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7F53">
              <w:rPr>
                <w:rFonts w:ascii="Arial" w:hAnsi="Arial" w:cs="Arial"/>
                <w:sz w:val="22"/>
                <w:szCs w:val="22"/>
              </w:rPr>
              <w:t xml:space="preserve">Press releases, customer events, digital marketing </w:t>
            </w:r>
          </w:p>
        </w:tc>
        <w:tc>
          <w:tcPr>
            <w:tcW w:w="3999" w:type="dxa"/>
          </w:tcPr>
          <w:p w14:paraId="516FA963" w14:textId="2537626B" w:rsidR="004271DC" w:rsidRDefault="008A7F53"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7F53">
              <w:rPr>
                <w:rFonts w:ascii="Arial" w:hAnsi="Arial" w:cs="Arial"/>
                <w:sz w:val="22"/>
                <w:szCs w:val="22"/>
              </w:rPr>
              <w:t>Product roadmap, sustainability commitment, heritage preservation</w:t>
            </w:r>
          </w:p>
        </w:tc>
      </w:tr>
      <w:tr w:rsidR="004271DC" w14:paraId="3C25DFCE" w14:textId="77777777" w:rsidTr="00EF3641">
        <w:trPr>
          <w:cnfStyle w:val="000000100000" w:firstRow="0" w:lastRow="0" w:firstColumn="0" w:lastColumn="0" w:oddVBand="0" w:evenVBand="0" w:oddHBand="1" w:evenHBand="0" w:firstRowFirstColumn="0" w:firstRowLastColumn="0" w:lastRowFirstColumn="0" w:lastRowLastColumn="0"/>
          <w:trHeight w:val="729"/>
        </w:trPr>
        <w:tc>
          <w:tcPr>
            <w:cnfStyle w:val="001000000000" w:firstRow="0" w:lastRow="0" w:firstColumn="1" w:lastColumn="0" w:oddVBand="0" w:evenVBand="0" w:oddHBand="0" w:evenHBand="0" w:firstRowFirstColumn="0" w:firstRowLastColumn="0" w:lastRowFirstColumn="0" w:lastRowLastColumn="0"/>
            <w:tcW w:w="1610" w:type="dxa"/>
          </w:tcPr>
          <w:p w14:paraId="074618C8" w14:textId="753F944B" w:rsidR="004271DC" w:rsidRDefault="00E60F71" w:rsidP="004271DC">
            <w:pPr>
              <w:spacing w:line="360" w:lineRule="auto"/>
              <w:rPr>
                <w:rFonts w:ascii="Arial" w:hAnsi="Arial" w:cs="Arial"/>
                <w:sz w:val="22"/>
                <w:szCs w:val="22"/>
              </w:rPr>
            </w:pPr>
            <w:r>
              <w:rPr>
                <w:rFonts w:ascii="Arial" w:hAnsi="Arial" w:cs="Arial"/>
                <w:sz w:val="22"/>
                <w:szCs w:val="22"/>
              </w:rPr>
              <w:t xml:space="preserve">Investors </w:t>
            </w:r>
          </w:p>
        </w:tc>
        <w:tc>
          <w:tcPr>
            <w:tcW w:w="3352" w:type="dxa"/>
          </w:tcPr>
          <w:p w14:paraId="2731523A" w14:textId="7A538D49" w:rsidR="004271DC" w:rsidRDefault="00E60F71"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60F71">
              <w:rPr>
                <w:rFonts w:ascii="Arial" w:hAnsi="Arial" w:cs="Arial"/>
                <w:sz w:val="22"/>
                <w:szCs w:val="22"/>
              </w:rPr>
              <w:t xml:space="preserve">Financial performance, strategy execution </w:t>
            </w:r>
          </w:p>
        </w:tc>
        <w:tc>
          <w:tcPr>
            <w:tcW w:w="2238" w:type="dxa"/>
          </w:tcPr>
          <w:p w14:paraId="2A2C3CEF" w14:textId="785BFC34" w:rsidR="004271DC" w:rsidRDefault="0067598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7598A">
              <w:rPr>
                <w:rFonts w:ascii="Arial" w:hAnsi="Arial" w:cs="Arial"/>
                <w:sz w:val="22"/>
                <w:szCs w:val="22"/>
              </w:rPr>
              <w:t xml:space="preserve">Financial reports, investor briefings </w:t>
            </w:r>
          </w:p>
        </w:tc>
        <w:tc>
          <w:tcPr>
            <w:tcW w:w="3999" w:type="dxa"/>
          </w:tcPr>
          <w:p w14:paraId="7E2A69B2" w14:textId="7BE75D89" w:rsidR="004271DC" w:rsidRDefault="0067598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7598A">
              <w:rPr>
                <w:rFonts w:ascii="Arial" w:hAnsi="Arial" w:cs="Arial"/>
                <w:sz w:val="22"/>
                <w:szCs w:val="22"/>
              </w:rPr>
              <w:t>Value creation, strategy progress, financial resilience</w:t>
            </w:r>
          </w:p>
        </w:tc>
      </w:tr>
      <w:tr w:rsidR="004271DC" w14:paraId="764FBB7E" w14:textId="77777777" w:rsidTr="00EF3641">
        <w:trPr>
          <w:trHeight w:val="1436"/>
        </w:trPr>
        <w:tc>
          <w:tcPr>
            <w:cnfStyle w:val="001000000000" w:firstRow="0" w:lastRow="0" w:firstColumn="1" w:lastColumn="0" w:oddVBand="0" w:evenVBand="0" w:oddHBand="0" w:evenHBand="0" w:firstRowFirstColumn="0" w:firstRowLastColumn="0" w:lastRowFirstColumn="0" w:lastRowLastColumn="0"/>
            <w:tcW w:w="1610" w:type="dxa"/>
          </w:tcPr>
          <w:p w14:paraId="1407AB58" w14:textId="162B5198" w:rsidR="004271DC" w:rsidRDefault="000B7FE0" w:rsidP="004271DC">
            <w:pPr>
              <w:spacing w:line="360" w:lineRule="auto"/>
              <w:rPr>
                <w:rFonts w:ascii="Arial" w:hAnsi="Arial" w:cs="Arial"/>
                <w:sz w:val="22"/>
                <w:szCs w:val="22"/>
              </w:rPr>
            </w:pPr>
            <w:r w:rsidRPr="000B7FE0">
              <w:rPr>
                <w:rFonts w:ascii="Arial" w:hAnsi="Arial" w:cs="Arial"/>
                <w:sz w:val="22"/>
                <w:szCs w:val="22"/>
              </w:rPr>
              <w:t xml:space="preserve">Communities </w:t>
            </w:r>
          </w:p>
        </w:tc>
        <w:tc>
          <w:tcPr>
            <w:tcW w:w="3352" w:type="dxa"/>
          </w:tcPr>
          <w:p w14:paraId="054509B7" w14:textId="7C35BC05" w:rsidR="004271DC" w:rsidRDefault="008C256E"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C256E">
              <w:rPr>
                <w:rFonts w:ascii="Arial" w:hAnsi="Arial" w:cs="Arial"/>
                <w:sz w:val="22"/>
                <w:szCs w:val="22"/>
              </w:rPr>
              <w:t xml:space="preserve">Economic contribution, environmental impact </w:t>
            </w:r>
          </w:p>
        </w:tc>
        <w:tc>
          <w:tcPr>
            <w:tcW w:w="2238" w:type="dxa"/>
          </w:tcPr>
          <w:p w14:paraId="4492748B" w14:textId="318A5D56" w:rsidR="004271DC" w:rsidRDefault="006E2160"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2160">
              <w:rPr>
                <w:rFonts w:ascii="Arial" w:hAnsi="Arial" w:cs="Arial"/>
                <w:sz w:val="22"/>
                <w:szCs w:val="22"/>
              </w:rPr>
              <w:t xml:space="preserve">Community engagement, sustainability reports </w:t>
            </w:r>
          </w:p>
        </w:tc>
        <w:tc>
          <w:tcPr>
            <w:tcW w:w="3999" w:type="dxa"/>
          </w:tcPr>
          <w:p w14:paraId="418DC1C7" w14:textId="242B72FA" w:rsidR="004271DC" w:rsidRDefault="006E2160"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2160">
              <w:rPr>
                <w:rFonts w:ascii="Arial" w:hAnsi="Arial" w:cs="Arial"/>
                <w:sz w:val="22"/>
                <w:szCs w:val="22"/>
              </w:rPr>
              <w:t>Local investment, job creation, carbon reduction</w:t>
            </w:r>
          </w:p>
        </w:tc>
      </w:tr>
      <w:tr w:rsidR="004271DC" w14:paraId="499FDA45" w14:textId="77777777" w:rsidTr="00EF3641">
        <w:trPr>
          <w:cnfStyle w:val="000000100000" w:firstRow="0" w:lastRow="0" w:firstColumn="0" w:lastColumn="0" w:oddVBand="0" w:evenVBand="0" w:oddHBand="1" w:evenHBand="0" w:firstRowFirstColumn="0" w:firstRowLastColumn="0" w:lastRowFirstColumn="0" w:lastRowLastColumn="0"/>
          <w:trHeight w:val="1082"/>
        </w:trPr>
        <w:tc>
          <w:tcPr>
            <w:cnfStyle w:val="001000000000" w:firstRow="0" w:lastRow="0" w:firstColumn="1" w:lastColumn="0" w:oddVBand="0" w:evenVBand="0" w:oddHBand="0" w:evenHBand="0" w:firstRowFirstColumn="0" w:firstRowLastColumn="0" w:lastRowFirstColumn="0" w:lastRowLastColumn="0"/>
            <w:tcW w:w="1610" w:type="dxa"/>
          </w:tcPr>
          <w:p w14:paraId="6BD8C68F" w14:textId="30D36AE2" w:rsidR="004271DC" w:rsidRDefault="006E2160" w:rsidP="004271DC">
            <w:pPr>
              <w:spacing w:line="360" w:lineRule="auto"/>
              <w:rPr>
                <w:rFonts w:ascii="Arial" w:hAnsi="Arial" w:cs="Arial"/>
                <w:sz w:val="22"/>
                <w:szCs w:val="22"/>
              </w:rPr>
            </w:pPr>
            <w:r w:rsidRPr="006E2160">
              <w:rPr>
                <w:rFonts w:ascii="Arial" w:hAnsi="Arial" w:cs="Arial"/>
                <w:sz w:val="22"/>
                <w:szCs w:val="22"/>
              </w:rPr>
              <w:t xml:space="preserve">Suppliers </w:t>
            </w:r>
          </w:p>
        </w:tc>
        <w:tc>
          <w:tcPr>
            <w:tcW w:w="3352" w:type="dxa"/>
          </w:tcPr>
          <w:p w14:paraId="76464A77" w14:textId="36A94531" w:rsidR="004271DC" w:rsidRDefault="006E2160"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2160">
              <w:rPr>
                <w:rFonts w:ascii="Arial" w:hAnsi="Arial" w:cs="Arial"/>
                <w:sz w:val="22"/>
                <w:szCs w:val="22"/>
              </w:rPr>
              <w:t xml:space="preserve">Relationship continuity, contract security </w:t>
            </w:r>
          </w:p>
        </w:tc>
        <w:tc>
          <w:tcPr>
            <w:tcW w:w="2238" w:type="dxa"/>
          </w:tcPr>
          <w:p w14:paraId="01A3B471" w14:textId="7622D0EB" w:rsidR="004271DC" w:rsidRDefault="006E2160"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2160">
              <w:rPr>
                <w:rFonts w:ascii="Arial" w:hAnsi="Arial" w:cs="Arial"/>
                <w:sz w:val="22"/>
                <w:szCs w:val="22"/>
              </w:rPr>
              <w:t xml:space="preserve">Supplier briefings, partnership programmes </w:t>
            </w:r>
          </w:p>
        </w:tc>
        <w:tc>
          <w:tcPr>
            <w:tcW w:w="3999" w:type="dxa"/>
          </w:tcPr>
          <w:p w14:paraId="004DF440" w14:textId="30B5B405" w:rsidR="004271DC" w:rsidRDefault="006E2160"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2160">
              <w:rPr>
                <w:rFonts w:ascii="Arial" w:hAnsi="Arial" w:cs="Arial"/>
                <w:sz w:val="22"/>
                <w:szCs w:val="22"/>
              </w:rPr>
              <w:t>Long-term commitment, collaboration, shared sustainability goals</w:t>
            </w:r>
          </w:p>
        </w:tc>
      </w:tr>
      <w:tr w:rsidR="004271DC" w14:paraId="05023A72" w14:textId="77777777" w:rsidTr="00EF3641">
        <w:trPr>
          <w:trHeight w:val="1071"/>
        </w:trPr>
        <w:tc>
          <w:tcPr>
            <w:cnfStyle w:val="001000000000" w:firstRow="0" w:lastRow="0" w:firstColumn="1" w:lastColumn="0" w:oddVBand="0" w:evenVBand="0" w:oddHBand="0" w:evenHBand="0" w:firstRowFirstColumn="0" w:firstRowLastColumn="0" w:lastRowFirstColumn="0" w:lastRowLastColumn="0"/>
            <w:tcW w:w="1610" w:type="dxa"/>
          </w:tcPr>
          <w:p w14:paraId="1485760D" w14:textId="7D3D520C" w:rsidR="004271DC" w:rsidRDefault="0069557B" w:rsidP="004271DC">
            <w:pPr>
              <w:spacing w:line="360" w:lineRule="auto"/>
              <w:rPr>
                <w:rFonts w:ascii="Arial" w:hAnsi="Arial" w:cs="Arial"/>
                <w:sz w:val="22"/>
                <w:szCs w:val="22"/>
              </w:rPr>
            </w:pPr>
            <w:r w:rsidRPr="0069557B">
              <w:rPr>
                <w:rFonts w:ascii="Arial" w:hAnsi="Arial" w:cs="Arial"/>
                <w:sz w:val="22"/>
                <w:szCs w:val="22"/>
              </w:rPr>
              <w:t xml:space="preserve">Regulators </w:t>
            </w:r>
          </w:p>
        </w:tc>
        <w:tc>
          <w:tcPr>
            <w:tcW w:w="3352" w:type="dxa"/>
          </w:tcPr>
          <w:p w14:paraId="5F0E8ACA" w14:textId="0C9204B1" w:rsidR="004271DC" w:rsidRDefault="0069557B"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9557B">
              <w:rPr>
                <w:rFonts w:ascii="Arial" w:hAnsi="Arial" w:cs="Arial"/>
                <w:sz w:val="22"/>
                <w:szCs w:val="22"/>
              </w:rPr>
              <w:t xml:space="preserve">Compliance, policy engagement </w:t>
            </w:r>
          </w:p>
        </w:tc>
        <w:tc>
          <w:tcPr>
            <w:tcW w:w="2238" w:type="dxa"/>
          </w:tcPr>
          <w:p w14:paraId="4BEF5ED1" w14:textId="69845406" w:rsidR="004271DC" w:rsidRDefault="0069557B"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9557B">
              <w:rPr>
                <w:rFonts w:ascii="Arial" w:hAnsi="Arial" w:cs="Arial"/>
                <w:sz w:val="22"/>
                <w:szCs w:val="22"/>
              </w:rPr>
              <w:t xml:space="preserve">Regulatory submissions, policy dialogue </w:t>
            </w:r>
          </w:p>
        </w:tc>
        <w:tc>
          <w:tcPr>
            <w:tcW w:w="3999" w:type="dxa"/>
          </w:tcPr>
          <w:p w14:paraId="3915664C" w14:textId="14985F72" w:rsidR="004271DC" w:rsidRDefault="00EF3641"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F3641">
              <w:rPr>
                <w:rFonts w:ascii="Arial" w:hAnsi="Arial" w:cs="Arial"/>
                <w:sz w:val="22"/>
                <w:szCs w:val="22"/>
              </w:rPr>
              <w:t>Compliance commitment, policy advocacy, sustainability leadership</w:t>
            </w:r>
          </w:p>
        </w:tc>
      </w:tr>
    </w:tbl>
    <w:p w14:paraId="39AD4272" w14:textId="77777777" w:rsidR="00877995" w:rsidRDefault="00877995" w:rsidP="005E225C">
      <w:pPr>
        <w:spacing w:line="360" w:lineRule="auto"/>
        <w:rPr>
          <w:rFonts w:ascii="Arial" w:hAnsi="Arial" w:cs="Arial"/>
          <w:color w:val="000000" w:themeColor="text1"/>
          <w:sz w:val="22"/>
          <w:szCs w:val="22"/>
        </w:rPr>
      </w:pPr>
    </w:p>
    <w:p w14:paraId="178BBF43" w14:textId="08E0F896" w:rsidR="005E225C" w:rsidRPr="00877995" w:rsidRDefault="005E225C" w:rsidP="005E225C">
      <w:pPr>
        <w:spacing w:line="360" w:lineRule="auto"/>
        <w:rPr>
          <w:rFonts w:ascii="Arial" w:hAnsi="Arial" w:cs="Arial"/>
          <w:color w:val="000000" w:themeColor="text1"/>
          <w:sz w:val="22"/>
          <w:szCs w:val="22"/>
        </w:rPr>
      </w:pPr>
      <w:r w:rsidRPr="00877995">
        <w:rPr>
          <w:rFonts w:ascii="Arial" w:hAnsi="Arial" w:cs="Arial"/>
          <w:color w:val="000000" w:themeColor="text1"/>
          <w:sz w:val="22"/>
          <w:szCs w:val="22"/>
        </w:rPr>
        <w:t>Internal communication must reach all employees, providing a clear understanding of the change rationale, vision, and impact on their roles and responsibilities. The communication of the change vision must be authentic and compelling, acknowledging challenges whilst maintaining confidence in the organisation's future. Leaders must model desired behaviours and communicate consistently across different contexts, avoiding mixed messages that can undermine credibility.</w:t>
      </w:r>
      <w:r w:rsidR="008C433C" w:rsidRPr="00877995">
        <w:rPr>
          <w:rFonts w:ascii="Arial" w:hAnsi="Arial" w:cs="Arial"/>
          <w:color w:val="000000" w:themeColor="text1"/>
          <w:sz w:val="22"/>
          <w:szCs w:val="22"/>
        </w:rPr>
        <w:t xml:space="preserve"> </w:t>
      </w:r>
      <w:r w:rsidR="00914C86" w:rsidRPr="00877995">
        <w:rPr>
          <w:rFonts w:ascii="Arial" w:hAnsi="Arial" w:cs="Arial"/>
          <w:color w:val="000000" w:themeColor="text1"/>
          <w:sz w:val="22"/>
          <w:szCs w:val="22"/>
        </w:rPr>
        <w:t>“</w:t>
      </w:r>
      <w:r w:rsidR="008C433C" w:rsidRPr="00877995">
        <w:rPr>
          <w:rFonts w:ascii="Arial" w:hAnsi="Arial" w:cs="Arial"/>
          <w:color w:val="000000" w:themeColor="text1"/>
          <w:sz w:val="22"/>
          <w:szCs w:val="22"/>
        </w:rPr>
        <w:t xml:space="preserve">Keeping communication to a high standard </w:t>
      </w:r>
      <w:r w:rsidR="00C77EB5" w:rsidRPr="00877995">
        <w:rPr>
          <w:rFonts w:ascii="Arial" w:hAnsi="Arial" w:cs="Arial"/>
          <w:color w:val="000000" w:themeColor="text1"/>
          <w:sz w:val="22"/>
          <w:szCs w:val="22"/>
        </w:rPr>
        <w:t xml:space="preserve">with the stakeholders </w:t>
      </w:r>
      <w:r w:rsidR="008C433C" w:rsidRPr="00877995">
        <w:rPr>
          <w:rFonts w:ascii="Arial" w:hAnsi="Arial" w:cs="Arial"/>
          <w:color w:val="000000" w:themeColor="text1"/>
          <w:sz w:val="22"/>
          <w:szCs w:val="22"/>
        </w:rPr>
        <w:t xml:space="preserve">will help </w:t>
      </w:r>
      <w:r w:rsidR="00C77EB5" w:rsidRPr="00877995">
        <w:rPr>
          <w:rFonts w:ascii="Arial" w:hAnsi="Arial" w:cs="Arial"/>
          <w:color w:val="000000" w:themeColor="text1"/>
          <w:sz w:val="22"/>
          <w:szCs w:val="22"/>
        </w:rPr>
        <w:t>maintain the company’s sustainability</w:t>
      </w:r>
      <w:r w:rsidR="00914C86" w:rsidRPr="00877995">
        <w:rPr>
          <w:rFonts w:ascii="Arial" w:hAnsi="Arial" w:cs="Arial"/>
          <w:color w:val="000000" w:themeColor="text1"/>
          <w:sz w:val="22"/>
          <w:szCs w:val="22"/>
        </w:rPr>
        <w:t xml:space="preserve"> according to” (</w:t>
      </w:r>
      <w:proofErr w:type="spellStart"/>
      <w:r w:rsidR="00FF1C11" w:rsidRPr="00877995">
        <w:rPr>
          <w:rFonts w:ascii="Arial" w:hAnsi="Arial" w:cs="Arial"/>
          <w:color w:val="000000" w:themeColor="text1"/>
          <w:sz w:val="22"/>
          <w:szCs w:val="22"/>
        </w:rPr>
        <w:t>Kamyshnykova</w:t>
      </w:r>
      <w:proofErr w:type="spellEnd"/>
      <w:r w:rsidR="00FF1C11" w:rsidRPr="00877995">
        <w:rPr>
          <w:rFonts w:ascii="Arial" w:hAnsi="Arial" w:cs="Arial"/>
          <w:color w:val="000000" w:themeColor="text1"/>
          <w:sz w:val="22"/>
          <w:szCs w:val="22"/>
        </w:rPr>
        <w:t>, 2019).</w:t>
      </w:r>
    </w:p>
    <w:p w14:paraId="0BDAF2CF" w14:textId="77777777" w:rsidR="007A3FE9" w:rsidRDefault="007A3FE9" w:rsidP="005E225C">
      <w:pPr>
        <w:spacing w:line="360" w:lineRule="auto"/>
        <w:rPr>
          <w:rFonts w:ascii="Arial" w:hAnsi="Arial" w:cs="Arial"/>
          <w:sz w:val="22"/>
          <w:szCs w:val="22"/>
        </w:rPr>
      </w:pPr>
    </w:p>
    <w:p w14:paraId="5F01B08E" w14:textId="296D2FEE" w:rsidR="00FB665F" w:rsidRDefault="00FB665F" w:rsidP="007B3CFA">
      <w:pPr>
        <w:spacing w:line="360" w:lineRule="auto"/>
        <w:rPr>
          <w:rFonts w:ascii="Arial" w:hAnsi="Arial" w:cs="Arial"/>
          <w:sz w:val="22"/>
          <w:szCs w:val="22"/>
        </w:rPr>
      </w:pPr>
      <w:r w:rsidRPr="00FB665F">
        <w:rPr>
          <w:rFonts w:ascii="Arial" w:hAnsi="Arial" w:cs="Arial"/>
          <w:sz w:val="22"/>
          <w:szCs w:val="22"/>
        </w:rPr>
        <w:lastRenderedPageBreak/>
        <w:t>External communication is equally important, maintaining investor confidence, customer loyalty, and stakeholder support. Bentley's sustainability reporting demonstrates commitment to transparency, with the fourth annual Sustainability Report published on World Earth Day 2026 providing comprehensive information on</w:t>
      </w:r>
      <w:r w:rsidR="00CF75E5">
        <w:rPr>
          <w:rFonts w:ascii="Arial" w:hAnsi="Arial" w:cs="Arial"/>
          <w:sz w:val="22"/>
          <w:szCs w:val="22"/>
        </w:rPr>
        <w:t xml:space="preserve"> </w:t>
      </w:r>
      <w:r w:rsidR="00CF75E5" w:rsidRPr="00CF75E5">
        <w:rPr>
          <w:rFonts w:ascii="Arial" w:hAnsi="Arial" w:cs="Arial"/>
          <w:sz w:val="22"/>
          <w:szCs w:val="22"/>
        </w:rPr>
        <w:t>Environmental, Social, and Governance</w:t>
      </w:r>
      <w:r w:rsidRPr="00FB665F">
        <w:rPr>
          <w:rFonts w:ascii="Arial" w:hAnsi="Arial" w:cs="Arial"/>
          <w:sz w:val="22"/>
          <w:szCs w:val="22"/>
        </w:rPr>
        <w:t xml:space="preserve"> </w:t>
      </w:r>
      <w:r w:rsidR="00CF75E5">
        <w:rPr>
          <w:rFonts w:ascii="Arial" w:hAnsi="Arial" w:cs="Arial"/>
          <w:sz w:val="22"/>
          <w:szCs w:val="22"/>
        </w:rPr>
        <w:t>(</w:t>
      </w:r>
      <w:r w:rsidRPr="00FB665F">
        <w:rPr>
          <w:rFonts w:ascii="Arial" w:hAnsi="Arial" w:cs="Arial"/>
          <w:sz w:val="22"/>
          <w:szCs w:val="22"/>
        </w:rPr>
        <w:t>ESG</w:t>
      </w:r>
      <w:r w:rsidR="00CF75E5">
        <w:rPr>
          <w:rFonts w:ascii="Arial" w:hAnsi="Arial" w:cs="Arial"/>
          <w:sz w:val="22"/>
          <w:szCs w:val="22"/>
        </w:rPr>
        <w:t>)</w:t>
      </w:r>
      <w:r w:rsidRPr="00FB665F">
        <w:rPr>
          <w:rFonts w:ascii="Arial" w:hAnsi="Arial" w:cs="Arial"/>
          <w:sz w:val="22"/>
          <w:szCs w:val="22"/>
        </w:rPr>
        <w:t xml:space="preserve"> performance. The organisation's engagement with stakeholders in developing its materiality assessment reflects a commitment to inclusive communication and responsiveness to stakeholder concerns. The communication plan must address the tension between the visionary Beyond100+ strategy and the pragmatic extension of the electrification timeline from 2030 to 2035. This communication must explain the rationale for the adjustment whilst maintaining credibility and commitment to the overall vision</w:t>
      </w:r>
    </w:p>
    <w:p w14:paraId="58A323BB" w14:textId="77777777" w:rsidR="00877995" w:rsidRDefault="00877995" w:rsidP="007B3CFA">
      <w:pPr>
        <w:spacing w:line="360" w:lineRule="auto"/>
        <w:rPr>
          <w:rFonts w:ascii="Arial" w:hAnsi="Arial" w:cs="Arial"/>
          <w:sz w:val="22"/>
          <w:szCs w:val="22"/>
        </w:rPr>
      </w:pPr>
    </w:p>
    <w:p w14:paraId="3169ABD3" w14:textId="77777777" w:rsidR="00877995" w:rsidRDefault="00877995" w:rsidP="007B3CFA">
      <w:pPr>
        <w:spacing w:line="360" w:lineRule="auto"/>
        <w:rPr>
          <w:rFonts w:ascii="Arial" w:hAnsi="Arial" w:cs="Arial"/>
          <w:sz w:val="22"/>
          <w:szCs w:val="22"/>
        </w:rPr>
      </w:pPr>
    </w:p>
    <w:p w14:paraId="77A11634" w14:textId="77777777" w:rsidR="00877995" w:rsidRDefault="00877995" w:rsidP="007B3CFA">
      <w:pPr>
        <w:spacing w:line="360" w:lineRule="auto"/>
        <w:rPr>
          <w:rFonts w:ascii="Arial" w:hAnsi="Arial" w:cs="Arial"/>
          <w:sz w:val="22"/>
          <w:szCs w:val="22"/>
        </w:rPr>
      </w:pPr>
    </w:p>
    <w:p w14:paraId="4936D4F8" w14:textId="77777777" w:rsidR="00877995" w:rsidRDefault="00877995" w:rsidP="007B3CFA">
      <w:pPr>
        <w:spacing w:line="360" w:lineRule="auto"/>
        <w:rPr>
          <w:rFonts w:ascii="Arial" w:hAnsi="Arial" w:cs="Arial"/>
          <w:sz w:val="22"/>
          <w:szCs w:val="22"/>
        </w:rPr>
      </w:pPr>
    </w:p>
    <w:p w14:paraId="0D3B5808" w14:textId="77777777" w:rsidR="00877995" w:rsidRDefault="00877995" w:rsidP="007B3CFA">
      <w:pPr>
        <w:spacing w:line="360" w:lineRule="auto"/>
        <w:rPr>
          <w:rFonts w:ascii="Arial" w:hAnsi="Arial" w:cs="Arial"/>
          <w:sz w:val="22"/>
          <w:szCs w:val="22"/>
        </w:rPr>
      </w:pPr>
    </w:p>
    <w:p w14:paraId="5BC21CED" w14:textId="77777777" w:rsidR="00877995" w:rsidRDefault="00877995" w:rsidP="007B3CFA">
      <w:pPr>
        <w:spacing w:line="360" w:lineRule="auto"/>
        <w:rPr>
          <w:rFonts w:ascii="Arial" w:hAnsi="Arial" w:cs="Arial"/>
          <w:sz w:val="22"/>
          <w:szCs w:val="22"/>
        </w:rPr>
      </w:pPr>
    </w:p>
    <w:p w14:paraId="69E933BC" w14:textId="77777777" w:rsidR="00877995" w:rsidRDefault="00877995" w:rsidP="007B3CFA">
      <w:pPr>
        <w:spacing w:line="360" w:lineRule="auto"/>
        <w:rPr>
          <w:rFonts w:ascii="Arial" w:hAnsi="Arial" w:cs="Arial"/>
          <w:sz w:val="22"/>
          <w:szCs w:val="22"/>
        </w:rPr>
      </w:pPr>
    </w:p>
    <w:p w14:paraId="7146B63E" w14:textId="77777777" w:rsidR="00877995" w:rsidRDefault="00877995" w:rsidP="007B3CFA">
      <w:pPr>
        <w:spacing w:line="360" w:lineRule="auto"/>
        <w:rPr>
          <w:rFonts w:ascii="Arial" w:hAnsi="Arial" w:cs="Arial"/>
          <w:sz w:val="22"/>
          <w:szCs w:val="22"/>
        </w:rPr>
      </w:pPr>
    </w:p>
    <w:p w14:paraId="30A4B35F" w14:textId="77777777" w:rsidR="00877995" w:rsidRDefault="00877995" w:rsidP="007B3CFA">
      <w:pPr>
        <w:spacing w:line="360" w:lineRule="auto"/>
        <w:rPr>
          <w:rFonts w:ascii="Arial" w:hAnsi="Arial" w:cs="Arial"/>
          <w:sz w:val="22"/>
          <w:szCs w:val="22"/>
        </w:rPr>
      </w:pPr>
    </w:p>
    <w:p w14:paraId="4B3D6A73" w14:textId="77777777" w:rsidR="00877995" w:rsidRDefault="00877995" w:rsidP="007B3CFA">
      <w:pPr>
        <w:spacing w:line="360" w:lineRule="auto"/>
        <w:rPr>
          <w:rFonts w:ascii="Arial" w:hAnsi="Arial" w:cs="Arial"/>
          <w:sz w:val="22"/>
          <w:szCs w:val="22"/>
        </w:rPr>
      </w:pPr>
    </w:p>
    <w:p w14:paraId="6F145E43" w14:textId="77777777" w:rsidR="00877995" w:rsidRDefault="00877995" w:rsidP="007B3CFA">
      <w:pPr>
        <w:spacing w:line="360" w:lineRule="auto"/>
        <w:rPr>
          <w:rFonts w:ascii="Arial" w:hAnsi="Arial" w:cs="Arial"/>
          <w:sz w:val="22"/>
          <w:szCs w:val="22"/>
        </w:rPr>
      </w:pPr>
    </w:p>
    <w:p w14:paraId="3FC1FD48" w14:textId="77777777" w:rsidR="00877995" w:rsidRDefault="00877995" w:rsidP="007B3CFA">
      <w:pPr>
        <w:spacing w:line="360" w:lineRule="auto"/>
        <w:rPr>
          <w:rFonts w:ascii="Arial" w:hAnsi="Arial" w:cs="Arial"/>
          <w:sz w:val="22"/>
          <w:szCs w:val="22"/>
        </w:rPr>
      </w:pPr>
    </w:p>
    <w:p w14:paraId="7E7E6B08" w14:textId="77777777" w:rsidR="00877995" w:rsidRDefault="00877995" w:rsidP="007B3CFA">
      <w:pPr>
        <w:spacing w:line="360" w:lineRule="auto"/>
        <w:rPr>
          <w:rFonts w:ascii="Arial" w:hAnsi="Arial" w:cs="Arial"/>
          <w:sz w:val="22"/>
          <w:szCs w:val="22"/>
        </w:rPr>
      </w:pPr>
    </w:p>
    <w:p w14:paraId="0399EA1E" w14:textId="77777777" w:rsidR="00877995" w:rsidRDefault="00877995" w:rsidP="007B3CFA">
      <w:pPr>
        <w:spacing w:line="360" w:lineRule="auto"/>
        <w:rPr>
          <w:rFonts w:ascii="Arial" w:hAnsi="Arial" w:cs="Arial"/>
          <w:sz w:val="22"/>
          <w:szCs w:val="22"/>
        </w:rPr>
      </w:pPr>
    </w:p>
    <w:p w14:paraId="070293D7" w14:textId="77777777" w:rsidR="00877995" w:rsidRDefault="00877995" w:rsidP="007B3CFA">
      <w:pPr>
        <w:spacing w:line="360" w:lineRule="auto"/>
        <w:rPr>
          <w:rFonts w:ascii="Arial" w:hAnsi="Arial" w:cs="Arial"/>
          <w:sz w:val="22"/>
          <w:szCs w:val="22"/>
        </w:rPr>
      </w:pPr>
    </w:p>
    <w:p w14:paraId="37E626B1" w14:textId="77777777" w:rsidR="00877995" w:rsidRDefault="00877995" w:rsidP="007B3CFA">
      <w:pPr>
        <w:spacing w:line="360" w:lineRule="auto"/>
        <w:rPr>
          <w:rFonts w:ascii="Arial" w:hAnsi="Arial" w:cs="Arial"/>
          <w:sz w:val="22"/>
          <w:szCs w:val="22"/>
        </w:rPr>
      </w:pPr>
    </w:p>
    <w:p w14:paraId="7864CC9E" w14:textId="77777777" w:rsidR="00877995" w:rsidRDefault="00877995" w:rsidP="007B3CFA">
      <w:pPr>
        <w:spacing w:line="360" w:lineRule="auto"/>
        <w:rPr>
          <w:rFonts w:ascii="Arial" w:hAnsi="Arial" w:cs="Arial"/>
          <w:sz w:val="22"/>
          <w:szCs w:val="22"/>
        </w:rPr>
      </w:pPr>
    </w:p>
    <w:p w14:paraId="21385B9D" w14:textId="77777777" w:rsidR="00FB665F" w:rsidRDefault="00FB665F"/>
    <w:p w14:paraId="0D9DEAF9" w14:textId="6A1970F8" w:rsidR="00FB665F" w:rsidRPr="00877995" w:rsidRDefault="00A270DF" w:rsidP="00A270DF">
      <w:pPr>
        <w:pStyle w:val="Heading2"/>
        <w:rPr>
          <w:rFonts w:ascii="Arial" w:hAnsi="Arial" w:cs="Arial"/>
          <w:color w:val="000000" w:themeColor="text1"/>
        </w:rPr>
      </w:pPr>
      <w:bookmarkStart w:id="23" w:name="_Toc235444607"/>
      <w:r w:rsidRPr="00877995">
        <w:rPr>
          <w:rFonts w:ascii="Arial" w:hAnsi="Arial" w:cs="Arial"/>
          <w:color w:val="000000" w:themeColor="text1"/>
        </w:rPr>
        <w:lastRenderedPageBreak/>
        <w:t>Section 4.4: Evaluation and Monitoring Plan:</w:t>
      </w:r>
      <w:bookmarkEnd w:id="23"/>
    </w:p>
    <w:p w14:paraId="51953FE7" w14:textId="26C573FE" w:rsidR="00A270DF" w:rsidRDefault="00152679" w:rsidP="00A270DF">
      <w:pPr>
        <w:spacing w:line="360" w:lineRule="auto"/>
        <w:rPr>
          <w:rFonts w:ascii="Arial" w:hAnsi="Arial" w:cs="Arial"/>
          <w:sz w:val="22"/>
          <w:szCs w:val="22"/>
        </w:rPr>
      </w:pPr>
      <w:r w:rsidRPr="00152679">
        <w:rPr>
          <w:rFonts w:ascii="Arial" w:hAnsi="Arial" w:cs="Arial"/>
          <w:sz w:val="22"/>
          <w:szCs w:val="22"/>
        </w:rPr>
        <w:t>The success of the strategic change plan must be measured and evaluated through comprehensive monitoring and assessment that provides accountability, enables learning, and supports decision-making.</w:t>
      </w:r>
    </w:p>
    <w:p w14:paraId="4E1ACB10" w14:textId="3C22592B" w:rsidR="00152679" w:rsidRPr="00877995" w:rsidRDefault="0045687E" w:rsidP="0045687E">
      <w:pPr>
        <w:pStyle w:val="Heading2"/>
        <w:rPr>
          <w:rFonts w:ascii="Arial" w:hAnsi="Arial" w:cs="Arial"/>
          <w:color w:val="000000" w:themeColor="text1"/>
        </w:rPr>
      </w:pPr>
      <w:bookmarkStart w:id="24" w:name="_Toc235444608"/>
      <w:r w:rsidRPr="00877995">
        <w:rPr>
          <w:rFonts w:ascii="Arial" w:hAnsi="Arial" w:cs="Arial"/>
          <w:color w:val="000000" w:themeColor="text1"/>
        </w:rPr>
        <w:t>Figure: Table 7: Bentley Transformation Key Performance Indicators:</w:t>
      </w:r>
      <w:bookmarkEnd w:id="24"/>
    </w:p>
    <w:tbl>
      <w:tblPr>
        <w:tblStyle w:val="GridTable4-Accent4"/>
        <w:tblW w:w="0" w:type="auto"/>
        <w:tblLook w:val="04A0" w:firstRow="1" w:lastRow="0" w:firstColumn="1" w:lastColumn="0" w:noHBand="0" w:noVBand="1"/>
      </w:tblPr>
      <w:tblGrid>
        <w:gridCol w:w="2254"/>
        <w:gridCol w:w="2254"/>
        <w:gridCol w:w="2254"/>
        <w:gridCol w:w="2254"/>
      </w:tblGrid>
      <w:tr w:rsidR="00952981" w14:paraId="2AD4AAD7" w14:textId="77777777" w:rsidTr="002E40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F985D6D" w14:textId="16D77A3A" w:rsidR="00952981" w:rsidRDefault="00B2391D" w:rsidP="005D2EB1">
            <w:pPr>
              <w:spacing w:line="360" w:lineRule="auto"/>
              <w:rPr>
                <w:rFonts w:ascii="Arial" w:hAnsi="Arial" w:cs="Arial"/>
                <w:sz w:val="22"/>
                <w:szCs w:val="22"/>
              </w:rPr>
            </w:pPr>
            <w:r w:rsidRPr="00B2391D">
              <w:rPr>
                <w:rFonts w:ascii="Arial" w:hAnsi="Arial" w:cs="Arial"/>
                <w:sz w:val="22"/>
                <w:szCs w:val="22"/>
              </w:rPr>
              <w:t xml:space="preserve">KPI Category </w:t>
            </w:r>
          </w:p>
        </w:tc>
        <w:tc>
          <w:tcPr>
            <w:tcW w:w="2254" w:type="dxa"/>
          </w:tcPr>
          <w:p w14:paraId="5344F464" w14:textId="62BB4D45" w:rsidR="00952981" w:rsidRDefault="00B2391D" w:rsidP="005D2EB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2391D">
              <w:rPr>
                <w:rFonts w:ascii="Arial" w:hAnsi="Arial" w:cs="Arial"/>
                <w:sz w:val="22"/>
                <w:szCs w:val="22"/>
              </w:rPr>
              <w:t xml:space="preserve">Metric </w:t>
            </w:r>
          </w:p>
        </w:tc>
        <w:tc>
          <w:tcPr>
            <w:tcW w:w="2254" w:type="dxa"/>
          </w:tcPr>
          <w:p w14:paraId="17607959" w14:textId="731CC2D8" w:rsidR="00952981" w:rsidRDefault="00B2391D" w:rsidP="005D2EB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2391D">
              <w:rPr>
                <w:rFonts w:ascii="Arial" w:hAnsi="Arial" w:cs="Arial"/>
                <w:sz w:val="22"/>
                <w:szCs w:val="22"/>
              </w:rPr>
              <w:t xml:space="preserve">Target </w:t>
            </w:r>
          </w:p>
        </w:tc>
        <w:tc>
          <w:tcPr>
            <w:tcW w:w="2254" w:type="dxa"/>
          </w:tcPr>
          <w:p w14:paraId="6B1BF6B7" w14:textId="316BD17B" w:rsidR="00952981" w:rsidRDefault="00B2391D" w:rsidP="005D2EB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2391D">
              <w:rPr>
                <w:rFonts w:ascii="Arial" w:hAnsi="Arial" w:cs="Arial"/>
                <w:sz w:val="22"/>
                <w:szCs w:val="22"/>
              </w:rPr>
              <w:t>Current Performance</w:t>
            </w:r>
          </w:p>
        </w:tc>
      </w:tr>
      <w:tr w:rsidR="00952981" w14:paraId="56A2B884"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BAAC45C" w14:textId="3E92A2B3" w:rsidR="00952981" w:rsidRDefault="00463EC2" w:rsidP="005D2EB1">
            <w:pPr>
              <w:spacing w:line="360" w:lineRule="auto"/>
              <w:rPr>
                <w:rFonts w:ascii="Arial" w:hAnsi="Arial" w:cs="Arial"/>
                <w:sz w:val="22"/>
                <w:szCs w:val="22"/>
              </w:rPr>
            </w:pPr>
            <w:r w:rsidRPr="00463EC2">
              <w:rPr>
                <w:rFonts w:ascii="Arial" w:hAnsi="Arial" w:cs="Arial"/>
                <w:sz w:val="22"/>
                <w:szCs w:val="22"/>
              </w:rPr>
              <w:t xml:space="preserve">Financial </w:t>
            </w:r>
          </w:p>
        </w:tc>
        <w:tc>
          <w:tcPr>
            <w:tcW w:w="2254" w:type="dxa"/>
          </w:tcPr>
          <w:p w14:paraId="213BD77D" w14:textId="3E9CC4A9" w:rsidR="00952981" w:rsidRDefault="00463EC2"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3EC2">
              <w:rPr>
                <w:rFonts w:ascii="Arial" w:hAnsi="Arial" w:cs="Arial"/>
                <w:sz w:val="22"/>
                <w:szCs w:val="22"/>
              </w:rPr>
              <w:t xml:space="preserve">Revenue per Vehicle </w:t>
            </w:r>
          </w:p>
        </w:tc>
        <w:tc>
          <w:tcPr>
            <w:tcW w:w="2254" w:type="dxa"/>
          </w:tcPr>
          <w:p w14:paraId="0FC696A1" w14:textId="05369590" w:rsidR="00952981" w:rsidRDefault="00463EC2"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3EC2">
              <w:rPr>
                <w:rFonts w:ascii="Arial" w:hAnsi="Arial" w:cs="Arial"/>
                <w:sz w:val="22"/>
                <w:szCs w:val="22"/>
              </w:rPr>
              <w:t xml:space="preserve">+5% annual increase </w:t>
            </w:r>
          </w:p>
        </w:tc>
        <w:tc>
          <w:tcPr>
            <w:tcW w:w="2254" w:type="dxa"/>
          </w:tcPr>
          <w:p w14:paraId="508D4527" w14:textId="1A147621" w:rsidR="00952981" w:rsidRDefault="00463EC2"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3EC2">
              <w:rPr>
                <w:rFonts w:ascii="Arial" w:hAnsi="Arial" w:cs="Arial"/>
                <w:sz w:val="22"/>
                <w:szCs w:val="22"/>
              </w:rPr>
              <w:t>Improving (2025)</w:t>
            </w:r>
          </w:p>
        </w:tc>
      </w:tr>
      <w:tr w:rsidR="00952981" w14:paraId="0EAF5EF5" w14:textId="77777777" w:rsidTr="002E4008">
        <w:tc>
          <w:tcPr>
            <w:cnfStyle w:val="001000000000" w:firstRow="0" w:lastRow="0" w:firstColumn="1" w:lastColumn="0" w:oddVBand="0" w:evenVBand="0" w:oddHBand="0" w:evenHBand="0" w:firstRowFirstColumn="0" w:firstRowLastColumn="0" w:lastRowFirstColumn="0" w:lastRowLastColumn="0"/>
            <w:tcW w:w="2254" w:type="dxa"/>
          </w:tcPr>
          <w:p w14:paraId="3B8D8781" w14:textId="287C7C7E" w:rsidR="00952981" w:rsidRDefault="00B251B2" w:rsidP="005D2EB1">
            <w:pPr>
              <w:spacing w:line="360" w:lineRule="auto"/>
              <w:rPr>
                <w:rFonts w:ascii="Arial" w:hAnsi="Arial" w:cs="Arial"/>
                <w:sz w:val="22"/>
                <w:szCs w:val="22"/>
              </w:rPr>
            </w:pPr>
            <w:r w:rsidRPr="00B251B2">
              <w:rPr>
                <w:rFonts w:ascii="Arial" w:hAnsi="Arial" w:cs="Arial"/>
                <w:sz w:val="22"/>
                <w:szCs w:val="22"/>
              </w:rPr>
              <w:t xml:space="preserve">Financial </w:t>
            </w:r>
          </w:p>
        </w:tc>
        <w:tc>
          <w:tcPr>
            <w:tcW w:w="2254" w:type="dxa"/>
          </w:tcPr>
          <w:p w14:paraId="3F943AC0" w14:textId="6B64165C" w:rsidR="00952981" w:rsidRDefault="00B251B2"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51B2">
              <w:rPr>
                <w:rFonts w:ascii="Arial" w:hAnsi="Arial" w:cs="Arial"/>
                <w:sz w:val="22"/>
                <w:szCs w:val="22"/>
              </w:rPr>
              <w:t xml:space="preserve">Operating Margin </w:t>
            </w:r>
          </w:p>
        </w:tc>
        <w:tc>
          <w:tcPr>
            <w:tcW w:w="2254" w:type="dxa"/>
          </w:tcPr>
          <w:p w14:paraId="349EBE41" w14:textId="6A903192" w:rsidR="00952981" w:rsidRDefault="00B251B2"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51B2">
              <w:rPr>
                <w:rFonts w:ascii="Arial" w:hAnsi="Arial" w:cs="Arial"/>
                <w:sz w:val="22"/>
                <w:szCs w:val="22"/>
              </w:rPr>
              <w:t xml:space="preserve">15% by 2027 </w:t>
            </w:r>
          </w:p>
        </w:tc>
        <w:tc>
          <w:tcPr>
            <w:tcW w:w="2254" w:type="dxa"/>
          </w:tcPr>
          <w:p w14:paraId="48F589AC" w14:textId="6BC4F6D2" w:rsidR="00952981" w:rsidRDefault="00B251B2"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51B2">
              <w:rPr>
                <w:rFonts w:ascii="Arial" w:hAnsi="Arial" w:cs="Arial"/>
                <w:sz w:val="22"/>
                <w:szCs w:val="22"/>
              </w:rPr>
              <w:t>8.3% (2025)</w:t>
            </w:r>
          </w:p>
        </w:tc>
      </w:tr>
      <w:tr w:rsidR="00952981" w14:paraId="2B9E5FBF"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8DA9DD0" w14:textId="4FFA3C6E" w:rsidR="00952981" w:rsidRDefault="00E302C3" w:rsidP="005D2EB1">
            <w:pPr>
              <w:spacing w:line="360" w:lineRule="auto"/>
              <w:rPr>
                <w:rFonts w:ascii="Arial" w:hAnsi="Arial" w:cs="Arial"/>
                <w:sz w:val="22"/>
                <w:szCs w:val="22"/>
              </w:rPr>
            </w:pPr>
            <w:r w:rsidRPr="00E302C3">
              <w:rPr>
                <w:rFonts w:ascii="Arial" w:hAnsi="Arial" w:cs="Arial"/>
                <w:sz w:val="22"/>
                <w:szCs w:val="22"/>
              </w:rPr>
              <w:t xml:space="preserve">Product </w:t>
            </w:r>
          </w:p>
        </w:tc>
        <w:tc>
          <w:tcPr>
            <w:tcW w:w="2254" w:type="dxa"/>
          </w:tcPr>
          <w:p w14:paraId="75E53955" w14:textId="544E2355" w:rsidR="00952981" w:rsidRDefault="00E302C3"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302C3">
              <w:rPr>
                <w:rFonts w:ascii="Arial" w:hAnsi="Arial" w:cs="Arial"/>
                <w:sz w:val="22"/>
                <w:szCs w:val="22"/>
              </w:rPr>
              <w:t xml:space="preserve">Electrification Milestones </w:t>
            </w:r>
          </w:p>
        </w:tc>
        <w:tc>
          <w:tcPr>
            <w:tcW w:w="2254" w:type="dxa"/>
          </w:tcPr>
          <w:p w14:paraId="75D56CFC" w14:textId="3868369E" w:rsidR="00952981" w:rsidRDefault="00E302C3"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302C3">
              <w:rPr>
                <w:rFonts w:ascii="Arial" w:hAnsi="Arial" w:cs="Arial"/>
                <w:sz w:val="22"/>
                <w:szCs w:val="22"/>
              </w:rPr>
              <w:t xml:space="preserve">First BEV 2026 </w:t>
            </w:r>
          </w:p>
        </w:tc>
        <w:tc>
          <w:tcPr>
            <w:tcW w:w="2254" w:type="dxa"/>
          </w:tcPr>
          <w:p w14:paraId="17C2EA2C" w14:textId="11042F48" w:rsidR="00952981" w:rsidRDefault="00E302C3"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302C3">
              <w:rPr>
                <w:rFonts w:ascii="Arial" w:hAnsi="Arial" w:cs="Arial"/>
                <w:sz w:val="22"/>
                <w:szCs w:val="22"/>
              </w:rPr>
              <w:t>On track</w:t>
            </w:r>
          </w:p>
        </w:tc>
      </w:tr>
      <w:tr w:rsidR="00952981" w14:paraId="0BBE8250" w14:textId="77777777" w:rsidTr="002E4008">
        <w:tc>
          <w:tcPr>
            <w:cnfStyle w:val="001000000000" w:firstRow="0" w:lastRow="0" w:firstColumn="1" w:lastColumn="0" w:oddVBand="0" w:evenVBand="0" w:oddHBand="0" w:evenHBand="0" w:firstRowFirstColumn="0" w:firstRowLastColumn="0" w:lastRowFirstColumn="0" w:lastRowLastColumn="0"/>
            <w:tcW w:w="2254" w:type="dxa"/>
          </w:tcPr>
          <w:p w14:paraId="75CBD9FB" w14:textId="4573E760" w:rsidR="00952981" w:rsidRDefault="001551DE" w:rsidP="005D2EB1">
            <w:pPr>
              <w:spacing w:line="360" w:lineRule="auto"/>
              <w:rPr>
                <w:rFonts w:ascii="Arial" w:hAnsi="Arial" w:cs="Arial"/>
                <w:sz w:val="22"/>
                <w:szCs w:val="22"/>
              </w:rPr>
            </w:pPr>
            <w:r w:rsidRPr="001551DE">
              <w:rPr>
                <w:rFonts w:ascii="Arial" w:hAnsi="Arial" w:cs="Arial"/>
                <w:sz w:val="22"/>
                <w:szCs w:val="22"/>
              </w:rPr>
              <w:t xml:space="preserve">Product </w:t>
            </w:r>
          </w:p>
        </w:tc>
        <w:tc>
          <w:tcPr>
            <w:tcW w:w="2254" w:type="dxa"/>
          </w:tcPr>
          <w:p w14:paraId="287669D9" w14:textId="2A0012D3" w:rsidR="00952981" w:rsidRDefault="001551DE"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51DE">
              <w:rPr>
                <w:rFonts w:ascii="Arial" w:hAnsi="Arial" w:cs="Arial"/>
                <w:sz w:val="22"/>
                <w:szCs w:val="22"/>
              </w:rPr>
              <w:t xml:space="preserve">Annual Product Launches </w:t>
            </w:r>
          </w:p>
        </w:tc>
        <w:tc>
          <w:tcPr>
            <w:tcW w:w="2254" w:type="dxa"/>
          </w:tcPr>
          <w:p w14:paraId="61C76074" w14:textId="56041DBB" w:rsidR="00952981" w:rsidRDefault="001551DE"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51DE">
              <w:rPr>
                <w:rFonts w:ascii="Arial" w:hAnsi="Arial" w:cs="Arial"/>
                <w:sz w:val="22"/>
                <w:szCs w:val="22"/>
              </w:rPr>
              <w:t xml:space="preserve">At least 1 per year </w:t>
            </w:r>
          </w:p>
        </w:tc>
        <w:tc>
          <w:tcPr>
            <w:tcW w:w="2254" w:type="dxa"/>
          </w:tcPr>
          <w:p w14:paraId="38CC2BF1" w14:textId="4EDC93EE" w:rsidR="00952981" w:rsidRDefault="001551DE"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51DE">
              <w:rPr>
                <w:rFonts w:ascii="Arial" w:hAnsi="Arial" w:cs="Arial"/>
                <w:sz w:val="22"/>
                <w:szCs w:val="22"/>
              </w:rPr>
              <w:t>Confirmed</w:t>
            </w:r>
          </w:p>
        </w:tc>
      </w:tr>
      <w:tr w:rsidR="00952981" w14:paraId="042894A9"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699EEA9" w14:textId="730B61C4" w:rsidR="00952981" w:rsidRDefault="00293218" w:rsidP="005D2EB1">
            <w:pPr>
              <w:spacing w:line="360" w:lineRule="auto"/>
              <w:rPr>
                <w:rFonts w:ascii="Arial" w:hAnsi="Arial" w:cs="Arial"/>
                <w:sz w:val="22"/>
                <w:szCs w:val="22"/>
              </w:rPr>
            </w:pPr>
            <w:r w:rsidRPr="00293218">
              <w:rPr>
                <w:rFonts w:ascii="Arial" w:hAnsi="Arial" w:cs="Arial"/>
                <w:sz w:val="22"/>
                <w:szCs w:val="22"/>
              </w:rPr>
              <w:t xml:space="preserve">Sustainability </w:t>
            </w:r>
          </w:p>
        </w:tc>
        <w:tc>
          <w:tcPr>
            <w:tcW w:w="2254" w:type="dxa"/>
          </w:tcPr>
          <w:p w14:paraId="7A659AB0" w14:textId="1BEF3BBD" w:rsidR="00952981" w:rsidRDefault="0029321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93218">
              <w:rPr>
                <w:rFonts w:ascii="Arial" w:hAnsi="Arial" w:cs="Arial"/>
                <w:sz w:val="22"/>
                <w:szCs w:val="22"/>
              </w:rPr>
              <w:t xml:space="preserve">Carbon Neutrality </w:t>
            </w:r>
          </w:p>
        </w:tc>
        <w:tc>
          <w:tcPr>
            <w:tcW w:w="2254" w:type="dxa"/>
          </w:tcPr>
          <w:p w14:paraId="26EC5537" w14:textId="58BDE231" w:rsidR="00952981" w:rsidRDefault="0029321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93218">
              <w:rPr>
                <w:rFonts w:ascii="Arial" w:hAnsi="Arial" w:cs="Arial"/>
                <w:sz w:val="22"/>
                <w:szCs w:val="22"/>
              </w:rPr>
              <w:t xml:space="preserve">PAS 2060 certified </w:t>
            </w:r>
          </w:p>
        </w:tc>
        <w:tc>
          <w:tcPr>
            <w:tcW w:w="2254" w:type="dxa"/>
          </w:tcPr>
          <w:p w14:paraId="538DDB72" w14:textId="079B5F80" w:rsidR="00952981" w:rsidRDefault="0029321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93218">
              <w:rPr>
                <w:rFonts w:ascii="Arial" w:hAnsi="Arial" w:cs="Arial"/>
                <w:sz w:val="22"/>
                <w:szCs w:val="22"/>
              </w:rPr>
              <w:t>Achieved (Crewe site)</w:t>
            </w:r>
          </w:p>
        </w:tc>
      </w:tr>
      <w:tr w:rsidR="00952981" w14:paraId="542EB835" w14:textId="77777777" w:rsidTr="002E4008">
        <w:tc>
          <w:tcPr>
            <w:cnfStyle w:val="001000000000" w:firstRow="0" w:lastRow="0" w:firstColumn="1" w:lastColumn="0" w:oddVBand="0" w:evenVBand="0" w:oddHBand="0" w:evenHBand="0" w:firstRowFirstColumn="0" w:firstRowLastColumn="0" w:lastRowFirstColumn="0" w:lastRowLastColumn="0"/>
            <w:tcW w:w="2254" w:type="dxa"/>
          </w:tcPr>
          <w:p w14:paraId="23DBCE9E" w14:textId="041B6537" w:rsidR="00952981" w:rsidRDefault="008C294A" w:rsidP="005D2EB1">
            <w:pPr>
              <w:spacing w:line="360" w:lineRule="auto"/>
              <w:rPr>
                <w:rFonts w:ascii="Arial" w:hAnsi="Arial" w:cs="Arial"/>
                <w:sz w:val="22"/>
                <w:szCs w:val="22"/>
              </w:rPr>
            </w:pPr>
            <w:r w:rsidRPr="008C294A">
              <w:rPr>
                <w:rFonts w:ascii="Arial" w:hAnsi="Arial" w:cs="Arial"/>
                <w:sz w:val="22"/>
                <w:szCs w:val="22"/>
              </w:rPr>
              <w:t xml:space="preserve">Sustainability </w:t>
            </w:r>
          </w:p>
        </w:tc>
        <w:tc>
          <w:tcPr>
            <w:tcW w:w="2254" w:type="dxa"/>
          </w:tcPr>
          <w:p w14:paraId="42925838" w14:textId="2E7F50BD" w:rsidR="00952981" w:rsidRDefault="00C91579"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91579">
              <w:rPr>
                <w:rFonts w:ascii="Arial" w:hAnsi="Arial" w:cs="Arial"/>
                <w:sz w:val="22"/>
                <w:szCs w:val="22"/>
              </w:rPr>
              <w:t>Fleet CO</w:t>
            </w:r>
            <w:r w:rsidRPr="00C91579">
              <w:rPr>
                <w:rFonts w:ascii="Cambria Math" w:hAnsi="Cambria Math" w:cs="Cambria Math"/>
                <w:sz w:val="22"/>
                <w:szCs w:val="22"/>
              </w:rPr>
              <w:t>₂</w:t>
            </w:r>
            <w:r w:rsidRPr="00C91579">
              <w:rPr>
                <w:rFonts w:ascii="Arial" w:hAnsi="Arial" w:cs="Arial"/>
                <w:sz w:val="22"/>
                <w:szCs w:val="22"/>
              </w:rPr>
              <w:t xml:space="preserve"> Emissions </w:t>
            </w:r>
          </w:p>
        </w:tc>
        <w:tc>
          <w:tcPr>
            <w:tcW w:w="2254" w:type="dxa"/>
          </w:tcPr>
          <w:p w14:paraId="034F2780" w14:textId="3E14CC51" w:rsidR="00952981" w:rsidRDefault="00C91579"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91579">
              <w:rPr>
                <w:rFonts w:ascii="Arial" w:hAnsi="Arial" w:cs="Arial"/>
                <w:sz w:val="22"/>
                <w:szCs w:val="22"/>
              </w:rPr>
              <w:t xml:space="preserve">Lowest in history </w:t>
            </w:r>
          </w:p>
        </w:tc>
        <w:tc>
          <w:tcPr>
            <w:tcW w:w="2254" w:type="dxa"/>
          </w:tcPr>
          <w:p w14:paraId="0EAB1419" w14:textId="3EEF16A5" w:rsidR="00952981" w:rsidRDefault="00C91579"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91579">
              <w:rPr>
                <w:rFonts w:ascii="Arial" w:hAnsi="Arial" w:cs="Arial"/>
                <w:sz w:val="22"/>
                <w:szCs w:val="22"/>
              </w:rPr>
              <w:t>Achieved (2025)</w:t>
            </w:r>
          </w:p>
        </w:tc>
      </w:tr>
      <w:tr w:rsidR="00952981" w14:paraId="2A8A019E"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F5DB1C8" w14:textId="301C022A" w:rsidR="00952981" w:rsidRDefault="00861317" w:rsidP="005D2EB1">
            <w:pPr>
              <w:spacing w:line="360" w:lineRule="auto"/>
              <w:rPr>
                <w:rFonts w:ascii="Arial" w:hAnsi="Arial" w:cs="Arial"/>
                <w:sz w:val="22"/>
                <w:szCs w:val="22"/>
              </w:rPr>
            </w:pPr>
            <w:r w:rsidRPr="00861317">
              <w:rPr>
                <w:rFonts w:ascii="Arial" w:hAnsi="Arial" w:cs="Arial"/>
                <w:sz w:val="22"/>
                <w:szCs w:val="22"/>
              </w:rPr>
              <w:t xml:space="preserve">Employee </w:t>
            </w:r>
          </w:p>
        </w:tc>
        <w:tc>
          <w:tcPr>
            <w:tcW w:w="2254" w:type="dxa"/>
          </w:tcPr>
          <w:p w14:paraId="687A080A" w14:textId="4D0B5AFC" w:rsidR="00952981" w:rsidRDefault="00861317"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61317">
              <w:rPr>
                <w:rFonts w:ascii="Arial" w:hAnsi="Arial" w:cs="Arial"/>
                <w:sz w:val="22"/>
                <w:szCs w:val="22"/>
              </w:rPr>
              <w:t xml:space="preserve">Job Cuts </w:t>
            </w:r>
          </w:p>
        </w:tc>
        <w:tc>
          <w:tcPr>
            <w:tcW w:w="2254" w:type="dxa"/>
          </w:tcPr>
          <w:p w14:paraId="2C93654A" w14:textId="6592CDBB" w:rsidR="00952981" w:rsidRDefault="00861317"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61317">
              <w:rPr>
                <w:rFonts w:ascii="Arial" w:hAnsi="Arial" w:cs="Arial"/>
                <w:sz w:val="22"/>
                <w:szCs w:val="22"/>
              </w:rPr>
              <w:t xml:space="preserve">275 roles </w:t>
            </w:r>
          </w:p>
        </w:tc>
        <w:tc>
          <w:tcPr>
            <w:tcW w:w="2254" w:type="dxa"/>
          </w:tcPr>
          <w:p w14:paraId="2DA192D0" w14:textId="4BEB69EE" w:rsidR="00952981" w:rsidRDefault="00861317"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61317">
              <w:rPr>
                <w:rFonts w:ascii="Arial" w:hAnsi="Arial" w:cs="Arial"/>
                <w:sz w:val="22"/>
                <w:szCs w:val="22"/>
              </w:rPr>
              <w:t>Announced March 2026</w:t>
            </w:r>
          </w:p>
        </w:tc>
      </w:tr>
      <w:tr w:rsidR="00952981" w14:paraId="37FDC493" w14:textId="77777777" w:rsidTr="002E4008">
        <w:tc>
          <w:tcPr>
            <w:cnfStyle w:val="001000000000" w:firstRow="0" w:lastRow="0" w:firstColumn="1" w:lastColumn="0" w:oddVBand="0" w:evenVBand="0" w:oddHBand="0" w:evenHBand="0" w:firstRowFirstColumn="0" w:firstRowLastColumn="0" w:lastRowFirstColumn="0" w:lastRowLastColumn="0"/>
            <w:tcW w:w="2254" w:type="dxa"/>
          </w:tcPr>
          <w:p w14:paraId="0B6CCBE4" w14:textId="5DB421A6" w:rsidR="00952981" w:rsidRDefault="00CD4B2F" w:rsidP="005D2EB1">
            <w:pPr>
              <w:spacing w:line="360" w:lineRule="auto"/>
              <w:rPr>
                <w:rFonts w:ascii="Arial" w:hAnsi="Arial" w:cs="Arial"/>
                <w:sz w:val="22"/>
                <w:szCs w:val="22"/>
              </w:rPr>
            </w:pPr>
            <w:r w:rsidRPr="00CD4B2F">
              <w:rPr>
                <w:rFonts w:ascii="Arial" w:hAnsi="Arial" w:cs="Arial"/>
                <w:sz w:val="22"/>
                <w:szCs w:val="22"/>
              </w:rPr>
              <w:t xml:space="preserve">Customer </w:t>
            </w:r>
          </w:p>
        </w:tc>
        <w:tc>
          <w:tcPr>
            <w:tcW w:w="2254" w:type="dxa"/>
          </w:tcPr>
          <w:p w14:paraId="67D693DC" w14:textId="7016F0EE" w:rsidR="00952981" w:rsidRDefault="00CD4B2F"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D4B2F">
              <w:rPr>
                <w:rFonts w:ascii="Arial" w:hAnsi="Arial" w:cs="Arial"/>
                <w:sz w:val="22"/>
                <w:szCs w:val="22"/>
              </w:rPr>
              <w:t xml:space="preserve">Mulliner Demand </w:t>
            </w:r>
          </w:p>
        </w:tc>
        <w:tc>
          <w:tcPr>
            <w:tcW w:w="2254" w:type="dxa"/>
          </w:tcPr>
          <w:p w14:paraId="2DF35B4E" w14:textId="1A84EEAD" w:rsidR="00952981" w:rsidRDefault="00CD4B2F"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D4B2F">
              <w:rPr>
                <w:rFonts w:ascii="Arial" w:hAnsi="Arial" w:cs="Arial"/>
                <w:sz w:val="22"/>
                <w:szCs w:val="22"/>
              </w:rPr>
              <w:t xml:space="preserve">Year-on-year increase </w:t>
            </w:r>
          </w:p>
        </w:tc>
        <w:tc>
          <w:tcPr>
            <w:tcW w:w="2254" w:type="dxa"/>
          </w:tcPr>
          <w:p w14:paraId="6C0286E4" w14:textId="78C5236F" w:rsidR="00952981" w:rsidRDefault="00CD4B2F"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D4B2F">
              <w:rPr>
                <w:rFonts w:ascii="Arial" w:hAnsi="Arial" w:cs="Arial"/>
                <w:sz w:val="22"/>
                <w:szCs w:val="22"/>
              </w:rPr>
              <w:t>Growing</w:t>
            </w:r>
          </w:p>
        </w:tc>
      </w:tr>
      <w:tr w:rsidR="00952981" w14:paraId="026416B2"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D6B1D09" w14:textId="3137A30F" w:rsidR="00952981" w:rsidRDefault="002E4008" w:rsidP="005D2EB1">
            <w:pPr>
              <w:spacing w:line="360" w:lineRule="auto"/>
              <w:rPr>
                <w:rFonts w:ascii="Arial" w:hAnsi="Arial" w:cs="Arial"/>
                <w:sz w:val="22"/>
                <w:szCs w:val="22"/>
              </w:rPr>
            </w:pPr>
            <w:r w:rsidRPr="002E4008">
              <w:rPr>
                <w:rFonts w:ascii="Arial" w:hAnsi="Arial" w:cs="Arial"/>
                <w:sz w:val="22"/>
                <w:szCs w:val="22"/>
              </w:rPr>
              <w:t xml:space="preserve">Market </w:t>
            </w:r>
          </w:p>
        </w:tc>
        <w:tc>
          <w:tcPr>
            <w:tcW w:w="2254" w:type="dxa"/>
          </w:tcPr>
          <w:p w14:paraId="3145AFBF" w14:textId="2AEF41B1" w:rsidR="00952981" w:rsidRDefault="002E400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E4008">
              <w:rPr>
                <w:rFonts w:ascii="Arial" w:hAnsi="Arial" w:cs="Arial"/>
                <w:sz w:val="22"/>
                <w:szCs w:val="22"/>
              </w:rPr>
              <w:t xml:space="preserve">Global Market Share </w:t>
            </w:r>
          </w:p>
        </w:tc>
        <w:tc>
          <w:tcPr>
            <w:tcW w:w="2254" w:type="dxa"/>
          </w:tcPr>
          <w:p w14:paraId="5974052E" w14:textId="4D305452" w:rsidR="00952981" w:rsidRDefault="002E400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E4008">
              <w:rPr>
                <w:rFonts w:ascii="Arial" w:hAnsi="Arial" w:cs="Arial"/>
                <w:sz w:val="22"/>
                <w:szCs w:val="22"/>
              </w:rPr>
              <w:t xml:space="preserve">Maintain position </w:t>
            </w:r>
          </w:p>
        </w:tc>
        <w:tc>
          <w:tcPr>
            <w:tcW w:w="2254" w:type="dxa"/>
          </w:tcPr>
          <w:p w14:paraId="52F7AAE6" w14:textId="521F9C77" w:rsidR="00952981" w:rsidRDefault="002E400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E4008">
              <w:rPr>
                <w:rFonts w:ascii="Arial" w:hAnsi="Arial" w:cs="Arial"/>
                <w:sz w:val="22"/>
                <w:szCs w:val="22"/>
              </w:rPr>
              <w:t>Declining in China</w:t>
            </w:r>
          </w:p>
        </w:tc>
      </w:tr>
    </w:tbl>
    <w:p w14:paraId="529054C7" w14:textId="198FA6DE" w:rsidR="0045687E" w:rsidRPr="001A1B89" w:rsidRDefault="00FF110F" w:rsidP="005D2EB1">
      <w:pPr>
        <w:spacing w:line="360" w:lineRule="auto"/>
        <w:rPr>
          <w:rFonts w:ascii="Arial" w:hAnsi="Arial" w:cs="Arial"/>
          <w:color w:val="000000" w:themeColor="text1"/>
          <w:sz w:val="22"/>
          <w:szCs w:val="22"/>
        </w:rPr>
      </w:pPr>
      <w:r w:rsidRPr="001A1B89">
        <w:rPr>
          <w:rFonts w:ascii="Arial" w:hAnsi="Arial" w:cs="Arial"/>
          <w:color w:val="000000" w:themeColor="text1"/>
          <w:sz w:val="22"/>
          <w:szCs w:val="22"/>
        </w:rPr>
        <w:t>“</w:t>
      </w:r>
      <w:r w:rsidR="003555EA" w:rsidRPr="001A1B89">
        <w:rPr>
          <w:rFonts w:ascii="Arial" w:hAnsi="Arial" w:cs="Arial"/>
          <w:color w:val="000000" w:themeColor="text1"/>
          <w:sz w:val="22"/>
          <w:szCs w:val="22"/>
        </w:rPr>
        <w:t xml:space="preserve">This crucial table indicates </w:t>
      </w:r>
      <w:r w:rsidR="005E62BE" w:rsidRPr="001A1B89">
        <w:rPr>
          <w:rFonts w:ascii="Arial" w:hAnsi="Arial" w:cs="Arial"/>
          <w:color w:val="000000" w:themeColor="text1"/>
          <w:sz w:val="22"/>
          <w:szCs w:val="22"/>
        </w:rPr>
        <w:t>Bentley's</w:t>
      </w:r>
      <w:r w:rsidR="003555EA" w:rsidRPr="001A1B89">
        <w:rPr>
          <w:rFonts w:ascii="Arial" w:hAnsi="Arial" w:cs="Arial"/>
          <w:color w:val="000000" w:themeColor="text1"/>
          <w:sz w:val="22"/>
          <w:szCs w:val="22"/>
        </w:rPr>
        <w:t xml:space="preserve"> </w:t>
      </w:r>
      <w:r w:rsidR="005E62BE" w:rsidRPr="001A1B89">
        <w:rPr>
          <w:rFonts w:ascii="Arial" w:hAnsi="Arial" w:cs="Arial"/>
          <w:color w:val="000000" w:themeColor="text1"/>
          <w:sz w:val="22"/>
          <w:szCs w:val="22"/>
        </w:rPr>
        <w:t xml:space="preserve">key performance figures and data </w:t>
      </w:r>
      <w:r w:rsidR="00CB5A92" w:rsidRPr="001A1B89">
        <w:rPr>
          <w:rFonts w:ascii="Arial" w:hAnsi="Arial" w:cs="Arial"/>
          <w:color w:val="000000" w:themeColor="text1"/>
          <w:sz w:val="22"/>
          <w:szCs w:val="22"/>
        </w:rPr>
        <w:t>according to</w:t>
      </w:r>
      <w:r w:rsidR="003B51F7" w:rsidRPr="001A1B89">
        <w:rPr>
          <w:rFonts w:ascii="Arial" w:hAnsi="Arial" w:cs="Arial"/>
          <w:color w:val="000000" w:themeColor="text1"/>
          <w:sz w:val="22"/>
          <w:szCs w:val="22"/>
        </w:rPr>
        <w:t xml:space="preserve">” </w:t>
      </w:r>
      <w:r w:rsidR="00CB5A92" w:rsidRPr="001A1B89">
        <w:rPr>
          <w:rFonts w:ascii="Arial" w:hAnsi="Arial" w:cs="Arial"/>
          <w:color w:val="000000" w:themeColor="text1"/>
          <w:sz w:val="22"/>
          <w:szCs w:val="22"/>
        </w:rPr>
        <w:t>(Bentley Motors,2026).</w:t>
      </w:r>
    </w:p>
    <w:p w14:paraId="60236B08" w14:textId="6F4D204A" w:rsidR="00A86FD0" w:rsidRDefault="00A86FD0" w:rsidP="00675669">
      <w:pPr>
        <w:spacing w:line="360" w:lineRule="auto"/>
        <w:rPr>
          <w:rFonts w:ascii="Arial" w:hAnsi="Arial" w:cs="Arial"/>
          <w:color w:val="000000" w:themeColor="text1"/>
          <w:sz w:val="22"/>
          <w:szCs w:val="22"/>
        </w:rPr>
      </w:pPr>
      <w:r w:rsidRPr="00A86FD0">
        <w:rPr>
          <w:rFonts w:ascii="Arial" w:hAnsi="Arial" w:cs="Arial"/>
          <w:color w:val="000000" w:themeColor="text1"/>
          <w:sz w:val="22"/>
          <w:szCs w:val="22"/>
        </w:rPr>
        <w:t>Tracking a company's transition means looking closely at its workplace culture</w:t>
      </w:r>
      <w:r>
        <w:rPr>
          <w:rFonts w:ascii="Arial" w:hAnsi="Arial" w:cs="Arial"/>
          <w:color w:val="000000" w:themeColor="text1"/>
          <w:sz w:val="22"/>
          <w:szCs w:val="22"/>
        </w:rPr>
        <w:t xml:space="preserve">, </w:t>
      </w:r>
      <w:r w:rsidRPr="00A86FD0">
        <w:rPr>
          <w:rFonts w:ascii="Arial" w:hAnsi="Arial" w:cs="Arial"/>
          <w:color w:val="000000" w:themeColor="text1"/>
          <w:sz w:val="22"/>
          <w:szCs w:val="22"/>
        </w:rPr>
        <w:t>focusing on how team members feel, how ready they are for shifts, and how well they adapt. Using regular pulse surveys, focus groups, and cultural reviews gives leadership a clear picture of the human side of operations. These insights make it much easier to step in with specific support, manage staff concerns, and build long-term commitment.</w:t>
      </w:r>
    </w:p>
    <w:p w14:paraId="169C8C13" w14:textId="77777777" w:rsidR="0000192B" w:rsidRDefault="0000192B" w:rsidP="00675669">
      <w:pPr>
        <w:spacing w:line="360" w:lineRule="auto"/>
        <w:rPr>
          <w:rFonts w:ascii="Arial" w:hAnsi="Arial" w:cs="Arial"/>
          <w:color w:val="000000" w:themeColor="text1"/>
          <w:sz w:val="22"/>
          <w:szCs w:val="22"/>
        </w:rPr>
      </w:pPr>
    </w:p>
    <w:p w14:paraId="09478676" w14:textId="77777777" w:rsidR="0000192B" w:rsidRDefault="0000192B" w:rsidP="00675669">
      <w:pPr>
        <w:spacing w:line="360" w:lineRule="auto"/>
        <w:rPr>
          <w:rFonts w:ascii="Arial" w:hAnsi="Arial" w:cs="Arial"/>
          <w:color w:val="000000" w:themeColor="text1"/>
          <w:sz w:val="22"/>
          <w:szCs w:val="22"/>
        </w:rPr>
      </w:pPr>
    </w:p>
    <w:p w14:paraId="0AD0FA1B" w14:textId="77777777" w:rsidR="0000192B" w:rsidRDefault="0000192B" w:rsidP="00675669">
      <w:pPr>
        <w:spacing w:line="360" w:lineRule="auto"/>
        <w:rPr>
          <w:rFonts w:ascii="Arial" w:hAnsi="Arial" w:cs="Arial"/>
          <w:color w:val="000000" w:themeColor="text1"/>
          <w:sz w:val="22"/>
          <w:szCs w:val="22"/>
        </w:rPr>
      </w:pPr>
    </w:p>
    <w:p w14:paraId="6FA29C25" w14:textId="78473E06" w:rsidR="00A320C8" w:rsidRDefault="00675669" w:rsidP="00675669">
      <w:pPr>
        <w:spacing w:line="360" w:lineRule="auto"/>
        <w:rPr>
          <w:rFonts w:ascii="Arial" w:hAnsi="Arial" w:cs="Arial"/>
          <w:color w:val="000000" w:themeColor="text1"/>
          <w:sz w:val="22"/>
          <w:szCs w:val="22"/>
        </w:rPr>
      </w:pPr>
      <w:r w:rsidRPr="001A1B89">
        <w:rPr>
          <w:rFonts w:ascii="Arial" w:hAnsi="Arial" w:cs="Arial"/>
          <w:color w:val="000000" w:themeColor="text1"/>
          <w:sz w:val="22"/>
          <w:szCs w:val="22"/>
        </w:rPr>
        <w:lastRenderedPageBreak/>
        <w:t>Learning from experience is a critical element of the evaluation plan, with processes for capturing and sharing lessons from the transformation journey. The Dream Factory initiative exemplifies this approach, with lessons from the design and planning phases informing ongoing improvement. This commitment to learning and adaptation is essential for navigating the uncertainties of transformation.</w:t>
      </w:r>
    </w:p>
    <w:p w14:paraId="3BB15239" w14:textId="77777777" w:rsidR="0000192B" w:rsidRDefault="0000192B" w:rsidP="00675669">
      <w:pPr>
        <w:spacing w:line="360" w:lineRule="auto"/>
        <w:rPr>
          <w:rFonts w:ascii="Arial" w:hAnsi="Arial" w:cs="Arial"/>
          <w:color w:val="000000" w:themeColor="text1"/>
          <w:sz w:val="22"/>
          <w:szCs w:val="22"/>
        </w:rPr>
      </w:pPr>
    </w:p>
    <w:p w14:paraId="14154773" w14:textId="77777777" w:rsidR="0000192B" w:rsidRDefault="0000192B" w:rsidP="00675669">
      <w:pPr>
        <w:spacing w:line="360" w:lineRule="auto"/>
        <w:rPr>
          <w:rFonts w:ascii="Arial" w:hAnsi="Arial" w:cs="Arial"/>
          <w:color w:val="000000" w:themeColor="text1"/>
          <w:sz w:val="22"/>
          <w:szCs w:val="22"/>
        </w:rPr>
      </w:pPr>
    </w:p>
    <w:p w14:paraId="59F79CA1" w14:textId="77777777" w:rsidR="0000192B" w:rsidRDefault="0000192B" w:rsidP="00675669">
      <w:pPr>
        <w:spacing w:line="360" w:lineRule="auto"/>
        <w:rPr>
          <w:rFonts w:ascii="Arial" w:hAnsi="Arial" w:cs="Arial"/>
          <w:color w:val="000000" w:themeColor="text1"/>
          <w:sz w:val="22"/>
          <w:szCs w:val="22"/>
        </w:rPr>
      </w:pPr>
    </w:p>
    <w:p w14:paraId="4AEBEE2B" w14:textId="77777777" w:rsidR="0000192B" w:rsidRDefault="0000192B" w:rsidP="00675669">
      <w:pPr>
        <w:spacing w:line="360" w:lineRule="auto"/>
        <w:rPr>
          <w:rFonts w:ascii="Arial" w:hAnsi="Arial" w:cs="Arial"/>
          <w:color w:val="000000" w:themeColor="text1"/>
          <w:sz w:val="22"/>
          <w:szCs w:val="22"/>
        </w:rPr>
      </w:pPr>
    </w:p>
    <w:p w14:paraId="641987CF" w14:textId="77777777" w:rsidR="0000192B" w:rsidRDefault="0000192B" w:rsidP="00675669">
      <w:pPr>
        <w:spacing w:line="360" w:lineRule="auto"/>
        <w:rPr>
          <w:rFonts w:ascii="Arial" w:hAnsi="Arial" w:cs="Arial"/>
          <w:color w:val="000000" w:themeColor="text1"/>
          <w:sz w:val="22"/>
          <w:szCs w:val="22"/>
        </w:rPr>
      </w:pPr>
    </w:p>
    <w:p w14:paraId="2C37D4F9" w14:textId="77777777" w:rsidR="0000192B" w:rsidRDefault="0000192B" w:rsidP="00675669">
      <w:pPr>
        <w:spacing w:line="360" w:lineRule="auto"/>
        <w:rPr>
          <w:rFonts w:ascii="Arial" w:hAnsi="Arial" w:cs="Arial"/>
          <w:color w:val="000000" w:themeColor="text1"/>
          <w:sz w:val="22"/>
          <w:szCs w:val="22"/>
        </w:rPr>
      </w:pPr>
    </w:p>
    <w:p w14:paraId="055D9F88" w14:textId="77777777" w:rsidR="0000192B" w:rsidRDefault="0000192B" w:rsidP="00675669">
      <w:pPr>
        <w:spacing w:line="360" w:lineRule="auto"/>
        <w:rPr>
          <w:rFonts w:ascii="Arial" w:hAnsi="Arial" w:cs="Arial"/>
          <w:color w:val="000000" w:themeColor="text1"/>
          <w:sz w:val="22"/>
          <w:szCs w:val="22"/>
        </w:rPr>
      </w:pPr>
    </w:p>
    <w:p w14:paraId="574EB0E8" w14:textId="77777777" w:rsidR="0000192B" w:rsidRDefault="0000192B" w:rsidP="00675669">
      <w:pPr>
        <w:spacing w:line="360" w:lineRule="auto"/>
        <w:rPr>
          <w:rFonts w:ascii="Arial" w:hAnsi="Arial" w:cs="Arial"/>
          <w:color w:val="000000" w:themeColor="text1"/>
          <w:sz w:val="22"/>
          <w:szCs w:val="22"/>
        </w:rPr>
      </w:pPr>
    </w:p>
    <w:p w14:paraId="04756B50" w14:textId="77777777" w:rsidR="0000192B" w:rsidRDefault="0000192B" w:rsidP="00675669">
      <w:pPr>
        <w:spacing w:line="360" w:lineRule="auto"/>
        <w:rPr>
          <w:rFonts w:ascii="Arial" w:hAnsi="Arial" w:cs="Arial"/>
          <w:color w:val="000000" w:themeColor="text1"/>
          <w:sz w:val="22"/>
          <w:szCs w:val="22"/>
        </w:rPr>
      </w:pPr>
    </w:p>
    <w:p w14:paraId="22BFBA6C" w14:textId="77777777" w:rsidR="0000192B" w:rsidRDefault="0000192B" w:rsidP="00675669">
      <w:pPr>
        <w:spacing w:line="360" w:lineRule="auto"/>
        <w:rPr>
          <w:rFonts w:ascii="Arial" w:hAnsi="Arial" w:cs="Arial"/>
          <w:color w:val="000000" w:themeColor="text1"/>
          <w:sz w:val="22"/>
          <w:szCs w:val="22"/>
        </w:rPr>
      </w:pPr>
    </w:p>
    <w:p w14:paraId="5E80CD00" w14:textId="77777777" w:rsidR="0000192B" w:rsidRDefault="0000192B" w:rsidP="00675669">
      <w:pPr>
        <w:spacing w:line="360" w:lineRule="auto"/>
        <w:rPr>
          <w:rFonts w:ascii="Arial" w:hAnsi="Arial" w:cs="Arial"/>
          <w:color w:val="000000" w:themeColor="text1"/>
          <w:sz w:val="22"/>
          <w:szCs w:val="22"/>
        </w:rPr>
      </w:pPr>
    </w:p>
    <w:p w14:paraId="1674CDA3" w14:textId="77777777" w:rsidR="0000192B" w:rsidRDefault="0000192B" w:rsidP="00675669">
      <w:pPr>
        <w:spacing w:line="360" w:lineRule="auto"/>
        <w:rPr>
          <w:rFonts w:ascii="Arial" w:hAnsi="Arial" w:cs="Arial"/>
          <w:color w:val="000000" w:themeColor="text1"/>
          <w:sz w:val="22"/>
          <w:szCs w:val="22"/>
        </w:rPr>
      </w:pPr>
    </w:p>
    <w:p w14:paraId="4E37C185" w14:textId="77777777" w:rsidR="0000192B" w:rsidRDefault="0000192B" w:rsidP="00675669">
      <w:pPr>
        <w:spacing w:line="360" w:lineRule="auto"/>
        <w:rPr>
          <w:rFonts w:ascii="Arial" w:hAnsi="Arial" w:cs="Arial"/>
          <w:color w:val="000000" w:themeColor="text1"/>
          <w:sz w:val="22"/>
          <w:szCs w:val="22"/>
        </w:rPr>
      </w:pPr>
    </w:p>
    <w:p w14:paraId="6553C82F" w14:textId="77777777" w:rsidR="0000192B" w:rsidRDefault="0000192B" w:rsidP="00675669">
      <w:pPr>
        <w:spacing w:line="360" w:lineRule="auto"/>
        <w:rPr>
          <w:rFonts w:ascii="Arial" w:hAnsi="Arial" w:cs="Arial"/>
          <w:color w:val="000000" w:themeColor="text1"/>
          <w:sz w:val="22"/>
          <w:szCs w:val="22"/>
        </w:rPr>
      </w:pPr>
    </w:p>
    <w:p w14:paraId="0B3B0A70" w14:textId="77777777" w:rsidR="0000192B" w:rsidRDefault="0000192B" w:rsidP="00675669">
      <w:pPr>
        <w:spacing w:line="360" w:lineRule="auto"/>
        <w:rPr>
          <w:rFonts w:ascii="Arial" w:hAnsi="Arial" w:cs="Arial"/>
          <w:color w:val="000000" w:themeColor="text1"/>
          <w:sz w:val="22"/>
          <w:szCs w:val="22"/>
        </w:rPr>
      </w:pPr>
    </w:p>
    <w:p w14:paraId="30925E17" w14:textId="77777777" w:rsidR="0000192B" w:rsidRDefault="0000192B" w:rsidP="00675669">
      <w:pPr>
        <w:spacing w:line="360" w:lineRule="auto"/>
        <w:rPr>
          <w:rFonts w:ascii="Arial" w:hAnsi="Arial" w:cs="Arial"/>
          <w:color w:val="000000" w:themeColor="text1"/>
          <w:sz w:val="22"/>
          <w:szCs w:val="22"/>
        </w:rPr>
      </w:pPr>
    </w:p>
    <w:p w14:paraId="2CFED7D7" w14:textId="77777777" w:rsidR="0000192B" w:rsidRDefault="0000192B" w:rsidP="00675669">
      <w:pPr>
        <w:spacing w:line="360" w:lineRule="auto"/>
        <w:rPr>
          <w:rFonts w:ascii="Arial" w:hAnsi="Arial" w:cs="Arial"/>
          <w:color w:val="000000" w:themeColor="text1"/>
          <w:sz w:val="22"/>
          <w:szCs w:val="22"/>
        </w:rPr>
      </w:pPr>
    </w:p>
    <w:p w14:paraId="0C699748" w14:textId="77777777" w:rsidR="0000192B" w:rsidRDefault="0000192B" w:rsidP="00675669">
      <w:pPr>
        <w:spacing w:line="360" w:lineRule="auto"/>
        <w:rPr>
          <w:rFonts w:ascii="Arial" w:hAnsi="Arial" w:cs="Arial"/>
          <w:color w:val="000000" w:themeColor="text1"/>
          <w:sz w:val="22"/>
          <w:szCs w:val="22"/>
        </w:rPr>
      </w:pPr>
    </w:p>
    <w:p w14:paraId="49FA6368" w14:textId="77777777" w:rsidR="0000192B" w:rsidRDefault="0000192B" w:rsidP="00675669">
      <w:pPr>
        <w:spacing w:line="360" w:lineRule="auto"/>
        <w:rPr>
          <w:rFonts w:ascii="Arial" w:hAnsi="Arial" w:cs="Arial"/>
          <w:color w:val="000000" w:themeColor="text1"/>
          <w:sz w:val="22"/>
          <w:szCs w:val="22"/>
        </w:rPr>
      </w:pPr>
    </w:p>
    <w:p w14:paraId="78BEC928" w14:textId="77777777" w:rsidR="0000192B" w:rsidRPr="001A1B89" w:rsidRDefault="0000192B" w:rsidP="00675669">
      <w:pPr>
        <w:spacing w:line="360" w:lineRule="auto"/>
        <w:rPr>
          <w:rFonts w:ascii="Arial" w:hAnsi="Arial" w:cs="Arial"/>
          <w:color w:val="000000" w:themeColor="text1"/>
          <w:sz w:val="22"/>
          <w:szCs w:val="22"/>
        </w:rPr>
      </w:pPr>
    </w:p>
    <w:p w14:paraId="62676C9B" w14:textId="755B20C8" w:rsidR="00535FAA" w:rsidRPr="00AC1B78" w:rsidRDefault="00535FAA" w:rsidP="00535FAA">
      <w:pPr>
        <w:pStyle w:val="Heading2"/>
        <w:rPr>
          <w:rFonts w:ascii="Arial" w:hAnsi="Arial" w:cs="Arial"/>
          <w:color w:val="000000" w:themeColor="text1"/>
        </w:rPr>
      </w:pPr>
      <w:bookmarkStart w:id="25" w:name="_Toc235444609"/>
      <w:r w:rsidRPr="00AC1B78">
        <w:rPr>
          <w:rFonts w:ascii="Arial" w:hAnsi="Arial" w:cs="Arial"/>
          <w:color w:val="000000" w:themeColor="text1"/>
        </w:rPr>
        <w:lastRenderedPageBreak/>
        <w:t>Section 4.5: Implementation Timeline:</w:t>
      </w:r>
      <w:bookmarkEnd w:id="25"/>
    </w:p>
    <w:p w14:paraId="0B264F23" w14:textId="006893E8" w:rsidR="006423A6" w:rsidRDefault="00535FAA" w:rsidP="00675669">
      <w:pPr>
        <w:spacing w:line="360" w:lineRule="auto"/>
        <w:rPr>
          <w:rFonts w:ascii="Arial" w:hAnsi="Arial" w:cs="Arial"/>
          <w:sz w:val="22"/>
          <w:szCs w:val="22"/>
        </w:rPr>
      </w:pPr>
      <w:r w:rsidRPr="00535FAA">
        <w:rPr>
          <w:rFonts w:ascii="Arial" w:hAnsi="Arial" w:cs="Arial"/>
          <w:sz w:val="22"/>
          <w:szCs w:val="22"/>
        </w:rPr>
        <w:t>Successful transformation requires clear sequencing and timing of activities. The following timeline provides a structured approach to implementing the change management plan.</w:t>
      </w:r>
    </w:p>
    <w:p w14:paraId="5A2EBE1A" w14:textId="1460B49E" w:rsidR="00152EF3" w:rsidRPr="00AC1B78" w:rsidRDefault="00152EF3" w:rsidP="00152EF3">
      <w:pPr>
        <w:pStyle w:val="Heading2"/>
        <w:rPr>
          <w:rFonts w:ascii="Arial" w:hAnsi="Arial" w:cs="Arial"/>
          <w:color w:val="000000" w:themeColor="text1"/>
        </w:rPr>
      </w:pPr>
      <w:bookmarkStart w:id="26" w:name="_Toc235444610"/>
      <w:r w:rsidRPr="00AC1B78">
        <w:rPr>
          <w:rFonts w:ascii="Arial" w:hAnsi="Arial" w:cs="Arial"/>
          <w:color w:val="000000" w:themeColor="text1"/>
        </w:rPr>
        <w:t>Figure 8: Table 8: Bentley Transformation Implementation Timeline:</w:t>
      </w:r>
      <w:bookmarkEnd w:id="26"/>
    </w:p>
    <w:tbl>
      <w:tblPr>
        <w:tblStyle w:val="GridTable4-Accent4"/>
        <w:tblW w:w="10201" w:type="dxa"/>
        <w:tblLook w:val="04A0" w:firstRow="1" w:lastRow="0" w:firstColumn="1" w:lastColumn="0" w:noHBand="0" w:noVBand="1"/>
      </w:tblPr>
      <w:tblGrid>
        <w:gridCol w:w="2254"/>
        <w:gridCol w:w="1569"/>
        <w:gridCol w:w="2939"/>
        <w:gridCol w:w="3439"/>
      </w:tblGrid>
      <w:tr w:rsidR="008878AB" w14:paraId="2778C2D7" w14:textId="77777777" w:rsidTr="004F0A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FF20D7" w14:textId="7AC084B0" w:rsidR="008878AB" w:rsidRDefault="00CB4246" w:rsidP="008878AB">
            <w:pPr>
              <w:spacing w:line="360" w:lineRule="auto"/>
              <w:rPr>
                <w:rFonts w:ascii="Arial" w:hAnsi="Arial" w:cs="Arial"/>
                <w:sz w:val="22"/>
                <w:szCs w:val="22"/>
              </w:rPr>
            </w:pPr>
            <w:r w:rsidRPr="00CB4246">
              <w:rPr>
                <w:rFonts w:ascii="Arial" w:hAnsi="Arial" w:cs="Arial"/>
                <w:sz w:val="22"/>
                <w:szCs w:val="22"/>
              </w:rPr>
              <w:t xml:space="preserve">Phase </w:t>
            </w:r>
          </w:p>
        </w:tc>
        <w:tc>
          <w:tcPr>
            <w:tcW w:w="1569" w:type="dxa"/>
          </w:tcPr>
          <w:p w14:paraId="469B9F4A" w14:textId="08E3C6FB" w:rsidR="008878AB" w:rsidRDefault="00CB4246" w:rsidP="008878A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B4246">
              <w:rPr>
                <w:rFonts w:ascii="Arial" w:hAnsi="Arial" w:cs="Arial"/>
                <w:sz w:val="22"/>
                <w:szCs w:val="22"/>
              </w:rPr>
              <w:t xml:space="preserve">Period </w:t>
            </w:r>
          </w:p>
        </w:tc>
        <w:tc>
          <w:tcPr>
            <w:tcW w:w="2939" w:type="dxa"/>
          </w:tcPr>
          <w:p w14:paraId="5B3AA2C9" w14:textId="271DFBFB" w:rsidR="008878AB" w:rsidRDefault="00CB4246" w:rsidP="008878A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B4246">
              <w:rPr>
                <w:rFonts w:ascii="Arial" w:hAnsi="Arial" w:cs="Arial"/>
                <w:sz w:val="22"/>
                <w:szCs w:val="22"/>
              </w:rPr>
              <w:t xml:space="preserve">Key Activities </w:t>
            </w:r>
          </w:p>
        </w:tc>
        <w:tc>
          <w:tcPr>
            <w:tcW w:w="3439" w:type="dxa"/>
          </w:tcPr>
          <w:p w14:paraId="7383EF1B" w14:textId="44588342" w:rsidR="008878AB" w:rsidRDefault="00CB4246" w:rsidP="008878A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B4246">
              <w:rPr>
                <w:rFonts w:ascii="Arial" w:hAnsi="Arial" w:cs="Arial"/>
                <w:sz w:val="22"/>
                <w:szCs w:val="22"/>
              </w:rPr>
              <w:t>Milestones</w:t>
            </w:r>
          </w:p>
        </w:tc>
      </w:tr>
      <w:tr w:rsidR="008878AB" w14:paraId="33813155" w14:textId="77777777" w:rsidTr="004F0A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ED77876" w14:textId="1206ED69" w:rsidR="008878AB" w:rsidRDefault="00B44809" w:rsidP="008878AB">
            <w:pPr>
              <w:spacing w:line="360" w:lineRule="auto"/>
              <w:rPr>
                <w:rFonts w:ascii="Arial" w:hAnsi="Arial" w:cs="Arial"/>
                <w:sz w:val="22"/>
                <w:szCs w:val="22"/>
              </w:rPr>
            </w:pPr>
            <w:r w:rsidRPr="00B44809">
              <w:rPr>
                <w:rFonts w:ascii="Arial" w:hAnsi="Arial" w:cs="Arial"/>
                <w:sz w:val="22"/>
                <w:szCs w:val="22"/>
              </w:rPr>
              <w:t xml:space="preserve">Phase 1: Foundation </w:t>
            </w:r>
          </w:p>
        </w:tc>
        <w:tc>
          <w:tcPr>
            <w:tcW w:w="1569" w:type="dxa"/>
          </w:tcPr>
          <w:p w14:paraId="0B353637" w14:textId="58B10263" w:rsidR="008878AB" w:rsidRDefault="00B44809"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4809">
              <w:rPr>
                <w:rFonts w:ascii="Arial" w:hAnsi="Arial" w:cs="Arial"/>
                <w:sz w:val="22"/>
                <w:szCs w:val="22"/>
              </w:rPr>
              <w:t xml:space="preserve">Q3-Q4 2026 </w:t>
            </w:r>
          </w:p>
        </w:tc>
        <w:tc>
          <w:tcPr>
            <w:tcW w:w="2939" w:type="dxa"/>
          </w:tcPr>
          <w:p w14:paraId="136D8C50" w14:textId="61F0E5C6" w:rsidR="008878AB" w:rsidRDefault="00B44809"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4809">
              <w:rPr>
                <w:rFonts w:ascii="Arial" w:hAnsi="Arial" w:cs="Arial"/>
                <w:sz w:val="22"/>
                <w:szCs w:val="22"/>
              </w:rPr>
              <w:t xml:space="preserve">BEV reveal, consultation process, stakeholder engagement </w:t>
            </w:r>
          </w:p>
        </w:tc>
        <w:tc>
          <w:tcPr>
            <w:tcW w:w="3439" w:type="dxa"/>
          </w:tcPr>
          <w:p w14:paraId="6CAC929B" w14:textId="71ABC9B9" w:rsidR="008878AB" w:rsidRDefault="00A02E5B"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02E5B">
              <w:rPr>
                <w:rFonts w:ascii="Arial" w:hAnsi="Arial" w:cs="Arial"/>
                <w:sz w:val="22"/>
                <w:szCs w:val="22"/>
              </w:rPr>
              <w:t>BEV reveal completed, job cut consultation concluded</w:t>
            </w:r>
          </w:p>
        </w:tc>
      </w:tr>
      <w:tr w:rsidR="008878AB" w14:paraId="4B4D5962" w14:textId="77777777" w:rsidTr="004F0A03">
        <w:tc>
          <w:tcPr>
            <w:cnfStyle w:val="001000000000" w:firstRow="0" w:lastRow="0" w:firstColumn="1" w:lastColumn="0" w:oddVBand="0" w:evenVBand="0" w:oddHBand="0" w:evenHBand="0" w:firstRowFirstColumn="0" w:firstRowLastColumn="0" w:lastRowFirstColumn="0" w:lastRowLastColumn="0"/>
            <w:tcW w:w="2254" w:type="dxa"/>
          </w:tcPr>
          <w:p w14:paraId="7E4E4871" w14:textId="271F1CC4" w:rsidR="008878AB" w:rsidRDefault="00A02E5B" w:rsidP="008878AB">
            <w:pPr>
              <w:spacing w:line="360" w:lineRule="auto"/>
              <w:rPr>
                <w:rFonts w:ascii="Arial" w:hAnsi="Arial" w:cs="Arial"/>
                <w:sz w:val="22"/>
                <w:szCs w:val="22"/>
              </w:rPr>
            </w:pPr>
            <w:r w:rsidRPr="00A02E5B">
              <w:rPr>
                <w:rFonts w:ascii="Arial" w:hAnsi="Arial" w:cs="Arial"/>
                <w:sz w:val="22"/>
                <w:szCs w:val="22"/>
              </w:rPr>
              <w:t xml:space="preserve">Phase 2: Transition </w:t>
            </w:r>
          </w:p>
        </w:tc>
        <w:tc>
          <w:tcPr>
            <w:tcW w:w="1569" w:type="dxa"/>
          </w:tcPr>
          <w:p w14:paraId="1C3E0A98" w14:textId="6EA448CF" w:rsidR="008878AB" w:rsidRDefault="00A02E5B"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02E5B">
              <w:rPr>
                <w:rFonts w:ascii="Arial" w:hAnsi="Arial" w:cs="Arial"/>
                <w:sz w:val="22"/>
                <w:szCs w:val="22"/>
              </w:rPr>
              <w:t xml:space="preserve">Q1-Q4 2027 </w:t>
            </w:r>
          </w:p>
        </w:tc>
        <w:tc>
          <w:tcPr>
            <w:tcW w:w="2939" w:type="dxa"/>
          </w:tcPr>
          <w:p w14:paraId="1329204B" w14:textId="39DB72C2" w:rsidR="008878AB" w:rsidRDefault="00A02E5B"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02E5B">
              <w:rPr>
                <w:rFonts w:ascii="Arial" w:hAnsi="Arial" w:cs="Arial"/>
                <w:sz w:val="22"/>
                <w:szCs w:val="22"/>
              </w:rPr>
              <w:t xml:space="preserve">First BEV deliveries, Paint Shop opening, skills development </w:t>
            </w:r>
          </w:p>
        </w:tc>
        <w:tc>
          <w:tcPr>
            <w:tcW w:w="3439" w:type="dxa"/>
          </w:tcPr>
          <w:p w14:paraId="2BC8A421" w14:textId="32CE4D07" w:rsidR="008878AB" w:rsidRDefault="00A02E5B"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02E5B">
              <w:rPr>
                <w:rFonts w:ascii="Arial" w:hAnsi="Arial" w:cs="Arial"/>
                <w:sz w:val="22"/>
                <w:szCs w:val="22"/>
              </w:rPr>
              <w:t>First customer deliveries, new Paint Shop operational</w:t>
            </w:r>
          </w:p>
        </w:tc>
      </w:tr>
      <w:tr w:rsidR="008878AB" w14:paraId="78614C34" w14:textId="77777777" w:rsidTr="004F0A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16AE4CF" w14:textId="4C0A5F98" w:rsidR="008878AB" w:rsidRDefault="007F0DB0" w:rsidP="008878AB">
            <w:pPr>
              <w:spacing w:line="360" w:lineRule="auto"/>
              <w:rPr>
                <w:rFonts w:ascii="Arial" w:hAnsi="Arial" w:cs="Arial"/>
                <w:sz w:val="22"/>
                <w:szCs w:val="22"/>
              </w:rPr>
            </w:pPr>
            <w:r w:rsidRPr="007F0DB0">
              <w:rPr>
                <w:rFonts w:ascii="Arial" w:hAnsi="Arial" w:cs="Arial"/>
                <w:sz w:val="22"/>
                <w:szCs w:val="22"/>
              </w:rPr>
              <w:t xml:space="preserve">Phase 3: Acceleration </w:t>
            </w:r>
          </w:p>
        </w:tc>
        <w:tc>
          <w:tcPr>
            <w:tcW w:w="1569" w:type="dxa"/>
          </w:tcPr>
          <w:p w14:paraId="2CD8BBBB" w14:textId="47F89C71" w:rsidR="008878AB" w:rsidRDefault="007F0DB0"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F0DB0">
              <w:rPr>
                <w:rFonts w:ascii="Arial" w:hAnsi="Arial" w:cs="Arial"/>
                <w:sz w:val="22"/>
                <w:szCs w:val="22"/>
              </w:rPr>
              <w:t xml:space="preserve">2028-2030 </w:t>
            </w:r>
          </w:p>
        </w:tc>
        <w:tc>
          <w:tcPr>
            <w:tcW w:w="2939" w:type="dxa"/>
          </w:tcPr>
          <w:p w14:paraId="11A6C962" w14:textId="760A7EE6" w:rsidR="008878AB" w:rsidRDefault="007F0DB0"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F0DB0">
              <w:rPr>
                <w:rFonts w:ascii="Arial" w:hAnsi="Arial" w:cs="Arial"/>
                <w:sz w:val="22"/>
                <w:szCs w:val="22"/>
              </w:rPr>
              <w:t xml:space="preserve">Annual product launches, digital transformation, sustainability milestones </w:t>
            </w:r>
          </w:p>
        </w:tc>
        <w:tc>
          <w:tcPr>
            <w:tcW w:w="3439" w:type="dxa"/>
          </w:tcPr>
          <w:p w14:paraId="46885CEA" w14:textId="0BB337C4" w:rsidR="008878AB" w:rsidRDefault="007F0DB0"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F0DB0">
              <w:rPr>
                <w:rFonts w:ascii="Arial" w:hAnsi="Arial" w:cs="Arial"/>
                <w:sz w:val="22"/>
                <w:szCs w:val="22"/>
              </w:rPr>
              <w:t>Fleet CO</w:t>
            </w:r>
            <w:r w:rsidRPr="007F0DB0">
              <w:rPr>
                <w:rFonts w:ascii="Cambria Math" w:hAnsi="Cambria Math" w:cs="Cambria Math"/>
                <w:sz w:val="22"/>
                <w:szCs w:val="22"/>
              </w:rPr>
              <w:t>₂</w:t>
            </w:r>
            <w:r w:rsidRPr="007F0DB0">
              <w:rPr>
                <w:rFonts w:ascii="Arial" w:hAnsi="Arial" w:cs="Arial"/>
                <w:sz w:val="22"/>
                <w:szCs w:val="22"/>
              </w:rPr>
              <w:t xml:space="preserve"> reductions, digital capabilities embedded</w:t>
            </w:r>
          </w:p>
        </w:tc>
      </w:tr>
      <w:tr w:rsidR="008878AB" w14:paraId="43059B2F" w14:textId="77777777" w:rsidTr="004F0A03">
        <w:tc>
          <w:tcPr>
            <w:cnfStyle w:val="001000000000" w:firstRow="0" w:lastRow="0" w:firstColumn="1" w:lastColumn="0" w:oddVBand="0" w:evenVBand="0" w:oddHBand="0" w:evenHBand="0" w:firstRowFirstColumn="0" w:firstRowLastColumn="0" w:lastRowFirstColumn="0" w:lastRowLastColumn="0"/>
            <w:tcW w:w="2254" w:type="dxa"/>
          </w:tcPr>
          <w:p w14:paraId="47B566DE" w14:textId="3CD43C3D" w:rsidR="008878AB" w:rsidRDefault="00067B19" w:rsidP="008878AB">
            <w:pPr>
              <w:spacing w:line="360" w:lineRule="auto"/>
              <w:rPr>
                <w:rFonts w:ascii="Arial" w:hAnsi="Arial" w:cs="Arial"/>
                <w:sz w:val="22"/>
                <w:szCs w:val="22"/>
              </w:rPr>
            </w:pPr>
            <w:r w:rsidRPr="00067B19">
              <w:rPr>
                <w:rFonts w:ascii="Arial" w:hAnsi="Arial" w:cs="Arial"/>
                <w:sz w:val="22"/>
                <w:szCs w:val="22"/>
              </w:rPr>
              <w:t xml:space="preserve">Phase 4: Maturity </w:t>
            </w:r>
          </w:p>
        </w:tc>
        <w:tc>
          <w:tcPr>
            <w:tcW w:w="1569" w:type="dxa"/>
          </w:tcPr>
          <w:p w14:paraId="153835C8" w14:textId="09C5375A" w:rsidR="008878AB" w:rsidRDefault="00067B19"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67B19">
              <w:rPr>
                <w:rFonts w:ascii="Arial" w:hAnsi="Arial" w:cs="Arial"/>
                <w:sz w:val="22"/>
                <w:szCs w:val="22"/>
              </w:rPr>
              <w:t xml:space="preserve">2031-2035 </w:t>
            </w:r>
          </w:p>
        </w:tc>
        <w:tc>
          <w:tcPr>
            <w:tcW w:w="2939" w:type="dxa"/>
          </w:tcPr>
          <w:p w14:paraId="2873F90C" w14:textId="77556A67" w:rsidR="008878AB" w:rsidRDefault="00DE65AE"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E65AE">
              <w:rPr>
                <w:rFonts w:ascii="Arial" w:hAnsi="Arial" w:cs="Arial"/>
                <w:sz w:val="22"/>
                <w:szCs w:val="22"/>
              </w:rPr>
              <w:t xml:space="preserve">Full electrification, cultural embedding, market leadership </w:t>
            </w:r>
          </w:p>
        </w:tc>
        <w:tc>
          <w:tcPr>
            <w:tcW w:w="3439" w:type="dxa"/>
          </w:tcPr>
          <w:p w14:paraId="04260E77" w14:textId="22DFE901" w:rsidR="008878AB" w:rsidRDefault="00DE65AE"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E65AE">
              <w:rPr>
                <w:rFonts w:ascii="Arial" w:hAnsi="Arial" w:cs="Arial"/>
                <w:sz w:val="22"/>
                <w:szCs w:val="22"/>
              </w:rPr>
              <w:t>Full BEV portfolio, sustainability leadership recognised</w:t>
            </w:r>
          </w:p>
        </w:tc>
      </w:tr>
      <w:tr w:rsidR="008878AB" w14:paraId="135C85F9" w14:textId="77777777" w:rsidTr="004F0A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1F3D81" w14:textId="4CFF34B1" w:rsidR="008878AB" w:rsidRDefault="00465F7C" w:rsidP="008878AB">
            <w:pPr>
              <w:spacing w:line="360" w:lineRule="auto"/>
              <w:rPr>
                <w:rFonts w:ascii="Arial" w:hAnsi="Arial" w:cs="Arial"/>
                <w:sz w:val="22"/>
                <w:szCs w:val="22"/>
              </w:rPr>
            </w:pPr>
            <w:r w:rsidRPr="00465F7C">
              <w:rPr>
                <w:rFonts w:ascii="Arial" w:hAnsi="Arial" w:cs="Arial"/>
                <w:sz w:val="22"/>
                <w:szCs w:val="22"/>
              </w:rPr>
              <w:t xml:space="preserve">Phase 5: Future </w:t>
            </w:r>
          </w:p>
        </w:tc>
        <w:tc>
          <w:tcPr>
            <w:tcW w:w="1569" w:type="dxa"/>
          </w:tcPr>
          <w:p w14:paraId="4E875920" w14:textId="0869F7D5" w:rsidR="008878AB" w:rsidRDefault="00465F7C"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5F7C">
              <w:rPr>
                <w:rFonts w:ascii="Arial" w:hAnsi="Arial" w:cs="Arial"/>
                <w:sz w:val="22"/>
                <w:szCs w:val="22"/>
              </w:rPr>
              <w:t xml:space="preserve">2035+ </w:t>
            </w:r>
          </w:p>
        </w:tc>
        <w:tc>
          <w:tcPr>
            <w:tcW w:w="2939" w:type="dxa"/>
          </w:tcPr>
          <w:p w14:paraId="3973039B" w14:textId="71FA9490" w:rsidR="008878AB" w:rsidRDefault="00465F7C"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5F7C">
              <w:rPr>
                <w:rFonts w:ascii="Arial" w:hAnsi="Arial" w:cs="Arial"/>
                <w:sz w:val="22"/>
                <w:szCs w:val="22"/>
              </w:rPr>
              <w:t xml:space="preserve">Continuous improvement, new mobility services, innovation </w:t>
            </w:r>
          </w:p>
        </w:tc>
        <w:tc>
          <w:tcPr>
            <w:tcW w:w="3439" w:type="dxa"/>
          </w:tcPr>
          <w:p w14:paraId="0C5E2921" w14:textId="3522488E" w:rsidR="008878AB" w:rsidRDefault="004F0A03"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F0A03">
              <w:rPr>
                <w:rFonts w:ascii="Arial" w:hAnsi="Arial" w:cs="Arial"/>
                <w:sz w:val="22"/>
                <w:szCs w:val="22"/>
              </w:rPr>
              <w:t>Full electrification achieved, new business models explored</w:t>
            </w:r>
          </w:p>
        </w:tc>
      </w:tr>
    </w:tbl>
    <w:p w14:paraId="0FB88891" w14:textId="594034B5" w:rsidR="00152EF3" w:rsidRPr="00AC1B78" w:rsidRDefault="00C25402" w:rsidP="008878AB">
      <w:pPr>
        <w:spacing w:line="360" w:lineRule="auto"/>
        <w:rPr>
          <w:rFonts w:ascii="Arial" w:hAnsi="Arial" w:cs="Arial"/>
          <w:color w:val="000000" w:themeColor="text1"/>
          <w:sz w:val="22"/>
          <w:szCs w:val="22"/>
        </w:rPr>
      </w:pPr>
      <w:r w:rsidRPr="00AC1B78">
        <w:rPr>
          <w:rFonts w:ascii="Arial" w:hAnsi="Arial" w:cs="Arial"/>
          <w:color w:val="000000" w:themeColor="text1"/>
          <w:sz w:val="22"/>
          <w:szCs w:val="22"/>
        </w:rPr>
        <w:t xml:space="preserve">“Bentley’s Beyond100 strategy estimated timeline table </w:t>
      </w:r>
      <w:r w:rsidR="003B51F7" w:rsidRPr="00AC1B78">
        <w:rPr>
          <w:rFonts w:ascii="Arial" w:hAnsi="Arial" w:cs="Arial"/>
          <w:color w:val="000000" w:themeColor="text1"/>
          <w:sz w:val="22"/>
          <w:szCs w:val="22"/>
        </w:rPr>
        <w:t xml:space="preserve">indicator according to” (Bentley Motors,2026).  </w:t>
      </w:r>
    </w:p>
    <w:p w14:paraId="4A2AC573" w14:textId="76E06C1A" w:rsidR="00D73500" w:rsidRPr="00AC1B78" w:rsidRDefault="00C83860" w:rsidP="008878AB">
      <w:pPr>
        <w:spacing w:line="360" w:lineRule="auto"/>
        <w:rPr>
          <w:rFonts w:ascii="Arial" w:hAnsi="Arial" w:cs="Arial"/>
          <w:color w:val="000000" w:themeColor="text1"/>
          <w:sz w:val="22"/>
          <w:szCs w:val="22"/>
        </w:rPr>
      </w:pPr>
      <w:r w:rsidRPr="00AC1B78">
        <w:rPr>
          <w:rFonts w:ascii="Arial" w:hAnsi="Arial" w:cs="Arial"/>
          <w:color w:val="000000" w:themeColor="text1"/>
          <w:sz w:val="22"/>
          <w:szCs w:val="22"/>
        </w:rPr>
        <w:t>The timeline acknowledges that transformation is not a one-time event but an ongoing journey. The first BEV reveal in 2026 represents a critical milestone that must be achieved to demonstrate commitment and progress. The subsequent phases build upon this foundation, with annual product launches sustaining momentum and delivering tangible results.</w:t>
      </w:r>
    </w:p>
    <w:p w14:paraId="3D9D6DC2" w14:textId="77777777" w:rsidR="00C83860" w:rsidRPr="00AC1B78" w:rsidRDefault="00C83860" w:rsidP="008878AB">
      <w:pPr>
        <w:spacing w:line="360" w:lineRule="auto"/>
        <w:rPr>
          <w:rFonts w:ascii="Arial" w:hAnsi="Arial" w:cs="Arial"/>
          <w:color w:val="000000" w:themeColor="text1"/>
          <w:sz w:val="22"/>
          <w:szCs w:val="22"/>
        </w:rPr>
      </w:pPr>
    </w:p>
    <w:p w14:paraId="1E9D6F8A" w14:textId="77777777" w:rsidR="00C83860" w:rsidRPr="00AC1B78" w:rsidRDefault="00C83860" w:rsidP="008878AB">
      <w:pPr>
        <w:spacing w:line="360" w:lineRule="auto"/>
        <w:rPr>
          <w:rFonts w:ascii="Arial" w:hAnsi="Arial" w:cs="Arial"/>
          <w:color w:val="000000" w:themeColor="text1"/>
          <w:sz w:val="22"/>
          <w:szCs w:val="22"/>
        </w:rPr>
      </w:pPr>
    </w:p>
    <w:p w14:paraId="390A417F" w14:textId="77777777" w:rsidR="00C83860" w:rsidRDefault="00C83860" w:rsidP="008878AB">
      <w:pPr>
        <w:spacing w:line="360" w:lineRule="auto"/>
        <w:rPr>
          <w:rFonts w:ascii="Arial" w:hAnsi="Arial" w:cs="Arial"/>
          <w:color w:val="000000" w:themeColor="text1"/>
          <w:sz w:val="22"/>
          <w:szCs w:val="22"/>
        </w:rPr>
      </w:pPr>
    </w:p>
    <w:p w14:paraId="60B68B2A" w14:textId="77777777" w:rsidR="00AC1B78" w:rsidRDefault="00AC1B78" w:rsidP="008878AB">
      <w:pPr>
        <w:spacing w:line="360" w:lineRule="auto"/>
        <w:rPr>
          <w:rFonts w:ascii="Arial" w:hAnsi="Arial" w:cs="Arial"/>
          <w:sz w:val="22"/>
          <w:szCs w:val="22"/>
        </w:rPr>
      </w:pPr>
    </w:p>
    <w:p w14:paraId="361906BF" w14:textId="27F73D78" w:rsidR="00C83860" w:rsidRPr="00AC1B78" w:rsidRDefault="00C83860" w:rsidP="00C83860">
      <w:pPr>
        <w:pStyle w:val="Heading2"/>
        <w:rPr>
          <w:rFonts w:ascii="Arial" w:hAnsi="Arial" w:cs="Arial"/>
          <w:color w:val="000000" w:themeColor="text1"/>
        </w:rPr>
      </w:pPr>
      <w:bookmarkStart w:id="27" w:name="_Toc235444611"/>
      <w:r w:rsidRPr="00AC1B78">
        <w:rPr>
          <w:rFonts w:ascii="Arial" w:hAnsi="Arial" w:cs="Arial"/>
          <w:color w:val="000000" w:themeColor="text1"/>
        </w:rPr>
        <w:lastRenderedPageBreak/>
        <w:t>Section 4.6: Risk Assessment and Mitigation:</w:t>
      </w:r>
      <w:bookmarkEnd w:id="27"/>
    </w:p>
    <w:p w14:paraId="1935B8B4" w14:textId="77777777" w:rsidR="003444C0" w:rsidRPr="00AC1B78" w:rsidRDefault="0034205E" w:rsidP="00C83860">
      <w:pPr>
        <w:spacing w:line="360" w:lineRule="auto"/>
        <w:rPr>
          <w:rFonts w:ascii="Arial" w:hAnsi="Arial" w:cs="Arial"/>
          <w:color w:val="000000" w:themeColor="text1"/>
          <w:sz w:val="22"/>
          <w:szCs w:val="22"/>
        </w:rPr>
      </w:pPr>
      <w:r w:rsidRPr="00AC1B78">
        <w:rPr>
          <w:rFonts w:ascii="Arial" w:hAnsi="Arial" w:cs="Arial"/>
          <w:color w:val="000000" w:themeColor="text1"/>
          <w:sz w:val="22"/>
          <w:szCs w:val="22"/>
        </w:rPr>
        <w:t xml:space="preserve">The transformation journey involves significant risks that must be identified, assessed, and mitigated. </w:t>
      </w:r>
    </w:p>
    <w:p w14:paraId="5DE1D07B" w14:textId="04D3E455" w:rsidR="00C83860" w:rsidRPr="00AC1B78" w:rsidRDefault="003444C0" w:rsidP="003A65EE">
      <w:pPr>
        <w:pStyle w:val="Heading2"/>
        <w:rPr>
          <w:rFonts w:ascii="Arial" w:hAnsi="Arial" w:cs="Arial"/>
          <w:color w:val="000000" w:themeColor="text1"/>
        </w:rPr>
      </w:pPr>
      <w:bookmarkStart w:id="28" w:name="_Toc235444612"/>
      <w:r w:rsidRPr="00AC1B78">
        <w:rPr>
          <w:rFonts w:ascii="Arial" w:hAnsi="Arial" w:cs="Arial"/>
          <w:color w:val="000000" w:themeColor="text1"/>
        </w:rPr>
        <w:t xml:space="preserve">Figure </w:t>
      </w:r>
      <w:r w:rsidR="003A65EE" w:rsidRPr="00AC1B78">
        <w:rPr>
          <w:rFonts w:ascii="Arial" w:hAnsi="Arial" w:cs="Arial"/>
          <w:color w:val="000000" w:themeColor="text1"/>
        </w:rPr>
        <w:t>9: Table</w:t>
      </w:r>
      <w:r w:rsidR="0034205E" w:rsidRPr="00AC1B78">
        <w:rPr>
          <w:rFonts w:ascii="Arial" w:hAnsi="Arial" w:cs="Arial"/>
          <w:color w:val="000000" w:themeColor="text1"/>
        </w:rPr>
        <w:t xml:space="preserve"> 9: Risk Assessment and Mitigation Strategies</w:t>
      </w:r>
      <w:r w:rsidRPr="00AC1B78">
        <w:rPr>
          <w:rFonts w:ascii="Arial" w:hAnsi="Arial" w:cs="Arial"/>
          <w:color w:val="000000" w:themeColor="text1"/>
        </w:rPr>
        <w:t>:</w:t>
      </w:r>
      <w:bookmarkEnd w:id="28"/>
    </w:p>
    <w:tbl>
      <w:tblPr>
        <w:tblStyle w:val="GridTable4-Accent6"/>
        <w:tblW w:w="10060" w:type="dxa"/>
        <w:tblLook w:val="04A0" w:firstRow="1" w:lastRow="0" w:firstColumn="1" w:lastColumn="0" w:noHBand="0" w:noVBand="1"/>
      </w:tblPr>
      <w:tblGrid>
        <w:gridCol w:w="2254"/>
        <w:gridCol w:w="1569"/>
        <w:gridCol w:w="1275"/>
        <w:gridCol w:w="4962"/>
      </w:tblGrid>
      <w:tr w:rsidR="006A6D44" w14:paraId="6DFF28E0" w14:textId="77777777" w:rsidTr="000B04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EDAF12F" w14:textId="226B2E18" w:rsidR="006A6D44" w:rsidRDefault="00E20539" w:rsidP="006A6D44">
            <w:pPr>
              <w:spacing w:line="360" w:lineRule="auto"/>
              <w:rPr>
                <w:rFonts w:ascii="Arial" w:hAnsi="Arial" w:cs="Arial"/>
                <w:sz w:val="22"/>
                <w:szCs w:val="22"/>
              </w:rPr>
            </w:pPr>
            <w:r w:rsidRPr="00E20539">
              <w:rPr>
                <w:rFonts w:ascii="Arial" w:hAnsi="Arial" w:cs="Arial"/>
                <w:sz w:val="22"/>
                <w:szCs w:val="22"/>
              </w:rPr>
              <w:t xml:space="preserve">Risk </w:t>
            </w:r>
          </w:p>
        </w:tc>
        <w:tc>
          <w:tcPr>
            <w:tcW w:w="1569" w:type="dxa"/>
          </w:tcPr>
          <w:p w14:paraId="40638505" w14:textId="1C40001C" w:rsidR="006A6D44" w:rsidRDefault="00E20539" w:rsidP="003A65E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20539">
              <w:rPr>
                <w:rFonts w:ascii="Arial" w:hAnsi="Arial" w:cs="Arial"/>
                <w:sz w:val="22"/>
                <w:szCs w:val="22"/>
              </w:rPr>
              <w:t xml:space="preserve">Probability </w:t>
            </w:r>
          </w:p>
        </w:tc>
        <w:tc>
          <w:tcPr>
            <w:tcW w:w="1275" w:type="dxa"/>
          </w:tcPr>
          <w:p w14:paraId="44F2EEB4" w14:textId="38859A90" w:rsidR="006A6D44" w:rsidRDefault="00E20539" w:rsidP="003A65E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20539">
              <w:rPr>
                <w:rFonts w:ascii="Arial" w:hAnsi="Arial" w:cs="Arial"/>
                <w:sz w:val="22"/>
                <w:szCs w:val="22"/>
              </w:rPr>
              <w:t xml:space="preserve">Impact </w:t>
            </w:r>
          </w:p>
        </w:tc>
        <w:tc>
          <w:tcPr>
            <w:tcW w:w="4962" w:type="dxa"/>
          </w:tcPr>
          <w:p w14:paraId="36BC39B8" w14:textId="7887574F" w:rsidR="006A6D44" w:rsidRDefault="00E20539" w:rsidP="003A65E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20539">
              <w:rPr>
                <w:rFonts w:ascii="Arial" w:hAnsi="Arial" w:cs="Arial"/>
                <w:sz w:val="22"/>
                <w:szCs w:val="22"/>
              </w:rPr>
              <w:t>Mitigation Strategy</w:t>
            </w:r>
          </w:p>
        </w:tc>
      </w:tr>
      <w:tr w:rsidR="006A6D44" w14:paraId="7E77A933" w14:textId="77777777" w:rsidTr="000B0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0CFFBD4" w14:textId="2EC70FC5" w:rsidR="006A6D44" w:rsidRDefault="00765C6E" w:rsidP="003A65EE">
            <w:pPr>
              <w:spacing w:line="360" w:lineRule="auto"/>
              <w:rPr>
                <w:rFonts w:ascii="Arial" w:hAnsi="Arial" w:cs="Arial"/>
                <w:sz w:val="22"/>
                <w:szCs w:val="22"/>
              </w:rPr>
            </w:pPr>
            <w:r w:rsidRPr="00765C6E">
              <w:rPr>
                <w:rFonts w:ascii="Arial" w:hAnsi="Arial" w:cs="Arial"/>
                <w:sz w:val="22"/>
                <w:szCs w:val="22"/>
              </w:rPr>
              <w:t xml:space="preserve">Customer resistance to full electrification </w:t>
            </w:r>
          </w:p>
        </w:tc>
        <w:tc>
          <w:tcPr>
            <w:tcW w:w="1569" w:type="dxa"/>
          </w:tcPr>
          <w:p w14:paraId="75FCE7ED" w14:textId="392168D2" w:rsidR="006A6D44" w:rsidRDefault="00765C6E"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65C6E">
              <w:rPr>
                <w:rFonts w:ascii="Arial" w:hAnsi="Arial" w:cs="Arial"/>
                <w:sz w:val="22"/>
                <w:szCs w:val="22"/>
              </w:rPr>
              <w:t xml:space="preserve">High </w:t>
            </w:r>
          </w:p>
        </w:tc>
        <w:tc>
          <w:tcPr>
            <w:tcW w:w="1275" w:type="dxa"/>
          </w:tcPr>
          <w:p w14:paraId="025A6F4E" w14:textId="296D327D" w:rsidR="006A6D44" w:rsidRDefault="00765C6E"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65C6E">
              <w:rPr>
                <w:rFonts w:ascii="Arial" w:hAnsi="Arial" w:cs="Arial"/>
                <w:sz w:val="22"/>
                <w:szCs w:val="22"/>
              </w:rPr>
              <w:t xml:space="preserve">High </w:t>
            </w:r>
          </w:p>
        </w:tc>
        <w:tc>
          <w:tcPr>
            <w:tcW w:w="4962" w:type="dxa"/>
          </w:tcPr>
          <w:p w14:paraId="626CAEB8" w14:textId="3C800C90" w:rsidR="006A6D44" w:rsidRDefault="00765C6E"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65C6E">
              <w:rPr>
                <w:rFonts w:ascii="Arial" w:hAnsi="Arial" w:cs="Arial"/>
                <w:sz w:val="22"/>
                <w:szCs w:val="22"/>
              </w:rPr>
              <w:t xml:space="preserve">Maintain PHEV options as </w:t>
            </w:r>
            <w:r w:rsidR="00692AFE">
              <w:rPr>
                <w:rFonts w:ascii="Arial" w:hAnsi="Arial" w:cs="Arial"/>
                <w:sz w:val="22"/>
                <w:szCs w:val="22"/>
              </w:rPr>
              <w:t xml:space="preserve">a </w:t>
            </w:r>
            <w:r w:rsidRPr="00765C6E">
              <w:rPr>
                <w:rFonts w:ascii="Arial" w:hAnsi="Arial" w:cs="Arial"/>
                <w:sz w:val="22"/>
                <w:szCs w:val="22"/>
              </w:rPr>
              <w:t>bridge, communicate benefits effectively, customer education programme</w:t>
            </w:r>
            <w:r w:rsidR="00692AFE">
              <w:rPr>
                <w:rFonts w:ascii="Arial" w:hAnsi="Arial" w:cs="Arial"/>
                <w:sz w:val="22"/>
                <w:szCs w:val="22"/>
              </w:rPr>
              <w:t>.</w:t>
            </w:r>
          </w:p>
        </w:tc>
      </w:tr>
      <w:tr w:rsidR="006A6D44" w14:paraId="5D2B183B" w14:textId="77777777" w:rsidTr="000B04FE">
        <w:tc>
          <w:tcPr>
            <w:cnfStyle w:val="001000000000" w:firstRow="0" w:lastRow="0" w:firstColumn="1" w:lastColumn="0" w:oddVBand="0" w:evenVBand="0" w:oddHBand="0" w:evenHBand="0" w:firstRowFirstColumn="0" w:firstRowLastColumn="0" w:lastRowFirstColumn="0" w:lastRowLastColumn="0"/>
            <w:tcW w:w="2254" w:type="dxa"/>
          </w:tcPr>
          <w:p w14:paraId="4FA310FF" w14:textId="56735424" w:rsidR="006A6D44" w:rsidRDefault="00DC3812" w:rsidP="003A65EE">
            <w:pPr>
              <w:spacing w:line="360" w:lineRule="auto"/>
              <w:rPr>
                <w:rFonts w:ascii="Arial" w:hAnsi="Arial" w:cs="Arial"/>
                <w:sz w:val="22"/>
                <w:szCs w:val="22"/>
              </w:rPr>
            </w:pPr>
            <w:r w:rsidRPr="00DC3812">
              <w:rPr>
                <w:rFonts w:ascii="Arial" w:hAnsi="Arial" w:cs="Arial"/>
                <w:sz w:val="22"/>
                <w:szCs w:val="22"/>
              </w:rPr>
              <w:t xml:space="preserve">US tariff escalation </w:t>
            </w:r>
          </w:p>
        </w:tc>
        <w:tc>
          <w:tcPr>
            <w:tcW w:w="1569" w:type="dxa"/>
          </w:tcPr>
          <w:p w14:paraId="3DCFF010" w14:textId="04658D8A" w:rsidR="006A6D44" w:rsidRDefault="00DC3812"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C3812">
              <w:rPr>
                <w:rFonts w:ascii="Arial" w:hAnsi="Arial" w:cs="Arial"/>
                <w:sz w:val="22"/>
                <w:szCs w:val="22"/>
              </w:rPr>
              <w:t xml:space="preserve">Medium </w:t>
            </w:r>
          </w:p>
        </w:tc>
        <w:tc>
          <w:tcPr>
            <w:tcW w:w="1275" w:type="dxa"/>
          </w:tcPr>
          <w:p w14:paraId="6D395F17" w14:textId="71BB52C2" w:rsidR="006A6D44" w:rsidRDefault="00DC3812"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C3812">
              <w:rPr>
                <w:rFonts w:ascii="Arial" w:hAnsi="Arial" w:cs="Arial"/>
                <w:sz w:val="22"/>
                <w:szCs w:val="22"/>
              </w:rPr>
              <w:t xml:space="preserve">High </w:t>
            </w:r>
          </w:p>
        </w:tc>
        <w:tc>
          <w:tcPr>
            <w:tcW w:w="4962" w:type="dxa"/>
          </w:tcPr>
          <w:p w14:paraId="4D01E7EC" w14:textId="3A62D4AA" w:rsidR="006A6D44" w:rsidRDefault="00DC3812"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C3812">
              <w:rPr>
                <w:rFonts w:ascii="Arial" w:hAnsi="Arial" w:cs="Arial"/>
                <w:sz w:val="22"/>
                <w:szCs w:val="22"/>
              </w:rPr>
              <w:t>Localisation strategy, pricing flexibility, supply chain diversification</w:t>
            </w:r>
          </w:p>
        </w:tc>
      </w:tr>
      <w:tr w:rsidR="006A6D44" w14:paraId="1778DA15" w14:textId="77777777" w:rsidTr="000B0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94D84EC" w14:textId="427F4909" w:rsidR="006A6D44" w:rsidRDefault="00945089" w:rsidP="003A65EE">
            <w:pPr>
              <w:spacing w:line="360" w:lineRule="auto"/>
              <w:rPr>
                <w:rFonts w:ascii="Arial" w:hAnsi="Arial" w:cs="Arial"/>
                <w:sz w:val="22"/>
                <w:szCs w:val="22"/>
              </w:rPr>
            </w:pPr>
            <w:r w:rsidRPr="00945089">
              <w:rPr>
                <w:rFonts w:ascii="Arial" w:hAnsi="Arial" w:cs="Arial"/>
                <w:sz w:val="22"/>
                <w:szCs w:val="22"/>
              </w:rPr>
              <w:t xml:space="preserve">Chinese market contraction </w:t>
            </w:r>
          </w:p>
        </w:tc>
        <w:tc>
          <w:tcPr>
            <w:tcW w:w="1569" w:type="dxa"/>
          </w:tcPr>
          <w:p w14:paraId="0DF12462" w14:textId="4459C256" w:rsidR="006A6D44" w:rsidRDefault="0094508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45089">
              <w:rPr>
                <w:rFonts w:ascii="Arial" w:hAnsi="Arial" w:cs="Arial"/>
                <w:sz w:val="22"/>
                <w:szCs w:val="22"/>
              </w:rPr>
              <w:t xml:space="preserve">Medium </w:t>
            </w:r>
          </w:p>
        </w:tc>
        <w:tc>
          <w:tcPr>
            <w:tcW w:w="1275" w:type="dxa"/>
          </w:tcPr>
          <w:p w14:paraId="770D847D" w14:textId="0F470D81" w:rsidR="006A6D44" w:rsidRDefault="0094508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45089">
              <w:rPr>
                <w:rFonts w:ascii="Arial" w:hAnsi="Arial" w:cs="Arial"/>
                <w:sz w:val="22"/>
                <w:szCs w:val="22"/>
              </w:rPr>
              <w:t xml:space="preserve">High </w:t>
            </w:r>
          </w:p>
        </w:tc>
        <w:tc>
          <w:tcPr>
            <w:tcW w:w="4962" w:type="dxa"/>
          </w:tcPr>
          <w:p w14:paraId="5CA094C9" w14:textId="33DDD44C" w:rsidR="006A6D44" w:rsidRDefault="0094508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45089">
              <w:rPr>
                <w:rFonts w:ascii="Arial" w:hAnsi="Arial" w:cs="Arial"/>
                <w:sz w:val="22"/>
                <w:szCs w:val="22"/>
              </w:rPr>
              <w:t>Market diversification, local partnerships, flexible strategy</w:t>
            </w:r>
          </w:p>
        </w:tc>
      </w:tr>
      <w:tr w:rsidR="006A6D44" w14:paraId="48264A30" w14:textId="77777777" w:rsidTr="000B04FE">
        <w:tc>
          <w:tcPr>
            <w:cnfStyle w:val="001000000000" w:firstRow="0" w:lastRow="0" w:firstColumn="1" w:lastColumn="0" w:oddVBand="0" w:evenVBand="0" w:oddHBand="0" w:evenHBand="0" w:firstRowFirstColumn="0" w:firstRowLastColumn="0" w:lastRowFirstColumn="0" w:lastRowLastColumn="0"/>
            <w:tcW w:w="2254" w:type="dxa"/>
          </w:tcPr>
          <w:p w14:paraId="12532329" w14:textId="0DCA3C20" w:rsidR="006A6D44" w:rsidRDefault="00B11760" w:rsidP="003A65EE">
            <w:pPr>
              <w:spacing w:line="360" w:lineRule="auto"/>
              <w:rPr>
                <w:rFonts w:ascii="Arial" w:hAnsi="Arial" w:cs="Arial"/>
                <w:sz w:val="22"/>
                <w:szCs w:val="22"/>
              </w:rPr>
            </w:pPr>
            <w:r w:rsidRPr="00B11760">
              <w:rPr>
                <w:rFonts w:ascii="Arial" w:hAnsi="Arial" w:cs="Arial"/>
                <w:sz w:val="22"/>
                <w:szCs w:val="22"/>
              </w:rPr>
              <w:t xml:space="preserve">Technology disruption </w:t>
            </w:r>
          </w:p>
        </w:tc>
        <w:tc>
          <w:tcPr>
            <w:tcW w:w="1569" w:type="dxa"/>
          </w:tcPr>
          <w:p w14:paraId="1A7892F8" w14:textId="38BEBA44" w:rsidR="006A6D44" w:rsidRDefault="00B11760"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1760">
              <w:rPr>
                <w:rFonts w:ascii="Arial" w:hAnsi="Arial" w:cs="Arial"/>
                <w:sz w:val="22"/>
                <w:szCs w:val="22"/>
              </w:rPr>
              <w:t xml:space="preserve">Medium </w:t>
            </w:r>
          </w:p>
        </w:tc>
        <w:tc>
          <w:tcPr>
            <w:tcW w:w="1275" w:type="dxa"/>
          </w:tcPr>
          <w:p w14:paraId="1EAAFAFA" w14:textId="3F390EA9" w:rsidR="006A6D44" w:rsidRDefault="00B11760"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1760">
              <w:rPr>
                <w:rFonts w:ascii="Arial" w:hAnsi="Arial" w:cs="Arial"/>
                <w:sz w:val="22"/>
                <w:szCs w:val="22"/>
              </w:rPr>
              <w:t xml:space="preserve">Medium </w:t>
            </w:r>
          </w:p>
        </w:tc>
        <w:tc>
          <w:tcPr>
            <w:tcW w:w="4962" w:type="dxa"/>
          </w:tcPr>
          <w:p w14:paraId="206B1C38" w14:textId="0AF434B3" w:rsidR="006A6D44" w:rsidRDefault="00B11760"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1760">
              <w:rPr>
                <w:rFonts w:ascii="Arial" w:hAnsi="Arial" w:cs="Arial"/>
                <w:sz w:val="22"/>
                <w:szCs w:val="22"/>
              </w:rPr>
              <w:t>Flexible platform strategy, partnership with Capgemini, continuous innovation</w:t>
            </w:r>
          </w:p>
        </w:tc>
      </w:tr>
      <w:tr w:rsidR="006A6D44" w14:paraId="13D40166" w14:textId="77777777" w:rsidTr="000B0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FF8F5F7" w14:textId="1C9344BA" w:rsidR="006A6D44" w:rsidRDefault="00BB68B9" w:rsidP="003A65EE">
            <w:pPr>
              <w:spacing w:line="360" w:lineRule="auto"/>
              <w:rPr>
                <w:rFonts w:ascii="Arial" w:hAnsi="Arial" w:cs="Arial"/>
                <w:sz w:val="22"/>
                <w:szCs w:val="22"/>
              </w:rPr>
            </w:pPr>
            <w:r w:rsidRPr="00BB68B9">
              <w:rPr>
                <w:rFonts w:ascii="Arial" w:hAnsi="Arial" w:cs="Arial"/>
                <w:sz w:val="22"/>
                <w:szCs w:val="22"/>
              </w:rPr>
              <w:t xml:space="preserve">Talent retention </w:t>
            </w:r>
          </w:p>
        </w:tc>
        <w:tc>
          <w:tcPr>
            <w:tcW w:w="1569" w:type="dxa"/>
          </w:tcPr>
          <w:p w14:paraId="0D00FF77" w14:textId="61F4C1B1" w:rsidR="006A6D44" w:rsidRDefault="00BB68B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B68B9">
              <w:rPr>
                <w:rFonts w:ascii="Arial" w:hAnsi="Arial" w:cs="Arial"/>
                <w:sz w:val="22"/>
                <w:szCs w:val="22"/>
              </w:rPr>
              <w:t xml:space="preserve">Medium </w:t>
            </w:r>
          </w:p>
        </w:tc>
        <w:tc>
          <w:tcPr>
            <w:tcW w:w="1275" w:type="dxa"/>
          </w:tcPr>
          <w:p w14:paraId="7A554015" w14:textId="705A43C3" w:rsidR="006A6D44" w:rsidRDefault="00BB68B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B68B9">
              <w:rPr>
                <w:rFonts w:ascii="Arial" w:hAnsi="Arial" w:cs="Arial"/>
                <w:sz w:val="22"/>
                <w:szCs w:val="22"/>
              </w:rPr>
              <w:t xml:space="preserve">Medium </w:t>
            </w:r>
          </w:p>
        </w:tc>
        <w:tc>
          <w:tcPr>
            <w:tcW w:w="4962" w:type="dxa"/>
          </w:tcPr>
          <w:p w14:paraId="33886D40" w14:textId="0BC54F5B" w:rsidR="006A6D44" w:rsidRDefault="00BB68B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B68B9">
              <w:rPr>
                <w:rFonts w:ascii="Arial" w:hAnsi="Arial" w:cs="Arial"/>
                <w:sz w:val="22"/>
                <w:szCs w:val="22"/>
              </w:rPr>
              <w:t>Upskilling programmes, competitive packages, culture investment</w:t>
            </w:r>
          </w:p>
        </w:tc>
      </w:tr>
      <w:tr w:rsidR="006A6D44" w14:paraId="545DDF26" w14:textId="77777777" w:rsidTr="000B04FE">
        <w:tc>
          <w:tcPr>
            <w:cnfStyle w:val="001000000000" w:firstRow="0" w:lastRow="0" w:firstColumn="1" w:lastColumn="0" w:oddVBand="0" w:evenVBand="0" w:oddHBand="0" w:evenHBand="0" w:firstRowFirstColumn="0" w:firstRowLastColumn="0" w:lastRowFirstColumn="0" w:lastRowLastColumn="0"/>
            <w:tcW w:w="2254" w:type="dxa"/>
          </w:tcPr>
          <w:p w14:paraId="47467507" w14:textId="7818D368" w:rsidR="006A6D44" w:rsidRDefault="00B74696" w:rsidP="003A65EE">
            <w:pPr>
              <w:spacing w:line="360" w:lineRule="auto"/>
              <w:rPr>
                <w:rFonts w:ascii="Arial" w:hAnsi="Arial" w:cs="Arial"/>
                <w:sz w:val="22"/>
                <w:szCs w:val="22"/>
              </w:rPr>
            </w:pPr>
            <w:r w:rsidRPr="00B74696">
              <w:rPr>
                <w:rFonts w:ascii="Arial" w:hAnsi="Arial" w:cs="Arial"/>
                <w:sz w:val="22"/>
                <w:szCs w:val="22"/>
              </w:rPr>
              <w:t xml:space="preserve">Financial constraints </w:t>
            </w:r>
          </w:p>
        </w:tc>
        <w:tc>
          <w:tcPr>
            <w:tcW w:w="1569" w:type="dxa"/>
          </w:tcPr>
          <w:p w14:paraId="7504789D" w14:textId="6385625B" w:rsidR="006A6D44" w:rsidRDefault="00B74696"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74696">
              <w:rPr>
                <w:rFonts w:ascii="Arial" w:hAnsi="Arial" w:cs="Arial"/>
                <w:sz w:val="22"/>
                <w:szCs w:val="22"/>
              </w:rPr>
              <w:t xml:space="preserve">Medium </w:t>
            </w:r>
          </w:p>
        </w:tc>
        <w:tc>
          <w:tcPr>
            <w:tcW w:w="1275" w:type="dxa"/>
          </w:tcPr>
          <w:p w14:paraId="47940E87" w14:textId="3E36F8A4" w:rsidR="006A6D44" w:rsidRDefault="00B74696"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74696">
              <w:rPr>
                <w:rFonts w:ascii="Arial" w:hAnsi="Arial" w:cs="Arial"/>
                <w:sz w:val="22"/>
                <w:szCs w:val="22"/>
              </w:rPr>
              <w:t xml:space="preserve">High </w:t>
            </w:r>
          </w:p>
        </w:tc>
        <w:tc>
          <w:tcPr>
            <w:tcW w:w="4962" w:type="dxa"/>
          </w:tcPr>
          <w:p w14:paraId="15FE35AD" w14:textId="600C28C9" w:rsidR="006A6D44" w:rsidRDefault="00B74696"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74696">
              <w:rPr>
                <w:rFonts w:ascii="Arial" w:hAnsi="Arial" w:cs="Arial"/>
                <w:sz w:val="22"/>
                <w:szCs w:val="22"/>
              </w:rPr>
              <w:t>Value over volume strategy, cost management, self-funding approach</w:t>
            </w:r>
          </w:p>
        </w:tc>
      </w:tr>
      <w:tr w:rsidR="006A6D44" w:rsidRPr="00420DEC" w14:paraId="6F92EE8E" w14:textId="77777777" w:rsidTr="000B0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46A293" w14:textId="6F097A5A" w:rsidR="006A6D44" w:rsidRPr="00420DEC" w:rsidRDefault="00E46D09" w:rsidP="003A65EE">
            <w:pPr>
              <w:spacing w:line="360" w:lineRule="auto"/>
              <w:rPr>
                <w:rFonts w:ascii="Arial" w:hAnsi="Arial" w:cs="Arial"/>
                <w:color w:val="000000" w:themeColor="text1"/>
                <w:sz w:val="22"/>
                <w:szCs w:val="22"/>
              </w:rPr>
            </w:pPr>
            <w:r w:rsidRPr="00420DEC">
              <w:rPr>
                <w:rFonts w:ascii="Arial" w:hAnsi="Arial" w:cs="Arial"/>
                <w:color w:val="000000" w:themeColor="text1"/>
                <w:sz w:val="22"/>
                <w:szCs w:val="22"/>
              </w:rPr>
              <w:t xml:space="preserve">Regulatory uncertainty </w:t>
            </w:r>
          </w:p>
        </w:tc>
        <w:tc>
          <w:tcPr>
            <w:tcW w:w="1569" w:type="dxa"/>
          </w:tcPr>
          <w:p w14:paraId="20D7BF37" w14:textId="021EC2CC" w:rsidR="006A6D44" w:rsidRPr="00420DEC" w:rsidRDefault="00E46D0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20DEC">
              <w:rPr>
                <w:rFonts w:ascii="Arial" w:hAnsi="Arial" w:cs="Arial"/>
                <w:color w:val="000000" w:themeColor="text1"/>
                <w:sz w:val="22"/>
                <w:szCs w:val="22"/>
              </w:rPr>
              <w:t xml:space="preserve">Medium </w:t>
            </w:r>
          </w:p>
        </w:tc>
        <w:tc>
          <w:tcPr>
            <w:tcW w:w="1275" w:type="dxa"/>
          </w:tcPr>
          <w:p w14:paraId="0FCF6458" w14:textId="6357533C" w:rsidR="006A6D44" w:rsidRPr="00420DEC" w:rsidRDefault="00E46D0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20DEC">
              <w:rPr>
                <w:rFonts w:ascii="Arial" w:hAnsi="Arial" w:cs="Arial"/>
                <w:color w:val="000000" w:themeColor="text1"/>
                <w:sz w:val="22"/>
                <w:szCs w:val="22"/>
              </w:rPr>
              <w:t xml:space="preserve">Medium </w:t>
            </w:r>
          </w:p>
        </w:tc>
        <w:tc>
          <w:tcPr>
            <w:tcW w:w="4962" w:type="dxa"/>
          </w:tcPr>
          <w:p w14:paraId="224942C3" w14:textId="28210B73" w:rsidR="006A6D44" w:rsidRPr="00420DEC" w:rsidRDefault="00E46D0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20DEC">
              <w:rPr>
                <w:rFonts w:ascii="Arial" w:hAnsi="Arial" w:cs="Arial"/>
                <w:color w:val="000000" w:themeColor="text1"/>
                <w:sz w:val="22"/>
                <w:szCs w:val="22"/>
              </w:rPr>
              <w:t>Proactive engagement, scenario planning, flexible compliance approach</w:t>
            </w:r>
          </w:p>
        </w:tc>
      </w:tr>
    </w:tbl>
    <w:p w14:paraId="65D67FA8" w14:textId="7B5B0B99" w:rsidR="003A65EE" w:rsidRPr="005A2361" w:rsidRDefault="005A2361" w:rsidP="003A65EE">
      <w:pPr>
        <w:spacing w:line="360" w:lineRule="auto"/>
        <w:rPr>
          <w:rFonts w:ascii="Arial" w:hAnsi="Arial" w:cs="Arial"/>
          <w:color w:val="000000" w:themeColor="text1"/>
          <w:sz w:val="22"/>
          <w:szCs w:val="22"/>
        </w:rPr>
      </w:pPr>
      <w:r w:rsidRPr="005A2361">
        <w:rPr>
          <w:rFonts w:ascii="Arial" w:hAnsi="Arial" w:cs="Arial"/>
          <w:color w:val="000000" w:themeColor="text1"/>
          <w:sz w:val="22"/>
          <w:szCs w:val="22"/>
        </w:rPr>
        <w:t>“</w:t>
      </w:r>
      <w:r w:rsidR="00BD2C0F" w:rsidRPr="005A2361">
        <w:rPr>
          <w:rFonts w:ascii="Arial" w:hAnsi="Arial" w:cs="Arial"/>
          <w:color w:val="000000" w:themeColor="text1"/>
          <w:sz w:val="22"/>
          <w:szCs w:val="22"/>
        </w:rPr>
        <w:t xml:space="preserve">This is a crucial table </w:t>
      </w:r>
      <w:r w:rsidR="00BD3E02" w:rsidRPr="005A2361">
        <w:rPr>
          <w:rFonts w:ascii="Arial" w:hAnsi="Arial" w:cs="Arial"/>
          <w:color w:val="000000" w:themeColor="text1"/>
          <w:sz w:val="22"/>
          <w:szCs w:val="22"/>
        </w:rPr>
        <w:t>that highlights Bentley's</w:t>
      </w:r>
      <w:r w:rsidR="00BD2C0F" w:rsidRPr="005A2361">
        <w:rPr>
          <w:rFonts w:ascii="Arial" w:hAnsi="Arial" w:cs="Arial"/>
          <w:color w:val="000000" w:themeColor="text1"/>
          <w:sz w:val="22"/>
          <w:szCs w:val="22"/>
        </w:rPr>
        <w:t xml:space="preserve"> risk management</w:t>
      </w:r>
      <w:r w:rsidR="00BD3E02" w:rsidRPr="005A2361">
        <w:rPr>
          <w:rFonts w:ascii="Arial" w:hAnsi="Arial" w:cs="Arial"/>
          <w:color w:val="000000" w:themeColor="text1"/>
          <w:sz w:val="22"/>
          <w:szCs w:val="22"/>
        </w:rPr>
        <w:t xml:space="preserve"> approach according to” (Bentley Motors,2026).</w:t>
      </w:r>
    </w:p>
    <w:p w14:paraId="4F779083" w14:textId="77777777" w:rsidR="00AC6080" w:rsidRDefault="00AC6080" w:rsidP="004C4D87">
      <w:pPr>
        <w:spacing w:line="360" w:lineRule="auto"/>
        <w:rPr>
          <w:rFonts w:ascii="Arial" w:hAnsi="Arial" w:cs="Arial"/>
          <w:sz w:val="22"/>
          <w:szCs w:val="22"/>
        </w:rPr>
      </w:pPr>
    </w:p>
    <w:p w14:paraId="018C04E1" w14:textId="77777777" w:rsidR="004C4D87" w:rsidRDefault="004C4D87" w:rsidP="004C4D87">
      <w:pPr>
        <w:spacing w:line="360" w:lineRule="auto"/>
        <w:rPr>
          <w:rFonts w:ascii="Arial" w:hAnsi="Arial" w:cs="Arial"/>
          <w:sz w:val="22"/>
          <w:szCs w:val="22"/>
        </w:rPr>
      </w:pPr>
    </w:p>
    <w:p w14:paraId="7077D57F" w14:textId="77777777" w:rsidR="004C4D87" w:rsidRDefault="004C4D87" w:rsidP="004C4D87">
      <w:pPr>
        <w:spacing w:line="360" w:lineRule="auto"/>
        <w:rPr>
          <w:rFonts w:ascii="Arial" w:hAnsi="Arial" w:cs="Arial"/>
          <w:sz w:val="22"/>
          <w:szCs w:val="22"/>
        </w:rPr>
      </w:pPr>
    </w:p>
    <w:p w14:paraId="5E6BC8CF" w14:textId="77777777" w:rsidR="00926B47" w:rsidRDefault="00926B47" w:rsidP="004C4D87">
      <w:pPr>
        <w:spacing w:line="360" w:lineRule="auto"/>
        <w:rPr>
          <w:rFonts w:ascii="Arial" w:hAnsi="Arial" w:cs="Arial"/>
          <w:sz w:val="22"/>
          <w:szCs w:val="22"/>
        </w:rPr>
      </w:pPr>
    </w:p>
    <w:p w14:paraId="6DD89457" w14:textId="77777777" w:rsidR="00926B47" w:rsidRDefault="00926B47" w:rsidP="004C4D87">
      <w:pPr>
        <w:spacing w:line="360" w:lineRule="auto"/>
        <w:rPr>
          <w:rFonts w:ascii="Arial" w:hAnsi="Arial" w:cs="Arial"/>
          <w:sz w:val="22"/>
          <w:szCs w:val="22"/>
        </w:rPr>
      </w:pPr>
    </w:p>
    <w:p w14:paraId="60197D99" w14:textId="77777777" w:rsidR="00926B47" w:rsidRDefault="00926B47" w:rsidP="004C4D87">
      <w:pPr>
        <w:spacing w:line="360" w:lineRule="auto"/>
        <w:rPr>
          <w:rFonts w:ascii="Arial" w:hAnsi="Arial" w:cs="Arial"/>
          <w:sz w:val="22"/>
          <w:szCs w:val="22"/>
        </w:rPr>
      </w:pPr>
    </w:p>
    <w:p w14:paraId="5292E722" w14:textId="77777777" w:rsidR="00926B47" w:rsidRDefault="00926B47" w:rsidP="004C4D87">
      <w:pPr>
        <w:spacing w:line="360" w:lineRule="auto"/>
        <w:rPr>
          <w:rFonts w:ascii="Arial" w:hAnsi="Arial" w:cs="Arial"/>
          <w:sz w:val="22"/>
          <w:szCs w:val="22"/>
        </w:rPr>
      </w:pPr>
    </w:p>
    <w:p w14:paraId="2269732A" w14:textId="77777777" w:rsidR="00926B47" w:rsidRDefault="00926B47" w:rsidP="004C4D87">
      <w:pPr>
        <w:spacing w:line="360" w:lineRule="auto"/>
        <w:rPr>
          <w:rFonts w:ascii="Arial" w:hAnsi="Arial" w:cs="Arial"/>
          <w:sz w:val="22"/>
          <w:szCs w:val="22"/>
        </w:rPr>
      </w:pPr>
    </w:p>
    <w:p w14:paraId="0EDA3A30" w14:textId="77777777" w:rsidR="00926B47" w:rsidRPr="00F8485D" w:rsidRDefault="00926B47" w:rsidP="00926B47">
      <w:pPr>
        <w:pStyle w:val="Heading1"/>
        <w:rPr>
          <w:rFonts w:ascii="Arial" w:hAnsi="Arial" w:cs="Arial"/>
          <w:color w:val="000000" w:themeColor="text1"/>
          <w:sz w:val="36"/>
          <w:szCs w:val="36"/>
        </w:rPr>
      </w:pPr>
      <w:bookmarkStart w:id="29" w:name="_Toc235444613"/>
      <w:r w:rsidRPr="00F8485D">
        <w:rPr>
          <w:rFonts w:ascii="Arial" w:hAnsi="Arial" w:cs="Arial"/>
          <w:color w:val="000000" w:themeColor="text1"/>
          <w:sz w:val="36"/>
          <w:szCs w:val="36"/>
        </w:rPr>
        <w:lastRenderedPageBreak/>
        <w:t>Section 5: Conclusion and Recommendations:</w:t>
      </w:r>
      <w:bookmarkEnd w:id="29"/>
      <w:r w:rsidRPr="00F8485D">
        <w:rPr>
          <w:rFonts w:ascii="Arial" w:hAnsi="Arial" w:cs="Arial"/>
          <w:color w:val="000000" w:themeColor="text1"/>
          <w:sz w:val="36"/>
          <w:szCs w:val="36"/>
        </w:rPr>
        <w:t xml:space="preserve"> </w:t>
      </w:r>
    </w:p>
    <w:p w14:paraId="111F2547" w14:textId="7AD9C151" w:rsidR="00926B47" w:rsidRDefault="00926B47" w:rsidP="004C4D87">
      <w:pPr>
        <w:spacing w:line="360" w:lineRule="auto"/>
        <w:rPr>
          <w:rFonts w:ascii="Arial" w:hAnsi="Arial" w:cs="Arial"/>
          <w:sz w:val="22"/>
          <w:szCs w:val="22"/>
        </w:rPr>
      </w:pPr>
      <w:r w:rsidRPr="00926B47">
        <w:rPr>
          <w:rFonts w:ascii="Arial" w:hAnsi="Arial" w:cs="Arial"/>
          <w:sz w:val="22"/>
          <w:szCs w:val="22"/>
        </w:rPr>
        <w:t>Bentley Motors stands at a critical juncture where strategic choices made today will determine the organisation's future trajectory, competitive position, and long-term sustainability. The pressures of digital disruption, legislative change, shifting consumer preferences, and global economic volatility demand fundamental strategic transformation, requiring the organisation to fundamentally rethink its product portfolio, business model, and organisational capabilities. However, this transformation must be managed carefully to preserve the distinctive brand heritage, craftsmanship, and customer relationships that have historically defined Bentley's competitive advantage.</w:t>
      </w:r>
    </w:p>
    <w:p w14:paraId="67BF7D79" w14:textId="40CE7D1B" w:rsidR="00926B47" w:rsidRDefault="005078B5" w:rsidP="004C4D87">
      <w:pPr>
        <w:spacing w:line="360" w:lineRule="auto"/>
        <w:rPr>
          <w:rFonts w:ascii="Arial" w:hAnsi="Arial" w:cs="Arial"/>
          <w:sz w:val="22"/>
          <w:szCs w:val="22"/>
        </w:rPr>
      </w:pPr>
      <w:r w:rsidRPr="005078B5">
        <w:rPr>
          <w:rFonts w:ascii="Arial" w:hAnsi="Arial" w:cs="Arial"/>
          <w:sz w:val="22"/>
          <w:szCs w:val="22"/>
        </w:rPr>
        <w:t>The analysis presented in this report has demonstrated that Bentley faces significant challenges in achieving the required transformation, including financial pressures, market volatility, the tension between heritage and electrification, and the need for cultural transformation. The organisation has made progress in articulating a vision for transformation through the Beyond100+ strategy and initiating tangible actions</w:t>
      </w:r>
      <w:r w:rsidR="00692AFE">
        <w:rPr>
          <w:rFonts w:ascii="Arial" w:hAnsi="Arial" w:cs="Arial"/>
          <w:sz w:val="22"/>
          <w:szCs w:val="22"/>
        </w:rPr>
        <w:t>,</w:t>
      </w:r>
      <w:r w:rsidRPr="005078B5">
        <w:rPr>
          <w:rFonts w:ascii="Arial" w:hAnsi="Arial" w:cs="Arial"/>
          <w:sz w:val="22"/>
          <w:szCs w:val="22"/>
        </w:rPr>
        <w:t xml:space="preserve"> including Dream Factory investment and product development. However, significant work remains to fully implement and embed the required changes across the organisation.</w:t>
      </w:r>
    </w:p>
    <w:p w14:paraId="5957A6BD" w14:textId="77777777" w:rsidR="005078B5" w:rsidRDefault="005078B5" w:rsidP="004C4D87">
      <w:pPr>
        <w:spacing w:line="360" w:lineRule="auto"/>
        <w:rPr>
          <w:rFonts w:ascii="Arial" w:hAnsi="Arial" w:cs="Arial"/>
          <w:sz w:val="22"/>
          <w:szCs w:val="22"/>
        </w:rPr>
      </w:pPr>
    </w:p>
    <w:p w14:paraId="0CE8F1EB" w14:textId="77777777" w:rsidR="005078B5" w:rsidRDefault="005078B5" w:rsidP="004C4D87">
      <w:pPr>
        <w:spacing w:line="360" w:lineRule="auto"/>
        <w:rPr>
          <w:rFonts w:ascii="Arial" w:hAnsi="Arial" w:cs="Arial"/>
          <w:sz w:val="22"/>
          <w:szCs w:val="22"/>
        </w:rPr>
      </w:pPr>
    </w:p>
    <w:p w14:paraId="0F8025D4" w14:textId="77777777" w:rsidR="005A2361" w:rsidRDefault="005A2361" w:rsidP="004C4D87">
      <w:pPr>
        <w:spacing w:line="360" w:lineRule="auto"/>
        <w:rPr>
          <w:rFonts w:ascii="Arial" w:hAnsi="Arial" w:cs="Arial"/>
          <w:sz w:val="22"/>
          <w:szCs w:val="22"/>
        </w:rPr>
      </w:pPr>
    </w:p>
    <w:p w14:paraId="7780C75F" w14:textId="77777777" w:rsidR="005A2361" w:rsidRDefault="005A2361" w:rsidP="004C4D87">
      <w:pPr>
        <w:spacing w:line="360" w:lineRule="auto"/>
        <w:rPr>
          <w:rFonts w:ascii="Arial" w:hAnsi="Arial" w:cs="Arial"/>
          <w:sz w:val="22"/>
          <w:szCs w:val="22"/>
        </w:rPr>
      </w:pPr>
    </w:p>
    <w:p w14:paraId="5DE295E6" w14:textId="77777777" w:rsidR="005A2361" w:rsidRDefault="005A2361" w:rsidP="004C4D87">
      <w:pPr>
        <w:spacing w:line="360" w:lineRule="auto"/>
        <w:rPr>
          <w:rFonts w:ascii="Arial" w:hAnsi="Arial" w:cs="Arial"/>
          <w:sz w:val="22"/>
          <w:szCs w:val="22"/>
        </w:rPr>
      </w:pPr>
    </w:p>
    <w:p w14:paraId="2F3C9032" w14:textId="77777777" w:rsidR="005A2361" w:rsidRDefault="005A2361" w:rsidP="004C4D87">
      <w:pPr>
        <w:spacing w:line="360" w:lineRule="auto"/>
        <w:rPr>
          <w:rFonts w:ascii="Arial" w:hAnsi="Arial" w:cs="Arial"/>
          <w:sz w:val="22"/>
          <w:szCs w:val="22"/>
        </w:rPr>
      </w:pPr>
    </w:p>
    <w:p w14:paraId="314A37F6" w14:textId="77777777" w:rsidR="005A2361" w:rsidRDefault="005A2361" w:rsidP="004C4D87">
      <w:pPr>
        <w:spacing w:line="360" w:lineRule="auto"/>
        <w:rPr>
          <w:rFonts w:ascii="Arial" w:hAnsi="Arial" w:cs="Arial"/>
          <w:sz w:val="22"/>
          <w:szCs w:val="22"/>
        </w:rPr>
      </w:pPr>
    </w:p>
    <w:p w14:paraId="6362561B" w14:textId="77777777" w:rsidR="005A2361" w:rsidRDefault="005A2361" w:rsidP="004C4D87">
      <w:pPr>
        <w:spacing w:line="360" w:lineRule="auto"/>
        <w:rPr>
          <w:rFonts w:ascii="Arial" w:hAnsi="Arial" w:cs="Arial"/>
          <w:sz w:val="22"/>
          <w:szCs w:val="22"/>
        </w:rPr>
      </w:pPr>
    </w:p>
    <w:p w14:paraId="4183E03D" w14:textId="77777777" w:rsidR="005A2361" w:rsidRDefault="005A2361" w:rsidP="004C4D87">
      <w:pPr>
        <w:spacing w:line="360" w:lineRule="auto"/>
        <w:rPr>
          <w:rFonts w:ascii="Arial" w:hAnsi="Arial" w:cs="Arial"/>
          <w:sz w:val="22"/>
          <w:szCs w:val="22"/>
        </w:rPr>
      </w:pPr>
    </w:p>
    <w:p w14:paraId="23864DB7" w14:textId="77777777" w:rsidR="005A2361" w:rsidRDefault="005A2361" w:rsidP="004C4D87">
      <w:pPr>
        <w:spacing w:line="360" w:lineRule="auto"/>
        <w:rPr>
          <w:rFonts w:ascii="Arial" w:hAnsi="Arial" w:cs="Arial"/>
          <w:sz w:val="22"/>
          <w:szCs w:val="22"/>
        </w:rPr>
      </w:pPr>
    </w:p>
    <w:p w14:paraId="6FCC1115" w14:textId="77777777" w:rsidR="005A2361" w:rsidRDefault="005A2361" w:rsidP="004C4D87">
      <w:pPr>
        <w:spacing w:line="360" w:lineRule="auto"/>
        <w:rPr>
          <w:rFonts w:ascii="Arial" w:hAnsi="Arial" w:cs="Arial"/>
          <w:sz w:val="22"/>
          <w:szCs w:val="22"/>
        </w:rPr>
      </w:pPr>
    </w:p>
    <w:p w14:paraId="71352AD1" w14:textId="77777777" w:rsidR="005A2361" w:rsidRDefault="005A2361" w:rsidP="004C4D87">
      <w:pPr>
        <w:spacing w:line="360" w:lineRule="auto"/>
        <w:rPr>
          <w:rFonts w:ascii="Arial" w:hAnsi="Arial" w:cs="Arial"/>
          <w:sz w:val="22"/>
          <w:szCs w:val="22"/>
        </w:rPr>
      </w:pPr>
    </w:p>
    <w:p w14:paraId="7784678D" w14:textId="23E3BB85" w:rsidR="00BF15AE" w:rsidRPr="00512B93" w:rsidRDefault="00BF15AE" w:rsidP="0079003B">
      <w:pPr>
        <w:spacing w:line="360" w:lineRule="auto"/>
        <w:rPr>
          <w:rFonts w:ascii="Arial" w:hAnsi="Arial" w:cs="Arial"/>
          <w:sz w:val="20"/>
          <w:szCs w:val="20"/>
        </w:rPr>
      </w:pPr>
    </w:p>
    <w:p w14:paraId="272575BF" w14:textId="779C1153" w:rsidR="00BF15AE" w:rsidRPr="00F8485D" w:rsidRDefault="00BF15AE" w:rsidP="00F8485D">
      <w:pPr>
        <w:pStyle w:val="Heading1"/>
        <w:rPr>
          <w:rFonts w:ascii="Arial" w:hAnsi="Arial" w:cs="Arial"/>
          <w:color w:val="000000" w:themeColor="text1"/>
          <w:sz w:val="36"/>
          <w:szCs w:val="36"/>
        </w:rPr>
      </w:pPr>
      <w:bookmarkStart w:id="30" w:name="_Toc235444614"/>
      <w:r w:rsidRPr="00F8485D">
        <w:rPr>
          <w:rFonts w:ascii="Arial" w:hAnsi="Arial" w:cs="Arial"/>
          <w:color w:val="000000" w:themeColor="text1"/>
          <w:sz w:val="36"/>
          <w:szCs w:val="36"/>
        </w:rPr>
        <w:lastRenderedPageBreak/>
        <w:t>APPENDIX</w:t>
      </w:r>
      <w:r w:rsidR="00F8485D" w:rsidRPr="00F8485D">
        <w:rPr>
          <w:rFonts w:ascii="Arial" w:hAnsi="Arial" w:cs="Arial"/>
          <w:color w:val="000000" w:themeColor="text1"/>
          <w:sz w:val="36"/>
          <w:szCs w:val="36"/>
        </w:rPr>
        <w:t>:</w:t>
      </w:r>
      <w:bookmarkEnd w:id="30"/>
    </w:p>
    <w:p w14:paraId="2A68E4CB" w14:textId="77777777" w:rsidR="00BF15AE" w:rsidRPr="00F8485D" w:rsidRDefault="00BF15AE" w:rsidP="00BF15AE">
      <w:pPr>
        <w:pStyle w:val="Heading2"/>
        <w:rPr>
          <w:rFonts w:ascii="Arial" w:hAnsi="Arial" w:cs="Arial"/>
          <w:color w:val="000000" w:themeColor="text1"/>
        </w:rPr>
      </w:pPr>
      <w:bookmarkStart w:id="31" w:name="_Toc235444615"/>
      <w:r w:rsidRPr="00F8485D">
        <w:rPr>
          <w:rFonts w:ascii="Arial" w:hAnsi="Arial" w:cs="Arial"/>
          <w:color w:val="000000" w:themeColor="text1"/>
        </w:rPr>
        <w:t>Figure 10: Table 10: TOWS Analysis Summary:</w:t>
      </w:r>
      <w:bookmarkEnd w:id="31"/>
    </w:p>
    <w:tbl>
      <w:tblPr>
        <w:tblStyle w:val="GridTable4-Accent5"/>
        <w:tblW w:w="0" w:type="auto"/>
        <w:tblLook w:val="04A0" w:firstRow="1" w:lastRow="0" w:firstColumn="1" w:lastColumn="0" w:noHBand="0" w:noVBand="1"/>
      </w:tblPr>
      <w:tblGrid>
        <w:gridCol w:w="3005"/>
        <w:gridCol w:w="3005"/>
        <w:gridCol w:w="3006"/>
      </w:tblGrid>
      <w:tr w:rsidR="00BF15AE" w14:paraId="24592F96" w14:textId="77777777" w:rsidTr="009D70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1E1B16" w14:textId="77777777" w:rsidR="00BF15AE" w:rsidRDefault="00BF15AE" w:rsidP="009D7074">
            <w:pPr>
              <w:spacing w:line="360" w:lineRule="auto"/>
              <w:rPr>
                <w:rFonts w:ascii="Arial" w:hAnsi="Arial" w:cs="Arial"/>
                <w:sz w:val="22"/>
                <w:szCs w:val="22"/>
              </w:rPr>
            </w:pPr>
            <w:r>
              <w:rPr>
                <w:rFonts w:ascii="Arial" w:hAnsi="Arial" w:cs="Arial"/>
                <w:sz w:val="22"/>
                <w:szCs w:val="22"/>
              </w:rPr>
              <w:t xml:space="preserve">TOWS Table: </w:t>
            </w:r>
          </w:p>
        </w:tc>
        <w:tc>
          <w:tcPr>
            <w:tcW w:w="3005" w:type="dxa"/>
          </w:tcPr>
          <w:p w14:paraId="3F01DE94" w14:textId="77777777" w:rsidR="00BF15AE" w:rsidRDefault="00BF15AE" w:rsidP="009D707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Strengths </w:t>
            </w:r>
          </w:p>
        </w:tc>
        <w:tc>
          <w:tcPr>
            <w:tcW w:w="3006" w:type="dxa"/>
          </w:tcPr>
          <w:p w14:paraId="45C4A776" w14:textId="77777777" w:rsidR="00BF15AE" w:rsidRDefault="00BF15AE" w:rsidP="009D707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Weaknesses </w:t>
            </w:r>
          </w:p>
        </w:tc>
      </w:tr>
      <w:tr w:rsidR="00BF15AE" w14:paraId="0D87132D" w14:textId="77777777" w:rsidTr="009D70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C835F8B" w14:textId="77777777" w:rsidR="00BF15AE" w:rsidRDefault="00BF15AE" w:rsidP="009D7074">
            <w:pPr>
              <w:spacing w:line="360" w:lineRule="auto"/>
              <w:rPr>
                <w:rFonts w:ascii="Arial" w:hAnsi="Arial" w:cs="Arial"/>
                <w:sz w:val="22"/>
                <w:szCs w:val="22"/>
              </w:rPr>
            </w:pPr>
            <w:r>
              <w:rPr>
                <w:rFonts w:ascii="Arial" w:hAnsi="Arial" w:cs="Arial"/>
                <w:sz w:val="22"/>
                <w:szCs w:val="22"/>
              </w:rPr>
              <w:t xml:space="preserve">Internal Factors </w:t>
            </w:r>
          </w:p>
        </w:tc>
        <w:tc>
          <w:tcPr>
            <w:tcW w:w="3005" w:type="dxa"/>
          </w:tcPr>
          <w:p w14:paraId="26F50701" w14:textId="77777777" w:rsidR="00BF15AE" w:rsidRDefault="00BF15AE" w:rsidP="009D707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Strong brand heritage and luxury positioning, value over volume strategy and pricing power, bespoke personalisation capability, commitment to craftsmanship and quality, UK top employer recognition, carbon-neutral operations </w:t>
            </w:r>
          </w:p>
        </w:tc>
        <w:tc>
          <w:tcPr>
            <w:tcW w:w="3006" w:type="dxa"/>
          </w:tcPr>
          <w:p w14:paraId="211A6AFC" w14:textId="77777777" w:rsidR="00BF15AE" w:rsidRDefault="00BF15AE" w:rsidP="009D707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C28C1">
              <w:rPr>
                <w:rFonts w:ascii="Arial" w:hAnsi="Arial" w:cs="Arial"/>
                <w:sz w:val="22"/>
                <w:szCs w:val="22"/>
              </w:rPr>
              <w:t>Dependence on key markets (US and China)</w:t>
            </w:r>
            <w:r>
              <w:rPr>
                <w:rFonts w:ascii="Arial" w:hAnsi="Arial" w:cs="Arial"/>
                <w:sz w:val="22"/>
                <w:szCs w:val="22"/>
              </w:rPr>
              <w:t>, declining</w:t>
            </w:r>
            <w:r w:rsidRPr="004C28C1">
              <w:rPr>
                <w:rFonts w:ascii="Arial" w:hAnsi="Arial" w:cs="Arial"/>
                <w:sz w:val="22"/>
                <w:szCs w:val="22"/>
              </w:rPr>
              <w:t xml:space="preserve"> financial performance</w:t>
            </w:r>
            <w:r>
              <w:rPr>
                <w:rFonts w:ascii="Arial" w:hAnsi="Arial" w:cs="Arial"/>
                <w:sz w:val="22"/>
                <w:szCs w:val="22"/>
              </w:rPr>
              <w:t>, tension</w:t>
            </w:r>
            <w:r w:rsidRPr="004C28C1">
              <w:rPr>
                <w:rFonts w:ascii="Arial" w:hAnsi="Arial" w:cs="Arial"/>
                <w:sz w:val="22"/>
                <w:szCs w:val="22"/>
              </w:rPr>
              <w:t xml:space="preserve"> between heritage and electrification</w:t>
            </w:r>
            <w:r>
              <w:rPr>
                <w:rFonts w:ascii="Arial" w:hAnsi="Arial" w:cs="Arial"/>
                <w:sz w:val="22"/>
                <w:szCs w:val="22"/>
              </w:rPr>
              <w:t>, need</w:t>
            </w:r>
            <w:r w:rsidRPr="004C28C1">
              <w:rPr>
                <w:rFonts w:ascii="Arial" w:hAnsi="Arial" w:cs="Arial"/>
                <w:sz w:val="22"/>
                <w:szCs w:val="22"/>
              </w:rPr>
              <w:t xml:space="preserve"> for workforce skills transformation</w:t>
            </w:r>
            <w:r>
              <w:rPr>
                <w:rFonts w:ascii="Arial" w:hAnsi="Arial" w:cs="Arial"/>
                <w:sz w:val="22"/>
                <w:szCs w:val="22"/>
              </w:rPr>
              <w:t>.</w:t>
            </w:r>
            <w:r w:rsidRPr="004C28C1">
              <w:rPr>
                <w:rFonts w:ascii="Arial" w:hAnsi="Arial" w:cs="Arial"/>
                <w:sz w:val="22"/>
                <w:szCs w:val="22"/>
              </w:rPr>
              <w:t xml:space="preserve"> Potential job cuts affecting morale</w:t>
            </w:r>
            <w:r>
              <w:rPr>
                <w:rFonts w:ascii="Arial" w:hAnsi="Arial" w:cs="Arial"/>
                <w:sz w:val="22"/>
                <w:szCs w:val="22"/>
              </w:rPr>
              <w:t>.</w:t>
            </w:r>
            <w:r w:rsidRPr="004C28C1">
              <w:rPr>
                <w:rFonts w:ascii="Arial" w:hAnsi="Arial" w:cs="Arial"/>
                <w:sz w:val="22"/>
                <w:szCs w:val="22"/>
              </w:rPr>
              <w:t xml:space="preserve"> 87-year-old facility transformation challenge</w:t>
            </w:r>
            <w:r>
              <w:rPr>
                <w:rFonts w:ascii="Arial" w:hAnsi="Arial" w:cs="Arial"/>
                <w:sz w:val="22"/>
                <w:szCs w:val="22"/>
              </w:rPr>
              <w:t>.</w:t>
            </w:r>
          </w:p>
        </w:tc>
      </w:tr>
    </w:tbl>
    <w:p w14:paraId="11F75FB8" w14:textId="77777777" w:rsidR="00BF15AE" w:rsidRPr="00DB423A" w:rsidRDefault="00BF15AE" w:rsidP="00BF15AE">
      <w:pPr>
        <w:spacing w:line="360" w:lineRule="auto"/>
        <w:rPr>
          <w:rFonts w:ascii="Arial" w:hAnsi="Arial" w:cs="Arial"/>
          <w:sz w:val="22"/>
          <w:szCs w:val="22"/>
        </w:rPr>
      </w:pPr>
    </w:p>
    <w:tbl>
      <w:tblPr>
        <w:tblStyle w:val="GridTable4-Accent4"/>
        <w:tblW w:w="0" w:type="auto"/>
        <w:tblLook w:val="04A0" w:firstRow="1" w:lastRow="0" w:firstColumn="1" w:lastColumn="0" w:noHBand="0" w:noVBand="1"/>
      </w:tblPr>
      <w:tblGrid>
        <w:gridCol w:w="3005"/>
        <w:gridCol w:w="3005"/>
        <w:gridCol w:w="3006"/>
      </w:tblGrid>
      <w:tr w:rsidR="00BF15AE" w14:paraId="7DAE1DE7" w14:textId="77777777" w:rsidTr="009D70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1FDC6D" w14:textId="77777777" w:rsidR="00BF15AE" w:rsidRDefault="00BF15AE" w:rsidP="009D7074">
            <w:pPr>
              <w:spacing w:line="360" w:lineRule="auto"/>
              <w:rPr>
                <w:rFonts w:ascii="Arial" w:hAnsi="Arial" w:cs="Arial"/>
                <w:sz w:val="22"/>
                <w:szCs w:val="22"/>
              </w:rPr>
            </w:pPr>
          </w:p>
        </w:tc>
        <w:tc>
          <w:tcPr>
            <w:tcW w:w="3005" w:type="dxa"/>
          </w:tcPr>
          <w:p w14:paraId="13581F7C" w14:textId="77777777" w:rsidR="00BF15AE" w:rsidRDefault="00BF15AE" w:rsidP="009D707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Opportunities </w:t>
            </w:r>
          </w:p>
        </w:tc>
        <w:tc>
          <w:tcPr>
            <w:tcW w:w="3006" w:type="dxa"/>
          </w:tcPr>
          <w:p w14:paraId="36BCA260" w14:textId="77777777" w:rsidR="00BF15AE" w:rsidRDefault="00BF15AE" w:rsidP="009D707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Threats </w:t>
            </w:r>
          </w:p>
        </w:tc>
      </w:tr>
      <w:tr w:rsidR="00BF15AE" w14:paraId="79D6124D" w14:textId="77777777" w:rsidTr="009D70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BBE2FBD" w14:textId="77777777" w:rsidR="00BF15AE" w:rsidRDefault="00BF15AE" w:rsidP="009D7074">
            <w:pPr>
              <w:spacing w:line="360" w:lineRule="auto"/>
              <w:rPr>
                <w:rFonts w:ascii="Arial" w:hAnsi="Arial" w:cs="Arial"/>
                <w:sz w:val="22"/>
                <w:szCs w:val="22"/>
              </w:rPr>
            </w:pPr>
            <w:r>
              <w:rPr>
                <w:rFonts w:ascii="Arial" w:hAnsi="Arial" w:cs="Arial"/>
                <w:sz w:val="22"/>
                <w:szCs w:val="22"/>
              </w:rPr>
              <w:t xml:space="preserve">External Factors </w:t>
            </w:r>
          </w:p>
        </w:tc>
        <w:tc>
          <w:tcPr>
            <w:tcW w:w="3005" w:type="dxa"/>
          </w:tcPr>
          <w:p w14:paraId="6A3A3335" w14:textId="77777777" w:rsidR="00BF15AE" w:rsidRDefault="00BF15AE" w:rsidP="009D707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C28E0">
              <w:rPr>
                <w:rFonts w:ascii="Arial" w:hAnsi="Arial" w:cs="Arial"/>
                <w:sz w:val="22"/>
                <w:szCs w:val="22"/>
              </w:rPr>
              <w:t>External Factors</w:t>
            </w:r>
            <w:r>
              <w:rPr>
                <w:rFonts w:ascii="Arial" w:hAnsi="Arial" w:cs="Arial"/>
                <w:sz w:val="22"/>
                <w:szCs w:val="22"/>
              </w:rPr>
              <w:t>:</w:t>
            </w:r>
            <w:r w:rsidRPr="006C28E0">
              <w:rPr>
                <w:rFonts w:ascii="Arial" w:hAnsi="Arial" w:cs="Arial"/>
                <w:sz w:val="22"/>
                <w:szCs w:val="22"/>
              </w:rPr>
              <w:t xml:space="preserve"> Growing demand for sustainable luxury</w:t>
            </w:r>
            <w:r>
              <w:rPr>
                <w:rFonts w:ascii="Arial" w:hAnsi="Arial" w:cs="Arial"/>
                <w:sz w:val="22"/>
                <w:szCs w:val="22"/>
              </w:rPr>
              <w:t>,</w:t>
            </w:r>
            <w:r w:rsidRPr="006C28E0">
              <w:rPr>
                <w:rFonts w:ascii="Arial" w:hAnsi="Arial" w:cs="Arial"/>
                <w:sz w:val="22"/>
                <w:szCs w:val="22"/>
              </w:rPr>
              <w:t xml:space="preserve"> Electric vehicle market expansion</w:t>
            </w:r>
            <w:r>
              <w:rPr>
                <w:rFonts w:ascii="Arial" w:hAnsi="Arial" w:cs="Arial"/>
                <w:sz w:val="22"/>
                <w:szCs w:val="22"/>
              </w:rPr>
              <w:t>,</w:t>
            </w:r>
            <w:r w:rsidRPr="006C28E0">
              <w:rPr>
                <w:rFonts w:ascii="Arial" w:hAnsi="Arial" w:cs="Arial"/>
                <w:sz w:val="22"/>
                <w:szCs w:val="22"/>
              </w:rPr>
              <w:t xml:space="preserve"> Digital manufacturing technologies</w:t>
            </w:r>
            <w:r>
              <w:rPr>
                <w:rFonts w:ascii="Arial" w:hAnsi="Arial" w:cs="Arial"/>
                <w:sz w:val="22"/>
                <w:szCs w:val="22"/>
              </w:rPr>
              <w:t>, increasing</w:t>
            </w:r>
            <w:r w:rsidRPr="006C28E0">
              <w:rPr>
                <w:rFonts w:ascii="Arial" w:hAnsi="Arial" w:cs="Arial"/>
                <w:sz w:val="22"/>
                <w:szCs w:val="22"/>
              </w:rPr>
              <w:t xml:space="preserve"> appetite for bespoke features</w:t>
            </w:r>
            <w:r>
              <w:rPr>
                <w:rFonts w:ascii="Arial" w:hAnsi="Arial" w:cs="Arial"/>
                <w:sz w:val="22"/>
                <w:szCs w:val="22"/>
              </w:rPr>
              <w:t>, environmental</w:t>
            </w:r>
            <w:r w:rsidRPr="006C28E0">
              <w:rPr>
                <w:rFonts w:ascii="Arial" w:hAnsi="Arial" w:cs="Arial"/>
                <w:sz w:val="22"/>
                <w:szCs w:val="22"/>
              </w:rPr>
              <w:t xml:space="preserve"> sustainability leadership</w:t>
            </w:r>
            <w:r>
              <w:rPr>
                <w:rFonts w:ascii="Arial" w:hAnsi="Arial" w:cs="Arial"/>
                <w:sz w:val="22"/>
                <w:szCs w:val="22"/>
              </w:rPr>
              <w:t>, first</w:t>
            </w:r>
            <w:r w:rsidRPr="006C28E0">
              <w:rPr>
                <w:rFonts w:ascii="Arial" w:hAnsi="Arial" w:cs="Arial"/>
                <w:sz w:val="22"/>
                <w:szCs w:val="22"/>
              </w:rPr>
              <w:t xml:space="preserve"> BEV reveal in 2026</w:t>
            </w:r>
          </w:p>
        </w:tc>
        <w:tc>
          <w:tcPr>
            <w:tcW w:w="3006" w:type="dxa"/>
          </w:tcPr>
          <w:p w14:paraId="55CB7861" w14:textId="6D9FB9A1" w:rsidR="00BF15AE" w:rsidRDefault="00BF15AE" w:rsidP="009D707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C28E0">
              <w:rPr>
                <w:rFonts w:ascii="Arial" w:hAnsi="Arial" w:cs="Arial"/>
                <w:sz w:val="22"/>
                <w:szCs w:val="22"/>
              </w:rPr>
              <w:t>US tariffs costing approximately £36 million annually</w:t>
            </w:r>
            <w:r>
              <w:rPr>
                <w:rFonts w:ascii="Arial" w:hAnsi="Arial" w:cs="Arial"/>
                <w:sz w:val="22"/>
                <w:szCs w:val="22"/>
              </w:rPr>
              <w:t>; significant</w:t>
            </w:r>
            <w:r w:rsidRPr="006C28E0">
              <w:rPr>
                <w:rFonts w:ascii="Arial" w:hAnsi="Arial" w:cs="Arial"/>
                <w:sz w:val="22"/>
                <w:szCs w:val="22"/>
              </w:rPr>
              <w:t xml:space="preserve"> contraction in Chinese luxury market</w:t>
            </w:r>
            <w:r>
              <w:rPr>
                <w:rFonts w:ascii="Arial" w:hAnsi="Arial" w:cs="Arial"/>
                <w:sz w:val="22"/>
                <w:szCs w:val="22"/>
              </w:rPr>
              <w:t>; regulatory</w:t>
            </w:r>
            <w:r w:rsidRPr="006C28E0">
              <w:rPr>
                <w:rFonts w:ascii="Arial" w:hAnsi="Arial" w:cs="Arial"/>
                <w:sz w:val="22"/>
                <w:szCs w:val="22"/>
              </w:rPr>
              <w:t xml:space="preserve"> uncertainty</w:t>
            </w:r>
            <w:r>
              <w:rPr>
                <w:rFonts w:ascii="Arial" w:hAnsi="Arial" w:cs="Arial"/>
                <w:sz w:val="22"/>
                <w:szCs w:val="22"/>
              </w:rPr>
              <w:t>; supply</w:t>
            </w:r>
            <w:r w:rsidRPr="006C28E0">
              <w:rPr>
                <w:rFonts w:ascii="Arial" w:hAnsi="Arial" w:cs="Arial"/>
                <w:sz w:val="22"/>
                <w:szCs w:val="22"/>
              </w:rPr>
              <w:t xml:space="preserve"> chain disruption</w:t>
            </w:r>
            <w:r>
              <w:rPr>
                <w:rFonts w:ascii="Arial" w:hAnsi="Arial" w:cs="Arial"/>
                <w:sz w:val="22"/>
                <w:szCs w:val="22"/>
              </w:rPr>
              <w:t>; competitor</w:t>
            </w:r>
            <w:r w:rsidRPr="006C28E0">
              <w:rPr>
                <w:rFonts w:ascii="Arial" w:hAnsi="Arial" w:cs="Arial"/>
                <w:sz w:val="22"/>
                <w:szCs w:val="22"/>
              </w:rPr>
              <w:t xml:space="preserve"> investment in electric luxury</w:t>
            </w:r>
            <w:r>
              <w:rPr>
                <w:rFonts w:ascii="Arial" w:hAnsi="Arial" w:cs="Arial"/>
                <w:sz w:val="22"/>
                <w:szCs w:val="22"/>
              </w:rPr>
              <w:t>; customer</w:t>
            </w:r>
            <w:r w:rsidRPr="006C28E0">
              <w:rPr>
                <w:rFonts w:ascii="Arial" w:hAnsi="Arial" w:cs="Arial"/>
                <w:sz w:val="22"/>
                <w:szCs w:val="22"/>
              </w:rPr>
              <w:t xml:space="preserve"> resistance to full electrification</w:t>
            </w:r>
            <w:r w:rsidR="007E14CF">
              <w:rPr>
                <w:rFonts w:ascii="Arial" w:hAnsi="Arial" w:cs="Arial"/>
                <w:sz w:val="22"/>
                <w:szCs w:val="22"/>
              </w:rPr>
              <w:t>.</w:t>
            </w:r>
          </w:p>
        </w:tc>
      </w:tr>
    </w:tbl>
    <w:p w14:paraId="34451B85" w14:textId="653BDC22" w:rsidR="00BF15AE" w:rsidRDefault="00BF15AE" w:rsidP="00BF15AE">
      <w:pPr>
        <w:spacing w:line="360" w:lineRule="auto"/>
        <w:rPr>
          <w:rFonts w:ascii="Arial" w:hAnsi="Arial" w:cs="Arial"/>
          <w:sz w:val="22"/>
          <w:szCs w:val="22"/>
        </w:rPr>
      </w:pPr>
      <w:r w:rsidRPr="0079003B">
        <w:rPr>
          <w:rFonts w:ascii="Arial" w:hAnsi="Arial" w:cs="Arial"/>
          <w:sz w:val="22"/>
          <w:szCs w:val="22"/>
        </w:rPr>
        <w:t xml:space="preserve">TOWS Strategic Options: S-O Strategies (Using Strengths to Seize Opportunities): Bentley can leverage its luxury heritage and 'value over volume' strategy to position its first BEV as a premium, exclusive offering that commands significant pricing power, differentiating from mass-market electric vehicles. The Mulliner bespoke capabilities can create unique, highly personalised electric vehicles that appeal to ultra-wealthy customers seeking exclusivity in the electric luxury space. The company's UK Top Employer recognition and </w:t>
      </w:r>
      <w:r>
        <w:rPr>
          <w:rFonts w:ascii="Arial" w:hAnsi="Arial" w:cs="Arial"/>
          <w:sz w:val="22"/>
          <w:szCs w:val="22"/>
        </w:rPr>
        <w:t>carbon-neutral</w:t>
      </w:r>
      <w:r w:rsidRPr="0079003B">
        <w:rPr>
          <w:rFonts w:ascii="Arial" w:hAnsi="Arial" w:cs="Arial"/>
          <w:sz w:val="22"/>
          <w:szCs w:val="22"/>
        </w:rPr>
        <w:t xml:space="preserve"> operations can attract sustainability-conscious talent and enhance brand reputation among environmentally aware luxury consumers.</w:t>
      </w:r>
    </w:p>
    <w:p w14:paraId="279740C7" w14:textId="4BFC4BBD" w:rsidR="00CF75E5" w:rsidRDefault="00BF15AE" w:rsidP="00BF15AE">
      <w:pPr>
        <w:spacing w:line="360" w:lineRule="auto"/>
        <w:rPr>
          <w:rFonts w:ascii="Arial" w:hAnsi="Arial" w:cs="Arial"/>
          <w:sz w:val="22"/>
          <w:szCs w:val="22"/>
        </w:rPr>
      </w:pPr>
      <w:r w:rsidRPr="007773CF">
        <w:rPr>
          <w:rFonts w:ascii="Arial" w:hAnsi="Arial" w:cs="Arial"/>
          <w:sz w:val="22"/>
          <w:szCs w:val="22"/>
        </w:rPr>
        <w:lastRenderedPageBreak/>
        <w:t xml:space="preserve">S-T Strategies (Using Strengths to Counter Threats): Bentley can deploy its pricing power and Mulliner personalisation to offset US tariff costs by increasing revenue per vehicle, potentially passing some costs to customers whilst maintaining profitability. The organisation's strong heritage and craftsmanship can differentiate </w:t>
      </w:r>
      <w:r>
        <w:rPr>
          <w:rFonts w:ascii="Arial" w:hAnsi="Arial" w:cs="Arial"/>
          <w:sz w:val="22"/>
          <w:szCs w:val="22"/>
        </w:rPr>
        <w:t xml:space="preserve">it </w:t>
      </w:r>
      <w:r w:rsidRPr="007773CF">
        <w:rPr>
          <w:rFonts w:ascii="Arial" w:hAnsi="Arial" w:cs="Arial"/>
          <w:sz w:val="22"/>
          <w:szCs w:val="22"/>
        </w:rPr>
        <w:t xml:space="preserve">from competitors in the electric luxury space, creating </w:t>
      </w:r>
      <w:r>
        <w:rPr>
          <w:rFonts w:ascii="Arial" w:hAnsi="Arial" w:cs="Arial"/>
          <w:sz w:val="22"/>
          <w:szCs w:val="22"/>
        </w:rPr>
        <w:t xml:space="preserve">an </w:t>
      </w:r>
      <w:r w:rsidRPr="007773CF">
        <w:rPr>
          <w:rFonts w:ascii="Arial" w:hAnsi="Arial" w:cs="Arial"/>
          <w:sz w:val="22"/>
          <w:szCs w:val="22"/>
        </w:rPr>
        <w:t xml:space="preserve">emotional connection that mitigates customer resistance to electrification. </w:t>
      </w:r>
      <w:r w:rsidRPr="008E0F83">
        <w:rPr>
          <w:rFonts w:ascii="Arial" w:hAnsi="Arial" w:cs="Arial"/>
          <w:sz w:val="22"/>
          <w:szCs w:val="22"/>
        </w:rPr>
        <w:t>The relationship with Volkswagen Group can help navigate regulatory uncertainty and secure supply chain resilience.</w:t>
      </w:r>
      <w:r w:rsidR="00CF75E5">
        <w:rPr>
          <w:rFonts w:ascii="Arial" w:hAnsi="Arial" w:cs="Arial"/>
          <w:sz w:val="22"/>
          <w:szCs w:val="22"/>
        </w:rPr>
        <w:t xml:space="preserve"> “Adding to TOWS Matrix to Bentley’s daily operation will help reduce internal and external factors that affect the organisation according to” (</w:t>
      </w:r>
      <w:r w:rsidR="00CF75E5" w:rsidRPr="00CF75E5">
        <w:rPr>
          <w:rFonts w:ascii="Arial" w:hAnsi="Arial" w:cs="Arial"/>
          <w:sz w:val="22"/>
          <w:szCs w:val="22"/>
        </w:rPr>
        <w:t>Gautam, A., Rogers, H. and Kumar, M., 2026</w:t>
      </w:r>
      <w:r w:rsidR="00CF75E5">
        <w:rPr>
          <w:rFonts w:ascii="Arial" w:hAnsi="Arial" w:cs="Arial"/>
          <w:sz w:val="22"/>
          <w:szCs w:val="22"/>
        </w:rPr>
        <w:t>)</w:t>
      </w:r>
      <w:r w:rsidR="00CF75E5" w:rsidRPr="00CF75E5">
        <w:rPr>
          <w:rFonts w:ascii="Arial" w:hAnsi="Arial" w:cs="Arial"/>
          <w:sz w:val="22"/>
          <w:szCs w:val="22"/>
        </w:rPr>
        <w:t xml:space="preserve">. </w:t>
      </w:r>
    </w:p>
    <w:p w14:paraId="03F46F37" w14:textId="79C577F1" w:rsidR="00BF15AE" w:rsidRDefault="00BF15AE" w:rsidP="00BF15AE">
      <w:pPr>
        <w:spacing w:line="360" w:lineRule="auto"/>
        <w:rPr>
          <w:rFonts w:ascii="Arial" w:hAnsi="Arial" w:cs="Arial"/>
          <w:sz w:val="22"/>
          <w:szCs w:val="22"/>
        </w:rPr>
      </w:pPr>
      <w:r w:rsidRPr="00B43583">
        <w:rPr>
          <w:rFonts w:ascii="Arial" w:hAnsi="Arial" w:cs="Arial"/>
          <w:sz w:val="22"/>
          <w:szCs w:val="22"/>
        </w:rPr>
        <w:t>W-O Strategies (Overcoming Weaknesses by Exploiting Opportunities): Bentley can address declining financial performance by capitalising on growing demand for sustainable luxury through premium pricing of electric vehicles. The workforce skills gap can be transformed by investing in training programmes aligned with digital manufacturing technologies, converting a weakness into a strength. The increasing appetite for bespoke features can overcome market dependence by creating region-specific personalisation options for Chinese and US markets.</w:t>
      </w:r>
    </w:p>
    <w:p w14:paraId="70E2116B" w14:textId="233B7713" w:rsidR="00BF15AE" w:rsidRDefault="00BF15AE" w:rsidP="00BF15AE">
      <w:pPr>
        <w:spacing w:line="360" w:lineRule="auto"/>
        <w:rPr>
          <w:rFonts w:ascii="Arial" w:hAnsi="Arial" w:cs="Arial"/>
          <w:sz w:val="22"/>
          <w:szCs w:val="22"/>
        </w:rPr>
      </w:pPr>
      <w:r w:rsidRPr="0045222C">
        <w:rPr>
          <w:rFonts w:ascii="Arial" w:hAnsi="Arial" w:cs="Arial"/>
          <w:sz w:val="22"/>
          <w:szCs w:val="22"/>
        </w:rPr>
        <w:t>W-T Strategies (Minimising Weaknesses and Avoiding Threats): Bentley can diversify its market presence to reduce dependence on tariff-affected US and China markets, developing alternative regions for growth. Cultural transformation can be accelerated to address the tension between heritage and electrification before customer resistance to EVs becomes more pronounced. Cost management and efficiency measures can maintain profitability despite regulatory uncertainty and competitor investmen</w:t>
      </w:r>
      <w:r>
        <w:rPr>
          <w:rFonts w:ascii="Arial" w:hAnsi="Arial" w:cs="Arial"/>
          <w:sz w:val="22"/>
          <w:szCs w:val="22"/>
        </w:rPr>
        <w:t>t.</w:t>
      </w:r>
    </w:p>
    <w:p w14:paraId="1ACC469E" w14:textId="77777777" w:rsidR="00F8485D" w:rsidRDefault="00F8485D" w:rsidP="00BF15AE">
      <w:pPr>
        <w:spacing w:line="360" w:lineRule="auto"/>
        <w:rPr>
          <w:rFonts w:ascii="Arial" w:hAnsi="Arial" w:cs="Arial"/>
          <w:sz w:val="22"/>
          <w:szCs w:val="22"/>
        </w:rPr>
      </w:pPr>
    </w:p>
    <w:p w14:paraId="71AAB990" w14:textId="77777777" w:rsidR="00F8485D" w:rsidRDefault="00F8485D" w:rsidP="00BF15AE">
      <w:pPr>
        <w:spacing w:line="360" w:lineRule="auto"/>
        <w:rPr>
          <w:rFonts w:ascii="Arial" w:hAnsi="Arial" w:cs="Arial"/>
          <w:sz w:val="22"/>
          <w:szCs w:val="22"/>
        </w:rPr>
      </w:pPr>
    </w:p>
    <w:p w14:paraId="65F0053D" w14:textId="77777777" w:rsidR="00F8485D" w:rsidRDefault="00F8485D" w:rsidP="00BF15AE">
      <w:pPr>
        <w:spacing w:line="360" w:lineRule="auto"/>
        <w:rPr>
          <w:rFonts w:ascii="Arial" w:hAnsi="Arial" w:cs="Arial"/>
          <w:sz w:val="22"/>
          <w:szCs w:val="22"/>
        </w:rPr>
      </w:pPr>
    </w:p>
    <w:p w14:paraId="2EEE58A5" w14:textId="77777777" w:rsidR="00F8485D" w:rsidRDefault="00F8485D" w:rsidP="00BF15AE">
      <w:pPr>
        <w:spacing w:line="360" w:lineRule="auto"/>
        <w:rPr>
          <w:rFonts w:ascii="Arial" w:hAnsi="Arial" w:cs="Arial"/>
          <w:sz w:val="22"/>
          <w:szCs w:val="22"/>
        </w:rPr>
      </w:pPr>
    </w:p>
    <w:p w14:paraId="03BB6976" w14:textId="77777777" w:rsidR="00F8485D" w:rsidRDefault="00F8485D" w:rsidP="00BF15AE">
      <w:pPr>
        <w:spacing w:line="360" w:lineRule="auto"/>
        <w:rPr>
          <w:rFonts w:ascii="Arial" w:hAnsi="Arial" w:cs="Arial"/>
          <w:sz w:val="22"/>
          <w:szCs w:val="22"/>
        </w:rPr>
      </w:pPr>
    </w:p>
    <w:p w14:paraId="19E6E64E" w14:textId="77777777" w:rsidR="00F8485D" w:rsidRDefault="00F8485D" w:rsidP="00BF15AE">
      <w:pPr>
        <w:spacing w:line="360" w:lineRule="auto"/>
        <w:rPr>
          <w:rFonts w:ascii="Arial" w:hAnsi="Arial" w:cs="Arial"/>
          <w:sz w:val="22"/>
          <w:szCs w:val="22"/>
        </w:rPr>
      </w:pPr>
    </w:p>
    <w:p w14:paraId="7DFCFA40" w14:textId="77777777" w:rsidR="00F8485D" w:rsidRDefault="00F8485D" w:rsidP="00BF15AE">
      <w:pPr>
        <w:spacing w:line="360" w:lineRule="auto"/>
        <w:rPr>
          <w:rFonts w:ascii="Arial" w:hAnsi="Arial" w:cs="Arial"/>
          <w:sz w:val="22"/>
          <w:szCs w:val="22"/>
        </w:rPr>
      </w:pPr>
    </w:p>
    <w:p w14:paraId="03B5AFE5" w14:textId="77777777" w:rsidR="00F8485D" w:rsidRDefault="00F8485D" w:rsidP="00BF15AE">
      <w:pPr>
        <w:spacing w:line="360" w:lineRule="auto"/>
        <w:rPr>
          <w:rFonts w:ascii="Arial" w:hAnsi="Arial" w:cs="Arial"/>
          <w:sz w:val="22"/>
          <w:szCs w:val="22"/>
        </w:rPr>
      </w:pPr>
    </w:p>
    <w:p w14:paraId="103F68BB" w14:textId="77777777" w:rsidR="00F8485D" w:rsidRDefault="00F8485D" w:rsidP="00BF15AE">
      <w:pPr>
        <w:spacing w:line="360" w:lineRule="auto"/>
        <w:rPr>
          <w:rFonts w:ascii="Arial" w:hAnsi="Arial" w:cs="Arial"/>
          <w:sz w:val="22"/>
          <w:szCs w:val="22"/>
        </w:rPr>
      </w:pPr>
    </w:p>
    <w:p w14:paraId="2F0DDDE3" w14:textId="77777777" w:rsidR="00F8485D" w:rsidRDefault="00F8485D" w:rsidP="00BF15AE">
      <w:pPr>
        <w:spacing w:line="360" w:lineRule="auto"/>
        <w:rPr>
          <w:rFonts w:ascii="Arial" w:hAnsi="Arial" w:cs="Arial"/>
          <w:sz w:val="22"/>
          <w:szCs w:val="22"/>
        </w:rPr>
      </w:pPr>
    </w:p>
    <w:p w14:paraId="7CCEDEAA" w14:textId="77777777" w:rsidR="00F8485D" w:rsidRDefault="00F8485D" w:rsidP="00BF15AE">
      <w:pPr>
        <w:spacing w:line="360" w:lineRule="auto"/>
        <w:rPr>
          <w:rFonts w:ascii="Arial" w:hAnsi="Arial" w:cs="Arial"/>
          <w:sz w:val="22"/>
          <w:szCs w:val="22"/>
        </w:rPr>
      </w:pPr>
    </w:p>
    <w:p w14:paraId="2BC31DA6" w14:textId="6C8546E8" w:rsidR="00BF15AE" w:rsidRDefault="00BF15AE" w:rsidP="00BF15AE">
      <w:pPr>
        <w:spacing w:line="360" w:lineRule="auto"/>
        <w:rPr>
          <w:rFonts w:ascii="Arial" w:hAnsi="Arial" w:cs="Arial"/>
          <w:sz w:val="22"/>
          <w:szCs w:val="22"/>
        </w:rPr>
      </w:pPr>
      <w:r w:rsidRPr="0045268F">
        <w:rPr>
          <w:rFonts w:ascii="Arial" w:hAnsi="Arial" w:cs="Arial"/>
          <w:sz w:val="22"/>
          <w:szCs w:val="22"/>
        </w:rPr>
        <w:t xml:space="preserve">The recommendations arising from this analysis emphasise the need for continued transformation with a pragmatic, adaptive approach. The organisation must maintain momentum on transformation by accelerating Dream Factory implementation and electrification progress, building on achievements whilst learning from challenges. The first BEV reveal in 2026 represents a critical milestone that must be achieved to demonstrate commitment and progress, requiring sustained leadership attention, resource allocation, and communication. Bentley should adopt a pragmatic electrification timeline, </w:t>
      </w:r>
      <w:proofErr w:type="gramStart"/>
      <w:r w:rsidRPr="0045268F">
        <w:rPr>
          <w:rFonts w:ascii="Arial" w:hAnsi="Arial" w:cs="Arial"/>
          <w:sz w:val="22"/>
          <w:szCs w:val="22"/>
        </w:rPr>
        <w:t>maintaining</w:t>
      </w:r>
      <w:proofErr w:type="gramEnd"/>
      <w:r w:rsidRPr="0045268F">
        <w:rPr>
          <w:rFonts w:ascii="Arial" w:hAnsi="Arial" w:cs="Arial"/>
          <w:sz w:val="22"/>
          <w:szCs w:val="22"/>
        </w:rPr>
        <w:t xml:space="preserve"> the 2035 full electrification target whilst responding flexibly to market conditions and customer preferences. The extension from 2030 to 2035 reflects appropriate pragmatism, and further adjustments may be necessary based on customer demand for PHEV models. The organisation must communicate these adjustments transparently to maintain stakeholder trust.</w:t>
      </w:r>
    </w:p>
    <w:p w14:paraId="775532CE" w14:textId="77777777" w:rsidR="00BF15AE" w:rsidRDefault="00BF15AE" w:rsidP="00BF15AE">
      <w:pPr>
        <w:spacing w:line="360" w:lineRule="auto"/>
        <w:rPr>
          <w:rFonts w:ascii="Arial" w:hAnsi="Arial" w:cs="Arial"/>
          <w:sz w:val="22"/>
          <w:szCs w:val="22"/>
        </w:rPr>
      </w:pPr>
      <w:r w:rsidRPr="00626A84">
        <w:rPr>
          <w:rFonts w:ascii="Arial" w:hAnsi="Arial" w:cs="Arial"/>
          <w:sz w:val="22"/>
          <w:szCs w:val="22"/>
        </w:rPr>
        <w:t>Investment in workforce transformation must continue, building the skills and mindsets required for electric vehicle manufacture and digital business models. The cultural dimensions of change require as much attention as the technical and operational dimensions, including addressing the concerns of employees affected by job cuts and ensuring those remaining are equipped for the future. Stakeholder communication must be strengthened, providing transparent and consistent messaging about the transformation journey, its progress, and its implications. The tension between vision and reality must be managed through authentic communication, building on the strong foundation of sustainability reporting whilst providing more frequent, accessible updates.</w:t>
      </w:r>
    </w:p>
    <w:p w14:paraId="1A8B104F" w14:textId="77777777" w:rsidR="00BF15AE" w:rsidRDefault="00BF15AE" w:rsidP="00BF15AE">
      <w:pPr>
        <w:spacing w:line="360" w:lineRule="auto"/>
        <w:rPr>
          <w:rFonts w:ascii="Arial" w:hAnsi="Arial" w:cs="Arial"/>
          <w:sz w:val="22"/>
          <w:szCs w:val="22"/>
        </w:rPr>
      </w:pPr>
    </w:p>
    <w:p w14:paraId="63FD69C2" w14:textId="77777777" w:rsidR="00BF15AE" w:rsidRDefault="00BF15AE" w:rsidP="00BF15AE">
      <w:pPr>
        <w:spacing w:line="360" w:lineRule="auto"/>
        <w:rPr>
          <w:rFonts w:ascii="Arial" w:hAnsi="Arial" w:cs="Arial"/>
          <w:sz w:val="22"/>
          <w:szCs w:val="22"/>
        </w:rPr>
      </w:pPr>
    </w:p>
    <w:p w14:paraId="0BCF2720" w14:textId="77777777" w:rsidR="00BF15AE" w:rsidRDefault="00BF15AE" w:rsidP="00BF15AE">
      <w:pPr>
        <w:spacing w:line="360" w:lineRule="auto"/>
        <w:rPr>
          <w:rFonts w:ascii="Arial" w:hAnsi="Arial" w:cs="Arial"/>
          <w:sz w:val="22"/>
          <w:szCs w:val="22"/>
        </w:rPr>
      </w:pPr>
    </w:p>
    <w:p w14:paraId="603BB752" w14:textId="77777777" w:rsidR="00512B93" w:rsidRDefault="00512B93" w:rsidP="00BF15AE">
      <w:pPr>
        <w:spacing w:line="360" w:lineRule="auto"/>
        <w:rPr>
          <w:rFonts w:ascii="Arial" w:hAnsi="Arial" w:cs="Arial"/>
          <w:sz w:val="22"/>
          <w:szCs w:val="22"/>
        </w:rPr>
      </w:pPr>
    </w:p>
    <w:p w14:paraId="5FC37223" w14:textId="77777777" w:rsidR="00512B93" w:rsidRDefault="00512B93" w:rsidP="00BF15AE">
      <w:pPr>
        <w:spacing w:line="360" w:lineRule="auto"/>
        <w:rPr>
          <w:rFonts w:ascii="Arial" w:hAnsi="Arial" w:cs="Arial"/>
          <w:sz w:val="22"/>
          <w:szCs w:val="22"/>
        </w:rPr>
      </w:pPr>
    </w:p>
    <w:p w14:paraId="2C39385C" w14:textId="77777777" w:rsidR="00512B93" w:rsidRDefault="00512B93" w:rsidP="00BF15AE">
      <w:pPr>
        <w:spacing w:line="360" w:lineRule="auto"/>
        <w:rPr>
          <w:rFonts w:ascii="Arial" w:hAnsi="Arial" w:cs="Arial"/>
          <w:sz w:val="22"/>
          <w:szCs w:val="22"/>
        </w:rPr>
      </w:pPr>
    </w:p>
    <w:p w14:paraId="252FE28D" w14:textId="77777777" w:rsidR="00512B93" w:rsidRDefault="00512B93" w:rsidP="00BF15AE">
      <w:pPr>
        <w:spacing w:line="360" w:lineRule="auto"/>
        <w:rPr>
          <w:rFonts w:ascii="Arial" w:hAnsi="Arial" w:cs="Arial"/>
          <w:sz w:val="22"/>
          <w:szCs w:val="22"/>
        </w:rPr>
      </w:pPr>
    </w:p>
    <w:p w14:paraId="29757702" w14:textId="77777777" w:rsidR="00512B93" w:rsidRDefault="00512B93" w:rsidP="00BF15AE">
      <w:pPr>
        <w:spacing w:line="360" w:lineRule="auto"/>
        <w:rPr>
          <w:rFonts w:ascii="Arial" w:hAnsi="Arial" w:cs="Arial"/>
          <w:sz w:val="22"/>
          <w:szCs w:val="22"/>
        </w:rPr>
      </w:pPr>
    </w:p>
    <w:p w14:paraId="6DD7350F" w14:textId="77777777" w:rsidR="00512B93" w:rsidRDefault="00512B93" w:rsidP="00BF15AE">
      <w:pPr>
        <w:spacing w:line="360" w:lineRule="auto"/>
        <w:rPr>
          <w:rFonts w:ascii="Arial" w:hAnsi="Arial" w:cs="Arial"/>
          <w:sz w:val="22"/>
          <w:szCs w:val="22"/>
        </w:rPr>
      </w:pPr>
    </w:p>
    <w:p w14:paraId="2B6DBB42" w14:textId="77777777" w:rsidR="00512B93" w:rsidRDefault="00512B93" w:rsidP="00BF15AE">
      <w:pPr>
        <w:spacing w:line="360" w:lineRule="auto"/>
        <w:rPr>
          <w:rFonts w:ascii="Arial" w:hAnsi="Arial" w:cs="Arial"/>
          <w:sz w:val="22"/>
          <w:szCs w:val="22"/>
        </w:rPr>
      </w:pPr>
    </w:p>
    <w:p w14:paraId="6E16B8EE" w14:textId="77777777" w:rsidR="00512B93" w:rsidRPr="00F8485D" w:rsidRDefault="00512B93" w:rsidP="00512B93">
      <w:pPr>
        <w:pStyle w:val="Heading1"/>
        <w:rPr>
          <w:rFonts w:ascii="Arial" w:hAnsi="Arial" w:cs="Arial"/>
          <w:color w:val="000000" w:themeColor="text1"/>
          <w:sz w:val="36"/>
          <w:szCs w:val="36"/>
        </w:rPr>
      </w:pPr>
      <w:bookmarkStart w:id="32" w:name="_Toc235444616"/>
      <w:r w:rsidRPr="00F8485D">
        <w:rPr>
          <w:rFonts w:ascii="Arial" w:hAnsi="Arial" w:cs="Arial"/>
          <w:color w:val="000000" w:themeColor="text1"/>
          <w:sz w:val="36"/>
          <w:szCs w:val="36"/>
        </w:rPr>
        <w:lastRenderedPageBreak/>
        <w:t>Section 6: Reference List:</w:t>
      </w:r>
      <w:bookmarkEnd w:id="32"/>
    </w:p>
    <w:p w14:paraId="78C16F8E" w14:textId="77777777" w:rsidR="00512B93" w:rsidRPr="00544910" w:rsidRDefault="00512B93" w:rsidP="00544910">
      <w:pPr>
        <w:pStyle w:val="ListParagraph"/>
        <w:numPr>
          <w:ilvl w:val="0"/>
          <w:numId w:val="4"/>
        </w:numPr>
        <w:spacing w:line="360" w:lineRule="auto"/>
        <w:rPr>
          <w:rFonts w:ascii="Arial" w:hAnsi="Arial" w:cs="Arial"/>
          <w:color w:val="222222"/>
          <w:sz w:val="20"/>
          <w:szCs w:val="20"/>
          <w:shd w:val="clear" w:color="auto" w:fill="FFFFFF"/>
        </w:rPr>
      </w:pPr>
      <w:r w:rsidRPr="00544910">
        <w:rPr>
          <w:rFonts w:ascii="Arial" w:hAnsi="Arial" w:cs="Arial"/>
          <w:color w:val="222222"/>
          <w:sz w:val="20"/>
          <w:szCs w:val="20"/>
          <w:shd w:val="clear" w:color="auto" w:fill="FFFFFF"/>
        </w:rPr>
        <w:t>Aldemir, E., (2010). Models and Tools of Change Management: Kotter’s 8 Steps Change Model.</w:t>
      </w:r>
    </w:p>
    <w:p w14:paraId="2FE18669"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Automotive World., (2026). </w:t>
      </w:r>
      <w:r w:rsidRPr="00544910">
        <w:rPr>
          <w:rFonts w:ascii="Arial" w:hAnsi="Arial" w:cs="Arial"/>
          <w:i/>
          <w:iCs/>
          <w:sz w:val="20"/>
          <w:szCs w:val="20"/>
        </w:rPr>
        <w:t>Bentley latest luxury OEM to trim staff despite 2025 profit</w:t>
      </w:r>
      <w:r w:rsidRPr="00544910">
        <w:rPr>
          <w:rFonts w:ascii="Arial" w:hAnsi="Arial" w:cs="Arial"/>
          <w:sz w:val="20"/>
          <w:szCs w:val="20"/>
        </w:rPr>
        <w:t>. [online] Automotive World. Available at: https://www.automotiveworld.com/news/bentley-latest-luxury-oem-to-trim-staff-despite-2025-profit/ [Accessed 17 June 2026].</w:t>
      </w:r>
    </w:p>
    <w:p w14:paraId="41269516" w14:textId="10AEFAA3"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Bentley Motors., (2026). </w:t>
      </w:r>
      <w:r w:rsidRPr="00544910">
        <w:rPr>
          <w:rFonts w:ascii="Arial" w:hAnsi="Arial" w:cs="Arial"/>
          <w:i/>
          <w:iCs/>
          <w:sz w:val="20"/>
          <w:szCs w:val="20"/>
        </w:rPr>
        <w:t>Bentley Motors UK | The Art of Handcrafted Luxury and...</w:t>
      </w:r>
      <w:r w:rsidRPr="00544910">
        <w:rPr>
          <w:rFonts w:ascii="Arial" w:hAnsi="Arial" w:cs="Arial"/>
          <w:sz w:val="20"/>
          <w:szCs w:val="20"/>
        </w:rPr>
        <w:t xml:space="preserve">. Available at: https://www.bentleymotors.com/ (Accessed: 13 July 2026). </w:t>
      </w:r>
    </w:p>
    <w:p w14:paraId="00324470"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Bentley Motors., (2026). </w:t>
      </w:r>
      <w:r w:rsidRPr="00544910">
        <w:rPr>
          <w:rFonts w:ascii="Arial" w:hAnsi="Arial" w:cs="Arial"/>
          <w:i/>
          <w:iCs/>
          <w:sz w:val="20"/>
          <w:szCs w:val="20"/>
        </w:rPr>
        <w:t>Beyond100</w:t>
      </w:r>
      <w:r w:rsidRPr="00544910">
        <w:rPr>
          <w:rFonts w:ascii="Arial" w:hAnsi="Arial" w:cs="Arial"/>
          <w:sz w:val="20"/>
          <w:szCs w:val="20"/>
        </w:rPr>
        <w:t xml:space="preserve">. [online] Bentley Motors. Available at: </w:t>
      </w:r>
      <w:hyperlink r:id="rId12" w:tgtFrame="_blank" w:history="1">
        <w:r w:rsidRPr="00544910">
          <w:rPr>
            <w:rStyle w:val="Hyperlink"/>
            <w:rFonts w:ascii="Arial" w:hAnsi="Arial" w:cs="Arial"/>
            <w:sz w:val="20"/>
            <w:szCs w:val="20"/>
          </w:rPr>
          <w:t>https://www.bentleymotors.com/en/about-bentley/beyond-100.html</w:t>
        </w:r>
      </w:hyperlink>
      <w:r w:rsidRPr="00544910">
        <w:rPr>
          <w:rFonts w:ascii="Arial" w:hAnsi="Arial" w:cs="Arial"/>
          <w:sz w:val="20"/>
          <w:szCs w:val="20"/>
        </w:rPr>
        <w:t xml:space="preserve"> [Accessed 15 June 2026]. </w:t>
      </w:r>
    </w:p>
    <w:p w14:paraId="23782F31" w14:textId="77777777" w:rsidR="00512B93" w:rsidRPr="00544910" w:rsidRDefault="00512B93" w:rsidP="00544910">
      <w:pPr>
        <w:pStyle w:val="ListParagraph"/>
        <w:numPr>
          <w:ilvl w:val="0"/>
          <w:numId w:val="4"/>
        </w:numPr>
        <w:spacing w:line="360" w:lineRule="auto"/>
        <w:rPr>
          <w:rFonts w:ascii="Arial" w:hAnsi="Arial" w:cs="Arial"/>
          <w:color w:val="222222"/>
          <w:sz w:val="20"/>
          <w:szCs w:val="20"/>
          <w:shd w:val="clear" w:color="auto" w:fill="FFFFFF"/>
        </w:rPr>
      </w:pPr>
      <w:proofErr w:type="spellStart"/>
      <w:r w:rsidRPr="00544910">
        <w:rPr>
          <w:rFonts w:ascii="Arial" w:hAnsi="Arial" w:cs="Arial"/>
          <w:color w:val="222222"/>
          <w:sz w:val="20"/>
          <w:szCs w:val="20"/>
          <w:shd w:val="clear" w:color="auto" w:fill="FFFFFF"/>
        </w:rPr>
        <w:t>Bruijl</w:t>
      </w:r>
      <w:proofErr w:type="spellEnd"/>
      <w:r w:rsidRPr="00544910">
        <w:rPr>
          <w:rFonts w:ascii="Arial" w:hAnsi="Arial" w:cs="Arial"/>
          <w:color w:val="222222"/>
          <w:sz w:val="20"/>
          <w:szCs w:val="20"/>
          <w:shd w:val="clear" w:color="auto" w:fill="FFFFFF"/>
        </w:rPr>
        <w:t>, D.G.H.T., (2025). Strategic Challenges and Opportunities in Mainstream Western Media: A PESTLE Analysis of Trust, Bias, and Organisational Behaviour. </w:t>
      </w:r>
      <w:r w:rsidRPr="00544910">
        <w:rPr>
          <w:rFonts w:ascii="Arial" w:hAnsi="Arial" w:cs="Arial"/>
          <w:i/>
          <w:iCs/>
          <w:color w:val="222222"/>
          <w:sz w:val="20"/>
          <w:szCs w:val="20"/>
          <w:shd w:val="clear" w:color="auto" w:fill="FFFFFF"/>
        </w:rPr>
        <w:t>Bias, and Organisational Behaviour (October 01, 2025)</w:t>
      </w:r>
      <w:r w:rsidRPr="00544910">
        <w:rPr>
          <w:rFonts w:ascii="Arial" w:hAnsi="Arial" w:cs="Arial"/>
          <w:color w:val="222222"/>
          <w:sz w:val="20"/>
          <w:szCs w:val="20"/>
          <w:shd w:val="clear" w:color="auto" w:fill="FFFFFF"/>
        </w:rPr>
        <w:t>.</w:t>
      </w:r>
    </w:p>
    <w:p w14:paraId="54B72E9D" w14:textId="77777777" w:rsidR="00512B93" w:rsidRPr="00544910" w:rsidRDefault="00512B93" w:rsidP="00544910">
      <w:pPr>
        <w:pStyle w:val="ListParagraph"/>
        <w:numPr>
          <w:ilvl w:val="0"/>
          <w:numId w:val="4"/>
        </w:numPr>
        <w:spacing w:line="360" w:lineRule="auto"/>
        <w:rPr>
          <w:rFonts w:ascii="Arial" w:hAnsi="Arial" w:cs="Arial"/>
          <w:color w:val="222222"/>
          <w:sz w:val="20"/>
          <w:szCs w:val="20"/>
          <w:shd w:val="clear" w:color="auto" w:fill="FFFFFF"/>
        </w:rPr>
      </w:pPr>
      <w:r w:rsidRPr="00544910">
        <w:rPr>
          <w:rFonts w:ascii="Arial" w:hAnsi="Arial" w:cs="Arial"/>
          <w:color w:val="222222"/>
          <w:sz w:val="20"/>
          <w:szCs w:val="20"/>
          <w:shd w:val="clear" w:color="auto" w:fill="FFFFFF"/>
        </w:rPr>
        <w:t>Burnes, B., (2020). The origins of Lewin’s three-step model of change. </w:t>
      </w:r>
      <w:r w:rsidRPr="00544910">
        <w:rPr>
          <w:rFonts w:ascii="Arial" w:hAnsi="Arial" w:cs="Arial"/>
          <w:i/>
          <w:iCs/>
          <w:color w:val="222222"/>
          <w:sz w:val="20"/>
          <w:szCs w:val="20"/>
          <w:shd w:val="clear" w:color="auto" w:fill="FFFFFF"/>
        </w:rPr>
        <w:t xml:space="preserve">The Journal of Applied </w:t>
      </w:r>
      <w:proofErr w:type="spellStart"/>
      <w:r w:rsidRPr="00544910">
        <w:rPr>
          <w:rFonts w:ascii="Arial" w:hAnsi="Arial" w:cs="Arial"/>
          <w:i/>
          <w:iCs/>
          <w:color w:val="222222"/>
          <w:sz w:val="20"/>
          <w:szCs w:val="20"/>
          <w:shd w:val="clear" w:color="auto" w:fill="FFFFFF"/>
        </w:rPr>
        <w:t>Behavioral</w:t>
      </w:r>
      <w:proofErr w:type="spellEnd"/>
      <w:r w:rsidRPr="00544910">
        <w:rPr>
          <w:rFonts w:ascii="Arial" w:hAnsi="Arial" w:cs="Arial"/>
          <w:i/>
          <w:iCs/>
          <w:color w:val="222222"/>
          <w:sz w:val="20"/>
          <w:szCs w:val="20"/>
          <w:shd w:val="clear" w:color="auto" w:fill="FFFFFF"/>
        </w:rPr>
        <w:t xml:space="preserve"> Science</w:t>
      </w:r>
      <w:r w:rsidRPr="00544910">
        <w:rPr>
          <w:rFonts w:ascii="Arial" w:hAnsi="Arial" w:cs="Arial"/>
          <w:color w:val="222222"/>
          <w:sz w:val="20"/>
          <w:szCs w:val="20"/>
          <w:shd w:val="clear" w:color="auto" w:fill="FFFFFF"/>
        </w:rPr>
        <w:t>, </w:t>
      </w:r>
      <w:r w:rsidRPr="00544910">
        <w:rPr>
          <w:rFonts w:ascii="Arial" w:hAnsi="Arial" w:cs="Arial"/>
          <w:i/>
          <w:iCs/>
          <w:color w:val="222222"/>
          <w:sz w:val="20"/>
          <w:szCs w:val="20"/>
          <w:shd w:val="clear" w:color="auto" w:fill="FFFFFF"/>
        </w:rPr>
        <w:t>56</w:t>
      </w:r>
      <w:r w:rsidRPr="00544910">
        <w:rPr>
          <w:rFonts w:ascii="Arial" w:hAnsi="Arial" w:cs="Arial"/>
          <w:color w:val="222222"/>
          <w:sz w:val="20"/>
          <w:szCs w:val="20"/>
          <w:shd w:val="clear" w:color="auto" w:fill="FFFFFF"/>
        </w:rPr>
        <w:t>(1), pp.32-59.</w:t>
      </w:r>
    </w:p>
    <w:p w14:paraId="12840DA9"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Cheng, L., Huang, P., Zhang, M., Yang, R. and Wang, Y., (2025). Optimising electricity markets through game-theoretical methods: Strategic and policy implications for power purchasing and generation enterprises. </w:t>
      </w:r>
      <w:r w:rsidRPr="00544910">
        <w:rPr>
          <w:rFonts w:ascii="Arial" w:hAnsi="Arial" w:cs="Arial"/>
          <w:i/>
          <w:iCs/>
          <w:sz w:val="20"/>
          <w:szCs w:val="20"/>
        </w:rPr>
        <w:t>Mathematics</w:t>
      </w:r>
      <w:r w:rsidRPr="00544910">
        <w:rPr>
          <w:rFonts w:ascii="Arial" w:hAnsi="Arial" w:cs="Arial"/>
          <w:sz w:val="20"/>
          <w:szCs w:val="20"/>
        </w:rPr>
        <w:t>, </w:t>
      </w:r>
      <w:r w:rsidRPr="00544910">
        <w:rPr>
          <w:rFonts w:ascii="Arial" w:hAnsi="Arial" w:cs="Arial"/>
          <w:i/>
          <w:iCs/>
          <w:sz w:val="20"/>
          <w:szCs w:val="20"/>
        </w:rPr>
        <w:t>13</w:t>
      </w:r>
      <w:r w:rsidRPr="00544910">
        <w:rPr>
          <w:rFonts w:ascii="Arial" w:hAnsi="Arial" w:cs="Arial"/>
          <w:sz w:val="20"/>
          <w:szCs w:val="20"/>
        </w:rPr>
        <w:t>(3), p.373.</w:t>
      </w:r>
    </w:p>
    <w:p w14:paraId="6F0CD0F4" w14:textId="77777777" w:rsidR="00512B93" w:rsidRPr="00544910" w:rsidRDefault="00512B93" w:rsidP="00544910">
      <w:pPr>
        <w:pStyle w:val="ListParagraph"/>
        <w:numPr>
          <w:ilvl w:val="0"/>
          <w:numId w:val="4"/>
        </w:numPr>
        <w:spacing w:line="360" w:lineRule="auto"/>
        <w:rPr>
          <w:rFonts w:ascii="Arial" w:hAnsi="Arial" w:cs="Arial"/>
          <w:sz w:val="20"/>
          <w:szCs w:val="20"/>
        </w:rPr>
      </w:pPr>
      <w:proofErr w:type="spellStart"/>
      <w:r w:rsidRPr="00544910">
        <w:rPr>
          <w:rFonts w:ascii="Arial" w:hAnsi="Arial" w:cs="Arial"/>
          <w:sz w:val="20"/>
          <w:szCs w:val="20"/>
        </w:rPr>
        <w:t>Ciupan</w:t>
      </w:r>
      <w:proofErr w:type="spellEnd"/>
      <w:r w:rsidRPr="00544910">
        <w:rPr>
          <w:rFonts w:ascii="Arial" w:hAnsi="Arial" w:cs="Arial"/>
          <w:sz w:val="20"/>
          <w:szCs w:val="20"/>
        </w:rPr>
        <w:t xml:space="preserve">, R. and Lungu, F., (2025). 'Change management for products and processes in automotive industry', </w:t>
      </w:r>
      <w:r w:rsidRPr="00544910">
        <w:rPr>
          <w:rFonts w:ascii="Arial" w:hAnsi="Arial" w:cs="Arial"/>
          <w:i/>
          <w:iCs/>
          <w:sz w:val="20"/>
          <w:szCs w:val="20"/>
        </w:rPr>
        <w:t>Review of Management and Economic Engineering</w:t>
      </w:r>
      <w:r w:rsidRPr="00544910">
        <w:rPr>
          <w:rFonts w:ascii="Arial" w:hAnsi="Arial" w:cs="Arial"/>
          <w:sz w:val="20"/>
          <w:szCs w:val="20"/>
        </w:rPr>
        <w:t>, 24(1), pp. 58-64. Available at: https://www.researchgate.net/publication/390544430_CHANGE_MANAGEMENT_FOR_PRODUCTS_AND_PROCESSES_IN_AUTOMOTIVE_INDUSTRY (Accessed: 18 July 2026</w:t>
      </w:r>
    </w:p>
    <w:p w14:paraId="59B90232"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Companies History., (2025). 'Who Owns Bentley', Companies History, 3 November. Available at: https://www.companieshistory.com/who-owns-bentley/ (Accessed: 13 June 2026).</w:t>
      </w:r>
    </w:p>
    <w:p w14:paraId="29962530"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Dodsworth, C., Bourne, E., Schlich, B.L. and </w:t>
      </w:r>
      <w:proofErr w:type="spellStart"/>
      <w:r w:rsidRPr="00544910">
        <w:rPr>
          <w:rFonts w:ascii="Arial" w:hAnsi="Arial" w:cs="Arial"/>
          <w:sz w:val="20"/>
          <w:szCs w:val="20"/>
        </w:rPr>
        <w:t>Kooroshy</w:t>
      </w:r>
      <w:proofErr w:type="spellEnd"/>
      <w:r w:rsidRPr="00544910">
        <w:rPr>
          <w:rFonts w:ascii="Arial" w:hAnsi="Arial" w:cs="Arial"/>
          <w:sz w:val="20"/>
          <w:szCs w:val="20"/>
        </w:rPr>
        <w:t>, J., (2023). Financial, Double, or Dynamic? Theories of ESG Materiality and Practitioner Approaches. </w:t>
      </w:r>
      <w:r w:rsidRPr="00544910">
        <w:rPr>
          <w:rFonts w:ascii="Arial" w:hAnsi="Arial" w:cs="Arial"/>
          <w:i/>
          <w:iCs/>
          <w:sz w:val="20"/>
          <w:szCs w:val="20"/>
        </w:rPr>
        <w:t>Journal of Impact &amp; ESG Investing</w:t>
      </w:r>
      <w:r w:rsidRPr="00544910">
        <w:rPr>
          <w:rFonts w:ascii="Arial" w:hAnsi="Arial" w:cs="Arial"/>
          <w:sz w:val="20"/>
          <w:szCs w:val="20"/>
        </w:rPr>
        <w:t>, </w:t>
      </w:r>
      <w:r w:rsidRPr="00544910">
        <w:rPr>
          <w:rFonts w:ascii="Arial" w:hAnsi="Arial" w:cs="Arial"/>
          <w:i/>
          <w:iCs/>
          <w:sz w:val="20"/>
          <w:szCs w:val="20"/>
        </w:rPr>
        <w:t>4</w:t>
      </w:r>
      <w:r w:rsidRPr="00544910">
        <w:rPr>
          <w:rFonts w:ascii="Arial" w:hAnsi="Arial" w:cs="Arial"/>
          <w:sz w:val="20"/>
          <w:szCs w:val="20"/>
        </w:rPr>
        <w:t>(2).</w:t>
      </w:r>
    </w:p>
    <w:p w14:paraId="001D60EF"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EY., (2025). </w:t>
      </w:r>
      <w:r w:rsidRPr="00544910">
        <w:rPr>
          <w:rFonts w:ascii="Arial" w:hAnsi="Arial" w:cs="Arial"/>
          <w:i/>
          <w:iCs/>
          <w:sz w:val="20"/>
          <w:szCs w:val="20"/>
        </w:rPr>
        <w:t>US President Trump announces 25% additional tariff on imported automobiles and automobile parts</w:t>
      </w:r>
      <w:r w:rsidRPr="00544910">
        <w:rPr>
          <w:rFonts w:ascii="Arial" w:hAnsi="Arial" w:cs="Arial"/>
          <w:sz w:val="20"/>
          <w:szCs w:val="20"/>
        </w:rPr>
        <w:t>. [online] EY Technical Tax Alerts. Available at: https://www.ey.com/en_gl/technical/tax-alerts/us-president-trump-announces-25-per cent-additional-tariff-on-imported-automobiles-and-automobile-parts [Accessed 15 June 2026].</w:t>
      </w:r>
    </w:p>
    <w:p w14:paraId="021C50AC"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Garst, J., Maas, K. and </w:t>
      </w:r>
      <w:proofErr w:type="spellStart"/>
      <w:r w:rsidRPr="00544910">
        <w:rPr>
          <w:rFonts w:ascii="Arial" w:hAnsi="Arial" w:cs="Arial"/>
          <w:sz w:val="20"/>
          <w:szCs w:val="20"/>
        </w:rPr>
        <w:t>Suijs</w:t>
      </w:r>
      <w:proofErr w:type="spellEnd"/>
      <w:r w:rsidRPr="00544910">
        <w:rPr>
          <w:rFonts w:ascii="Arial" w:hAnsi="Arial" w:cs="Arial"/>
          <w:sz w:val="20"/>
          <w:szCs w:val="20"/>
        </w:rPr>
        <w:t>, J., (2022). Materiality assessment is an art, not a science: Selecting ESG topics for sustainability reports. </w:t>
      </w:r>
      <w:r w:rsidRPr="00544910">
        <w:rPr>
          <w:rFonts w:ascii="Arial" w:hAnsi="Arial" w:cs="Arial"/>
          <w:i/>
          <w:iCs/>
          <w:sz w:val="20"/>
          <w:szCs w:val="20"/>
        </w:rPr>
        <w:t>California Management Review</w:t>
      </w:r>
      <w:r w:rsidRPr="00544910">
        <w:rPr>
          <w:rFonts w:ascii="Arial" w:hAnsi="Arial" w:cs="Arial"/>
          <w:sz w:val="20"/>
          <w:szCs w:val="20"/>
        </w:rPr>
        <w:t>, </w:t>
      </w:r>
      <w:r w:rsidRPr="00544910">
        <w:rPr>
          <w:rFonts w:ascii="Arial" w:hAnsi="Arial" w:cs="Arial"/>
          <w:i/>
          <w:iCs/>
          <w:sz w:val="20"/>
          <w:szCs w:val="20"/>
        </w:rPr>
        <w:t>65</w:t>
      </w:r>
      <w:r w:rsidRPr="00544910">
        <w:rPr>
          <w:rFonts w:ascii="Arial" w:hAnsi="Arial" w:cs="Arial"/>
          <w:sz w:val="20"/>
          <w:szCs w:val="20"/>
        </w:rPr>
        <w:t>(1), pp.64-90.</w:t>
      </w:r>
    </w:p>
    <w:p w14:paraId="758910E3" w14:textId="13C1C79D" w:rsidR="00CF75E5" w:rsidRPr="00544910" w:rsidRDefault="00CF75E5"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Gautam, A., Rogers, H. and Kumar, M., </w:t>
      </w:r>
      <w:r w:rsidR="00AE4A72">
        <w:rPr>
          <w:rFonts w:ascii="Arial" w:hAnsi="Arial" w:cs="Arial"/>
          <w:sz w:val="20"/>
          <w:szCs w:val="20"/>
        </w:rPr>
        <w:t>(</w:t>
      </w:r>
      <w:r w:rsidRPr="00544910">
        <w:rPr>
          <w:rFonts w:ascii="Arial" w:hAnsi="Arial" w:cs="Arial"/>
          <w:sz w:val="20"/>
          <w:szCs w:val="20"/>
        </w:rPr>
        <w:t>2026</w:t>
      </w:r>
      <w:r w:rsidR="00AE4A72">
        <w:rPr>
          <w:rFonts w:ascii="Arial" w:hAnsi="Arial" w:cs="Arial"/>
          <w:sz w:val="20"/>
          <w:szCs w:val="20"/>
        </w:rPr>
        <w:t>)</w:t>
      </w:r>
      <w:r w:rsidRPr="00544910">
        <w:rPr>
          <w:rFonts w:ascii="Arial" w:hAnsi="Arial" w:cs="Arial"/>
          <w:sz w:val="20"/>
          <w:szCs w:val="20"/>
        </w:rPr>
        <w:t xml:space="preserve">. A strategic analysis of the </w:t>
      </w:r>
      <w:r w:rsidR="00AE4A72">
        <w:rPr>
          <w:rFonts w:ascii="Arial" w:hAnsi="Arial" w:cs="Arial"/>
          <w:sz w:val="20"/>
          <w:szCs w:val="20"/>
        </w:rPr>
        <w:t>Chinese</w:t>
      </w:r>
      <w:r w:rsidRPr="00544910">
        <w:rPr>
          <w:rFonts w:ascii="Arial" w:hAnsi="Arial" w:cs="Arial"/>
          <w:sz w:val="20"/>
          <w:szCs w:val="20"/>
        </w:rPr>
        <w:t xml:space="preserve"> automotive industry: Leveraging scale and resource security for a sustainable future. </w:t>
      </w:r>
      <w:r w:rsidRPr="00544910">
        <w:rPr>
          <w:rFonts w:ascii="Arial" w:hAnsi="Arial" w:cs="Arial"/>
          <w:i/>
          <w:iCs/>
          <w:sz w:val="20"/>
          <w:szCs w:val="20"/>
        </w:rPr>
        <w:t>Sustainable Futures</w:t>
      </w:r>
      <w:r w:rsidRPr="00544910">
        <w:rPr>
          <w:rFonts w:ascii="Arial" w:hAnsi="Arial" w:cs="Arial"/>
          <w:sz w:val="20"/>
          <w:szCs w:val="20"/>
        </w:rPr>
        <w:t>, </w:t>
      </w:r>
      <w:r w:rsidRPr="00544910">
        <w:rPr>
          <w:rFonts w:ascii="Arial" w:hAnsi="Arial" w:cs="Arial"/>
          <w:i/>
          <w:iCs/>
          <w:sz w:val="20"/>
          <w:szCs w:val="20"/>
        </w:rPr>
        <w:t>11</w:t>
      </w:r>
      <w:r w:rsidRPr="00544910">
        <w:rPr>
          <w:rFonts w:ascii="Arial" w:hAnsi="Arial" w:cs="Arial"/>
          <w:sz w:val="20"/>
          <w:szCs w:val="20"/>
        </w:rPr>
        <w:t>, p.101917.</w:t>
      </w:r>
    </w:p>
    <w:p w14:paraId="134F9188"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lastRenderedPageBreak/>
        <w:t>Hussain, S.T., Lei, S., Akram, T., Haider, M.J., Hussain, S.H. and Ali, M., (2018). Kurt Lewin's change model: A critical review of the role of leadership and employee involvement in organisational change. </w:t>
      </w:r>
      <w:r w:rsidRPr="00544910">
        <w:rPr>
          <w:rFonts w:ascii="Arial" w:hAnsi="Arial" w:cs="Arial"/>
          <w:i/>
          <w:iCs/>
          <w:sz w:val="20"/>
          <w:szCs w:val="20"/>
        </w:rPr>
        <w:t>Journal of Innovation &amp; Knowledge</w:t>
      </w:r>
      <w:r w:rsidRPr="00544910">
        <w:rPr>
          <w:rFonts w:ascii="Arial" w:hAnsi="Arial" w:cs="Arial"/>
          <w:sz w:val="20"/>
          <w:szCs w:val="20"/>
        </w:rPr>
        <w:t>, </w:t>
      </w:r>
      <w:r w:rsidRPr="00544910">
        <w:rPr>
          <w:rFonts w:ascii="Arial" w:hAnsi="Arial" w:cs="Arial"/>
          <w:i/>
          <w:iCs/>
          <w:sz w:val="20"/>
          <w:szCs w:val="20"/>
        </w:rPr>
        <w:t>3</w:t>
      </w:r>
      <w:r w:rsidRPr="00544910">
        <w:rPr>
          <w:rFonts w:ascii="Arial" w:hAnsi="Arial" w:cs="Arial"/>
          <w:sz w:val="20"/>
          <w:szCs w:val="20"/>
        </w:rPr>
        <w:t>(3), pp.123-127.</w:t>
      </w:r>
    </w:p>
    <w:p w14:paraId="6E8ED559"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Hussain, S.T., Lei, S., Akram, T., Haider, M.J., Hussain, S.H. and Ali, M., (2018). 'A critical review of change management strategies and models', Journal of Innovation &amp; Knowledge, 3(3), pp. 123-127. Available at: https://www.researchgate.net/publication/316742554_A_CRITICAL_REVIEW_OF_CHANGE_MANAGEMENT_STRATEGIES_AND_MODELS (Accessed: 22 June 2026).</w:t>
      </w:r>
    </w:p>
    <w:p w14:paraId="789BB82B"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Kaminski, J., (2011). Theory applied to informatics–Lewin’s Change Theory. </w:t>
      </w:r>
      <w:r w:rsidRPr="00544910">
        <w:rPr>
          <w:rFonts w:ascii="Arial" w:hAnsi="Arial" w:cs="Arial"/>
          <w:i/>
          <w:iCs/>
          <w:sz w:val="20"/>
          <w:szCs w:val="20"/>
        </w:rPr>
        <w:t>Canadian Journal of Nursing Informatics</w:t>
      </w:r>
      <w:r w:rsidRPr="00544910">
        <w:rPr>
          <w:rFonts w:ascii="Arial" w:hAnsi="Arial" w:cs="Arial"/>
          <w:sz w:val="20"/>
          <w:szCs w:val="20"/>
        </w:rPr>
        <w:t>, </w:t>
      </w:r>
      <w:r w:rsidRPr="00544910">
        <w:rPr>
          <w:rFonts w:ascii="Arial" w:hAnsi="Arial" w:cs="Arial"/>
          <w:i/>
          <w:iCs/>
          <w:sz w:val="20"/>
          <w:szCs w:val="20"/>
        </w:rPr>
        <w:t>6</w:t>
      </w:r>
      <w:r w:rsidRPr="00544910">
        <w:rPr>
          <w:rFonts w:ascii="Arial" w:hAnsi="Arial" w:cs="Arial"/>
          <w:sz w:val="20"/>
          <w:szCs w:val="20"/>
        </w:rPr>
        <w:t>(1).</w:t>
      </w:r>
    </w:p>
    <w:p w14:paraId="08F54362" w14:textId="77777777" w:rsidR="00512B93" w:rsidRPr="00544910" w:rsidRDefault="00512B93" w:rsidP="00544910">
      <w:pPr>
        <w:pStyle w:val="ListParagraph"/>
        <w:numPr>
          <w:ilvl w:val="0"/>
          <w:numId w:val="4"/>
        </w:numPr>
        <w:spacing w:line="360" w:lineRule="auto"/>
        <w:rPr>
          <w:rFonts w:ascii="Arial" w:hAnsi="Arial" w:cs="Arial"/>
          <w:sz w:val="20"/>
          <w:szCs w:val="20"/>
        </w:rPr>
      </w:pPr>
      <w:proofErr w:type="spellStart"/>
      <w:r w:rsidRPr="00544910">
        <w:rPr>
          <w:rFonts w:ascii="Arial" w:hAnsi="Arial" w:cs="Arial"/>
          <w:sz w:val="20"/>
          <w:szCs w:val="20"/>
        </w:rPr>
        <w:t>Kamyshnykova</w:t>
      </w:r>
      <w:proofErr w:type="spellEnd"/>
      <w:r w:rsidRPr="00544910">
        <w:rPr>
          <w:rFonts w:ascii="Arial" w:hAnsi="Arial" w:cs="Arial"/>
          <w:sz w:val="20"/>
          <w:szCs w:val="20"/>
        </w:rPr>
        <w:t xml:space="preserve">, E., (2019). 'Methods of stakeholder prioritisation in the context of stakeholder management', </w:t>
      </w:r>
      <w:r w:rsidRPr="00544910">
        <w:rPr>
          <w:rFonts w:ascii="Arial" w:hAnsi="Arial" w:cs="Arial"/>
          <w:i/>
          <w:iCs/>
          <w:sz w:val="20"/>
          <w:szCs w:val="20"/>
        </w:rPr>
        <w:t>Business: Theory and Practice</w:t>
      </w:r>
      <w:r w:rsidRPr="00544910">
        <w:rPr>
          <w:rFonts w:ascii="Arial" w:hAnsi="Arial" w:cs="Arial"/>
          <w:sz w:val="20"/>
          <w:szCs w:val="20"/>
        </w:rPr>
        <w:t>, 20, pp. 248–258. Available at: https://www.researchgate.net/publication/333071313_Methods_of_stakeholder_prioritisation_in_the_context_of_stakeholder_management (Accessed: 23 June 2026).</w:t>
      </w:r>
    </w:p>
    <w:p w14:paraId="4426C085"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Laig, R.B.D. and </w:t>
      </w:r>
      <w:proofErr w:type="spellStart"/>
      <w:r w:rsidRPr="00544910">
        <w:rPr>
          <w:rFonts w:ascii="Arial" w:hAnsi="Arial" w:cs="Arial"/>
          <w:sz w:val="20"/>
          <w:szCs w:val="20"/>
        </w:rPr>
        <w:t>Abocejo</w:t>
      </w:r>
      <w:proofErr w:type="spellEnd"/>
      <w:r w:rsidRPr="00544910">
        <w:rPr>
          <w:rFonts w:ascii="Arial" w:hAnsi="Arial" w:cs="Arial"/>
          <w:sz w:val="20"/>
          <w:szCs w:val="20"/>
        </w:rPr>
        <w:t>, F.T., (2021). Change management process in a mining company: Kotter’s 8-step change model. </w:t>
      </w:r>
      <w:r w:rsidRPr="00544910">
        <w:rPr>
          <w:rFonts w:ascii="Arial" w:hAnsi="Arial" w:cs="Arial"/>
          <w:i/>
          <w:iCs/>
          <w:sz w:val="20"/>
          <w:szCs w:val="20"/>
        </w:rPr>
        <w:t>Journal of Management, Economics, and Industrial Organisation</w:t>
      </w:r>
      <w:r w:rsidRPr="00544910">
        <w:rPr>
          <w:rFonts w:ascii="Arial" w:hAnsi="Arial" w:cs="Arial"/>
          <w:sz w:val="20"/>
          <w:szCs w:val="20"/>
        </w:rPr>
        <w:t>, </w:t>
      </w:r>
      <w:r w:rsidRPr="00544910">
        <w:rPr>
          <w:rFonts w:ascii="Arial" w:hAnsi="Arial" w:cs="Arial"/>
          <w:i/>
          <w:iCs/>
          <w:sz w:val="20"/>
          <w:szCs w:val="20"/>
        </w:rPr>
        <w:t>5</w:t>
      </w:r>
      <w:r w:rsidRPr="00544910">
        <w:rPr>
          <w:rFonts w:ascii="Arial" w:hAnsi="Arial" w:cs="Arial"/>
          <w:sz w:val="20"/>
          <w:szCs w:val="20"/>
        </w:rPr>
        <w:t>(3), pp.31-50.</w:t>
      </w:r>
    </w:p>
    <w:p w14:paraId="1DB497D1"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Levasseur, R.E., (2001). People skills: Change management tools: Lewin's change model. </w:t>
      </w:r>
      <w:r w:rsidRPr="00544910">
        <w:rPr>
          <w:rFonts w:ascii="Arial" w:hAnsi="Arial" w:cs="Arial"/>
          <w:i/>
          <w:iCs/>
          <w:sz w:val="20"/>
          <w:szCs w:val="20"/>
        </w:rPr>
        <w:t>Interfaces</w:t>
      </w:r>
      <w:r w:rsidRPr="00544910">
        <w:rPr>
          <w:rFonts w:ascii="Arial" w:hAnsi="Arial" w:cs="Arial"/>
          <w:sz w:val="20"/>
          <w:szCs w:val="20"/>
        </w:rPr>
        <w:t>, </w:t>
      </w:r>
      <w:r w:rsidRPr="00544910">
        <w:rPr>
          <w:rFonts w:ascii="Arial" w:hAnsi="Arial" w:cs="Arial"/>
          <w:i/>
          <w:iCs/>
          <w:sz w:val="20"/>
          <w:szCs w:val="20"/>
        </w:rPr>
        <w:t>31</w:t>
      </w:r>
      <w:r w:rsidRPr="00544910">
        <w:rPr>
          <w:rFonts w:ascii="Arial" w:hAnsi="Arial" w:cs="Arial"/>
          <w:sz w:val="20"/>
          <w:szCs w:val="20"/>
        </w:rPr>
        <w:t>(4), pp.71-73.</w:t>
      </w:r>
    </w:p>
    <w:p w14:paraId="3430FD2D"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Mai, S., Lam, M.M., Wong, C.W. and Lam, C.Y., (2026). Strategic ESG Priorities and Materiality Assessments: Evidence from Hong Kong Listed Fashion and Textile Firms. </w:t>
      </w:r>
      <w:r w:rsidRPr="00544910">
        <w:rPr>
          <w:rFonts w:ascii="Arial" w:hAnsi="Arial" w:cs="Arial"/>
          <w:i/>
          <w:iCs/>
          <w:sz w:val="20"/>
          <w:szCs w:val="20"/>
        </w:rPr>
        <w:t>Business Strategy and the Environment</w:t>
      </w:r>
      <w:r w:rsidRPr="00544910">
        <w:rPr>
          <w:rFonts w:ascii="Arial" w:hAnsi="Arial" w:cs="Arial"/>
          <w:sz w:val="20"/>
          <w:szCs w:val="20"/>
        </w:rPr>
        <w:t>.</w:t>
      </w:r>
    </w:p>
    <w:p w14:paraId="566D6F6D" w14:textId="0BE12756"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Mann, J., (2024). 'Bentley announces extension of Beyond100+ strategic plan to 2035', Motor Trader, 8 November. Available at: https://www.motortrader.com/motor-trader-news/automotive-news/bentley-announces-extension-beyond100-strategic-plan-2035-08-11-2024 (Accessed: 13 June 2026). </w:t>
      </w:r>
    </w:p>
    <w:p w14:paraId="3F589EC3" w14:textId="3676EFFA"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Massey, R., (2026). 'Bentley to axe 275 jobs as profits tumble: Luxury carmaker faces a 'challenging' global market', MSN, 17 March. Available at: https://www.msn.com/en-in/autos/news/bentley-to-axe-275-jobs-as-profits-tumble-luxury-carmaker-faces-a-challenging-global-market/ar-AA1YP4pd (Accessed: 18 June 2026).</w:t>
      </w:r>
    </w:p>
    <w:p w14:paraId="45CF6379"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Olech, I., Olech, A. and </w:t>
      </w:r>
      <w:proofErr w:type="spellStart"/>
      <w:r w:rsidRPr="00544910">
        <w:rPr>
          <w:rFonts w:ascii="Arial" w:hAnsi="Arial" w:cs="Arial"/>
          <w:sz w:val="20"/>
          <w:szCs w:val="20"/>
        </w:rPr>
        <w:t>Wychowanek</w:t>
      </w:r>
      <w:proofErr w:type="spellEnd"/>
      <w:r w:rsidRPr="00544910">
        <w:rPr>
          <w:rFonts w:ascii="Arial" w:hAnsi="Arial" w:cs="Arial"/>
          <w:sz w:val="20"/>
          <w:szCs w:val="20"/>
        </w:rPr>
        <w:t>, J., (2025). Identification of Factors Important for the Development of Family Businesses Using PESTLE. </w:t>
      </w:r>
      <w:r w:rsidRPr="00544910">
        <w:rPr>
          <w:rFonts w:ascii="Arial" w:hAnsi="Arial" w:cs="Arial"/>
          <w:i/>
          <w:iCs/>
          <w:sz w:val="20"/>
          <w:szCs w:val="20"/>
        </w:rPr>
        <w:t>Research Papers of Wroclaw University of Economics and Business</w:t>
      </w:r>
      <w:r w:rsidRPr="00544910">
        <w:rPr>
          <w:rFonts w:ascii="Arial" w:hAnsi="Arial" w:cs="Arial"/>
          <w:sz w:val="20"/>
          <w:szCs w:val="20"/>
        </w:rPr>
        <w:t>, </w:t>
      </w:r>
      <w:r w:rsidRPr="00544910">
        <w:rPr>
          <w:rFonts w:ascii="Arial" w:hAnsi="Arial" w:cs="Arial"/>
          <w:i/>
          <w:iCs/>
          <w:sz w:val="20"/>
          <w:szCs w:val="20"/>
        </w:rPr>
        <w:t>69</w:t>
      </w:r>
      <w:r w:rsidRPr="00544910">
        <w:rPr>
          <w:rFonts w:ascii="Arial" w:hAnsi="Arial" w:cs="Arial"/>
          <w:sz w:val="20"/>
          <w:szCs w:val="20"/>
        </w:rPr>
        <w:t>(3).</w:t>
      </w:r>
    </w:p>
    <w:p w14:paraId="4028017B" w14:textId="528FD502" w:rsidR="00512B93" w:rsidRPr="00544910" w:rsidRDefault="00512B93" w:rsidP="00544910">
      <w:pPr>
        <w:pStyle w:val="ListParagraph"/>
        <w:numPr>
          <w:ilvl w:val="0"/>
          <w:numId w:val="4"/>
        </w:numPr>
        <w:spacing w:line="360" w:lineRule="auto"/>
        <w:rPr>
          <w:rFonts w:ascii="Arial" w:hAnsi="Arial" w:cs="Arial"/>
          <w:sz w:val="20"/>
          <w:szCs w:val="20"/>
        </w:rPr>
      </w:pPr>
      <w:proofErr w:type="spellStart"/>
      <w:r w:rsidRPr="00544910">
        <w:rPr>
          <w:rFonts w:ascii="Arial" w:hAnsi="Arial" w:cs="Arial"/>
          <w:sz w:val="20"/>
          <w:szCs w:val="20"/>
        </w:rPr>
        <w:t>Păvăloaia</w:t>
      </w:r>
      <w:proofErr w:type="spellEnd"/>
      <w:r w:rsidRPr="00544910">
        <w:rPr>
          <w:rFonts w:ascii="Arial" w:hAnsi="Arial" w:cs="Arial"/>
          <w:sz w:val="20"/>
          <w:szCs w:val="20"/>
        </w:rPr>
        <w:t>, V.D. and Necula, S.C., (2023). Artificial intelligence as a disruptive technology: a systematic literature review. </w:t>
      </w:r>
      <w:r w:rsidRPr="00544910">
        <w:rPr>
          <w:rFonts w:ascii="Arial" w:hAnsi="Arial" w:cs="Arial"/>
          <w:i/>
          <w:iCs/>
          <w:sz w:val="20"/>
          <w:szCs w:val="20"/>
        </w:rPr>
        <w:t>Electronics</w:t>
      </w:r>
      <w:r w:rsidRPr="00544910">
        <w:rPr>
          <w:rFonts w:ascii="Arial" w:hAnsi="Arial" w:cs="Arial"/>
          <w:sz w:val="20"/>
          <w:szCs w:val="20"/>
        </w:rPr>
        <w:t>, </w:t>
      </w:r>
      <w:r w:rsidRPr="00544910">
        <w:rPr>
          <w:rFonts w:ascii="Arial" w:hAnsi="Arial" w:cs="Arial"/>
          <w:i/>
          <w:iCs/>
          <w:sz w:val="20"/>
          <w:szCs w:val="20"/>
        </w:rPr>
        <w:t>12</w:t>
      </w:r>
      <w:r w:rsidRPr="00544910">
        <w:rPr>
          <w:rFonts w:ascii="Arial" w:hAnsi="Arial" w:cs="Arial"/>
          <w:sz w:val="20"/>
          <w:szCs w:val="20"/>
        </w:rPr>
        <w:t>(5), p.1102.</w:t>
      </w:r>
    </w:p>
    <w:p w14:paraId="59CDB46F" w14:textId="534919FD" w:rsidR="00512B93"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Qadri, A.U. and Tariq, M., (2025). SWOT and PESTLE Analyses in Strategic Business Planning. </w:t>
      </w:r>
      <w:r w:rsidRPr="00544910">
        <w:rPr>
          <w:rFonts w:ascii="Arial" w:hAnsi="Arial" w:cs="Arial"/>
          <w:i/>
          <w:iCs/>
          <w:sz w:val="20"/>
          <w:szCs w:val="20"/>
        </w:rPr>
        <w:t>International Journal of Modern Research in Management</w:t>
      </w:r>
      <w:r w:rsidRPr="00544910">
        <w:rPr>
          <w:rFonts w:ascii="Arial" w:hAnsi="Arial" w:cs="Arial"/>
          <w:sz w:val="20"/>
          <w:szCs w:val="20"/>
        </w:rPr>
        <w:t>, </w:t>
      </w:r>
      <w:r w:rsidRPr="00544910">
        <w:rPr>
          <w:rFonts w:ascii="Arial" w:hAnsi="Arial" w:cs="Arial"/>
          <w:i/>
          <w:iCs/>
          <w:sz w:val="20"/>
          <w:szCs w:val="20"/>
        </w:rPr>
        <w:t>2</w:t>
      </w:r>
      <w:r w:rsidRPr="00544910">
        <w:rPr>
          <w:rFonts w:ascii="Arial" w:hAnsi="Arial" w:cs="Arial"/>
          <w:sz w:val="20"/>
          <w:szCs w:val="20"/>
        </w:rPr>
        <w:t>(01), pp.34-44.</w:t>
      </w:r>
    </w:p>
    <w:p w14:paraId="47C3EAAF" w14:textId="77777777" w:rsidR="00AE4A72" w:rsidRPr="00AE4A72" w:rsidRDefault="00AE4A72" w:rsidP="00AE4A72">
      <w:pPr>
        <w:spacing w:line="360" w:lineRule="auto"/>
        <w:rPr>
          <w:rFonts w:ascii="Arial" w:hAnsi="Arial" w:cs="Arial"/>
          <w:sz w:val="20"/>
          <w:szCs w:val="20"/>
        </w:rPr>
      </w:pPr>
    </w:p>
    <w:p w14:paraId="438FDD9E"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lastRenderedPageBreak/>
        <w:t xml:space="preserve">Reuters., (2022). </w:t>
      </w:r>
      <w:r w:rsidRPr="00544910">
        <w:rPr>
          <w:rFonts w:ascii="Arial" w:hAnsi="Arial" w:cs="Arial"/>
          <w:i/>
          <w:iCs/>
          <w:sz w:val="20"/>
          <w:szCs w:val="20"/>
        </w:rPr>
        <w:t>Bentley cruised to record year in 2021 with luxury cars in high demand</w:t>
      </w:r>
      <w:r w:rsidRPr="00544910">
        <w:rPr>
          <w:rFonts w:ascii="Arial" w:hAnsi="Arial" w:cs="Arial"/>
          <w:sz w:val="20"/>
          <w:szCs w:val="20"/>
        </w:rPr>
        <w:t>. [online] Reuters. Available at: https://www.reuters.com/business/autos-transportation/bentley-cruised-record-year-2021-with-luxury-cars-high-demand-2022-01-06/ [Accessed 19 June 2026].</w:t>
      </w:r>
    </w:p>
    <w:p w14:paraId="0135C155"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Serpa, S., (2016). An overview of the concept of organisational culture. </w:t>
      </w:r>
      <w:r w:rsidRPr="00544910">
        <w:rPr>
          <w:rFonts w:ascii="Arial" w:hAnsi="Arial" w:cs="Arial"/>
          <w:i/>
          <w:iCs/>
          <w:sz w:val="20"/>
          <w:szCs w:val="20"/>
        </w:rPr>
        <w:t>International business management</w:t>
      </w:r>
      <w:r w:rsidRPr="00544910">
        <w:rPr>
          <w:rFonts w:ascii="Arial" w:hAnsi="Arial" w:cs="Arial"/>
          <w:sz w:val="20"/>
          <w:szCs w:val="20"/>
        </w:rPr>
        <w:t>, 10(1), pp.51-61.</w:t>
      </w:r>
    </w:p>
    <w:p w14:paraId="06467F92"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Shehadeh, M. and </w:t>
      </w:r>
      <w:proofErr w:type="spellStart"/>
      <w:r w:rsidRPr="00544910">
        <w:rPr>
          <w:rFonts w:ascii="Arial" w:hAnsi="Arial" w:cs="Arial"/>
          <w:sz w:val="20"/>
          <w:szCs w:val="20"/>
        </w:rPr>
        <w:t>Hussainey</w:t>
      </w:r>
      <w:proofErr w:type="spellEnd"/>
      <w:r w:rsidRPr="00544910">
        <w:rPr>
          <w:rFonts w:ascii="Arial" w:hAnsi="Arial" w:cs="Arial"/>
          <w:sz w:val="20"/>
          <w:szCs w:val="20"/>
        </w:rPr>
        <w:t>, K. eds., (2025). </w:t>
      </w:r>
      <w:r w:rsidRPr="00544910">
        <w:rPr>
          <w:rFonts w:ascii="Arial" w:hAnsi="Arial" w:cs="Arial"/>
          <w:i/>
          <w:iCs/>
          <w:sz w:val="20"/>
          <w:szCs w:val="20"/>
        </w:rPr>
        <w:t>From digital disruption to dominance: Leveraging fintech applications for sustainable growth</w:t>
      </w:r>
      <w:r w:rsidRPr="00544910">
        <w:rPr>
          <w:rFonts w:ascii="Arial" w:hAnsi="Arial" w:cs="Arial"/>
          <w:sz w:val="20"/>
          <w:szCs w:val="20"/>
        </w:rPr>
        <w:t>. Emerald Publishing Limited.</w:t>
      </w:r>
    </w:p>
    <w:p w14:paraId="5998C587"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Statista., (2024). </w:t>
      </w:r>
      <w:r w:rsidRPr="00544910">
        <w:rPr>
          <w:rFonts w:ascii="Arial" w:hAnsi="Arial" w:cs="Arial"/>
          <w:i/>
          <w:iCs/>
          <w:sz w:val="20"/>
          <w:szCs w:val="20"/>
        </w:rPr>
        <w:t>Worldwide number of SEAT vehicle sales from 2010 to 2023</w:t>
      </w:r>
      <w:r w:rsidRPr="00544910">
        <w:rPr>
          <w:rFonts w:ascii="Arial" w:hAnsi="Arial" w:cs="Arial"/>
          <w:sz w:val="20"/>
          <w:szCs w:val="20"/>
        </w:rPr>
        <w:t xml:space="preserve">. [online] Statista. Available at: </w:t>
      </w:r>
      <w:hyperlink r:id="rId13" w:tgtFrame="_blank" w:history="1">
        <w:r w:rsidRPr="00544910">
          <w:rPr>
            <w:rStyle w:val="Hyperlink"/>
            <w:rFonts w:ascii="Arial" w:hAnsi="Arial" w:cs="Arial"/>
            <w:sz w:val="20"/>
            <w:szCs w:val="20"/>
          </w:rPr>
          <w:t>statista.com</w:t>
        </w:r>
      </w:hyperlink>
      <w:r w:rsidRPr="00544910">
        <w:rPr>
          <w:rFonts w:ascii="Arial" w:hAnsi="Arial" w:cs="Arial"/>
          <w:sz w:val="20"/>
          <w:szCs w:val="20"/>
        </w:rPr>
        <w:t xml:space="preserve"> [Accessed 18 July 2026].</w:t>
      </w:r>
    </w:p>
    <w:p w14:paraId="54DEA7F0"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Stratsys., (2024). </w:t>
      </w:r>
      <w:r w:rsidRPr="00544910">
        <w:rPr>
          <w:rFonts w:ascii="Arial" w:hAnsi="Arial" w:cs="Arial"/>
          <w:i/>
          <w:iCs/>
          <w:sz w:val="20"/>
          <w:szCs w:val="20"/>
        </w:rPr>
        <w:t xml:space="preserve">What is </w:t>
      </w:r>
      <w:proofErr w:type="gramStart"/>
      <w:r w:rsidRPr="00544910">
        <w:rPr>
          <w:rFonts w:ascii="Arial" w:hAnsi="Arial" w:cs="Arial"/>
          <w:i/>
          <w:iCs/>
          <w:sz w:val="20"/>
          <w:szCs w:val="20"/>
        </w:rPr>
        <w:t>ESG?</w:t>
      </w:r>
      <w:r w:rsidRPr="00544910">
        <w:rPr>
          <w:rFonts w:ascii="Arial" w:hAnsi="Arial" w:cs="Arial"/>
          <w:sz w:val="20"/>
          <w:szCs w:val="20"/>
        </w:rPr>
        <w:t>.</w:t>
      </w:r>
      <w:proofErr w:type="gramEnd"/>
      <w:r w:rsidRPr="00544910">
        <w:rPr>
          <w:rFonts w:ascii="Arial" w:hAnsi="Arial" w:cs="Arial"/>
          <w:sz w:val="20"/>
          <w:szCs w:val="20"/>
        </w:rPr>
        <w:t xml:space="preserve"> [online] Stratsys Knowledge Hub. Available at: </w:t>
      </w:r>
      <w:hyperlink r:id="rId14" w:tgtFrame="_blank" w:history="1">
        <w:r w:rsidRPr="00544910">
          <w:rPr>
            <w:rStyle w:val="Hyperlink"/>
            <w:rFonts w:ascii="Arial" w:hAnsi="Arial" w:cs="Arial"/>
            <w:sz w:val="20"/>
            <w:szCs w:val="20"/>
          </w:rPr>
          <w:t>https://www.stratsys.com/knowledge-hub/what-is-esg</w:t>
        </w:r>
      </w:hyperlink>
      <w:r w:rsidRPr="00544910">
        <w:rPr>
          <w:rFonts w:ascii="Arial" w:hAnsi="Arial" w:cs="Arial"/>
          <w:sz w:val="20"/>
          <w:szCs w:val="20"/>
        </w:rPr>
        <w:t xml:space="preserve"> [Accessed 21 June 2026].</w:t>
      </w:r>
    </w:p>
    <w:p w14:paraId="7CDD7F3F"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Thanh, U.T., (2022). The Application of Kotter’s Model of Change in Higher Education: A Case Study in Vietnam Private Universities’. </w:t>
      </w:r>
      <w:r w:rsidRPr="00544910">
        <w:rPr>
          <w:rFonts w:ascii="Arial" w:hAnsi="Arial" w:cs="Arial"/>
          <w:i/>
          <w:iCs/>
          <w:sz w:val="20"/>
          <w:szCs w:val="20"/>
        </w:rPr>
        <w:t>Int. J. Soc. Sci. Hum. Res</w:t>
      </w:r>
      <w:r w:rsidRPr="00544910">
        <w:rPr>
          <w:rFonts w:ascii="Arial" w:hAnsi="Arial" w:cs="Arial"/>
          <w:sz w:val="20"/>
          <w:szCs w:val="20"/>
        </w:rPr>
        <w:t>, </w:t>
      </w:r>
      <w:r w:rsidRPr="00544910">
        <w:rPr>
          <w:rFonts w:ascii="Arial" w:hAnsi="Arial" w:cs="Arial"/>
          <w:i/>
          <w:iCs/>
          <w:sz w:val="20"/>
          <w:szCs w:val="20"/>
        </w:rPr>
        <w:t>5</w:t>
      </w:r>
      <w:r w:rsidRPr="00544910">
        <w:rPr>
          <w:rFonts w:ascii="Arial" w:hAnsi="Arial" w:cs="Arial"/>
          <w:sz w:val="20"/>
          <w:szCs w:val="20"/>
        </w:rPr>
        <w:t>(01).</w:t>
      </w:r>
    </w:p>
    <w:p w14:paraId="586784A7"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The Independent., (2026). 'Luxury car manufacturer set to cut 275 roles amid profit struggle', The Independent, 17 March. Available at: https://www.independent.co.uk/bulletin/news/bentley-job-cuts-redundancy-workforce-b2940325.html (Accessed: 28 May 2026).</w:t>
      </w:r>
    </w:p>
    <w:p w14:paraId="1658E2BF"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Urgency, C., (2008). Kotter's 8-Step Change Model. Implementing change powerfully and successfully.</w:t>
      </w:r>
    </w:p>
    <w:p w14:paraId="6AFF7853"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Van den Berg, P.T. and </w:t>
      </w:r>
      <w:proofErr w:type="spellStart"/>
      <w:r w:rsidRPr="00544910">
        <w:rPr>
          <w:rFonts w:ascii="Arial" w:hAnsi="Arial" w:cs="Arial"/>
          <w:sz w:val="20"/>
          <w:szCs w:val="20"/>
        </w:rPr>
        <w:t>Wilderom</w:t>
      </w:r>
      <w:proofErr w:type="spellEnd"/>
      <w:r w:rsidRPr="00544910">
        <w:rPr>
          <w:rFonts w:ascii="Arial" w:hAnsi="Arial" w:cs="Arial"/>
          <w:sz w:val="20"/>
          <w:szCs w:val="20"/>
        </w:rPr>
        <w:t>, C.P., (2004). Defining, measuring, and comparing organisational cultures. </w:t>
      </w:r>
      <w:r w:rsidRPr="00544910">
        <w:rPr>
          <w:rFonts w:ascii="Arial" w:hAnsi="Arial" w:cs="Arial"/>
          <w:i/>
          <w:iCs/>
          <w:sz w:val="20"/>
          <w:szCs w:val="20"/>
        </w:rPr>
        <w:t>Applied psychology</w:t>
      </w:r>
      <w:r w:rsidRPr="00544910">
        <w:rPr>
          <w:rFonts w:ascii="Arial" w:hAnsi="Arial" w:cs="Arial"/>
          <w:sz w:val="20"/>
          <w:szCs w:val="20"/>
        </w:rPr>
        <w:t>, </w:t>
      </w:r>
      <w:r w:rsidRPr="00544910">
        <w:rPr>
          <w:rFonts w:ascii="Arial" w:hAnsi="Arial" w:cs="Arial"/>
          <w:i/>
          <w:iCs/>
          <w:sz w:val="20"/>
          <w:szCs w:val="20"/>
        </w:rPr>
        <w:t>53</w:t>
      </w:r>
      <w:r w:rsidRPr="00544910">
        <w:rPr>
          <w:rFonts w:ascii="Arial" w:hAnsi="Arial" w:cs="Arial"/>
          <w:sz w:val="20"/>
          <w:szCs w:val="20"/>
        </w:rPr>
        <w:t>(4), pp.570-582.</w:t>
      </w:r>
    </w:p>
    <w:p w14:paraId="65B7F82B" w14:textId="77777777" w:rsidR="00512B93" w:rsidRPr="00544910" w:rsidRDefault="00512B93" w:rsidP="00544910">
      <w:pPr>
        <w:pStyle w:val="ListParagraph"/>
        <w:numPr>
          <w:ilvl w:val="0"/>
          <w:numId w:val="4"/>
        </w:numPr>
        <w:spacing w:line="360" w:lineRule="auto"/>
        <w:rPr>
          <w:rFonts w:ascii="Arial" w:hAnsi="Arial" w:cs="Arial"/>
          <w:sz w:val="20"/>
          <w:szCs w:val="20"/>
        </w:rPr>
      </w:pPr>
      <w:r w:rsidRPr="00544910">
        <w:rPr>
          <w:rFonts w:ascii="Arial" w:hAnsi="Arial" w:cs="Arial"/>
          <w:sz w:val="20"/>
          <w:szCs w:val="20"/>
        </w:rPr>
        <w:t xml:space="preserve">Visual Paradigm., (2022). </w:t>
      </w:r>
      <w:r w:rsidRPr="00544910">
        <w:rPr>
          <w:rFonts w:ascii="Arial" w:hAnsi="Arial" w:cs="Arial"/>
          <w:i/>
          <w:iCs/>
          <w:sz w:val="20"/>
          <w:szCs w:val="20"/>
        </w:rPr>
        <w:t xml:space="preserve">What is Lewin’s Three-Stage Change Process </w:t>
      </w:r>
      <w:proofErr w:type="gramStart"/>
      <w:r w:rsidRPr="00544910">
        <w:rPr>
          <w:rFonts w:ascii="Arial" w:hAnsi="Arial" w:cs="Arial"/>
          <w:i/>
          <w:iCs/>
          <w:sz w:val="20"/>
          <w:szCs w:val="20"/>
        </w:rPr>
        <w:t>Model?</w:t>
      </w:r>
      <w:r w:rsidRPr="00544910">
        <w:rPr>
          <w:rFonts w:ascii="Arial" w:hAnsi="Arial" w:cs="Arial"/>
          <w:sz w:val="20"/>
          <w:szCs w:val="20"/>
        </w:rPr>
        <w:t>.</w:t>
      </w:r>
      <w:proofErr w:type="gramEnd"/>
      <w:r w:rsidRPr="00544910">
        <w:rPr>
          <w:rFonts w:ascii="Arial" w:hAnsi="Arial" w:cs="Arial"/>
          <w:sz w:val="20"/>
          <w:szCs w:val="20"/>
        </w:rPr>
        <w:t xml:space="preserve"> [online] Visual Paradigm Blog. Available at: https://blog.visual-paradigm.com/what-is-lewins-three-stage-change-process-model/ [Accessed 21 June 2026]. </w:t>
      </w:r>
    </w:p>
    <w:p w14:paraId="5F2F94E0" w14:textId="5DB878BD" w:rsidR="00512B93" w:rsidRPr="00544910" w:rsidRDefault="00512B93" w:rsidP="00544910">
      <w:pPr>
        <w:pStyle w:val="ListParagraph"/>
        <w:numPr>
          <w:ilvl w:val="0"/>
          <w:numId w:val="4"/>
        </w:numPr>
        <w:spacing w:line="360" w:lineRule="auto"/>
        <w:rPr>
          <w:rFonts w:ascii="Arial" w:hAnsi="Arial" w:cs="Arial"/>
          <w:sz w:val="22"/>
          <w:szCs w:val="22"/>
        </w:rPr>
      </w:pPr>
      <w:r w:rsidRPr="00544910">
        <w:rPr>
          <w:rFonts w:ascii="Arial" w:hAnsi="Arial" w:cs="Arial"/>
          <w:sz w:val="20"/>
          <w:szCs w:val="20"/>
        </w:rPr>
        <w:t xml:space="preserve">Volkswagen AG., (2001). </w:t>
      </w:r>
      <w:r w:rsidRPr="00544910">
        <w:rPr>
          <w:rFonts w:ascii="Arial" w:hAnsi="Arial" w:cs="Arial"/>
          <w:i/>
          <w:iCs/>
          <w:sz w:val="20"/>
          <w:szCs w:val="20"/>
        </w:rPr>
        <w:t>Annual Report 2000</w:t>
      </w:r>
      <w:r w:rsidRPr="00544910">
        <w:rPr>
          <w:rFonts w:ascii="Arial" w:hAnsi="Arial" w:cs="Arial"/>
          <w:sz w:val="20"/>
          <w:szCs w:val="20"/>
        </w:rPr>
        <w:t>. Available at: https://ddd.uab.cat/pub/infanu/146223/iaVOLKSWAGENa2000ieng.pdf (Accessed: 18 July 2026</w:t>
      </w:r>
    </w:p>
    <w:p w14:paraId="251C9C77" w14:textId="77777777" w:rsidR="00BF15AE" w:rsidRDefault="00BF15AE" w:rsidP="00BF15AE">
      <w:pPr>
        <w:spacing w:line="360" w:lineRule="auto"/>
        <w:rPr>
          <w:rFonts w:ascii="Arial" w:hAnsi="Arial" w:cs="Arial"/>
          <w:sz w:val="22"/>
          <w:szCs w:val="22"/>
        </w:rPr>
      </w:pPr>
    </w:p>
    <w:p w14:paraId="55AB50A7" w14:textId="77777777" w:rsidR="00BF15AE" w:rsidRDefault="00BF15AE" w:rsidP="00BF15AE">
      <w:pPr>
        <w:spacing w:line="360" w:lineRule="auto"/>
        <w:rPr>
          <w:rFonts w:ascii="Arial" w:hAnsi="Arial" w:cs="Arial"/>
          <w:sz w:val="22"/>
          <w:szCs w:val="22"/>
        </w:rPr>
      </w:pPr>
    </w:p>
    <w:p w14:paraId="28420530" w14:textId="77777777" w:rsidR="00BF15AE" w:rsidRDefault="00BF15AE" w:rsidP="00BF15AE">
      <w:pPr>
        <w:spacing w:line="360" w:lineRule="auto"/>
        <w:rPr>
          <w:rFonts w:ascii="Arial" w:hAnsi="Arial" w:cs="Arial"/>
          <w:sz w:val="22"/>
          <w:szCs w:val="22"/>
        </w:rPr>
      </w:pPr>
    </w:p>
    <w:p w14:paraId="07CDD935" w14:textId="77777777" w:rsidR="00BF15AE" w:rsidRDefault="00BF15AE" w:rsidP="00BF15AE">
      <w:pPr>
        <w:spacing w:line="360" w:lineRule="auto"/>
        <w:rPr>
          <w:rFonts w:ascii="Arial" w:hAnsi="Arial" w:cs="Arial"/>
          <w:sz w:val="22"/>
          <w:szCs w:val="22"/>
        </w:rPr>
      </w:pPr>
    </w:p>
    <w:p w14:paraId="0169BCDA" w14:textId="77777777" w:rsidR="00743478" w:rsidRDefault="00743478" w:rsidP="0079003B">
      <w:pPr>
        <w:spacing w:line="360" w:lineRule="auto"/>
        <w:rPr>
          <w:rFonts w:ascii="Arial" w:hAnsi="Arial" w:cs="Arial"/>
          <w:sz w:val="22"/>
          <w:szCs w:val="22"/>
        </w:rPr>
      </w:pPr>
    </w:p>
    <w:p w14:paraId="1FB47C1E" w14:textId="77777777" w:rsidR="00544910" w:rsidRDefault="00544910" w:rsidP="0079003B">
      <w:pPr>
        <w:spacing w:line="360" w:lineRule="auto"/>
        <w:rPr>
          <w:rFonts w:ascii="Arial" w:hAnsi="Arial" w:cs="Arial"/>
          <w:sz w:val="22"/>
          <w:szCs w:val="22"/>
        </w:rPr>
      </w:pPr>
    </w:p>
    <w:p w14:paraId="2A7FC714" w14:textId="77777777" w:rsidR="00544910" w:rsidRDefault="00544910" w:rsidP="0079003B">
      <w:pPr>
        <w:spacing w:line="360" w:lineRule="auto"/>
        <w:rPr>
          <w:rFonts w:ascii="Arial" w:hAnsi="Arial" w:cs="Arial"/>
          <w:sz w:val="22"/>
          <w:szCs w:val="22"/>
        </w:rPr>
      </w:pPr>
    </w:p>
    <w:p w14:paraId="0ACB52EC" w14:textId="77777777" w:rsidR="00544910" w:rsidRDefault="00544910" w:rsidP="0079003B">
      <w:pPr>
        <w:spacing w:line="360" w:lineRule="auto"/>
        <w:rPr>
          <w:rFonts w:ascii="Arial" w:hAnsi="Arial" w:cs="Arial"/>
          <w:sz w:val="22"/>
          <w:szCs w:val="22"/>
        </w:rPr>
      </w:pPr>
    </w:p>
    <w:p w14:paraId="62AB9B1E" w14:textId="780580E7" w:rsidR="00901EEA" w:rsidRPr="00F8485D" w:rsidRDefault="00901EEA" w:rsidP="00901EEA">
      <w:pPr>
        <w:pStyle w:val="Heading1"/>
        <w:rPr>
          <w:rFonts w:ascii="Arial" w:hAnsi="Arial" w:cs="Arial"/>
          <w:color w:val="000000" w:themeColor="text1"/>
          <w:sz w:val="36"/>
          <w:szCs w:val="36"/>
        </w:rPr>
      </w:pPr>
      <w:bookmarkStart w:id="33" w:name="_Toc235444617"/>
      <w:r w:rsidRPr="00F8485D">
        <w:rPr>
          <w:rFonts w:ascii="Arial" w:hAnsi="Arial" w:cs="Arial"/>
          <w:color w:val="000000" w:themeColor="text1"/>
          <w:sz w:val="36"/>
          <w:szCs w:val="36"/>
        </w:rPr>
        <w:lastRenderedPageBreak/>
        <w:t>Links:</w:t>
      </w:r>
      <w:bookmarkEnd w:id="33"/>
    </w:p>
    <w:p w14:paraId="6E4F67AA" w14:textId="27CA534C" w:rsidR="006C7250" w:rsidRPr="00512B93" w:rsidRDefault="00500192" w:rsidP="006C7250">
      <w:pPr>
        <w:rPr>
          <w:rFonts w:ascii="Arial" w:hAnsi="Arial" w:cs="Arial"/>
          <w:sz w:val="22"/>
          <w:szCs w:val="22"/>
        </w:rPr>
      </w:pPr>
      <w:hyperlink r:id="rId15" w:history="1">
        <w:r w:rsidRPr="00D2362E">
          <w:rPr>
            <w:rStyle w:val="Hyperlink"/>
            <w:rFonts w:ascii="Arial" w:hAnsi="Arial" w:cs="Arial"/>
            <w:sz w:val="22"/>
            <w:szCs w:val="22"/>
          </w:rPr>
          <w:t>https://www.independent.co.uk/bulletin/news/bentley-job-cuts-redundancy-workforce-b2940325.html</w:t>
        </w:r>
      </w:hyperlink>
    </w:p>
    <w:p w14:paraId="7E8D555C" w14:textId="3554A53A" w:rsidR="008C4B3A" w:rsidRPr="008C4B3A" w:rsidRDefault="00512B93" w:rsidP="008C4B3A">
      <w:pPr>
        <w:spacing w:after="120" w:line="360" w:lineRule="auto"/>
        <w:rPr>
          <w:rFonts w:ascii="Arial" w:eastAsia="MS Mincho" w:hAnsi="Arial" w:cs="Times New Roman"/>
          <w:kern w:val="0"/>
          <w:sz w:val="22"/>
          <w:szCs w:val="22"/>
          <w:lang w:val="en-US"/>
          <w14:ligatures w14:val="none"/>
        </w:rPr>
      </w:pPr>
      <w:hyperlink r:id="rId16" w:history="1">
        <w:r w:rsidRPr="00E70454">
          <w:rPr>
            <w:rStyle w:val="Hyperlink"/>
            <w:rFonts w:ascii="Arial" w:eastAsia="MS Mincho" w:hAnsi="Arial" w:cs="Times New Roman"/>
            <w:kern w:val="0"/>
            <w:sz w:val="22"/>
            <w:szCs w:val="22"/>
            <w:lang w:val="en-US"/>
            <w14:ligatures w14:val="none"/>
          </w:rPr>
          <w:t>https://www.bentleymedia.com</w:t>
        </w:r>
      </w:hyperlink>
      <w:r w:rsidR="00416E55">
        <w:rPr>
          <w:rFonts w:ascii="Arial" w:eastAsia="MS Mincho" w:hAnsi="Arial" w:cs="Times New Roman"/>
          <w:kern w:val="0"/>
          <w:sz w:val="22"/>
          <w:szCs w:val="22"/>
          <w:lang w:val="en-US"/>
          <w14:ligatures w14:val="none"/>
        </w:rPr>
        <w:t xml:space="preserve"> </w:t>
      </w:r>
    </w:p>
    <w:p w14:paraId="0F10A95B" w14:textId="306F43DD" w:rsidR="008C4B3A" w:rsidRPr="008C4B3A" w:rsidRDefault="008C4B3A" w:rsidP="008C4B3A">
      <w:pPr>
        <w:spacing w:after="120" w:line="360" w:lineRule="auto"/>
        <w:rPr>
          <w:rFonts w:ascii="Arial" w:eastAsia="MS Mincho" w:hAnsi="Arial" w:cs="Times New Roman"/>
          <w:kern w:val="0"/>
          <w:sz w:val="22"/>
          <w:szCs w:val="22"/>
          <w:lang w:val="en-US"/>
          <w14:ligatures w14:val="none"/>
        </w:rPr>
      </w:pPr>
      <w:r w:rsidRPr="008C4B3A">
        <w:rPr>
          <w:rFonts w:ascii="Arial" w:eastAsia="MS Mincho" w:hAnsi="Arial" w:cs="Times New Roman"/>
          <w:kern w:val="0"/>
          <w:sz w:val="22"/>
          <w:szCs w:val="22"/>
          <w:lang w:val="en-US"/>
          <w14:ligatures w14:val="none"/>
        </w:rPr>
        <w:t xml:space="preserve"> </w:t>
      </w:r>
      <w:hyperlink r:id="rId17" w:history="1">
        <w:r w:rsidRPr="00D2362E">
          <w:rPr>
            <w:rStyle w:val="Hyperlink"/>
            <w:rFonts w:ascii="Arial" w:eastAsia="MS Mincho" w:hAnsi="Arial" w:cs="Times New Roman"/>
            <w:kern w:val="0"/>
            <w:sz w:val="22"/>
            <w:szCs w:val="22"/>
            <w:lang w:val="en-US"/>
            <w14:ligatures w14:val="none"/>
          </w:rPr>
          <w:t>https://www.volkswagen-group.com/en/investor-relations</w:t>
        </w:r>
      </w:hyperlink>
      <w:r>
        <w:rPr>
          <w:rFonts w:ascii="Arial" w:eastAsia="MS Mincho" w:hAnsi="Arial" w:cs="Times New Roman"/>
          <w:kern w:val="0"/>
          <w:sz w:val="22"/>
          <w:szCs w:val="22"/>
          <w:lang w:val="en-US"/>
          <w14:ligatures w14:val="none"/>
        </w:rPr>
        <w:t xml:space="preserve"> </w:t>
      </w:r>
    </w:p>
    <w:p w14:paraId="0D3DB026" w14:textId="67CE37E8" w:rsidR="008C4B3A" w:rsidRPr="008C4B3A" w:rsidRDefault="00512B93" w:rsidP="008C4B3A">
      <w:pPr>
        <w:spacing w:after="120" w:line="360" w:lineRule="auto"/>
        <w:rPr>
          <w:rFonts w:ascii="Arial" w:eastAsia="MS Mincho" w:hAnsi="Arial" w:cs="Times New Roman"/>
          <w:kern w:val="0"/>
          <w:sz w:val="22"/>
          <w:szCs w:val="22"/>
          <w:lang w:val="en-US"/>
          <w14:ligatures w14:val="none"/>
        </w:rPr>
      </w:pPr>
      <w:hyperlink r:id="rId18" w:history="1">
        <w:r w:rsidRPr="00E70454">
          <w:rPr>
            <w:rStyle w:val="Hyperlink"/>
            <w:rFonts w:ascii="Arial" w:eastAsia="MS Mincho" w:hAnsi="Arial" w:cs="Times New Roman"/>
            <w:kern w:val="0"/>
            <w:sz w:val="22"/>
            <w:szCs w:val="22"/>
            <w:lang w:val="en-US"/>
            <w14:ligatures w14:val="none"/>
          </w:rPr>
          <w:t>https://www.top-employers.com</w:t>
        </w:r>
      </w:hyperlink>
      <w:r w:rsidR="008C4B3A">
        <w:rPr>
          <w:rFonts w:ascii="Arial" w:eastAsia="MS Mincho" w:hAnsi="Arial" w:cs="Times New Roman"/>
          <w:kern w:val="0"/>
          <w:sz w:val="22"/>
          <w:szCs w:val="22"/>
          <w:lang w:val="en-US"/>
          <w14:ligatures w14:val="none"/>
        </w:rPr>
        <w:t xml:space="preserve"> </w:t>
      </w:r>
    </w:p>
    <w:p w14:paraId="129B5C1A" w14:textId="6A4B4564" w:rsidR="008C4B3A" w:rsidRPr="008C4B3A" w:rsidRDefault="00512B93" w:rsidP="008C4B3A">
      <w:pPr>
        <w:spacing w:after="120" w:line="360" w:lineRule="auto"/>
        <w:rPr>
          <w:rFonts w:ascii="Arial" w:eastAsia="MS Mincho" w:hAnsi="Arial" w:cs="Times New Roman"/>
          <w:kern w:val="0"/>
          <w:sz w:val="22"/>
          <w:szCs w:val="22"/>
          <w:lang w:val="en-US"/>
          <w14:ligatures w14:val="none"/>
        </w:rPr>
      </w:pPr>
      <w:hyperlink r:id="rId19" w:history="1">
        <w:r w:rsidRPr="00E70454">
          <w:rPr>
            <w:rStyle w:val="Hyperlink"/>
            <w:rFonts w:ascii="Arial" w:eastAsia="MS Mincho" w:hAnsi="Arial" w:cs="Times New Roman"/>
            <w:kern w:val="0"/>
            <w:sz w:val="22"/>
            <w:szCs w:val="22"/>
            <w:lang w:val="en-US"/>
            <w14:ligatures w14:val="none"/>
          </w:rPr>
          <w:t>https://www.capgemini.com/gb-en/insights</w:t>
        </w:r>
      </w:hyperlink>
      <w:r w:rsidR="008C4B3A">
        <w:rPr>
          <w:rFonts w:ascii="Arial" w:eastAsia="MS Mincho" w:hAnsi="Arial" w:cs="Times New Roman"/>
          <w:kern w:val="0"/>
          <w:sz w:val="22"/>
          <w:szCs w:val="22"/>
          <w:lang w:val="en-US"/>
          <w14:ligatures w14:val="none"/>
        </w:rPr>
        <w:t xml:space="preserve"> </w:t>
      </w:r>
    </w:p>
    <w:p w14:paraId="6D29110F" w14:textId="4BC5DC1C" w:rsidR="008C4B3A" w:rsidRPr="008C4B3A" w:rsidRDefault="00512B93" w:rsidP="008C4B3A">
      <w:pPr>
        <w:spacing w:after="120" w:line="360" w:lineRule="auto"/>
        <w:rPr>
          <w:rFonts w:ascii="Arial" w:eastAsia="MS Mincho" w:hAnsi="Arial" w:cs="Times New Roman"/>
          <w:kern w:val="0"/>
          <w:sz w:val="22"/>
          <w:szCs w:val="22"/>
          <w:lang w:val="en-US"/>
          <w14:ligatures w14:val="none"/>
        </w:rPr>
      </w:pPr>
      <w:hyperlink r:id="rId20" w:history="1">
        <w:r w:rsidRPr="00E70454">
          <w:rPr>
            <w:rStyle w:val="Hyperlink"/>
            <w:rFonts w:ascii="Arial" w:eastAsia="MS Mincho" w:hAnsi="Arial" w:cs="Times New Roman"/>
            <w:kern w:val="0"/>
            <w:sz w:val="22"/>
            <w:szCs w:val="22"/>
            <w:lang w:val="en-US"/>
            <w14:ligatures w14:val="none"/>
          </w:rPr>
          <w:t>https://scholar.google.co.uk</w:t>
        </w:r>
      </w:hyperlink>
      <w:r w:rsidR="008C4B3A">
        <w:rPr>
          <w:rFonts w:ascii="Arial" w:eastAsia="MS Mincho" w:hAnsi="Arial" w:cs="Times New Roman"/>
          <w:kern w:val="0"/>
          <w:sz w:val="22"/>
          <w:szCs w:val="22"/>
          <w:lang w:val="en-US"/>
          <w14:ligatures w14:val="none"/>
        </w:rPr>
        <w:t xml:space="preserve"> </w:t>
      </w:r>
    </w:p>
    <w:p w14:paraId="78818F48" w14:textId="77777777" w:rsidR="00B43583" w:rsidRDefault="00B43583" w:rsidP="0079003B">
      <w:pPr>
        <w:spacing w:line="360" w:lineRule="auto"/>
        <w:rPr>
          <w:rFonts w:ascii="Arial" w:hAnsi="Arial" w:cs="Arial"/>
          <w:sz w:val="22"/>
          <w:szCs w:val="22"/>
        </w:rPr>
      </w:pPr>
    </w:p>
    <w:p w14:paraId="5229128E" w14:textId="77777777" w:rsidR="007773CF" w:rsidRPr="0079003B" w:rsidRDefault="007773CF" w:rsidP="0079003B">
      <w:pPr>
        <w:spacing w:line="360" w:lineRule="auto"/>
        <w:rPr>
          <w:rFonts w:ascii="Arial" w:hAnsi="Arial" w:cs="Arial"/>
          <w:sz w:val="22"/>
          <w:szCs w:val="22"/>
        </w:rPr>
      </w:pPr>
    </w:p>
    <w:p w14:paraId="1603497B" w14:textId="77777777" w:rsidR="003D3681" w:rsidRDefault="003D3681"/>
    <w:p w14:paraId="075B4714" w14:textId="77777777" w:rsidR="003D3681" w:rsidRDefault="003D3681"/>
    <w:sectPr w:rsidR="003D368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161D4" w14:textId="77777777" w:rsidR="00C546D4" w:rsidRDefault="00C546D4" w:rsidP="003D3681">
      <w:pPr>
        <w:spacing w:after="0" w:line="240" w:lineRule="auto"/>
      </w:pPr>
      <w:r>
        <w:separator/>
      </w:r>
    </w:p>
  </w:endnote>
  <w:endnote w:type="continuationSeparator" w:id="0">
    <w:p w14:paraId="45DA3564" w14:textId="77777777" w:rsidR="00C546D4" w:rsidRDefault="00C546D4" w:rsidP="003D3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166889"/>
      <w:docPartObj>
        <w:docPartGallery w:val="Page Numbers (Bottom of Page)"/>
        <w:docPartUnique/>
      </w:docPartObj>
    </w:sdtPr>
    <w:sdtEndPr>
      <w:rPr>
        <w:noProof/>
      </w:rPr>
    </w:sdtEndPr>
    <w:sdtContent>
      <w:p w14:paraId="009F4796" w14:textId="3CE1D69D" w:rsidR="003D3681" w:rsidRDefault="003D36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3771AF" w14:textId="77777777" w:rsidR="003D3681" w:rsidRDefault="003D3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85CE14" w14:textId="77777777" w:rsidR="00C546D4" w:rsidRDefault="00C546D4" w:rsidP="003D3681">
      <w:pPr>
        <w:spacing w:after="0" w:line="240" w:lineRule="auto"/>
      </w:pPr>
      <w:r>
        <w:separator/>
      </w:r>
    </w:p>
  </w:footnote>
  <w:footnote w:type="continuationSeparator" w:id="0">
    <w:p w14:paraId="0F1877EA" w14:textId="77777777" w:rsidR="00C546D4" w:rsidRDefault="00C546D4" w:rsidP="003D36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80CBB"/>
    <w:multiLevelType w:val="hybridMultilevel"/>
    <w:tmpl w:val="154EBF82"/>
    <w:lvl w:ilvl="0" w:tplc="733E9372">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0013C"/>
    <w:multiLevelType w:val="hybridMultilevel"/>
    <w:tmpl w:val="27BCAA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D95C0A"/>
    <w:multiLevelType w:val="hybridMultilevel"/>
    <w:tmpl w:val="A70E6388"/>
    <w:lvl w:ilvl="0" w:tplc="52E8E21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60539B"/>
    <w:multiLevelType w:val="hybridMultilevel"/>
    <w:tmpl w:val="50C61722"/>
    <w:lvl w:ilvl="0" w:tplc="CC20613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210794">
    <w:abstractNumId w:val="3"/>
  </w:num>
  <w:num w:numId="2" w16cid:durableId="829518339">
    <w:abstractNumId w:val="2"/>
  </w:num>
  <w:num w:numId="3" w16cid:durableId="564268747">
    <w:abstractNumId w:val="0"/>
  </w:num>
  <w:num w:numId="4" w16cid:durableId="776407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119921E3-3517-4A6D-A3B6-2E58FAD8DCFC}"/>
    <w:docVar w:name="dgnword-eventsink" w:val="1625888311920"/>
  </w:docVars>
  <w:rsids>
    <w:rsidRoot w:val="003D3681"/>
    <w:rsid w:val="0000192B"/>
    <w:rsid w:val="00014415"/>
    <w:rsid w:val="00033AE4"/>
    <w:rsid w:val="00041DDF"/>
    <w:rsid w:val="00061F82"/>
    <w:rsid w:val="00067B19"/>
    <w:rsid w:val="00097AE0"/>
    <w:rsid w:val="000A23F8"/>
    <w:rsid w:val="000B04FE"/>
    <w:rsid w:val="000B3E97"/>
    <w:rsid w:val="000B50AB"/>
    <w:rsid w:val="000B69B2"/>
    <w:rsid w:val="000B6BFB"/>
    <w:rsid w:val="000B7A6B"/>
    <w:rsid w:val="000B7FE0"/>
    <w:rsid w:val="000C185D"/>
    <w:rsid w:val="000C24AB"/>
    <w:rsid w:val="000C3B2A"/>
    <w:rsid w:val="000C49CF"/>
    <w:rsid w:val="000C4EB2"/>
    <w:rsid w:val="000E555E"/>
    <w:rsid w:val="000E6B4C"/>
    <w:rsid w:val="000F4097"/>
    <w:rsid w:val="00107D22"/>
    <w:rsid w:val="0011342E"/>
    <w:rsid w:val="00114635"/>
    <w:rsid w:val="00121734"/>
    <w:rsid w:val="00134E69"/>
    <w:rsid w:val="00144557"/>
    <w:rsid w:val="001500CE"/>
    <w:rsid w:val="00152679"/>
    <w:rsid w:val="00152EF3"/>
    <w:rsid w:val="001551DE"/>
    <w:rsid w:val="00157A3A"/>
    <w:rsid w:val="00157B2F"/>
    <w:rsid w:val="00160777"/>
    <w:rsid w:val="00165E6D"/>
    <w:rsid w:val="00185068"/>
    <w:rsid w:val="001858F8"/>
    <w:rsid w:val="001861C6"/>
    <w:rsid w:val="00192D97"/>
    <w:rsid w:val="001A01F2"/>
    <w:rsid w:val="001A1B89"/>
    <w:rsid w:val="001A6A59"/>
    <w:rsid w:val="001B171A"/>
    <w:rsid w:val="001B4294"/>
    <w:rsid w:val="001B4C9E"/>
    <w:rsid w:val="001C3AF3"/>
    <w:rsid w:val="001C4CD1"/>
    <w:rsid w:val="001E6B89"/>
    <w:rsid w:val="001F4013"/>
    <w:rsid w:val="002108E9"/>
    <w:rsid w:val="00222140"/>
    <w:rsid w:val="00223E90"/>
    <w:rsid w:val="002307E2"/>
    <w:rsid w:val="00250003"/>
    <w:rsid w:val="0025134E"/>
    <w:rsid w:val="0026061A"/>
    <w:rsid w:val="00262E6F"/>
    <w:rsid w:val="00265C71"/>
    <w:rsid w:val="00275187"/>
    <w:rsid w:val="00277E95"/>
    <w:rsid w:val="002815B6"/>
    <w:rsid w:val="00283865"/>
    <w:rsid w:val="00290F1E"/>
    <w:rsid w:val="00293218"/>
    <w:rsid w:val="002A271E"/>
    <w:rsid w:val="002B053B"/>
    <w:rsid w:val="002B1C09"/>
    <w:rsid w:val="002C1E7E"/>
    <w:rsid w:val="002D5F5C"/>
    <w:rsid w:val="002E3DDC"/>
    <w:rsid w:val="002E4008"/>
    <w:rsid w:val="002E66D5"/>
    <w:rsid w:val="002F165F"/>
    <w:rsid w:val="002F29DA"/>
    <w:rsid w:val="00316A43"/>
    <w:rsid w:val="00331E3E"/>
    <w:rsid w:val="00332F4F"/>
    <w:rsid w:val="00333A63"/>
    <w:rsid w:val="0034205E"/>
    <w:rsid w:val="0034228A"/>
    <w:rsid w:val="003444C0"/>
    <w:rsid w:val="003555EA"/>
    <w:rsid w:val="00360277"/>
    <w:rsid w:val="00362F0F"/>
    <w:rsid w:val="0039320A"/>
    <w:rsid w:val="0039524D"/>
    <w:rsid w:val="003A65EE"/>
    <w:rsid w:val="003B51F7"/>
    <w:rsid w:val="003B7A6D"/>
    <w:rsid w:val="003C34EB"/>
    <w:rsid w:val="003D352C"/>
    <w:rsid w:val="003D3681"/>
    <w:rsid w:val="003E0713"/>
    <w:rsid w:val="003E0CCE"/>
    <w:rsid w:val="003E1B47"/>
    <w:rsid w:val="003F7CD8"/>
    <w:rsid w:val="004002C1"/>
    <w:rsid w:val="004130F8"/>
    <w:rsid w:val="00416E55"/>
    <w:rsid w:val="00420DEC"/>
    <w:rsid w:val="004271DC"/>
    <w:rsid w:val="00433E9A"/>
    <w:rsid w:val="00437BD3"/>
    <w:rsid w:val="004413B7"/>
    <w:rsid w:val="00447FE8"/>
    <w:rsid w:val="0045222C"/>
    <w:rsid w:val="0045268F"/>
    <w:rsid w:val="00452F45"/>
    <w:rsid w:val="00453562"/>
    <w:rsid w:val="0045687E"/>
    <w:rsid w:val="00463EC2"/>
    <w:rsid w:val="00465F7C"/>
    <w:rsid w:val="00474103"/>
    <w:rsid w:val="004745D4"/>
    <w:rsid w:val="004761E7"/>
    <w:rsid w:val="004878FC"/>
    <w:rsid w:val="0049081D"/>
    <w:rsid w:val="004958CB"/>
    <w:rsid w:val="00496D14"/>
    <w:rsid w:val="004A6EA6"/>
    <w:rsid w:val="004C28C1"/>
    <w:rsid w:val="004C4D87"/>
    <w:rsid w:val="004C5A6C"/>
    <w:rsid w:val="004D4ED3"/>
    <w:rsid w:val="004E1237"/>
    <w:rsid w:val="004F0A03"/>
    <w:rsid w:val="00500192"/>
    <w:rsid w:val="00500257"/>
    <w:rsid w:val="00500A28"/>
    <w:rsid w:val="00504BA3"/>
    <w:rsid w:val="00504D0A"/>
    <w:rsid w:val="00505D34"/>
    <w:rsid w:val="005078B5"/>
    <w:rsid w:val="00512B93"/>
    <w:rsid w:val="00515D47"/>
    <w:rsid w:val="00522958"/>
    <w:rsid w:val="00524D8D"/>
    <w:rsid w:val="00534B56"/>
    <w:rsid w:val="00535FAA"/>
    <w:rsid w:val="00541102"/>
    <w:rsid w:val="00544910"/>
    <w:rsid w:val="0055030F"/>
    <w:rsid w:val="005538F3"/>
    <w:rsid w:val="00557931"/>
    <w:rsid w:val="00561C34"/>
    <w:rsid w:val="005646DE"/>
    <w:rsid w:val="0058076B"/>
    <w:rsid w:val="005A2361"/>
    <w:rsid w:val="005A3CDC"/>
    <w:rsid w:val="005B2A3C"/>
    <w:rsid w:val="005B7E7C"/>
    <w:rsid w:val="005D276A"/>
    <w:rsid w:val="005D2EB1"/>
    <w:rsid w:val="005D3F5A"/>
    <w:rsid w:val="005D7860"/>
    <w:rsid w:val="005E114E"/>
    <w:rsid w:val="005E1BBC"/>
    <w:rsid w:val="005E225C"/>
    <w:rsid w:val="005E62BE"/>
    <w:rsid w:val="005F489E"/>
    <w:rsid w:val="00607062"/>
    <w:rsid w:val="0061572B"/>
    <w:rsid w:val="0062583D"/>
    <w:rsid w:val="0062681E"/>
    <w:rsid w:val="00626A84"/>
    <w:rsid w:val="00630CFB"/>
    <w:rsid w:val="00633ED1"/>
    <w:rsid w:val="00635F77"/>
    <w:rsid w:val="006414FE"/>
    <w:rsid w:val="006423A6"/>
    <w:rsid w:val="00644958"/>
    <w:rsid w:val="00675669"/>
    <w:rsid w:val="0067598A"/>
    <w:rsid w:val="006829A4"/>
    <w:rsid w:val="00687A14"/>
    <w:rsid w:val="00692AFE"/>
    <w:rsid w:val="0069557B"/>
    <w:rsid w:val="006A2F47"/>
    <w:rsid w:val="006A6D44"/>
    <w:rsid w:val="006A76AF"/>
    <w:rsid w:val="006B6084"/>
    <w:rsid w:val="006C28E0"/>
    <w:rsid w:val="006C7250"/>
    <w:rsid w:val="006D5623"/>
    <w:rsid w:val="006D5CA5"/>
    <w:rsid w:val="006D6C08"/>
    <w:rsid w:val="006E2160"/>
    <w:rsid w:val="006E776A"/>
    <w:rsid w:val="006F4717"/>
    <w:rsid w:val="006F6E53"/>
    <w:rsid w:val="007004FF"/>
    <w:rsid w:val="00710723"/>
    <w:rsid w:val="00716F9F"/>
    <w:rsid w:val="00722AEA"/>
    <w:rsid w:val="00723553"/>
    <w:rsid w:val="00723DCF"/>
    <w:rsid w:val="00725DED"/>
    <w:rsid w:val="00726BBF"/>
    <w:rsid w:val="00743478"/>
    <w:rsid w:val="00765C6E"/>
    <w:rsid w:val="00765F7E"/>
    <w:rsid w:val="00766A75"/>
    <w:rsid w:val="00767F82"/>
    <w:rsid w:val="00776417"/>
    <w:rsid w:val="0077658C"/>
    <w:rsid w:val="007773CF"/>
    <w:rsid w:val="00781631"/>
    <w:rsid w:val="007874CF"/>
    <w:rsid w:val="0079003B"/>
    <w:rsid w:val="007929F6"/>
    <w:rsid w:val="0079762A"/>
    <w:rsid w:val="007A3FE9"/>
    <w:rsid w:val="007B3CFA"/>
    <w:rsid w:val="007B5500"/>
    <w:rsid w:val="007C2323"/>
    <w:rsid w:val="007C307A"/>
    <w:rsid w:val="007D3172"/>
    <w:rsid w:val="007D45EF"/>
    <w:rsid w:val="007D6C78"/>
    <w:rsid w:val="007E083B"/>
    <w:rsid w:val="007E14CF"/>
    <w:rsid w:val="007E6A6D"/>
    <w:rsid w:val="007F0DB0"/>
    <w:rsid w:val="007F16FF"/>
    <w:rsid w:val="007F21D4"/>
    <w:rsid w:val="007F2DAC"/>
    <w:rsid w:val="0080733E"/>
    <w:rsid w:val="008102F0"/>
    <w:rsid w:val="008278A0"/>
    <w:rsid w:val="0084392A"/>
    <w:rsid w:val="00843F0E"/>
    <w:rsid w:val="00844B4A"/>
    <w:rsid w:val="00846D12"/>
    <w:rsid w:val="00846E15"/>
    <w:rsid w:val="00850E47"/>
    <w:rsid w:val="0086075E"/>
    <w:rsid w:val="00861317"/>
    <w:rsid w:val="0087787E"/>
    <w:rsid w:val="00877995"/>
    <w:rsid w:val="00882DAD"/>
    <w:rsid w:val="008878AB"/>
    <w:rsid w:val="00887BD5"/>
    <w:rsid w:val="008914D8"/>
    <w:rsid w:val="00895AC5"/>
    <w:rsid w:val="008A7F53"/>
    <w:rsid w:val="008B1755"/>
    <w:rsid w:val="008B23CA"/>
    <w:rsid w:val="008C013E"/>
    <w:rsid w:val="008C1CF7"/>
    <w:rsid w:val="008C256E"/>
    <w:rsid w:val="008C2581"/>
    <w:rsid w:val="008C294A"/>
    <w:rsid w:val="008C433C"/>
    <w:rsid w:val="008C4B3A"/>
    <w:rsid w:val="008D1F71"/>
    <w:rsid w:val="008E0F83"/>
    <w:rsid w:val="008F4FA9"/>
    <w:rsid w:val="008F57AD"/>
    <w:rsid w:val="00901D6D"/>
    <w:rsid w:val="00901EEA"/>
    <w:rsid w:val="0090223E"/>
    <w:rsid w:val="009023B6"/>
    <w:rsid w:val="009060CD"/>
    <w:rsid w:val="00914C86"/>
    <w:rsid w:val="00916052"/>
    <w:rsid w:val="00917189"/>
    <w:rsid w:val="00921130"/>
    <w:rsid w:val="0092689E"/>
    <w:rsid w:val="00926B47"/>
    <w:rsid w:val="0094471C"/>
    <w:rsid w:val="00945089"/>
    <w:rsid w:val="0095277B"/>
    <w:rsid w:val="00952981"/>
    <w:rsid w:val="00954A90"/>
    <w:rsid w:val="00957CE9"/>
    <w:rsid w:val="00967673"/>
    <w:rsid w:val="009723F6"/>
    <w:rsid w:val="009759A7"/>
    <w:rsid w:val="00984552"/>
    <w:rsid w:val="00986052"/>
    <w:rsid w:val="009916D6"/>
    <w:rsid w:val="00995300"/>
    <w:rsid w:val="00995B59"/>
    <w:rsid w:val="009A52E6"/>
    <w:rsid w:val="009A5FD9"/>
    <w:rsid w:val="009B1BA8"/>
    <w:rsid w:val="009C2AB4"/>
    <w:rsid w:val="009D29E5"/>
    <w:rsid w:val="009D30EE"/>
    <w:rsid w:val="009E0F13"/>
    <w:rsid w:val="00A00487"/>
    <w:rsid w:val="00A02E5B"/>
    <w:rsid w:val="00A270DF"/>
    <w:rsid w:val="00A306A9"/>
    <w:rsid w:val="00A320C8"/>
    <w:rsid w:val="00A3464C"/>
    <w:rsid w:val="00A359AB"/>
    <w:rsid w:val="00A8185B"/>
    <w:rsid w:val="00A86FD0"/>
    <w:rsid w:val="00A96DE6"/>
    <w:rsid w:val="00AA03EC"/>
    <w:rsid w:val="00AA504A"/>
    <w:rsid w:val="00AB4BFF"/>
    <w:rsid w:val="00AB7F73"/>
    <w:rsid w:val="00AC1B46"/>
    <w:rsid w:val="00AC1B78"/>
    <w:rsid w:val="00AC5A49"/>
    <w:rsid w:val="00AC6080"/>
    <w:rsid w:val="00AD0357"/>
    <w:rsid w:val="00AD114E"/>
    <w:rsid w:val="00AD2B1E"/>
    <w:rsid w:val="00AD622C"/>
    <w:rsid w:val="00AE3A1F"/>
    <w:rsid w:val="00AE4A72"/>
    <w:rsid w:val="00AF60DD"/>
    <w:rsid w:val="00B018C3"/>
    <w:rsid w:val="00B11760"/>
    <w:rsid w:val="00B12A5E"/>
    <w:rsid w:val="00B144C4"/>
    <w:rsid w:val="00B1760E"/>
    <w:rsid w:val="00B238D6"/>
    <w:rsid w:val="00B2391D"/>
    <w:rsid w:val="00B251B2"/>
    <w:rsid w:val="00B27D9C"/>
    <w:rsid w:val="00B377E4"/>
    <w:rsid w:val="00B37FDB"/>
    <w:rsid w:val="00B43583"/>
    <w:rsid w:val="00B44809"/>
    <w:rsid w:val="00B5531D"/>
    <w:rsid w:val="00B74696"/>
    <w:rsid w:val="00B77DBB"/>
    <w:rsid w:val="00B85E1B"/>
    <w:rsid w:val="00B927AF"/>
    <w:rsid w:val="00B96C99"/>
    <w:rsid w:val="00B96FB1"/>
    <w:rsid w:val="00BB39B2"/>
    <w:rsid w:val="00BB560E"/>
    <w:rsid w:val="00BB68B9"/>
    <w:rsid w:val="00BC7C8D"/>
    <w:rsid w:val="00BD0474"/>
    <w:rsid w:val="00BD2C0F"/>
    <w:rsid w:val="00BD3E02"/>
    <w:rsid w:val="00BD5309"/>
    <w:rsid w:val="00BD5E48"/>
    <w:rsid w:val="00BE01AB"/>
    <w:rsid w:val="00BE4E9E"/>
    <w:rsid w:val="00BE5B38"/>
    <w:rsid w:val="00BF078B"/>
    <w:rsid w:val="00BF15AE"/>
    <w:rsid w:val="00C034F3"/>
    <w:rsid w:val="00C06EC6"/>
    <w:rsid w:val="00C07A12"/>
    <w:rsid w:val="00C101CF"/>
    <w:rsid w:val="00C108CD"/>
    <w:rsid w:val="00C24880"/>
    <w:rsid w:val="00C25402"/>
    <w:rsid w:val="00C316BF"/>
    <w:rsid w:val="00C46A95"/>
    <w:rsid w:val="00C52977"/>
    <w:rsid w:val="00C546D4"/>
    <w:rsid w:val="00C551AB"/>
    <w:rsid w:val="00C626E5"/>
    <w:rsid w:val="00C77EB5"/>
    <w:rsid w:val="00C83860"/>
    <w:rsid w:val="00C84DAB"/>
    <w:rsid w:val="00C91579"/>
    <w:rsid w:val="00C92E63"/>
    <w:rsid w:val="00CA255A"/>
    <w:rsid w:val="00CB2FB5"/>
    <w:rsid w:val="00CB4246"/>
    <w:rsid w:val="00CB5A92"/>
    <w:rsid w:val="00CC76E7"/>
    <w:rsid w:val="00CD22FB"/>
    <w:rsid w:val="00CD4B2F"/>
    <w:rsid w:val="00CE3C9A"/>
    <w:rsid w:val="00CE651F"/>
    <w:rsid w:val="00CE7337"/>
    <w:rsid w:val="00CF26C0"/>
    <w:rsid w:val="00CF741D"/>
    <w:rsid w:val="00CF75E5"/>
    <w:rsid w:val="00D02CD9"/>
    <w:rsid w:val="00D04762"/>
    <w:rsid w:val="00D05D93"/>
    <w:rsid w:val="00D27EAA"/>
    <w:rsid w:val="00D31FD5"/>
    <w:rsid w:val="00D33ECE"/>
    <w:rsid w:val="00D40CEF"/>
    <w:rsid w:val="00D503E5"/>
    <w:rsid w:val="00D62D87"/>
    <w:rsid w:val="00D73500"/>
    <w:rsid w:val="00DA0B14"/>
    <w:rsid w:val="00DA2195"/>
    <w:rsid w:val="00DA3EFF"/>
    <w:rsid w:val="00DB05DB"/>
    <w:rsid w:val="00DB423A"/>
    <w:rsid w:val="00DC3812"/>
    <w:rsid w:val="00DC3D5A"/>
    <w:rsid w:val="00DD3FB1"/>
    <w:rsid w:val="00DD6568"/>
    <w:rsid w:val="00DE4907"/>
    <w:rsid w:val="00DE64AA"/>
    <w:rsid w:val="00DE65AE"/>
    <w:rsid w:val="00DF0D8E"/>
    <w:rsid w:val="00E01826"/>
    <w:rsid w:val="00E10229"/>
    <w:rsid w:val="00E17EA2"/>
    <w:rsid w:val="00E20539"/>
    <w:rsid w:val="00E216D7"/>
    <w:rsid w:val="00E302C3"/>
    <w:rsid w:val="00E36BA6"/>
    <w:rsid w:val="00E37D29"/>
    <w:rsid w:val="00E41782"/>
    <w:rsid w:val="00E46D09"/>
    <w:rsid w:val="00E5580F"/>
    <w:rsid w:val="00E60D17"/>
    <w:rsid w:val="00E60F71"/>
    <w:rsid w:val="00E610B9"/>
    <w:rsid w:val="00E62B49"/>
    <w:rsid w:val="00E71672"/>
    <w:rsid w:val="00E72206"/>
    <w:rsid w:val="00E74578"/>
    <w:rsid w:val="00E77A2E"/>
    <w:rsid w:val="00E81BD9"/>
    <w:rsid w:val="00E87E48"/>
    <w:rsid w:val="00E95CEA"/>
    <w:rsid w:val="00EB413A"/>
    <w:rsid w:val="00EC1FD6"/>
    <w:rsid w:val="00EC26CE"/>
    <w:rsid w:val="00ED13A8"/>
    <w:rsid w:val="00EE2C88"/>
    <w:rsid w:val="00EE72E8"/>
    <w:rsid w:val="00EF3641"/>
    <w:rsid w:val="00EF6166"/>
    <w:rsid w:val="00F01A12"/>
    <w:rsid w:val="00F10EB7"/>
    <w:rsid w:val="00F21E13"/>
    <w:rsid w:val="00F32F20"/>
    <w:rsid w:val="00F37DEC"/>
    <w:rsid w:val="00F427D9"/>
    <w:rsid w:val="00F44C40"/>
    <w:rsid w:val="00F51869"/>
    <w:rsid w:val="00F6770D"/>
    <w:rsid w:val="00F75C82"/>
    <w:rsid w:val="00F76DF3"/>
    <w:rsid w:val="00F77813"/>
    <w:rsid w:val="00F823A6"/>
    <w:rsid w:val="00F83937"/>
    <w:rsid w:val="00F84787"/>
    <w:rsid w:val="00F8485D"/>
    <w:rsid w:val="00F91636"/>
    <w:rsid w:val="00FA4C73"/>
    <w:rsid w:val="00FA6240"/>
    <w:rsid w:val="00FB665F"/>
    <w:rsid w:val="00FC05FD"/>
    <w:rsid w:val="00FC3DAE"/>
    <w:rsid w:val="00FC52EE"/>
    <w:rsid w:val="00FC7E08"/>
    <w:rsid w:val="00FD7C36"/>
    <w:rsid w:val="00FE1921"/>
    <w:rsid w:val="00FF110F"/>
    <w:rsid w:val="00FF1617"/>
    <w:rsid w:val="00FF1C11"/>
    <w:rsid w:val="00FF5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77667"/>
  <w15:chartTrackingRefBased/>
  <w15:docId w15:val="{BA076A94-013D-4104-9D8C-9773E066E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6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36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6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6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6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6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6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6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6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6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36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6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6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6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6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6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6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681"/>
    <w:rPr>
      <w:rFonts w:eastAsiaTheme="majorEastAsia" w:cstheme="majorBidi"/>
      <w:color w:val="272727" w:themeColor="text1" w:themeTint="D8"/>
    </w:rPr>
  </w:style>
  <w:style w:type="paragraph" w:styleId="Title">
    <w:name w:val="Title"/>
    <w:basedOn w:val="Normal"/>
    <w:next w:val="Normal"/>
    <w:link w:val="TitleChar"/>
    <w:uiPriority w:val="10"/>
    <w:qFormat/>
    <w:rsid w:val="003D36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6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6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6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681"/>
    <w:pPr>
      <w:spacing w:before="160"/>
      <w:jc w:val="center"/>
    </w:pPr>
    <w:rPr>
      <w:i/>
      <w:iCs/>
      <w:color w:val="404040" w:themeColor="text1" w:themeTint="BF"/>
    </w:rPr>
  </w:style>
  <w:style w:type="character" w:customStyle="1" w:styleId="QuoteChar">
    <w:name w:val="Quote Char"/>
    <w:basedOn w:val="DefaultParagraphFont"/>
    <w:link w:val="Quote"/>
    <w:uiPriority w:val="29"/>
    <w:rsid w:val="003D3681"/>
    <w:rPr>
      <w:i/>
      <w:iCs/>
      <w:color w:val="404040" w:themeColor="text1" w:themeTint="BF"/>
    </w:rPr>
  </w:style>
  <w:style w:type="paragraph" w:styleId="ListParagraph">
    <w:name w:val="List Paragraph"/>
    <w:basedOn w:val="Normal"/>
    <w:uiPriority w:val="34"/>
    <w:qFormat/>
    <w:rsid w:val="003D3681"/>
    <w:pPr>
      <w:ind w:left="720"/>
      <w:contextualSpacing/>
    </w:pPr>
  </w:style>
  <w:style w:type="character" w:styleId="IntenseEmphasis">
    <w:name w:val="Intense Emphasis"/>
    <w:basedOn w:val="DefaultParagraphFont"/>
    <w:uiPriority w:val="21"/>
    <w:qFormat/>
    <w:rsid w:val="003D3681"/>
    <w:rPr>
      <w:i/>
      <w:iCs/>
      <w:color w:val="0F4761" w:themeColor="accent1" w:themeShade="BF"/>
    </w:rPr>
  </w:style>
  <w:style w:type="paragraph" w:styleId="IntenseQuote">
    <w:name w:val="Intense Quote"/>
    <w:basedOn w:val="Normal"/>
    <w:next w:val="Normal"/>
    <w:link w:val="IntenseQuoteChar"/>
    <w:uiPriority w:val="30"/>
    <w:qFormat/>
    <w:rsid w:val="003D36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681"/>
    <w:rPr>
      <w:i/>
      <w:iCs/>
      <w:color w:val="0F4761" w:themeColor="accent1" w:themeShade="BF"/>
    </w:rPr>
  </w:style>
  <w:style w:type="character" w:styleId="IntenseReference">
    <w:name w:val="Intense Reference"/>
    <w:basedOn w:val="DefaultParagraphFont"/>
    <w:uiPriority w:val="32"/>
    <w:qFormat/>
    <w:rsid w:val="003D3681"/>
    <w:rPr>
      <w:b/>
      <w:bCs/>
      <w:smallCaps/>
      <w:color w:val="0F4761" w:themeColor="accent1" w:themeShade="BF"/>
      <w:spacing w:val="5"/>
    </w:rPr>
  </w:style>
  <w:style w:type="paragraph" w:styleId="Header">
    <w:name w:val="header"/>
    <w:basedOn w:val="Normal"/>
    <w:link w:val="HeaderChar"/>
    <w:uiPriority w:val="99"/>
    <w:unhideWhenUsed/>
    <w:rsid w:val="003D3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681"/>
  </w:style>
  <w:style w:type="paragraph" w:styleId="Footer">
    <w:name w:val="footer"/>
    <w:basedOn w:val="Normal"/>
    <w:link w:val="FooterChar"/>
    <w:uiPriority w:val="99"/>
    <w:unhideWhenUsed/>
    <w:rsid w:val="003D3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681"/>
  </w:style>
  <w:style w:type="table" w:styleId="TableGrid">
    <w:name w:val="Table Grid"/>
    <w:basedOn w:val="TableNormal"/>
    <w:uiPriority w:val="39"/>
    <w:rsid w:val="009E0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745D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4">
    <w:name w:val="Grid Table 4 Accent 4"/>
    <w:basedOn w:val="TableNormal"/>
    <w:uiPriority w:val="49"/>
    <w:rsid w:val="004745D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6">
    <w:name w:val="Grid Table 4 Accent 6"/>
    <w:basedOn w:val="TableNormal"/>
    <w:uiPriority w:val="49"/>
    <w:rsid w:val="00B27D9C"/>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CommentReference">
    <w:name w:val="annotation reference"/>
    <w:basedOn w:val="DefaultParagraphFont"/>
    <w:uiPriority w:val="99"/>
    <w:semiHidden/>
    <w:unhideWhenUsed/>
    <w:rsid w:val="00AB7F73"/>
    <w:rPr>
      <w:sz w:val="16"/>
      <w:szCs w:val="16"/>
    </w:rPr>
  </w:style>
  <w:style w:type="paragraph" w:styleId="CommentText">
    <w:name w:val="annotation text"/>
    <w:basedOn w:val="Normal"/>
    <w:link w:val="CommentTextChar"/>
    <w:uiPriority w:val="99"/>
    <w:semiHidden/>
    <w:unhideWhenUsed/>
    <w:rsid w:val="00AB7F73"/>
    <w:pPr>
      <w:spacing w:line="240" w:lineRule="auto"/>
    </w:pPr>
    <w:rPr>
      <w:sz w:val="20"/>
      <w:szCs w:val="20"/>
    </w:rPr>
  </w:style>
  <w:style w:type="character" w:customStyle="1" w:styleId="CommentTextChar">
    <w:name w:val="Comment Text Char"/>
    <w:basedOn w:val="DefaultParagraphFont"/>
    <w:link w:val="CommentText"/>
    <w:uiPriority w:val="99"/>
    <w:semiHidden/>
    <w:rsid w:val="00AB7F73"/>
    <w:rPr>
      <w:sz w:val="20"/>
      <w:szCs w:val="20"/>
    </w:rPr>
  </w:style>
  <w:style w:type="paragraph" w:styleId="CommentSubject">
    <w:name w:val="annotation subject"/>
    <w:basedOn w:val="CommentText"/>
    <w:next w:val="CommentText"/>
    <w:link w:val="CommentSubjectChar"/>
    <w:uiPriority w:val="99"/>
    <w:semiHidden/>
    <w:unhideWhenUsed/>
    <w:rsid w:val="00AB7F73"/>
    <w:rPr>
      <w:b/>
      <w:bCs/>
    </w:rPr>
  </w:style>
  <w:style w:type="character" w:customStyle="1" w:styleId="CommentSubjectChar">
    <w:name w:val="Comment Subject Char"/>
    <w:basedOn w:val="CommentTextChar"/>
    <w:link w:val="CommentSubject"/>
    <w:uiPriority w:val="99"/>
    <w:semiHidden/>
    <w:rsid w:val="00AB7F73"/>
    <w:rPr>
      <w:b/>
      <w:bCs/>
      <w:sz w:val="20"/>
      <w:szCs w:val="20"/>
    </w:rPr>
  </w:style>
  <w:style w:type="character" w:styleId="Hyperlink">
    <w:name w:val="Hyperlink"/>
    <w:basedOn w:val="DefaultParagraphFont"/>
    <w:uiPriority w:val="99"/>
    <w:unhideWhenUsed/>
    <w:rsid w:val="008C4B3A"/>
    <w:rPr>
      <w:color w:val="467886" w:themeColor="hyperlink"/>
      <w:u w:val="single"/>
    </w:rPr>
  </w:style>
  <w:style w:type="character" w:styleId="UnresolvedMention">
    <w:name w:val="Unresolved Mention"/>
    <w:basedOn w:val="DefaultParagraphFont"/>
    <w:uiPriority w:val="99"/>
    <w:semiHidden/>
    <w:unhideWhenUsed/>
    <w:rsid w:val="008C4B3A"/>
    <w:rPr>
      <w:color w:val="605E5C"/>
      <w:shd w:val="clear" w:color="auto" w:fill="E1DFDD"/>
    </w:rPr>
  </w:style>
  <w:style w:type="paragraph" w:styleId="TOCHeading">
    <w:name w:val="TOC Heading"/>
    <w:basedOn w:val="Heading1"/>
    <w:next w:val="Normal"/>
    <w:uiPriority w:val="39"/>
    <w:unhideWhenUsed/>
    <w:qFormat/>
    <w:rsid w:val="0055030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5030F"/>
    <w:pPr>
      <w:spacing w:after="100"/>
    </w:pPr>
  </w:style>
  <w:style w:type="paragraph" w:styleId="TOC2">
    <w:name w:val="toc 2"/>
    <w:basedOn w:val="Normal"/>
    <w:next w:val="Normal"/>
    <w:autoRedefine/>
    <w:uiPriority w:val="39"/>
    <w:unhideWhenUsed/>
    <w:rsid w:val="0055030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421104/worldwide-number-of-seat-vehicle-sales/" TargetMode="External"/><Relationship Id="rId18" Type="http://schemas.openxmlformats.org/officeDocument/2006/relationships/hyperlink" Target="https://www.top-employers.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entleymotors.com/en/about-bentley/beyond-100.html" TargetMode="External"/><Relationship Id="rId17" Type="http://schemas.openxmlformats.org/officeDocument/2006/relationships/hyperlink" Target="https://www.volkswagen-group.com/en/investor-relations" TargetMode="External"/><Relationship Id="rId2" Type="http://schemas.openxmlformats.org/officeDocument/2006/relationships/numbering" Target="numbering.xml"/><Relationship Id="rId16" Type="http://schemas.openxmlformats.org/officeDocument/2006/relationships/hyperlink" Target="https://www.bentleymedia.com" TargetMode="External"/><Relationship Id="rId20" Type="http://schemas.openxmlformats.org/officeDocument/2006/relationships/hyperlink" Target="https://scholar.google.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ndependent.co.uk/bulletin/news/bentley-job-cuts-redundancy-workforce-b2940325.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apgemini.com/gb-en/insigh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ratsys.com/knowledge-hub/what-is-es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2E938-6D7A-482A-AD57-EBB15A8A1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9902</Words>
  <Characters>56443</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Johnson (2319756)</dc:creator>
  <cp:keywords/>
  <dc:description/>
  <cp:lastModifiedBy>Stephanie Johnson (2319756)</cp:lastModifiedBy>
  <cp:revision>2</cp:revision>
  <dcterms:created xsi:type="dcterms:W3CDTF">2026-07-20T12:50:00Z</dcterms:created>
  <dcterms:modified xsi:type="dcterms:W3CDTF">2026-07-20T12:50:00Z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ad46e895-2eb6-47df-b638-c6887dc4f907</vt:lpwstr>
  </property>
</Properties>
</file>