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FA7EE" w14:textId="77777777" w:rsidR="00E77E95" w:rsidRPr="00E475F6" w:rsidRDefault="00E77E95" w:rsidP="00E77E95">
      <w:pPr>
        <w:rPr>
          <w:b/>
          <w:bCs/>
        </w:rPr>
      </w:pPr>
      <w:r w:rsidRPr="00E475F6">
        <w:rPr>
          <w:b/>
          <w:bCs/>
        </w:rPr>
        <w:t>Essay three: How effective are cognitive interviews as a means of obtaining initial accounts from victims and witnesses? Your answer must be based on academic research. Word limit: 1000 words.</w:t>
      </w:r>
    </w:p>
    <w:p w14:paraId="70BA0C75" w14:textId="77777777" w:rsidR="00E77E95" w:rsidRDefault="00E77E95" w:rsidP="00E77E95">
      <w:pPr>
        <w:ind w:firstLine="720"/>
      </w:pPr>
      <w:r>
        <w:t xml:space="preserve">Obtaining accurate and detailed information from victims and witnesses is a vital part of any investigation, be that criminal or civil. This ensures justice is served fairly and accurately. </w:t>
      </w:r>
      <w:proofErr w:type="gramStart"/>
      <w:r>
        <w:t>In order to</w:t>
      </w:r>
      <w:proofErr w:type="gramEnd"/>
      <w:r>
        <w:t xml:space="preserve"> collect these accounts, different methods of information gathering have emerged over time. Due to concerns surrounding the unreliability of accounts, a new method of interviewing witnesses and victims was established, this technique is called Cognitive Interview </w:t>
      </w:r>
      <w:r w:rsidRPr="00415562">
        <w:t xml:space="preserve">(Fisher &amp; </w:t>
      </w:r>
      <w:proofErr w:type="spellStart"/>
      <w:r w:rsidRPr="00415562">
        <w:t>Geiselman</w:t>
      </w:r>
      <w:proofErr w:type="spellEnd"/>
      <w:r w:rsidRPr="00415562">
        <w:t>, 1992)</w:t>
      </w:r>
      <w:r>
        <w:t>. This technique aimed to enhance recall, as well as minimize memory errors and biases. It is the intention of this essay to explore the effectiveness of cognitive interviews as a way of obtaining initial accounts from victims and witnesses, highlighting their strengths, limitations, and potential improvements.</w:t>
      </w:r>
    </w:p>
    <w:p w14:paraId="2C7CCAC9" w14:textId="77777777" w:rsidR="00E77E95" w:rsidRDefault="00E77E95" w:rsidP="00E77E95">
      <w:pPr>
        <w:ind w:firstLine="720"/>
      </w:pPr>
      <w:r>
        <w:t xml:space="preserve">The act of interviewing a person to gather information appears on the face of it as a very simple task. As an officer once stated in Fisher &amp; </w:t>
      </w:r>
      <w:proofErr w:type="spellStart"/>
      <w:r>
        <w:t>Geiselman’s</w:t>
      </w:r>
      <w:proofErr w:type="spellEnd"/>
      <w:r>
        <w:t xml:space="preserve"> (1992) book “You just ask them what, where, why, when and how”. This mentality can lead to issues when gathering information in an already difficult environment. Witnesses and victims may be afraid to speak to the police, fearing consequences or court and this is before addressing issues with the human memory. The principle of cognitive interviewing is not meant to relieve the pressure on victims and witnesses and their fears. It is instead based on interviewing in a manner that is aimed at assisting the recollection of victims and witnesses, thus allowing a more accurate response. </w:t>
      </w:r>
    </w:p>
    <w:p w14:paraId="4A7C40A2" w14:textId="77777777" w:rsidR="00E77E95" w:rsidRDefault="00E77E95" w:rsidP="00E77E95">
      <w:pPr>
        <w:ind w:firstLine="720"/>
      </w:pPr>
      <w:r>
        <w:t>So just what is cognitive interviewing? The original cognitive interview (</w:t>
      </w:r>
      <w:proofErr w:type="spellStart"/>
      <w:r>
        <w:t>Geiselman</w:t>
      </w:r>
      <w:proofErr w:type="spellEnd"/>
      <w:r>
        <w:t xml:space="preserve"> et al., 1985) comprised of four techniques (</w:t>
      </w:r>
      <w:r w:rsidRPr="00B2204D">
        <w:t>Memon, A</w:t>
      </w:r>
      <w:r>
        <w:t xml:space="preserve">, et al., 2010) These techniques consisted of the following. Firstly is ‘context reinstatement’. This stage involves asking the interviewee to reconstruct their general activities from the day of the incident. This might involve getting the interviewee to think about the five senses they experienced. This stage can help the interviewee to visualise themselves back into the scenario and potentially trigger specific memories they might have otherwise forgotten. As discussed in a study conducted by </w:t>
      </w:r>
      <w:proofErr w:type="spellStart"/>
      <w:r w:rsidRPr="009A0B38">
        <w:t>Cann</w:t>
      </w:r>
      <w:proofErr w:type="spellEnd"/>
      <w:r w:rsidRPr="009A0B38">
        <w:t xml:space="preserve"> and Ross, </w:t>
      </w:r>
      <w:r>
        <w:t>(</w:t>
      </w:r>
      <w:r w:rsidRPr="009A0B38">
        <w:t>1989)</w:t>
      </w:r>
      <w:r>
        <w:t xml:space="preserve"> smells </w:t>
      </w:r>
      <w:proofErr w:type="gramStart"/>
      <w:r>
        <w:t>are able to</w:t>
      </w:r>
      <w:proofErr w:type="gramEnd"/>
      <w:r>
        <w:t xml:space="preserve"> help subjects recall situations with more accuracy. </w:t>
      </w:r>
    </w:p>
    <w:p w14:paraId="1BC868DC" w14:textId="77777777" w:rsidR="00E77E95" w:rsidRDefault="00E77E95" w:rsidP="00E77E95">
      <w:pPr>
        <w:ind w:firstLine="720"/>
      </w:pPr>
      <w:r>
        <w:t xml:space="preserve">The second technique is to ‘report everything’. This includes getting the interviewee to recall every detail they can remember about the incident no matter how trivial, and no matter if they feel like the information is incomplete. Here, interviewees are given the chance to recall freely, this might again trigger some key information that might otherwise be missed. </w:t>
      </w:r>
    </w:p>
    <w:p w14:paraId="726B89E0" w14:textId="77777777" w:rsidR="00E77E95" w:rsidRDefault="00E77E95" w:rsidP="00E77E95">
      <w:pPr>
        <w:ind w:firstLine="720"/>
      </w:pPr>
      <w:r>
        <w:t xml:space="preserve">The third technique used in cognitive interviewing is a “variety of perspectives”. This asks an interviewee to think about the situation from the point of view of another. This may be from a witness or the criminal. By asking what the interviewee thinks the other may have seen it allows them to divulge freely into their memory and link what they have seen to what another may have seen. In a study conducted by Heather (2010) it was found that recalling memories from the eyes of another led to a greater interaction between different portions of the brain. This, it was theorised, supports the ability of a person to recall details of an event in greater detail. </w:t>
      </w:r>
    </w:p>
    <w:p w14:paraId="22953AEE" w14:textId="77777777" w:rsidR="00E77E95" w:rsidRDefault="00E77E95" w:rsidP="00E77E95">
      <w:pPr>
        <w:ind w:firstLine="720"/>
      </w:pPr>
      <w:r>
        <w:t xml:space="preserve">The fourth and final technique used is ‘temporal order’. In this stage, an interviewee is asked to recount the events in reverse order (Memon, et </w:t>
      </w:r>
      <w:proofErr w:type="gramStart"/>
      <w:r>
        <w:t>al,.</w:t>
      </w:r>
      <w:proofErr w:type="gramEnd"/>
      <w:r>
        <w:t xml:space="preserve"> 2010). Asking a subject to recall an event in a different order, distances a person from the narrative they have already established in their mind. It enables them to create a whole new version of events that may be closer to the accurate events. </w:t>
      </w:r>
    </w:p>
    <w:p w14:paraId="52028D4F" w14:textId="77777777" w:rsidR="00E77E95" w:rsidRDefault="00E77E95" w:rsidP="00E77E95">
      <w:pPr>
        <w:ind w:firstLine="720"/>
      </w:pPr>
      <w:r>
        <w:t xml:space="preserve">These techniques have proved to be an effective way in which to encourage more successful and efficient recall from an interviewee. </w:t>
      </w:r>
      <w:proofErr w:type="spellStart"/>
      <w:r>
        <w:t>Geiselman</w:t>
      </w:r>
      <w:proofErr w:type="spellEnd"/>
      <w:r>
        <w:t xml:space="preserve"> et all. (1985) aimed to examine the success of cognitive interviewing. In this study it was found that whilst using the techniques of cognitive </w:t>
      </w:r>
      <w:r>
        <w:lastRenderedPageBreak/>
        <w:t xml:space="preserve">interview the subjects were able to recall 41.2 facts on average. This is compared to a standard interview of 29.4. Here we can see that cognitive interviewing is very effective in gathering initial accounts. </w:t>
      </w:r>
    </w:p>
    <w:p w14:paraId="46F3E92A" w14:textId="77777777" w:rsidR="00E77E95" w:rsidRDefault="00E77E95" w:rsidP="00E77E95">
      <w:pPr>
        <w:ind w:firstLine="720"/>
      </w:pPr>
      <w:r>
        <w:t xml:space="preserve">A further study based in Britain showed that detectives who were trained in cognitive interviewing gained 55% more information from eyewitnesses than those who had not been trained (George, 1991). </w:t>
      </w:r>
      <w:proofErr w:type="gramStart"/>
      <w:r>
        <w:t>Again</w:t>
      </w:r>
      <w:proofErr w:type="gramEnd"/>
      <w:r>
        <w:t xml:space="preserve"> we see here that the use of cognitive interviewing is very efficient when it comes to gathering information. </w:t>
      </w:r>
    </w:p>
    <w:p w14:paraId="1644C574" w14:textId="77777777" w:rsidR="00E77E95" w:rsidRDefault="00E77E95" w:rsidP="00E77E95">
      <w:pPr>
        <w:ind w:firstLine="720"/>
      </w:pPr>
      <w:r>
        <w:t xml:space="preserve">Although </w:t>
      </w:r>
      <w:proofErr w:type="gramStart"/>
      <w:r>
        <w:t>it is clear that cognitive</w:t>
      </w:r>
      <w:proofErr w:type="gramEnd"/>
      <w:r>
        <w:t xml:space="preserve"> interviewing is an effective means of gathering information, it is not used as frequently as perhaps it should be. In a study conducted by </w:t>
      </w:r>
      <w:r w:rsidRPr="00285508">
        <w:t xml:space="preserve">Kebbell </w:t>
      </w:r>
      <w:r>
        <w:t>et al.,</w:t>
      </w:r>
      <w:r w:rsidRPr="00285508">
        <w:t xml:space="preserve"> (1999)</w:t>
      </w:r>
      <w:r>
        <w:t xml:space="preserve"> 161 police officers were questioned about their use of the cognitive interview model. The main issue that officers were coming up against was the time required to conduct the full interview. As such, many of the officers stated that they were not conducting the interviews fully owing to the time constraints. This coupled with the time sink required to train officers in this technique, means it cannot be utilised as often as it perhaps should. </w:t>
      </w:r>
    </w:p>
    <w:p w14:paraId="6757BAC5" w14:textId="77777777" w:rsidR="00E77E95" w:rsidRDefault="00E77E95" w:rsidP="00E77E95">
      <w:pPr>
        <w:ind w:firstLine="720"/>
      </w:pPr>
      <w:r>
        <w:t xml:space="preserve">Another limitation is the potential for witnesses to provide inaccurate or unreliable information, even whilst using these techniques. The human memory is inherently fallible, and witnesses may unintentionally distort or misremember details of an event, and through no fault of their own, create inaccuracies in their account. Whilst cognitive interviews can help to mitigate these issues, they cannot </w:t>
      </w:r>
      <w:proofErr w:type="gramStart"/>
      <w:r>
        <w:t>entirely eliminate</w:t>
      </w:r>
      <w:proofErr w:type="gramEnd"/>
      <w:r>
        <w:t xml:space="preserve"> them. </w:t>
      </w:r>
    </w:p>
    <w:p w14:paraId="2BA50A48" w14:textId="77777777" w:rsidR="00E77E95" w:rsidRDefault="00E77E95" w:rsidP="00E77E95">
      <w:pPr>
        <w:ind w:firstLine="720"/>
      </w:pPr>
      <w:r>
        <w:t xml:space="preserve">In conclusion, cognitive interviews have emerged as a valuable tool for obtaining initial accounts from victims and witnesses in criminal investigations. By employing a range of strategies aimed at minimizing memory biases, cognitive interviews can enhance the quality and quantity of information recalled by witnesses. This has the effect of improving the accuracy of investigative outcomes. Whilst cognitive interviews have some limitations, ongoing research and training efforts can help address these challenges and further enhance the effectiveness of these important investigative techniques. </w:t>
      </w:r>
    </w:p>
    <w:p w14:paraId="75884984" w14:textId="77777777" w:rsidR="00E77E95" w:rsidRDefault="00E77E95" w:rsidP="00E77E95">
      <w:r>
        <w:t>Word 978</w:t>
      </w:r>
    </w:p>
    <w:p w14:paraId="0879333C" w14:textId="77777777" w:rsidR="00E77E95" w:rsidRDefault="00E77E95" w:rsidP="00E77E95"/>
    <w:p w14:paraId="2CAF3607" w14:textId="77777777" w:rsidR="00E77E95" w:rsidRPr="00E475F6" w:rsidRDefault="00E77E95" w:rsidP="00E77E95">
      <w:pPr>
        <w:rPr>
          <w:u w:val="single"/>
        </w:rPr>
      </w:pPr>
      <w:r w:rsidRPr="00E475F6">
        <w:rPr>
          <w:u w:val="single"/>
        </w:rPr>
        <w:t xml:space="preserve">Bibliography </w:t>
      </w:r>
    </w:p>
    <w:p w14:paraId="58B86AFB" w14:textId="77777777" w:rsidR="00E77E95" w:rsidRDefault="00E77E95" w:rsidP="00E77E95">
      <w:proofErr w:type="spellStart"/>
      <w:r w:rsidRPr="00E475F6">
        <w:t>Cann</w:t>
      </w:r>
      <w:proofErr w:type="spellEnd"/>
      <w:r w:rsidRPr="00E475F6">
        <w:t xml:space="preserve">, A., &amp; Ross, D. A. (1989). Olfactory stimuli as context cues in human memory. The American Journal of Psychology, 102(1), 91–102. </w:t>
      </w:r>
      <w:hyperlink r:id="rId4" w:history="1">
        <w:r w:rsidRPr="003452BA">
          <w:rPr>
            <w:rStyle w:val="Hyperlink"/>
          </w:rPr>
          <w:t>https://doi.org/10.2307/1423118</w:t>
        </w:r>
      </w:hyperlink>
    </w:p>
    <w:p w14:paraId="35ED011E" w14:textId="77777777" w:rsidR="00E77E95" w:rsidRDefault="00E77E95" w:rsidP="00E77E95">
      <w:r w:rsidRPr="00415562">
        <w:t xml:space="preserve">Fisher, R. P., &amp; </w:t>
      </w:r>
      <w:proofErr w:type="spellStart"/>
      <w:r w:rsidRPr="00415562">
        <w:t>Geiselman</w:t>
      </w:r>
      <w:proofErr w:type="spellEnd"/>
      <w:r w:rsidRPr="00415562">
        <w:t xml:space="preserve">, R. E. (1992). Memory enhancing techniques for investigative interviewing: The cognitive </w:t>
      </w:r>
      <w:proofErr w:type="gramStart"/>
      <w:r w:rsidRPr="00415562">
        <w:t>interview .</w:t>
      </w:r>
      <w:proofErr w:type="gramEnd"/>
      <w:r w:rsidRPr="00415562">
        <w:t xml:space="preserve"> Springfield, IL: Charles C. Thomas.</w:t>
      </w:r>
    </w:p>
    <w:p w14:paraId="60509EE2" w14:textId="77777777" w:rsidR="00E77E95" w:rsidRPr="00071F26" w:rsidRDefault="00E77E95" w:rsidP="00E77E95">
      <w:pPr>
        <w:shd w:val="clear" w:color="auto" w:fill="FFFFFF"/>
        <w:spacing w:after="0" w:line="0" w:lineRule="auto"/>
        <w:rPr>
          <w:rFonts w:ascii="ff9" w:eastAsia="Times New Roman" w:hAnsi="ff9" w:cs="Times New Roman"/>
          <w:color w:val="000000"/>
          <w:kern w:val="0"/>
          <w:sz w:val="54"/>
          <w:szCs w:val="54"/>
          <w:lang w:eastAsia="en-GB"/>
          <w14:ligatures w14:val="none"/>
        </w:rPr>
      </w:pPr>
      <w:r w:rsidRPr="00071F26">
        <w:rPr>
          <w:rFonts w:ascii="ff9" w:eastAsia="Times New Roman" w:hAnsi="ff9" w:cs="Times New Roman"/>
          <w:color w:val="000000"/>
          <w:kern w:val="0"/>
          <w:sz w:val="54"/>
          <w:szCs w:val="54"/>
          <w:lang w:eastAsia="en-GB"/>
          <w14:ligatures w14:val="none"/>
        </w:rPr>
        <w:t xml:space="preserve">George, R. (1991). </w:t>
      </w:r>
      <w:r w:rsidRPr="00071F26">
        <w:rPr>
          <w:rFonts w:ascii="ffb" w:eastAsia="Times New Roman" w:hAnsi="ffb" w:cs="Times New Roman"/>
          <w:color w:val="000000"/>
          <w:spacing w:val="216"/>
          <w:kern w:val="0"/>
          <w:sz w:val="54"/>
          <w:szCs w:val="54"/>
          <w:lang w:eastAsia="en-GB"/>
          <w14:ligatures w14:val="none"/>
        </w:rPr>
        <w:t>A</w:t>
      </w:r>
      <w:r w:rsidRPr="00071F26">
        <w:rPr>
          <w:rFonts w:ascii="ff5" w:eastAsia="Times New Roman" w:hAnsi="ff5" w:cs="Times New Roman"/>
          <w:color w:val="000000"/>
          <w:spacing w:val="216"/>
          <w:kern w:val="0"/>
          <w:sz w:val="54"/>
          <w:szCs w:val="54"/>
          <w:lang w:eastAsia="en-GB"/>
          <w14:ligatures w14:val="none"/>
        </w:rPr>
        <w:t>ﬁ</w:t>
      </w:r>
      <w:r w:rsidRPr="00071F26">
        <w:rPr>
          <w:rFonts w:ascii="ffb" w:eastAsia="Times New Roman" w:hAnsi="ffb" w:cs="Times New Roman"/>
          <w:color w:val="000000"/>
          <w:kern w:val="0"/>
          <w:sz w:val="54"/>
          <w:szCs w:val="54"/>
          <w:lang w:eastAsia="en-GB"/>
          <w14:ligatures w14:val="none"/>
        </w:rPr>
        <w:t>eld evaluation of the cognitive interview</w:t>
      </w:r>
      <w:r w:rsidRPr="00071F26">
        <w:rPr>
          <w:rFonts w:ascii="ff9" w:eastAsia="Times New Roman" w:hAnsi="ff9" w:cs="Times New Roman"/>
          <w:color w:val="000000"/>
          <w:kern w:val="0"/>
          <w:sz w:val="54"/>
          <w:szCs w:val="54"/>
          <w:lang w:eastAsia="en-GB"/>
          <w14:ligatures w14:val="none"/>
        </w:rPr>
        <w:t xml:space="preserve">. Unpublished </w:t>
      </w:r>
      <w:proofErr w:type="spellStart"/>
      <w:proofErr w:type="gramStart"/>
      <w:r w:rsidRPr="00071F26">
        <w:rPr>
          <w:rFonts w:ascii="ff9" w:eastAsia="Times New Roman" w:hAnsi="ff9" w:cs="Times New Roman"/>
          <w:color w:val="000000"/>
          <w:kern w:val="0"/>
          <w:sz w:val="54"/>
          <w:szCs w:val="54"/>
          <w:lang w:eastAsia="en-GB"/>
          <w14:ligatures w14:val="none"/>
        </w:rPr>
        <w:t>masters</w:t>
      </w:r>
      <w:proofErr w:type="spellEnd"/>
      <w:proofErr w:type="gramEnd"/>
      <w:r w:rsidRPr="00071F26">
        <w:rPr>
          <w:rFonts w:ascii="ff9" w:eastAsia="Times New Roman" w:hAnsi="ff9" w:cs="Times New Roman"/>
          <w:color w:val="000000"/>
          <w:kern w:val="0"/>
          <w:sz w:val="54"/>
          <w:szCs w:val="54"/>
          <w:lang w:eastAsia="en-GB"/>
          <w14:ligatures w14:val="none"/>
        </w:rPr>
        <w:t xml:space="preserve"> thesis,</w:t>
      </w:r>
    </w:p>
    <w:p w14:paraId="0FEC2CC8" w14:textId="77777777" w:rsidR="00E77E95" w:rsidRPr="00071F26" w:rsidRDefault="00E77E95" w:rsidP="00E77E95">
      <w:pPr>
        <w:shd w:val="clear" w:color="auto" w:fill="FFFFFF"/>
        <w:spacing w:after="0" w:line="0" w:lineRule="auto"/>
        <w:rPr>
          <w:rFonts w:ascii="ff9" w:eastAsia="Times New Roman" w:hAnsi="ff9" w:cs="Times New Roman"/>
          <w:color w:val="000000"/>
          <w:kern w:val="0"/>
          <w:sz w:val="54"/>
          <w:szCs w:val="54"/>
          <w:lang w:eastAsia="en-GB"/>
          <w14:ligatures w14:val="none"/>
        </w:rPr>
      </w:pPr>
      <w:r w:rsidRPr="00071F26">
        <w:rPr>
          <w:rFonts w:ascii="ff9" w:eastAsia="Times New Roman" w:hAnsi="ff9" w:cs="Times New Roman"/>
          <w:color w:val="000000"/>
          <w:kern w:val="0"/>
          <w:sz w:val="54"/>
          <w:szCs w:val="54"/>
          <w:lang w:eastAsia="en-GB"/>
          <w14:ligatures w14:val="none"/>
        </w:rPr>
        <w:t>Polytechnic of East London.</w:t>
      </w:r>
    </w:p>
    <w:p w14:paraId="727E9E9D" w14:textId="77777777" w:rsidR="00E77E95" w:rsidRDefault="00E77E95" w:rsidP="00E77E95">
      <w:proofErr w:type="spellStart"/>
      <w:r w:rsidRPr="00071F26">
        <w:t>Geiselman</w:t>
      </w:r>
      <w:proofErr w:type="spellEnd"/>
      <w:r w:rsidRPr="00071F26">
        <w:t xml:space="preserve">, R. E., Fisher, R. P., MacKinnon, D. P., &amp; Holland, H. L. (1985). Eyewitness memory enhancement in the police interview: Cognitive retrieval mnemonics versus </w:t>
      </w:r>
      <w:proofErr w:type="spellStart"/>
      <w:r w:rsidRPr="00071F26">
        <w:t>hypnos</w:t>
      </w:r>
      <w:proofErr w:type="spellEnd"/>
      <w:r w:rsidRPr="00071F26">
        <w:t xml:space="preserve"> is. Journal of Applied Psychology, 70[2], 401-412.</w:t>
      </w:r>
    </w:p>
    <w:p w14:paraId="7E97E272" w14:textId="77777777" w:rsidR="00E77E95" w:rsidRDefault="00E77E95" w:rsidP="00E77E95">
      <w:r>
        <w:t xml:space="preserve">George, R. (1991). </w:t>
      </w:r>
      <w:r>
        <w:rPr>
          <w:i/>
          <w:iCs/>
        </w:rPr>
        <w:t>A field evaluation of the cognitive interview.</w:t>
      </w:r>
      <w:r>
        <w:t xml:space="preserve"> Unpublished </w:t>
      </w:r>
      <w:proofErr w:type="spellStart"/>
      <w:proofErr w:type="gramStart"/>
      <w:r>
        <w:t>masters</w:t>
      </w:r>
      <w:proofErr w:type="spellEnd"/>
      <w:proofErr w:type="gramEnd"/>
      <w:r>
        <w:t xml:space="preserve"> thesis, Polytechnic of East London</w:t>
      </w:r>
    </w:p>
    <w:p w14:paraId="23D72188" w14:textId="77777777" w:rsidR="00E77E95" w:rsidRPr="00071F26" w:rsidRDefault="00E77E95" w:rsidP="00E77E95">
      <w:r w:rsidRPr="00E475F6">
        <w:t xml:space="preserve">Heather </w:t>
      </w:r>
      <w:proofErr w:type="spellStart"/>
      <w:r w:rsidRPr="00E475F6">
        <w:t>Iriye</w:t>
      </w:r>
      <w:proofErr w:type="spellEnd"/>
      <w:r w:rsidRPr="00E475F6">
        <w:t>, Peggy L. St. Jacques. How visual perspective influences the spatiotemporal dynamics of autobiographical memory retrieval. Cortex, 2020; 129: 464 DOI: 10.1016/j.cortex.2020.05.007</w:t>
      </w:r>
    </w:p>
    <w:p w14:paraId="0F2E2A76" w14:textId="77777777" w:rsidR="00E77E95" w:rsidRDefault="00E77E95" w:rsidP="00E77E95">
      <w:proofErr w:type="spellStart"/>
      <w:r w:rsidRPr="00285508">
        <w:lastRenderedPageBreak/>
        <w:t>Kebbel</w:t>
      </w:r>
      <w:proofErr w:type="spellEnd"/>
      <w:r>
        <w:t xml:space="preserve">, </w:t>
      </w:r>
      <w:proofErr w:type="gramStart"/>
      <w:r>
        <w:t>R</w:t>
      </w:r>
      <w:r w:rsidRPr="00285508">
        <w:t>,  Milne</w:t>
      </w:r>
      <w:proofErr w:type="gramEnd"/>
      <w:r>
        <w:t>, R</w:t>
      </w:r>
      <w:r w:rsidRPr="00285508">
        <w:t xml:space="preserve"> &amp; Wagstaff</w:t>
      </w:r>
      <w:r>
        <w:t>, G</w:t>
      </w:r>
      <w:r w:rsidRPr="00285508">
        <w:t xml:space="preserve"> (1999) The cognitive interview: A survey of its forensic effectiveness, Psychology, Crime &amp; Law, 5:1-2, 101-115, DOI: 10.1080/10683169908414996</w:t>
      </w:r>
    </w:p>
    <w:p w14:paraId="791FB25A" w14:textId="77777777" w:rsidR="00E77E95" w:rsidRDefault="00E77E95" w:rsidP="00E77E95">
      <w:r w:rsidRPr="00B2204D">
        <w:t>Memon, A., Meissner, C. A., &amp; Fraser, J. (2010). THE COGNITIVE INTERVIEW: A Meta-Analytic Review and Study Space Analysis of the Past 25 Years. Psychology, Public Policy, and Law, 16(4), 340–372. https://doi.org/10.1037/a0020518</w:t>
      </w:r>
    </w:p>
    <w:p w14:paraId="2643C0D2" w14:textId="77777777" w:rsidR="00E77E95" w:rsidRDefault="00E77E95" w:rsidP="00D755BD">
      <w:pPr>
        <w:pStyle w:val="Default"/>
        <w:rPr>
          <w:b/>
          <w:bCs/>
          <w:sz w:val="22"/>
          <w:szCs w:val="22"/>
        </w:rPr>
      </w:pPr>
    </w:p>
    <w:p w14:paraId="5B583B0B" w14:textId="77777777" w:rsidR="00E77E95" w:rsidRDefault="00E77E95" w:rsidP="00D755BD">
      <w:pPr>
        <w:pStyle w:val="Default"/>
        <w:rPr>
          <w:b/>
          <w:bCs/>
          <w:sz w:val="22"/>
          <w:szCs w:val="22"/>
        </w:rPr>
      </w:pPr>
    </w:p>
    <w:p w14:paraId="7A15C75F" w14:textId="77777777" w:rsidR="00E77E95" w:rsidRDefault="00E77E95" w:rsidP="00D755BD">
      <w:pPr>
        <w:pStyle w:val="Default"/>
        <w:rPr>
          <w:b/>
          <w:bCs/>
          <w:sz w:val="22"/>
          <w:szCs w:val="22"/>
        </w:rPr>
      </w:pPr>
    </w:p>
    <w:p w14:paraId="65ABD83A" w14:textId="77777777" w:rsidR="00E77E95" w:rsidRDefault="00E77E95" w:rsidP="00D755BD">
      <w:pPr>
        <w:pStyle w:val="Default"/>
        <w:rPr>
          <w:b/>
          <w:bCs/>
          <w:sz w:val="22"/>
          <w:szCs w:val="22"/>
        </w:rPr>
      </w:pPr>
    </w:p>
    <w:p w14:paraId="0283EC8C" w14:textId="77777777" w:rsidR="00E77E95" w:rsidRDefault="00E77E95" w:rsidP="00D755BD">
      <w:pPr>
        <w:pStyle w:val="Default"/>
        <w:rPr>
          <w:b/>
          <w:bCs/>
          <w:sz w:val="22"/>
          <w:szCs w:val="22"/>
        </w:rPr>
      </w:pPr>
    </w:p>
    <w:p w14:paraId="6AA683A5" w14:textId="77777777" w:rsidR="00E77E95" w:rsidRDefault="00E77E95" w:rsidP="00D755BD">
      <w:pPr>
        <w:pStyle w:val="Default"/>
        <w:rPr>
          <w:b/>
          <w:bCs/>
          <w:sz w:val="22"/>
          <w:szCs w:val="22"/>
        </w:rPr>
      </w:pPr>
    </w:p>
    <w:p w14:paraId="72473F77" w14:textId="77777777" w:rsidR="007D7FC2" w:rsidRDefault="007D7FC2" w:rsidP="007D7FC2">
      <w:pPr>
        <w:pStyle w:val="Default"/>
        <w:rPr>
          <w:sz w:val="22"/>
          <w:szCs w:val="22"/>
        </w:rPr>
      </w:pPr>
      <w:r>
        <w:rPr>
          <w:b/>
          <w:bCs/>
          <w:sz w:val="22"/>
          <w:szCs w:val="22"/>
        </w:rPr>
        <w:t xml:space="preserve">Essay four: </w:t>
      </w:r>
    </w:p>
    <w:p w14:paraId="325AA600" w14:textId="77777777" w:rsidR="007D7FC2" w:rsidRDefault="007D7FC2" w:rsidP="007D7FC2">
      <w:pPr>
        <w:pStyle w:val="Default"/>
        <w:rPr>
          <w:sz w:val="22"/>
          <w:szCs w:val="22"/>
        </w:rPr>
      </w:pPr>
      <w:r>
        <w:rPr>
          <w:sz w:val="22"/>
          <w:szCs w:val="22"/>
        </w:rPr>
        <w:t xml:space="preserve">Examine the various socio-economic and psychological characteristics which can make people vulnerable to exploitation by criminal gangs. </w:t>
      </w:r>
    </w:p>
    <w:p w14:paraId="5A9F2BE2" w14:textId="77777777" w:rsidR="007D7FC2" w:rsidRDefault="007D7FC2" w:rsidP="007D7FC2">
      <w:pPr>
        <w:pStyle w:val="Default"/>
        <w:rPr>
          <w:sz w:val="22"/>
          <w:szCs w:val="22"/>
        </w:rPr>
      </w:pPr>
      <w:r>
        <w:rPr>
          <w:sz w:val="22"/>
          <w:szCs w:val="22"/>
        </w:rPr>
        <w:t xml:space="preserve">Your answer must be based on academic research rather than personal experience. </w:t>
      </w:r>
    </w:p>
    <w:p w14:paraId="27636DCC" w14:textId="77777777" w:rsidR="007D7FC2" w:rsidRDefault="007D7FC2" w:rsidP="007D7FC2">
      <w:r>
        <w:rPr>
          <w:b/>
          <w:bCs/>
        </w:rPr>
        <w:t xml:space="preserve">Word limit: </w:t>
      </w:r>
      <w:r>
        <w:t>1000 words.</w:t>
      </w:r>
    </w:p>
    <w:p w14:paraId="2C77E5C8" w14:textId="77777777" w:rsidR="007D7FC2" w:rsidRDefault="007D7FC2" w:rsidP="007D7FC2">
      <w:r>
        <w:tab/>
        <w:t xml:space="preserve">Exploitation of people by criminal gangs is a multifaceted issue that is influenced by a range of different socio-economic and psychological factors. This essay aims to explore the different characteristics that can make people vulnerable to this type of exploitation. Recognising the ways and reasons that people can become vulnerable to criminal exploitation is essential </w:t>
      </w:r>
      <w:proofErr w:type="gramStart"/>
      <w:r>
        <w:t>in order to</w:t>
      </w:r>
      <w:proofErr w:type="gramEnd"/>
      <w:r>
        <w:t xml:space="preserve"> address these factors and prevent individuals from falling into the clutches of gangs. </w:t>
      </w:r>
    </w:p>
    <w:p w14:paraId="0EB6E5C1" w14:textId="77777777" w:rsidR="007D7FC2" w:rsidRDefault="007D7FC2" w:rsidP="007D7FC2">
      <w:r>
        <w:tab/>
        <w:t xml:space="preserve">Psychological vulnerabilities play a significant role in making individuals susceptible to exploitation by criminal gangs. Low self-esteem and identity issues are particularly common personality traits when it comes to vulnerabilities. Gangs offer a sense of identity and self-worth that vulnerable individuals might not find elsewhere. Research conducted into the mentality of young gang members, showed that gangs offered them a sense of family that they were not able to find elsewhere (Decker &amp; Winkle, 1996). Almost half of those interviewed in the research said that they spent much more time with their gang than they did with their family and about 80% of those interviewed said that their gang offered them a sense of understanding that their family did not. Here we can see that those who are having family issues or even those without a solid family foundation can be more easily drawn into a gang. A study conducted in 2022 (Care) showed that 44% of all children born, were born into a family with only one biological parent. Although a single parent family does not prove a lack of a family life for the children, it can however, drastically increase the factors associated with joining a gang. The family dynamic that a person grows up in can have a significant impact on how they develop as a person. With a lack of a family’s ability or the ability of a family figure to shape a </w:t>
      </w:r>
      <w:proofErr w:type="gramStart"/>
      <w:r>
        <w:t>youths</w:t>
      </w:r>
      <w:proofErr w:type="gramEnd"/>
      <w:r>
        <w:t xml:space="preserve"> behaviour, they are at risk of being recruited by a gang as their ability to differentiate between right and wrong is limited (Thornberry et al., 1993). </w:t>
      </w:r>
    </w:p>
    <w:p w14:paraId="1998C427" w14:textId="77777777" w:rsidR="007D7FC2" w:rsidRDefault="007D7FC2" w:rsidP="007D7FC2">
      <w:r>
        <w:tab/>
        <w:t xml:space="preserve">Another psychological factor that can drastically increase the effectiveness of gang exploitation is </w:t>
      </w:r>
      <w:proofErr w:type="gramStart"/>
      <w:r>
        <w:t>due to the effects</w:t>
      </w:r>
      <w:proofErr w:type="gramEnd"/>
      <w:r>
        <w:t xml:space="preserve"> of trauma and abuse that an individual may have suffered or been exposed to as a child. Individuals who have experienced physical, </w:t>
      </w:r>
      <w:proofErr w:type="gramStart"/>
      <w:r>
        <w:t>sexual</w:t>
      </w:r>
      <w:proofErr w:type="gramEnd"/>
      <w:r>
        <w:t xml:space="preserve"> or emotional abuse often suffer from long term effects and may seek the safety blanket of a gang as a means of protection and care from future abuse and trauma. Curtis (1963) suggested that children who have suffered abuse and trauma would grow up to be murderers and abusers themselves. If this is true, then those who have been exposed to abuse or trauma may naturally be predisposed to joining a criminal organisation such as a gang. </w:t>
      </w:r>
    </w:p>
    <w:p w14:paraId="14A9D800" w14:textId="77777777" w:rsidR="007D7FC2" w:rsidRDefault="007D7FC2" w:rsidP="007D7FC2">
      <w:pPr>
        <w:ind w:firstLine="720"/>
      </w:pPr>
      <w:r>
        <w:lastRenderedPageBreak/>
        <w:t xml:space="preserve">The theory that violence begets more violence, however, is one that is not fully understood yet and, as suggested by </w:t>
      </w:r>
      <w:proofErr w:type="spellStart"/>
      <w:r>
        <w:t>Widom</w:t>
      </w:r>
      <w:proofErr w:type="spellEnd"/>
      <w:r>
        <w:t xml:space="preserve"> (1989), more research needs to be conducted to decide whether this is in fact the case. It does, however, stand to reason that those exposed to violence at an early age may normalise it in later life.  </w:t>
      </w:r>
    </w:p>
    <w:p w14:paraId="52D02495" w14:textId="77777777" w:rsidR="007D7FC2" w:rsidRDefault="007D7FC2" w:rsidP="007D7FC2">
      <w:pPr>
        <w:ind w:firstLine="720"/>
      </w:pPr>
      <w:r>
        <w:t xml:space="preserve">Those that have been exposed to trauma and abuse at an early age, or in fact any age, may in turn suffer with conditions such as post-traumatic stress disorder. This can then lead them to turn to that feeling of family and a safety net that we have previously discussed. </w:t>
      </w:r>
    </w:p>
    <w:p w14:paraId="161844E5" w14:textId="77777777" w:rsidR="007D7FC2" w:rsidRDefault="007D7FC2" w:rsidP="007D7FC2">
      <w:pPr>
        <w:ind w:firstLine="720"/>
      </w:pPr>
      <w:r>
        <w:t xml:space="preserve">The peer pressure asserted from a social network or peers is another very significant psychological factor. Young adults and children are highly susceptible to peer pressures and the need to be accepted by their peers. Gangs </w:t>
      </w:r>
      <w:proofErr w:type="gramStart"/>
      <w:r>
        <w:t>are able to</w:t>
      </w:r>
      <w:proofErr w:type="gramEnd"/>
      <w:r>
        <w:t xml:space="preserve"> use this to recruit new members using their want to be accepted and the need for human connection to increase the pull into the gang. Akers &amp; Warr (2003) in their research discussed the strong pull between the criminal behaviour of an induvial and the company they keep, recognising that the most accurate predictor of criminal behaviour is the number of friends they keep that are involved in criminal behaviour. This in turn can allow those previously not involved in criminal behaviour to become quickly accustomed to it, simply by engaging in time with those already involved in the behaviour.  Here we can see that this social pull can make people extremely vulnerable to gang exploitation. </w:t>
      </w:r>
    </w:p>
    <w:p w14:paraId="3C17B3B9" w14:textId="77777777" w:rsidR="007D7FC2" w:rsidRDefault="007D7FC2" w:rsidP="007D7FC2">
      <w:pPr>
        <w:ind w:firstLine="720"/>
      </w:pPr>
      <w:r>
        <w:t xml:space="preserve">Finally, substance abuse can act as both a consequence and cause of gang involvement. Individuals with substance abuse issues often turn to gangs for access to drugs and the financial means to support their addiction. Conversely, gangs can exploit these dependencies to control and manipulate individuals, drawing them deeper into criminal activities by offering to supply drugs for favours. A person may also find that they </w:t>
      </w:r>
      <w:proofErr w:type="gramStart"/>
      <w:r>
        <w:t>have to</w:t>
      </w:r>
      <w:proofErr w:type="gramEnd"/>
      <w:r>
        <w:t xml:space="preserve"> commit theft in order to support their drug addictions and turn to a gang for ways to fence stolen goods or even to assist with jobs they are unable to achieve on their own. A person may often find that once they have drugs supplied through a </w:t>
      </w:r>
      <w:proofErr w:type="gramStart"/>
      <w:r>
        <w:t>gang</w:t>
      </w:r>
      <w:proofErr w:type="gramEnd"/>
      <w:r>
        <w:t xml:space="preserve"> they feel trapped and unable to leave without firstly withdrawing from drugs. Similarly, once a person is within the </w:t>
      </w:r>
      <w:proofErr w:type="gramStart"/>
      <w:r>
        <w:t>gang</w:t>
      </w:r>
      <w:proofErr w:type="gramEnd"/>
      <w:r>
        <w:t xml:space="preserve"> they may find they are kept there against their will through use of drugs. </w:t>
      </w:r>
    </w:p>
    <w:p w14:paraId="74569253" w14:textId="77777777" w:rsidR="007D7FC2" w:rsidRDefault="007D7FC2" w:rsidP="007D7FC2">
      <w:r>
        <w:tab/>
        <w:t xml:space="preserve">In conclusion the vulnerabilities that allow exploitation by criminal gangs is a complex combination of socioeconomic and psychological factors. Many factors such as poverty, unemployment, education, and community disorganisation can all create a breeding ground for gang recruitment and activities. Understanding these factors is crucial if we are to develop effective prevention strategies against gang recruitment as well as intervention strategies to pull individuals away from the gang lifestyle. By addressing these underlying issues, we can better protect the </w:t>
      </w:r>
      <w:proofErr w:type="gramStart"/>
      <w:r>
        <w:t>at risk</w:t>
      </w:r>
      <w:proofErr w:type="gramEnd"/>
      <w:r>
        <w:t xml:space="preserve"> population and reduce the factors that allow gangs to thrive and survive. </w:t>
      </w:r>
    </w:p>
    <w:p w14:paraId="38387D5A" w14:textId="77777777" w:rsidR="007D7FC2" w:rsidRDefault="007D7FC2" w:rsidP="007D7FC2"/>
    <w:p w14:paraId="6A2DC1A1" w14:textId="77777777" w:rsidR="007D7FC2" w:rsidRDefault="007D7FC2" w:rsidP="007D7FC2">
      <w:r>
        <w:t>Word Count: 958</w:t>
      </w:r>
    </w:p>
    <w:p w14:paraId="786A38D1" w14:textId="77777777" w:rsidR="007D7FC2" w:rsidRDefault="007D7FC2" w:rsidP="007D7FC2">
      <w:pPr>
        <w:rPr>
          <w:u w:val="single"/>
        </w:rPr>
      </w:pPr>
    </w:p>
    <w:p w14:paraId="1E12A962" w14:textId="77777777" w:rsidR="007D7FC2" w:rsidRPr="00153F35" w:rsidRDefault="007D7FC2" w:rsidP="007D7FC2">
      <w:pPr>
        <w:rPr>
          <w:u w:val="single"/>
        </w:rPr>
      </w:pPr>
      <w:r w:rsidRPr="00153F35">
        <w:rPr>
          <w:u w:val="single"/>
        </w:rPr>
        <w:t xml:space="preserve">Bibliography </w:t>
      </w:r>
    </w:p>
    <w:p w14:paraId="4CF8C707" w14:textId="77777777" w:rsidR="007D7FC2" w:rsidRDefault="007D7FC2" w:rsidP="007D7FC2">
      <w:r w:rsidRPr="00CF02CA">
        <w:t xml:space="preserve">Akers, R.L. and Warr, M. (2003). Companions in Crime: The Social Aspects of Criminal Conduct. Contemporary Sociology, 32(3), p.372. </w:t>
      </w:r>
      <w:proofErr w:type="spellStart"/>
      <w:proofErr w:type="gramStart"/>
      <w:r w:rsidRPr="00CF02CA">
        <w:t>doi:https</w:t>
      </w:r>
      <w:proofErr w:type="spellEnd"/>
      <w:r w:rsidRPr="00CF02CA">
        <w:t>://doi.org/10.2307/3089208</w:t>
      </w:r>
      <w:proofErr w:type="gramEnd"/>
      <w:r w:rsidRPr="00CF02CA">
        <w:t>.</w:t>
      </w:r>
      <w:r>
        <w:t xml:space="preserve"> </w:t>
      </w:r>
    </w:p>
    <w:p w14:paraId="7EF83ABF" w14:textId="77777777" w:rsidR="007D7FC2" w:rsidRDefault="007D7FC2" w:rsidP="007D7FC2">
      <w:r w:rsidRPr="00362FF0">
        <w:t>C</w:t>
      </w:r>
      <w:r>
        <w:t>are</w:t>
      </w:r>
      <w:r w:rsidRPr="00362FF0">
        <w:t>. (</w:t>
      </w:r>
      <w:r>
        <w:t>2022</w:t>
      </w:r>
      <w:r w:rsidRPr="00362FF0">
        <w:t xml:space="preserve">). Almost half of UK children are growing up outside the traditional family. [online] Available at: </w:t>
      </w:r>
      <w:hyperlink r:id="rId5" w:history="1">
        <w:r w:rsidRPr="005003D4">
          <w:rPr>
            <w:rStyle w:val="Hyperlink"/>
          </w:rPr>
          <w:t>https://care.org.uk/news/2022/09/almost-half-of-kids-growing-up-outside-nuclear-family</w:t>
        </w:r>
      </w:hyperlink>
      <w:r w:rsidRPr="00362FF0">
        <w:t>.</w:t>
      </w:r>
    </w:p>
    <w:p w14:paraId="13F29E1C" w14:textId="77777777" w:rsidR="007D7FC2" w:rsidRDefault="007D7FC2" w:rsidP="007D7FC2">
      <w:r w:rsidRPr="0032745B">
        <w:lastRenderedPageBreak/>
        <w:t xml:space="preserve">CURTIS GC. VIOLENCE BREEDS VIOLENCE - PERHAPS? Am J Psychiatry. 1963 </w:t>
      </w:r>
      <w:proofErr w:type="gramStart"/>
      <w:r w:rsidRPr="0032745B">
        <w:t>Oct;120:386</w:t>
      </w:r>
      <w:proofErr w:type="gramEnd"/>
      <w:r w:rsidRPr="0032745B">
        <w:t xml:space="preserve">-7. </w:t>
      </w:r>
      <w:proofErr w:type="spellStart"/>
      <w:r w:rsidRPr="0032745B">
        <w:t>doi</w:t>
      </w:r>
      <w:proofErr w:type="spellEnd"/>
      <w:r w:rsidRPr="0032745B">
        <w:t>: 10.1176/ajp.120.4.386. PMID: 14069465.</w:t>
      </w:r>
    </w:p>
    <w:p w14:paraId="5DA8613A" w14:textId="77777777" w:rsidR="007D7FC2" w:rsidRDefault="007D7FC2" w:rsidP="007D7FC2">
      <w:r w:rsidRPr="00102727">
        <w:t>Decker S. H., Van Winkle B. (1996). Life in the gang: Family, friends, and violence. New York, NY: Cambridge University Press.</w:t>
      </w:r>
    </w:p>
    <w:p w14:paraId="1FA6CBBC" w14:textId="77777777" w:rsidR="007D7FC2" w:rsidRDefault="007D7FC2" w:rsidP="007D7FC2">
      <w:r w:rsidRPr="00FF175A">
        <w:t xml:space="preserve">THORNBERRY, T. P., KROHN, M. D., LIZOTTE, A. J., &amp; CHARD-WIERSCHEM, D. (1993). The Role of Juvenile Gangs in Facilitating Delinquent </w:t>
      </w:r>
      <w:proofErr w:type="spellStart"/>
      <w:r w:rsidRPr="00FF175A">
        <w:t>Behavior</w:t>
      </w:r>
      <w:proofErr w:type="spellEnd"/>
      <w:r w:rsidRPr="00FF175A">
        <w:t xml:space="preserve">. Journal of Research in Crime and Delinquency, 30(1), 55-87. </w:t>
      </w:r>
      <w:hyperlink r:id="rId6" w:history="1">
        <w:r w:rsidRPr="005003D4">
          <w:rPr>
            <w:rStyle w:val="Hyperlink"/>
          </w:rPr>
          <w:t>https://doi.org/10.1177/0022427893030001005</w:t>
        </w:r>
      </w:hyperlink>
      <w:r>
        <w:t xml:space="preserve"> </w:t>
      </w:r>
    </w:p>
    <w:p w14:paraId="5CE2A0B8" w14:textId="77777777" w:rsidR="007D7FC2" w:rsidRDefault="007D7FC2" w:rsidP="007D7FC2">
      <w:proofErr w:type="spellStart"/>
      <w:r>
        <w:t>Widom</w:t>
      </w:r>
      <w:proofErr w:type="spellEnd"/>
      <w:r>
        <w:t xml:space="preserve">, C. S. (1989). CHILD ABUSE, NEGLECT, AND ADULT BEHAVIOR: Research Design and Findings on Criminality, Violence, and Child Abuse. American Journal of Orthopsychiatry, 59(3), 355–367. </w:t>
      </w:r>
      <w:hyperlink r:id="rId7" w:history="1">
        <w:r w:rsidRPr="005003D4">
          <w:rPr>
            <w:rStyle w:val="Hyperlink"/>
          </w:rPr>
          <w:t>https://doi.org/10.1111/j.1939-0025.1989.tb01671.x</w:t>
        </w:r>
      </w:hyperlink>
      <w:r>
        <w:t xml:space="preserve"> </w:t>
      </w:r>
    </w:p>
    <w:p w14:paraId="6BA7678B" w14:textId="77777777" w:rsidR="00A02E54" w:rsidRPr="00153F35" w:rsidRDefault="00A02E54" w:rsidP="00A02E54">
      <w:r w:rsidRPr="009B0092">
        <w:rPr>
          <w:b/>
          <w:bCs/>
        </w:rPr>
        <w:t xml:space="preserve">Essay five: </w:t>
      </w:r>
    </w:p>
    <w:p w14:paraId="103C3E81" w14:textId="77777777" w:rsidR="00A02E54" w:rsidRDefault="00A02E54" w:rsidP="00A02E54">
      <w:pPr>
        <w:rPr>
          <w:b/>
          <w:bCs/>
        </w:rPr>
      </w:pPr>
      <w:r w:rsidRPr="009B0092">
        <w:rPr>
          <w:b/>
          <w:bCs/>
        </w:rPr>
        <w:t xml:space="preserve">Critically assess the effectiveness of options available to reduce re-offending. You may choose a specific type of offence for this answer </w:t>
      </w:r>
      <w:proofErr w:type="gramStart"/>
      <w:r w:rsidRPr="009B0092">
        <w:rPr>
          <w:b/>
          <w:bCs/>
        </w:rPr>
        <w:t>e.g.</w:t>
      </w:r>
      <w:proofErr w:type="gramEnd"/>
      <w:r w:rsidRPr="009B0092">
        <w:rPr>
          <w:b/>
          <w:bCs/>
        </w:rPr>
        <w:t xml:space="preserve"> domestic violence, anti-social behaviour, knife crime. Your answer must be based on academic research, but you may </w:t>
      </w:r>
      <w:proofErr w:type="gramStart"/>
      <w:r w:rsidRPr="009B0092">
        <w:rPr>
          <w:b/>
          <w:bCs/>
        </w:rPr>
        <w:t>make reference</w:t>
      </w:r>
      <w:proofErr w:type="gramEnd"/>
      <w:r w:rsidRPr="009B0092">
        <w:rPr>
          <w:b/>
          <w:bCs/>
        </w:rPr>
        <w:t xml:space="preserve"> to relevant case studies. </w:t>
      </w:r>
    </w:p>
    <w:p w14:paraId="723689D7" w14:textId="77777777" w:rsidR="00A02E54" w:rsidRDefault="00A02E54" w:rsidP="00A02E54">
      <w:pPr>
        <w:rPr>
          <w:b/>
          <w:bCs/>
        </w:rPr>
      </w:pPr>
      <w:r w:rsidRPr="009B0092">
        <w:rPr>
          <w:b/>
          <w:bCs/>
        </w:rPr>
        <w:t>Word limit: 1000 words</w:t>
      </w:r>
    </w:p>
    <w:p w14:paraId="3152F90A" w14:textId="77777777" w:rsidR="00A02E54" w:rsidRDefault="00A02E54" w:rsidP="00A02E54">
      <w:pPr>
        <w:ind w:firstLine="720"/>
      </w:pPr>
      <w:r>
        <w:t xml:space="preserve">It can be argued that the only goal of the justice system is to promote public safety and rehabilitate offenders, therefore the reduction of re-offending rates is of vital importance for any society looking to encourage these values. This essay aims to critically assess the effectiveness of the options available to prevent and reduce re-offending. </w:t>
      </w:r>
    </w:p>
    <w:p w14:paraId="5728B8E4" w14:textId="77777777" w:rsidR="00A02E54" w:rsidRDefault="00A02E54" w:rsidP="00A02E54">
      <w:r>
        <w:tab/>
        <w:t xml:space="preserve">The first option readily available to prevent re-offending is legal intervention such as arrest. This is perhaps the most powerful option available to the police to immediately safeguard a victim of crime. Durkheim (1893) concluded that the stricter the legal repercussions the less likely an offender would reoffend. This is echoed in a study conducted by Lawerence and Berk (1984) who investigated the effectiveness of an arrest on the likelihood of an offender to continue to commit domestic violence. The study concluded that those subjects that were arrested for domestic violence were far less likely to reoffend over a six-month period that those who were just given words of advice. </w:t>
      </w:r>
    </w:p>
    <w:p w14:paraId="5049EEE0" w14:textId="77777777" w:rsidR="00A02E54" w:rsidRDefault="00A02E54" w:rsidP="00A02E54">
      <w:pPr>
        <w:ind w:firstLine="720"/>
      </w:pPr>
      <w:r>
        <w:t xml:space="preserve">From this study one could be forgiven in thinking that an arrest is the outright solution to prevent re-offending however, more recent studies have shown that arrest and legal proceedings can in fact have the opposite effect causing offenders to fall further into an offending lifestyle. A study conducted on juveniles (Lawerence &amp; Berk, 1984) </w:t>
      </w:r>
      <w:proofErr w:type="gramStart"/>
      <w:r>
        <w:t>came to the conclusion</w:t>
      </w:r>
      <w:proofErr w:type="gramEnd"/>
      <w:r>
        <w:t xml:space="preserve"> that the more official and formal the legal repercussions and processes were the more likely a juvenile was to reoffend over the following two years. </w:t>
      </w:r>
    </w:p>
    <w:p w14:paraId="3F5DDE5E" w14:textId="77777777" w:rsidR="00A02E54" w:rsidRDefault="00A02E54" w:rsidP="00A02E54">
      <w:r>
        <w:tab/>
        <w:t xml:space="preserve">From this study we can see that the effect of arrest on offending is far more complicated than a simple end. It is clearly based on </w:t>
      </w:r>
      <w:proofErr w:type="gramStart"/>
      <w:r>
        <w:t>a number of</w:t>
      </w:r>
      <w:proofErr w:type="gramEnd"/>
      <w:r>
        <w:t xml:space="preserve"> different factors that are specific to each individual. </w:t>
      </w:r>
    </w:p>
    <w:p w14:paraId="0F289192" w14:textId="77777777" w:rsidR="00A02E54" w:rsidRDefault="00A02E54" w:rsidP="00A02E54">
      <w:r>
        <w:tab/>
        <w:t xml:space="preserve">Another option that can be implemented to help safeguard victims of domestic violence and prevent re-offending is </w:t>
      </w:r>
      <w:proofErr w:type="gramStart"/>
      <w:r>
        <w:t>through the use of</w:t>
      </w:r>
      <w:proofErr w:type="gramEnd"/>
      <w:r>
        <w:t xml:space="preserve"> protection orders. These can be in the form of Non-Molestation Orders, Domestic Violence Protection Orders, and Domestic Violence Protection Notices. In a paper by Russell (2012) they found that between 22% and 70% of all women who had a protection order in place experienced violence and a breach of their order. It is clear from this wide-ranging statistic that the effectiveness of these orders varies greatly in their efficiency at reducing re-</w:t>
      </w:r>
      <w:r>
        <w:lastRenderedPageBreak/>
        <w:t xml:space="preserve">offending rates. Those who do not want to follow the order and have a propensity for violence are very unlikely to follow the restrictions that have been placed on them. This is where the behavioural psychology of the offender </w:t>
      </w:r>
      <w:proofErr w:type="gramStart"/>
      <w:r>
        <w:t>has to</w:t>
      </w:r>
      <w:proofErr w:type="gramEnd"/>
      <w:r>
        <w:t xml:space="preserve"> be addressed and corrected.</w:t>
      </w:r>
    </w:p>
    <w:p w14:paraId="22654437" w14:textId="77777777" w:rsidR="00A02E54" w:rsidRDefault="00A02E54" w:rsidP="00A02E54">
      <w:pPr>
        <w:ind w:firstLine="720"/>
      </w:pPr>
      <w:r>
        <w:t xml:space="preserve">A further option aimed at helping to reduce re-offending in men who domestically abuse their wives is through a more clinical approach. A psychoeducational approach </w:t>
      </w:r>
      <w:r w:rsidRPr="00D30796">
        <w:t xml:space="preserve">(Pence &amp; </w:t>
      </w:r>
      <w:proofErr w:type="spellStart"/>
      <w:r w:rsidRPr="00D30796">
        <w:t>Paymar</w:t>
      </w:r>
      <w:proofErr w:type="spellEnd"/>
      <w:r w:rsidRPr="00D30796">
        <w:t>, 1993)</w:t>
      </w:r>
      <w:r>
        <w:t xml:space="preserve">. One such option is referred to as the ‘Duluth Model’. The theory behind this approach is that domestic violence is primarily caused by the patriarchal society that is evident in everyday life. The social norms that have been allowed to exist allow men to exercise their control and power over women (Babcock, 2004). The aim of this intervention is to move men away from feelings of control, </w:t>
      </w:r>
      <w:proofErr w:type="gramStart"/>
      <w:r>
        <w:t>anger</w:t>
      </w:r>
      <w:proofErr w:type="gramEnd"/>
      <w:r>
        <w:t xml:space="preserve"> and violence into feelings of equality. This is done through group sessions and conversations over </w:t>
      </w:r>
      <w:proofErr w:type="gramStart"/>
      <w:r>
        <w:t>a period of time</w:t>
      </w:r>
      <w:proofErr w:type="gramEnd"/>
      <w:r>
        <w:t xml:space="preserve">. A similar treatment used is cognitive behavioural therapy (CBT), this treatment aims to address the learned behaviour of violence that domestic violence perpetrators have developed and overcome it. These types of treatments according to Rosenfeld (1992) have not proved to be effective in reducing re-offending rates however, with statistics of those engaging with treatment after arrest and those not showing a difference in re-offending rates evident. One such study found that through use of CBT they might end up with 14% less likelihood of reoffending (College of Policing, 2015). Some have suggested that these types of interventions can </w:t>
      </w:r>
      <w:proofErr w:type="gramStart"/>
      <w:r>
        <w:t>actually have</w:t>
      </w:r>
      <w:proofErr w:type="gramEnd"/>
      <w:r>
        <w:t xml:space="preserve"> a negative impact on violence, creating a false sense of security for victims of violence (Babcock,2004)</w:t>
      </w:r>
    </w:p>
    <w:p w14:paraId="21F6B1F9" w14:textId="77777777" w:rsidR="00A02E54" w:rsidRDefault="00A02E54" w:rsidP="00A02E54">
      <w:pPr>
        <w:ind w:firstLine="720"/>
      </w:pPr>
      <w:r>
        <w:t xml:space="preserve">Whilst a study aimed at correcting the behaviours of those domestic violence perpetrators are prevalent, studies have also taken place which aim at reducing these issues before they arise.  A study conducted in 2015 (Hubble et al.,) aimed to address the problem of young offenders and their response to arrest, which was discussed previously. The study looked at improving their own emotional intelligence and recognition emotional responses in others. Over the course of the study 74 young offenders were given a basic intervention program whilst 24 of them were given a course aimed at improving emotional recognition. All juveniles were overseen for the duration of the course which resulted in fewer offences committed over a </w:t>
      </w:r>
      <w:proofErr w:type="gramStart"/>
      <w:r>
        <w:t>6 month</w:t>
      </w:r>
      <w:proofErr w:type="gramEnd"/>
      <w:r>
        <w:t xml:space="preserve"> period. However, the 24 that took part in the emotional recognition course showed a reduction in the severity of the crimes that they had previously committed. We can see here </w:t>
      </w:r>
      <w:proofErr w:type="gramStart"/>
      <w:r>
        <w:t>that,</w:t>
      </w:r>
      <w:proofErr w:type="gramEnd"/>
      <w:r>
        <w:t xml:space="preserve"> this intervention has clearly had an effect on the juveniles as they were less likely to commit offences as even less likely to commit the more severe offences. These offences are broadly seen as being more aggressively led and as such a direct correlation can be seen. The complete reduction in offences overall can be explained by the fact that the young offenders were monitored over the 6 months. </w:t>
      </w:r>
    </w:p>
    <w:p w14:paraId="10165595" w14:textId="77777777" w:rsidR="00A02E54" w:rsidRDefault="00A02E54" w:rsidP="00A02E54">
      <w:r>
        <w:tab/>
        <w:t xml:space="preserve">The fact that those observed over a </w:t>
      </w:r>
      <w:proofErr w:type="gramStart"/>
      <w:r>
        <w:t>6 month</w:t>
      </w:r>
      <w:proofErr w:type="gramEnd"/>
      <w:r>
        <w:t xml:space="preserve"> period were able to reduce their offending rates is not unusual. The levels of support received by offenders and the relationships developed between the offenders and their mentors have a direct correlation with reoffending rates (Phoenix and Kelly, 2013). The use of the mentor </w:t>
      </w:r>
      <w:proofErr w:type="gramStart"/>
      <w:r>
        <w:t>is able to</w:t>
      </w:r>
      <w:proofErr w:type="gramEnd"/>
      <w:r>
        <w:t xml:space="preserve"> provide the offenders with a positive role model through trust and mutual respect and thus enables them to see a way out of their cycle and a life without offending (Boulton, 2019).</w:t>
      </w:r>
    </w:p>
    <w:p w14:paraId="43DDEA7A" w14:textId="77777777" w:rsidR="00A02E54" w:rsidRDefault="00A02E54" w:rsidP="00A02E54">
      <w:r>
        <w:tab/>
        <w:t xml:space="preserve">In conclusion, in order to reduce </w:t>
      </w:r>
      <w:proofErr w:type="gramStart"/>
      <w:r>
        <w:t>re-offending</w:t>
      </w:r>
      <w:proofErr w:type="gramEnd"/>
      <w:r>
        <w:t xml:space="preserve"> there is not a one-size-fits-all solution that can be applied to all situations. It requires a multifaceted approach that addresses the complexity of individuals. </w:t>
      </w:r>
      <w:proofErr w:type="gramStart"/>
      <w:r>
        <w:t>It is clear that there</w:t>
      </w:r>
      <w:proofErr w:type="gramEnd"/>
      <w:r>
        <w:t xml:space="preserve"> are many options available to offenders to help prevent them from re-offending. The biggest obstacle to this, however, I believe relies on an offender's desire to change. Even if given the opportunity and enough resources, if an offender does not believe their behaviour to be wrong or in need of changing then they are likely to re-offend. For those willing and wanting to </w:t>
      </w:r>
      <w:r>
        <w:lastRenderedPageBreak/>
        <w:t xml:space="preserve">change there are </w:t>
      </w:r>
      <w:proofErr w:type="gramStart"/>
      <w:r>
        <w:t>a number of</w:t>
      </w:r>
      <w:proofErr w:type="gramEnd"/>
      <w:r>
        <w:t xml:space="preserve"> options that have the potential to rehabilitate offenders and thus promote public safety. </w:t>
      </w:r>
    </w:p>
    <w:p w14:paraId="337930C0" w14:textId="77777777" w:rsidR="00A02E54" w:rsidRDefault="00A02E54" w:rsidP="00A02E54"/>
    <w:p w14:paraId="4B4FF4D7" w14:textId="63B5CDA5" w:rsidR="00A02E54" w:rsidRDefault="00A02E54" w:rsidP="00A02E54">
      <w:r>
        <w:t>WORD COUNT - 10</w:t>
      </w:r>
      <w:r>
        <w:t>78</w:t>
      </w:r>
    </w:p>
    <w:p w14:paraId="5570B3B2" w14:textId="77777777" w:rsidR="00A02E54" w:rsidRDefault="00A02E54" w:rsidP="00A02E54">
      <w:pPr>
        <w:rPr>
          <w:u w:val="single"/>
        </w:rPr>
      </w:pPr>
    </w:p>
    <w:p w14:paraId="5FAA9A77" w14:textId="77777777" w:rsidR="00A02E54" w:rsidRPr="00153F35" w:rsidRDefault="00A02E54" w:rsidP="00A02E54">
      <w:pPr>
        <w:rPr>
          <w:u w:val="single"/>
        </w:rPr>
      </w:pPr>
      <w:r w:rsidRPr="00153F35">
        <w:rPr>
          <w:u w:val="single"/>
        </w:rPr>
        <w:t xml:space="preserve">Bibliography </w:t>
      </w:r>
    </w:p>
    <w:p w14:paraId="2EF4A92A" w14:textId="77777777" w:rsidR="00A02E54" w:rsidRDefault="00A02E54" w:rsidP="00A02E54">
      <w:r w:rsidRPr="00642866">
        <w:t xml:space="preserve">Babcock, J.C., Green, C.E. and </w:t>
      </w:r>
      <w:proofErr w:type="spellStart"/>
      <w:r w:rsidRPr="00642866">
        <w:t>Robie</w:t>
      </w:r>
      <w:proofErr w:type="spellEnd"/>
      <w:r w:rsidRPr="00642866">
        <w:t xml:space="preserve">, C. (2004). </w:t>
      </w:r>
      <w:r w:rsidRPr="007B1110">
        <w:rPr>
          <w:i/>
          <w:iCs/>
        </w:rPr>
        <w:t>Does batterers’ treatment work? A meta-analytic review of domestic violence treatment.</w:t>
      </w:r>
      <w:r w:rsidRPr="00642866">
        <w:t xml:space="preserve"> Clinical Psychology Review, 23(8), pp.1023–1053. </w:t>
      </w:r>
      <w:proofErr w:type="spellStart"/>
      <w:proofErr w:type="gramStart"/>
      <w:r w:rsidRPr="00642866">
        <w:t>doi:https</w:t>
      </w:r>
      <w:proofErr w:type="spellEnd"/>
      <w:r w:rsidRPr="00642866">
        <w:t>://doi.org/10.1016/j.cpr.2002.07.001</w:t>
      </w:r>
      <w:proofErr w:type="gramEnd"/>
      <w:r w:rsidRPr="00642866">
        <w:t>.</w:t>
      </w:r>
    </w:p>
    <w:p w14:paraId="7B0A733E" w14:textId="77777777" w:rsidR="00A02E54" w:rsidRDefault="00A02E54" w:rsidP="00A02E54">
      <w:r w:rsidRPr="007B1110">
        <w:t xml:space="preserve">BOULTON, L.J., PHYTHIAN, R. and KIRBY, S., 2019. </w:t>
      </w:r>
      <w:r w:rsidRPr="007B1110">
        <w:rPr>
          <w:i/>
          <w:iCs/>
        </w:rPr>
        <w:t>Diverting young men from gangs: a qualitative evaluation</w:t>
      </w:r>
      <w:r w:rsidRPr="007B1110">
        <w:t>. Policing, 42(5), pp. 887-900.</w:t>
      </w:r>
    </w:p>
    <w:p w14:paraId="5AF3FA32" w14:textId="77777777" w:rsidR="00A02E54" w:rsidRDefault="00A02E54" w:rsidP="00A02E54">
      <w:r w:rsidRPr="00873F82">
        <w:t xml:space="preserve">College of Policing (2015). </w:t>
      </w:r>
      <w:r w:rsidRPr="007B1110">
        <w:rPr>
          <w:i/>
          <w:iCs/>
        </w:rPr>
        <w:t>Cognitive Behavioural Therapy (CBT) for Domestic Violence.</w:t>
      </w:r>
      <w:r w:rsidRPr="00873F82">
        <w:t xml:space="preserve"> [online] College of Policing. Available at: </w:t>
      </w:r>
      <w:hyperlink r:id="rId8" w:history="1">
        <w:r w:rsidRPr="00861F44">
          <w:rPr>
            <w:rStyle w:val="Hyperlink"/>
          </w:rPr>
          <w:t>https://www.college.police.uk/research/crime-reduction-toolkit/cbt-domestic-violence</w:t>
        </w:r>
      </w:hyperlink>
      <w:r w:rsidRPr="00873F82">
        <w:t>.</w:t>
      </w:r>
    </w:p>
    <w:p w14:paraId="5CD246ED" w14:textId="77777777" w:rsidR="00A02E54" w:rsidRPr="009B0092" w:rsidRDefault="00A02E54" w:rsidP="00A02E54">
      <w:r w:rsidRPr="00A248D6">
        <w:t xml:space="preserve">Cordier, R., Chung, D., Wilkes-Gillan, S., &amp; Speyer, R. (2021). </w:t>
      </w:r>
      <w:r w:rsidRPr="007B1110">
        <w:rPr>
          <w:i/>
          <w:iCs/>
        </w:rPr>
        <w:t>The Effectiveness of Protection Orders in Reducing Recidivism in Domestic Violence: A Systematic Review and Meta-Analysis. Trauma, Violence, &amp; Abuse</w:t>
      </w:r>
      <w:r w:rsidRPr="00A248D6">
        <w:t>, 22(4), 804-828. https://doi.org/10.1177/1524838019882361</w:t>
      </w:r>
    </w:p>
    <w:p w14:paraId="09F7C81E" w14:textId="77777777" w:rsidR="00A02E54" w:rsidRDefault="00A02E54" w:rsidP="00A02E54">
      <w:r w:rsidRPr="00C965F6">
        <w:t>Durkheim, Emile [1893] Selected Writings. Edited with an Intro- 1972 duction by Anthony Giddens. [Selection from Division of Labor in Society, 6th edition, 1960 (1893)] Cambridge: Cambridge University Press.</w:t>
      </w:r>
    </w:p>
    <w:p w14:paraId="01C4EE76" w14:textId="77777777" w:rsidR="00A02E54" w:rsidRDefault="00A02E54" w:rsidP="00A02E54">
      <w:r>
        <w:t xml:space="preserve">Hubble K, Bowen KL, Moore SC, van </w:t>
      </w:r>
      <w:proofErr w:type="spellStart"/>
      <w:r>
        <w:t>Goozen</w:t>
      </w:r>
      <w:proofErr w:type="spellEnd"/>
      <w:r>
        <w:t xml:space="preserve"> SHM (2015) </w:t>
      </w:r>
      <w:r w:rsidRPr="007B1110">
        <w:rPr>
          <w:i/>
          <w:iCs/>
        </w:rPr>
        <w:t>Improving Negative Emotion Recognition in Young Offenders Reduces Subsequent Crime</w:t>
      </w:r>
      <w:r>
        <w:t xml:space="preserve">. </w:t>
      </w:r>
      <w:proofErr w:type="spellStart"/>
      <w:r>
        <w:t>PLoS</w:t>
      </w:r>
      <w:proofErr w:type="spellEnd"/>
      <w:r>
        <w:t xml:space="preserve"> ONE 10(6): e0132035. </w:t>
      </w:r>
      <w:proofErr w:type="gramStart"/>
      <w:r>
        <w:t>doi:10.1371/journal.pone</w:t>
      </w:r>
      <w:proofErr w:type="gramEnd"/>
      <w:r>
        <w:t>.0132035</w:t>
      </w:r>
    </w:p>
    <w:p w14:paraId="7AFCC3E2" w14:textId="77777777" w:rsidR="00A02E54" w:rsidRDefault="00A02E54" w:rsidP="00A02E54">
      <w:r w:rsidRPr="00642866">
        <w:t xml:space="preserve">Pence, E. and </w:t>
      </w:r>
      <w:proofErr w:type="spellStart"/>
      <w:r w:rsidRPr="00642866">
        <w:t>Paymar</w:t>
      </w:r>
      <w:proofErr w:type="spellEnd"/>
      <w:r w:rsidRPr="00642866">
        <w:t xml:space="preserve">, M. (1993). </w:t>
      </w:r>
      <w:r w:rsidRPr="007B1110">
        <w:rPr>
          <w:i/>
          <w:iCs/>
        </w:rPr>
        <w:t xml:space="preserve">Education groups for men who </w:t>
      </w:r>
      <w:proofErr w:type="gramStart"/>
      <w:r w:rsidRPr="007B1110">
        <w:rPr>
          <w:i/>
          <w:iCs/>
        </w:rPr>
        <w:t>batter :</w:t>
      </w:r>
      <w:proofErr w:type="gramEnd"/>
      <w:r w:rsidRPr="007B1110">
        <w:rPr>
          <w:i/>
          <w:iCs/>
        </w:rPr>
        <w:t xml:space="preserve"> The Duluth model</w:t>
      </w:r>
      <w:r w:rsidRPr="00642866">
        <w:t>. New York: Springer, Cop.</w:t>
      </w:r>
    </w:p>
    <w:p w14:paraId="4DF3BCF3" w14:textId="77777777" w:rsidR="00A02E54" w:rsidRDefault="00A02E54" w:rsidP="00A02E54">
      <w:r w:rsidRPr="007B1110">
        <w:t xml:space="preserve">Phoenix, </w:t>
      </w:r>
      <w:proofErr w:type="gramStart"/>
      <w:r w:rsidRPr="007B1110">
        <w:t>JO</w:t>
      </w:r>
      <w:proofErr w:type="gramEnd"/>
      <w:r w:rsidRPr="007B1110">
        <w:t xml:space="preserve"> and Laura Kelly. </w:t>
      </w:r>
      <w:r>
        <w:t>“</w:t>
      </w:r>
      <w:r w:rsidRPr="007B1110">
        <w:rPr>
          <w:i/>
          <w:iCs/>
        </w:rPr>
        <w:t xml:space="preserve">You Have to do it for Yourself’ </w:t>
      </w:r>
      <w:proofErr w:type="spellStart"/>
      <w:r w:rsidRPr="007B1110">
        <w:rPr>
          <w:i/>
          <w:iCs/>
        </w:rPr>
        <w:t>Responsibilization</w:t>
      </w:r>
      <w:proofErr w:type="spellEnd"/>
      <w:r w:rsidRPr="007B1110">
        <w:rPr>
          <w:i/>
          <w:iCs/>
        </w:rPr>
        <w:t xml:space="preserve"> in Youth Justice and Young People’s Situated Knowledge of Youth Justice Practice</w:t>
      </w:r>
      <w:r w:rsidRPr="007B1110">
        <w:t>.” British Journal of Criminology 53 (2013): 419-437.</w:t>
      </w:r>
    </w:p>
    <w:p w14:paraId="1AA48CD2" w14:textId="77777777" w:rsidR="00A02E54" w:rsidRDefault="00A02E54" w:rsidP="00A02E54">
      <w:r w:rsidRPr="00442FFC">
        <w:t xml:space="preserve">Rosenfeld, B.D. (1992). </w:t>
      </w:r>
      <w:r w:rsidRPr="007B1110">
        <w:rPr>
          <w:i/>
          <w:iCs/>
        </w:rPr>
        <w:t>Court-ordered treatment of spouse abuse</w:t>
      </w:r>
      <w:r w:rsidRPr="00442FFC">
        <w:t xml:space="preserve">. Clinical Psychology Review, 12(2), pp.205–226. </w:t>
      </w:r>
      <w:proofErr w:type="spellStart"/>
      <w:proofErr w:type="gramStart"/>
      <w:r w:rsidRPr="00442FFC">
        <w:t>doi:https</w:t>
      </w:r>
      <w:proofErr w:type="spellEnd"/>
      <w:r w:rsidRPr="00442FFC">
        <w:t>://doi.org/10.1016/0272-7358(92)90115-o</w:t>
      </w:r>
      <w:proofErr w:type="gramEnd"/>
      <w:r w:rsidRPr="00442FFC">
        <w:t>.</w:t>
      </w:r>
    </w:p>
    <w:p w14:paraId="35BB2643" w14:textId="77777777" w:rsidR="00A02E54" w:rsidRDefault="00A02E54" w:rsidP="00A02E54">
      <w:r w:rsidRPr="00A248D6">
        <w:t xml:space="preserve">Russell B. (2012). </w:t>
      </w:r>
      <w:r w:rsidRPr="007B1110">
        <w:rPr>
          <w:i/>
          <w:iCs/>
        </w:rPr>
        <w:t xml:space="preserve">Effectiveness, victim safety, </w:t>
      </w:r>
      <w:proofErr w:type="gramStart"/>
      <w:r w:rsidRPr="007B1110">
        <w:rPr>
          <w:i/>
          <w:iCs/>
        </w:rPr>
        <w:t>characteristics</w:t>
      </w:r>
      <w:proofErr w:type="gramEnd"/>
      <w:r w:rsidRPr="007B1110">
        <w:rPr>
          <w:i/>
          <w:iCs/>
        </w:rPr>
        <w:t xml:space="preserve"> and enforcement of protective orders</w:t>
      </w:r>
      <w:r w:rsidRPr="00A248D6">
        <w:t>. Partner Abuse, 3, 531–552. doi:10.1891/1946-6560.3.4.531</w:t>
      </w:r>
    </w:p>
    <w:p w14:paraId="67B7A73D" w14:textId="77777777" w:rsidR="00A02E54" w:rsidRDefault="00A02E54" w:rsidP="00A02E54">
      <w:r w:rsidRPr="007B1110">
        <w:t>Sherman, Lawrence W., and Richard A. Berk. “</w:t>
      </w:r>
      <w:r w:rsidRPr="007B1110">
        <w:rPr>
          <w:i/>
          <w:iCs/>
        </w:rPr>
        <w:t>The Specific Deterrent Effects of Arrest for Domestic Assault</w:t>
      </w:r>
      <w:r w:rsidRPr="007B1110">
        <w:t>.” American Sociological Review, vol. 49, no. 2, 1984, pp. 261–72. JSTOR, https://doi.org/10.2307/2095575. Accessed 20 Feb. 2024.</w:t>
      </w:r>
    </w:p>
    <w:p w14:paraId="56E10DBF" w14:textId="77777777" w:rsidR="00A02E54" w:rsidRDefault="00A02E54" w:rsidP="00D755BD">
      <w:pPr>
        <w:pStyle w:val="Default"/>
        <w:rPr>
          <w:b/>
          <w:bCs/>
          <w:sz w:val="22"/>
          <w:szCs w:val="22"/>
        </w:rPr>
      </w:pPr>
    </w:p>
    <w:p w14:paraId="310CB0E2" w14:textId="77777777" w:rsidR="00A02E54" w:rsidRDefault="00A02E54" w:rsidP="00D755BD">
      <w:pPr>
        <w:pStyle w:val="Default"/>
        <w:rPr>
          <w:b/>
          <w:bCs/>
          <w:sz w:val="22"/>
          <w:szCs w:val="22"/>
        </w:rPr>
      </w:pPr>
    </w:p>
    <w:p w14:paraId="17EC803F" w14:textId="77777777" w:rsidR="00A02E54" w:rsidRDefault="00A02E54" w:rsidP="00D755BD">
      <w:pPr>
        <w:pStyle w:val="Default"/>
        <w:rPr>
          <w:b/>
          <w:bCs/>
          <w:sz w:val="22"/>
          <w:szCs w:val="22"/>
        </w:rPr>
      </w:pPr>
    </w:p>
    <w:p w14:paraId="21F5AFB2" w14:textId="77777777" w:rsidR="00A02E54" w:rsidRDefault="00A02E54" w:rsidP="00D755BD">
      <w:pPr>
        <w:pStyle w:val="Default"/>
        <w:rPr>
          <w:b/>
          <w:bCs/>
          <w:sz w:val="22"/>
          <w:szCs w:val="22"/>
        </w:rPr>
      </w:pPr>
    </w:p>
    <w:p w14:paraId="714B949F" w14:textId="77777777" w:rsidR="00A02E54" w:rsidRDefault="00A02E54" w:rsidP="00D755BD">
      <w:pPr>
        <w:pStyle w:val="Default"/>
        <w:rPr>
          <w:b/>
          <w:bCs/>
          <w:sz w:val="22"/>
          <w:szCs w:val="22"/>
        </w:rPr>
      </w:pPr>
    </w:p>
    <w:p w14:paraId="1A82BBDC" w14:textId="77777777" w:rsidR="00A02E54" w:rsidRDefault="00A02E54" w:rsidP="00D755BD">
      <w:pPr>
        <w:pStyle w:val="Default"/>
        <w:rPr>
          <w:b/>
          <w:bCs/>
          <w:sz w:val="22"/>
          <w:szCs w:val="22"/>
        </w:rPr>
      </w:pPr>
    </w:p>
    <w:p w14:paraId="1F60E358" w14:textId="77777777" w:rsidR="00A02E54" w:rsidRDefault="00A02E54" w:rsidP="00D755BD">
      <w:pPr>
        <w:pStyle w:val="Default"/>
        <w:rPr>
          <w:b/>
          <w:bCs/>
          <w:sz w:val="22"/>
          <w:szCs w:val="22"/>
        </w:rPr>
      </w:pPr>
    </w:p>
    <w:p w14:paraId="5667307A" w14:textId="77777777" w:rsidR="00A02E54" w:rsidRDefault="00A02E54" w:rsidP="00D755BD">
      <w:pPr>
        <w:pStyle w:val="Default"/>
        <w:rPr>
          <w:b/>
          <w:bCs/>
          <w:sz w:val="22"/>
          <w:szCs w:val="22"/>
        </w:rPr>
      </w:pPr>
    </w:p>
    <w:p w14:paraId="6B5E6F7E" w14:textId="77777777" w:rsidR="00A02E54" w:rsidRDefault="00A02E54" w:rsidP="00D755BD">
      <w:pPr>
        <w:pStyle w:val="Default"/>
        <w:rPr>
          <w:b/>
          <w:bCs/>
          <w:sz w:val="22"/>
          <w:szCs w:val="22"/>
        </w:rPr>
      </w:pPr>
    </w:p>
    <w:p w14:paraId="7DE55F8D" w14:textId="7A86DDC4" w:rsidR="00D755BD" w:rsidRDefault="00D755BD" w:rsidP="00D755BD">
      <w:pPr>
        <w:pStyle w:val="Default"/>
        <w:rPr>
          <w:sz w:val="22"/>
          <w:szCs w:val="22"/>
        </w:rPr>
      </w:pPr>
      <w:r>
        <w:rPr>
          <w:b/>
          <w:bCs/>
          <w:sz w:val="22"/>
          <w:szCs w:val="22"/>
        </w:rPr>
        <w:t xml:space="preserve">Essay two: </w:t>
      </w:r>
    </w:p>
    <w:p w14:paraId="638F9044" w14:textId="77777777" w:rsidR="00D755BD" w:rsidRDefault="00D755BD" w:rsidP="00D755BD">
      <w:pPr>
        <w:pStyle w:val="Default"/>
        <w:rPr>
          <w:sz w:val="22"/>
          <w:szCs w:val="22"/>
        </w:rPr>
      </w:pPr>
      <w:r>
        <w:rPr>
          <w:sz w:val="22"/>
          <w:szCs w:val="22"/>
        </w:rPr>
        <w:t xml:space="preserve">Choose </w:t>
      </w:r>
      <w:r>
        <w:rPr>
          <w:b/>
          <w:bCs/>
          <w:sz w:val="22"/>
          <w:szCs w:val="22"/>
        </w:rPr>
        <w:t xml:space="preserve">one </w:t>
      </w:r>
      <w:r>
        <w:rPr>
          <w:sz w:val="22"/>
          <w:szCs w:val="22"/>
        </w:rPr>
        <w:t xml:space="preserve">of the following questions: </w:t>
      </w:r>
    </w:p>
    <w:p w14:paraId="159E7E36" w14:textId="77777777" w:rsidR="00D755BD" w:rsidRDefault="00D755BD" w:rsidP="00D755BD">
      <w:pPr>
        <w:pStyle w:val="Default"/>
        <w:rPr>
          <w:sz w:val="22"/>
          <w:szCs w:val="22"/>
        </w:rPr>
      </w:pPr>
      <w:r>
        <w:rPr>
          <w:sz w:val="22"/>
          <w:szCs w:val="22"/>
        </w:rPr>
        <w:t xml:space="preserve">• </w:t>
      </w:r>
      <w:r>
        <w:rPr>
          <w:b/>
          <w:bCs/>
          <w:sz w:val="22"/>
          <w:szCs w:val="22"/>
        </w:rPr>
        <w:t xml:space="preserve">Response policing </w:t>
      </w:r>
      <w:r>
        <w:rPr>
          <w:sz w:val="22"/>
          <w:szCs w:val="22"/>
        </w:rPr>
        <w:t xml:space="preserve">– Assess the extent of response officers’ role in dealing with critical and major incidents. </w:t>
      </w:r>
    </w:p>
    <w:p w14:paraId="6EFD7AB0" w14:textId="75C1F267" w:rsidR="00D755BD" w:rsidRDefault="00D755BD" w:rsidP="00D755BD">
      <w:pPr>
        <w:pStyle w:val="Default"/>
        <w:rPr>
          <w:sz w:val="22"/>
          <w:szCs w:val="22"/>
        </w:rPr>
      </w:pPr>
    </w:p>
    <w:p w14:paraId="6F15D733" w14:textId="0D58AD0C" w:rsidR="00D755BD" w:rsidRDefault="00D755BD" w:rsidP="00D755BD">
      <w:pPr>
        <w:rPr>
          <w:b/>
          <w:bCs/>
        </w:rPr>
      </w:pPr>
      <w:r>
        <w:rPr>
          <w:b/>
          <w:bCs/>
        </w:rPr>
        <w:t xml:space="preserve">Word limit: </w:t>
      </w:r>
      <w:r>
        <w:t>1000 words.</w:t>
      </w:r>
    </w:p>
    <w:p w14:paraId="432077D6" w14:textId="42143C8B" w:rsidR="00D755BD" w:rsidRDefault="00D755BD">
      <w:r>
        <w:rPr>
          <w:b/>
          <w:bCs/>
        </w:rPr>
        <w:tab/>
      </w:r>
      <w:r>
        <w:t xml:space="preserve">Response officers play a crucial role in maintaining public order, ensuring safety, and addressing various incidents including critical and major incidents. Their responsibilities are diverse and multifaceted, requiring a balance of immediate action and strategic planning. </w:t>
      </w:r>
      <w:r w:rsidR="00B9396E">
        <w:t>This essay</w:t>
      </w:r>
      <w:r>
        <w:t xml:space="preserve"> aims to assess the extent of their roles and evaluate the effectiveness in </w:t>
      </w:r>
      <w:r w:rsidR="00F13875">
        <w:t xml:space="preserve">dealing with critical and major incidents. </w:t>
      </w:r>
    </w:p>
    <w:p w14:paraId="6A44E841" w14:textId="026CA746" w:rsidR="00B9396E" w:rsidRDefault="00B9396E">
      <w:r>
        <w:tab/>
        <w:t>Response officers are typically the first responders to emergencies and incidents</w:t>
      </w:r>
      <w:r w:rsidR="00831CBF">
        <w:t>. Their main duties revolve around responding to 999 calls, maintaining public order, investigating crimes</w:t>
      </w:r>
      <w:r w:rsidR="004D4B92">
        <w:t>,</w:t>
      </w:r>
      <w:r w:rsidR="00831CBF">
        <w:t xml:space="preserve"> as well as providing reassurance and support to the public</w:t>
      </w:r>
      <w:r w:rsidR="004D4B92">
        <w:t>,</w:t>
      </w:r>
      <w:r w:rsidR="00831CBF">
        <w:t xml:space="preserve"> bot</w:t>
      </w:r>
      <w:r w:rsidR="004D4B92">
        <w:t>h</w:t>
      </w:r>
      <w:r w:rsidR="00831CBF">
        <w:t xml:space="preserve"> as victims and subjects. </w:t>
      </w:r>
    </w:p>
    <w:p w14:paraId="5056CBC9" w14:textId="6A53D471" w:rsidR="002345BC" w:rsidRDefault="002345BC">
      <w:r>
        <w:tab/>
        <w:t xml:space="preserve">The College of Policing defines a critical incident as </w:t>
      </w:r>
      <w:r w:rsidRPr="002345BC">
        <w:t>“any incident where the effectiveness of the police response is likely to have a significant impact on the confidence of the victim, their family and/or the community” (2013)</w:t>
      </w:r>
      <w:r>
        <w:t xml:space="preserve">. After the tragic death of Stephen Lawrence in </w:t>
      </w:r>
      <w:r w:rsidR="00F7668C">
        <w:t>1993 and the subsequent report by Macpherson that followed</w:t>
      </w:r>
      <w:r w:rsidR="00E108F5">
        <w:t>,</w:t>
      </w:r>
      <w:r w:rsidR="00F7668C">
        <w:t xml:space="preserve"> the Metropolitan Police recognised that</w:t>
      </w:r>
      <w:r w:rsidR="00E108F5">
        <w:t>,</w:t>
      </w:r>
      <w:r w:rsidR="00F7668C">
        <w:t xml:space="preserve"> although critical incidents can be managed as effectively and as </w:t>
      </w:r>
      <w:r w:rsidR="009F7F37">
        <w:t>faultlessly</w:t>
      </w:r>
      <w:r w:rsidR="00F7668C">
        <w:t xml:space="preserve"> as possible</w:t>
      </w:r>
      <w:r w:rsidR="009F7F37">
        <w:t>,</w:t>
      </w:r>
      <w:r w:rsidR="00F7668C">
        <w:t xml:space="preserve"> the</w:t>
      </w:r>
      <w:r w:rsidR="009F7F37">
        <w:t>re</w:t>
      </w:r>
      <w:r w:rsidR="00F7668C">
        <w:t xml:space="preserve"> can still be a negative public perception</w:t>
      </w:r>
      <w:r w:rsidR="009F7F37">
        <w:t>,</w:t>
      </w:r>
      <w:r w:rsidR="00F7668C">
        <w:t xml:space="preserve"> as well as effect on </w:t>
      </w:r>
      <w:r w:rsidR="00171206">
        <w:t>them</w:t>
      </w:r>
      <w:r w:rsidR="00F7668C">
        <w:t xml:space="preserve">.  </w:t>
      </w:r>
    </w:p>
    <w:p w14:paraId="6357B79A" w14:textId="62458D5C" w:rsidR="002345BC" w:rsidRDefault="0005260F">
      <w:r>
        <w:tab/>
        <w:t xml:space="preserve">Due to </w:t>
      </w:r>
      <w:r w:rsidR="00D721C9">
        <w:t xml:space="preserve">differing </w:t>
      </w:r>
      <w:r>
        <w:t>potential response</w:t>
      </w:r>
      <w:r w:rsidR="00D721C9">
        <w:t>s of the police</w:t>
      </w:r>
      <w:r w:rsidR="0043776C">
        <w:t>, they</w:t>
      </w:r>
      <w:r>
        <w:t xml:space="preserve"> have adopted the Critical Incident Management </w:t>
      </w:r>
      <w:r w:rsidR="006B5B35">
        <w:t xml:space="preserve">approach. This </w:t>
      </w:r>
      <w:r w:rsidR="003B7A85">
        <w:t>three</w:t>
      </w:r>
      <w:r w:rsidR="00171206">
        <w:t>-</w:t>
      </w:r>
      <w:r w:rsidR="003B7A85">
        <w:t>step</w:t>
      </w:r>
      <w:r w:rsidR="006B5B35">
        <w:t xml:space="preserve"> process aims to ensure the incident is managed not only effectively but also </w:t>
      </w:r>
      <w:r w:rsidR="00B87C36">
        <w:t>ensure</w:t>
      </w:r>
      <w:r w:rsidR="006B5B35">
        <w:t xml:space="preserve"> that </w:t>
      </w:r>
      <w:r w:rsidR="00047140">
        <w:t xml:space="preserve">the needs of the families and public are also managed (College of Policing, 2013). These three stages are based around preparing for the incident, managing the </w:t>
      </w:r>
      <w:r w:rsidR="003B7A85">
        <w:t>incident,</w:t>
      </w:r>
      <w:r w:rsidR="00047140">
        <w:t xml:space="preserve"> and then restoring the confidence of the public. </w:t>
      </w:r>
    </w:p>
    <w:p w14:paraId="60399804" w14:textId="71488228" w:rsidR="00663C7E" w:rsidRDefault="00663C7E">
      <w:r>
        <w:tab/>
        <w:t>The preparation stage ensures that</w:t>
      </w:r>
      <w:r w:rsidR="00B87C36">
        <w:t>,</w:t>
      </w:r>
      <w:r>
        <w:t xml:space="preserve"> even before a critical incident occurs</w:t>
      </w:r>
      <w:r w:rsidR="00CF3475">
        <w:t>,</w:t>
      </w:r>
      <w:r>
        <w:t xml:space="preserve"> response officers are adequately trained to deal with a range of situations that can arise. The College of Policing provides extensive training programs focused on critical incident management, public </w:t>
      </w:r>
      <w:proofErr w:type="gramStart"/>
      <w:r>
        <w:t>order</w:t>
      </w:r>
      <w:proofErr w:type="gramEnd"/>
      <w:r>
        <w:t xml:space="preserve"> and major incident responses. These training programs are aimed at ensuring officers have the necessary skills and knowledge for whe</w:t>
      </w:r>
      <w:r w:rsidR="00BC3D83">
        <w:t>n</w:t>
      </w:r>
      <w:r w:rsidR="00CF3475">
        <w:t xml:space="preserve"> </w:t>
      </w:r>
      <w:r>
        <w:t xml:space="preserve">incidents occur. </w:t>
      </w:r>
    </w:p>
    <w:p w14:paraId="145E8F59" w14:textId="69868B85" w:rsidR="00663C7E" w:rsidRDefault="00663C7E">
      <w:r>
        <w:tab/>
      </w:r>
      <w:r w:rsidR="0041684F">
        <w:t>The second stage involves recognising when a critical incident is occurring</w:t>
      </w:r>
      <w:r w:rsidR="00823820">
        <w:t>,</w:t>
      </w:r>
      <w:r w:rsidR="0041684F">
        <w:t xml:space="preserve"> and ensuring the </w:t>
      </w:r>
      <w:r w:rsidR="00823820">
        <w:t>most suitable skilled</w:t>
      </w:r>
      <w:r w:rsidR="0041684F">
        <w:t xml:space="preserve"> people are attending</w:t>
      </w:r>
      <w:r w:rsidR="00823820">
        <w:t>,</w:t>
      </w:r>
      <w:r w:rsidR="0041684F">
        <w:t xml:space="preserve"> </w:t>
      </w:r>
      <w:r w:rsidR="00BC3D83">
        <w:t>to</w:t>
      </w:r>
      <w:r w:rsidR="0041684F">
        <w:t xml:space="preserve"> </w:t>
      </w:r>
      <w:r w:rsidR="00BC59D7">
        <w:t>guarantee</w:t>
      </w:r>
      <w:r w:rsidR="0041684F">
        <w:t xml:space="preserve"> it is managed as best as it can be. </w:t>
      </w:r>
    </w:p>
    <w:p w14:paraId="5EC1F716" w14:textId="71DEF0E2" w:rsidR="0041684F" w:rsidRDefault="0041684F">
      <w:r>
        <w:tab/>
        <w:t xml:space="preserve">The third and final stage revolves around restoring public confidence in cases where perhaps the critical incident was not initially recognised. In these </w:t>
      </w:r>
      <w:r w:rsidR="00BC59D7">
        <w:t>cases,</w:t>
      </w:r>
      <w:r>
        <w:t xml:space="preserve"> it is imperative that public perception and confidence is maintained and restored if needed. </w:t>
      </w:r>
    </w:p>
    <w:p w14:paraId="7CD7CE2E" w14:textId="4D38113C" w:rsidR="00047140" w:rsidRDefault="003B7A85">
      <w:r>
        <w:tab/>
      </w:r>
      <w:r w:rsidR="00153F35">
        <w:t xml:space="preserve">A major incident is defined by the College of Policing (2018) as an incident that usually involves </w:t>
      </w:r>
      <w:proofErr w:type="gramStart"/>
      <w:r w:rsidR="00153F35">
        <w:t>a large number of</w:t>
      </w:r>
      <w:proofErr w:type="gramEnd"/>
      <w:r w:rsidR="00153F35">
        <w:t xml:space="preserve"> people as well as involving one or more of the emergency services under one major incident plan.</w:t>
      </w:r>
    </w:p>
    <w:p w14:paraId="5163CE20" w14:textId="478CF183" w:rsidR="00153F35" w:rsidRDefault="00153F35">
      <w:r>
        <w:lastRenderedPageBreak/>
        <w:tab/>
        <w:t xml:space="preserve">Upon attendance at an incident that an </w:t>
      </w:r>
      <w:proofErr w:type="gramStart"/>
      <w:r>
        <w:t>officer feels</w:t>
      </w:r>
      <w:proofErr w:type="gramEnd"/>
      <w:r>
        <w:t xml:space="preserve"> </w:t>
      </w:r>
      <w:r w:rsidR="00160587">
        <w:t>is or</w:t>
      </w:r>
      <w:r>
        <w:t xml:space="preserve"> has the potential to develop into a major incident, communication is key </w:t>
      </w:r>
      <w:r w:rsidR="005D0D58">
        <w:t>to</w:t>
      </w:r>
      <w:r>
        <w:t xml:space="preserve"> enabling all relevant services understand exactly what is going on. </w:t>
      </w:r>
      <w:proofErr w:type="gramStart"/>
      <w:r>
        <w:t>In order to</w:t>
      </w:r>
      <w:proofErr w:type="gramEnd"/>
      <w:r>
        <w:t xml:space="preserve"> convey this information effectively the mnemonic </w:t>
      </w:r>
      <w:r w:rsidR="005D0D58">
        <w:t>‘</w:t>
      </w:r>
      <w:r>
        <w:t>METHANE</w:t>
      </w:r>
      <w:r w:rsidR="005D0D58">
        <w:t>’</w:t>
      </w:r>
      <w:r>
        <w:t xml:space="preserve"> is used. Firstly ‘M’ is to declare that a major incident has, is</w:t>
      </w:r>
      <w:r w:rsidR="00BD32E2">
        <w:t>,</w:t>
      </w:r>
      <w:r>
        <w:t xml:space="preserve"> or is going to occur. ‘E’ is to convey the exact location of the incident</w:t>
      </w:r>
      <w:r w:rsidR="00BD32E2">
        <w:t>,</w:t>
      </w:r>
      <w:r>
        <w:t xml:space="preserve"> ensuring directions are as precise as possible. ‘T’ is to explain the exact type of incident that is occurring, this could range from a </w:t>
      </w:r>
      <w:r w:rsidR="00387B4C">
        <w:t>large-scale</w:t>
      </w:r>
      <w:r>
        <w:t xml:space="preserve"> fire, flooding or even an outbreak of a disease. ‘H’ relies on the officer explaining the different types of hazards that are likely to have an impact o</w:t>
      </w:r>
      <w:r w:rsidR="00387B4C">
        <w:t>n</w:t>
      </w:r>
      <w:r>
        <w:t xml:space="preserve"> the response of the different services. This could relate to things like a block</w:t>
      </w:r>
      <w:r w:rsidR="00387B4C">
        <w:t>ed</w:t>
      </w:r>
      <w:r>
        <w:t xml:space="preserve"> road to a potential possession of weapons</w:t>
      </w:r>
      <w:r w:rsidR="00387B4C">
        <w:t>,</w:t>
      </w:r>
      <w:r>
        <w:t xml:space="preserve"> such as guns or acids. Next comes ‘A’ which relates to the access available to the incident. Are there any hazards or issues that will affect emergency services </w:t>
      </w:r>
      <w:r w:rsidR="00862B83">
        <w:t>accessing</w:t>
      </w:r>
      <w:r>
        <w:t xml:space="preserve"> and leaving the incident</w:t>
      </w:r>
      <w:r w:rsidR="00862B83">
        <w:t>?</w:t>
      </w:r>
      <w:r>
        <w:t xml:space="preserve"> The penultimate part of the mnemonic is ‘N’ which relates to the number of casualties at the scene and then classifying them </w:t>
      </w:r>
      <w:r w:rsidR="00700966">
        <w:t>based</w:t>
      </w:r>
      <w:r>
        <w:t xml:space="preserve"> </w:t>
      </w:r>
      <w:r w:rsidR="00700966">
        <w:t>on</w:t>
      </w:r>
      <w:r>
        <w:t xml:space="preserve"> their injuries. </w:t>
      </w:r>
      <w:r w:rsidR="00700966">
        <w:t>Finally,</w:t>
      </w:r>
      <w:r>
        <w:t xml:space="preserve"> ‘E’ relates to the emergency services that will be required to attend</w:t>
      </w:r>
      <w:r w:rsidR="00700966">
        <w:t xml:space="preserve"> the incidents</w:t>
      </w:r>
      <w:r>
        <w:t xml:space="preserve"> (College of Policing, 2024). </w:t>
      </w:r>
    </w:p>
    <w:p w14:paraId="66E251BF" w14:textId="642CDE21" w:rsidR="00153F35" w:rsidRDefault="00153F35" w:rsidP="00153F35">
      <w:r>
        <w:tab/>
        <w:t xml:space="preserve">An example of a major incident that has </w:t>
      </w:r>
      <w:r w:rsidR="00F07558">
        <w:t>occurred</w:t>
      </w:r>
      <w:r>
        <w:t xml:space="preserve"> in recent years and has required the services of multiple agencies was the fire that ripped through Grenfell Tower in London in 2017</w:t>
      </w:r>
      <w:r w:rsidR="00F07558">
        <w:t>,</w:t>
      </w:r>
      <w:r>
        <w:t xml:space="preserve"> killing 72 people (Bulley &amp; Brasset, 2021). Police, </w:t>
      </w:r>
      <w:r w:rsidR="00F07558">
        <w:t>firefighters,</w:t>
      </w:r>
      <w:r>
        <w:t xml:space="preserve"> and ambulance workers were at the scene for hours with more than 50 people taken to hospital throughout the night (BBC, 2017). This situation involved effective communication from all services ensuring that </w:t>
      </w:r>
      <w:r w:rsidR="00304AFB">
        <w:t>all agencies attending</w:t>
      </w:r>
      <w:r>
        <w:t xml:space="preserve"> knew the dangers, the </w:t>
      </w:r>
      <w:proofErr w:type="gramStart"/>
      <w:r>
        <w:t>risks</w:t>
      </w:r>
      <w:r w:rsidR="007A7721">
        <w:t xml:space="preserve">, </w:t>
      </w:r>
      <w:r>
        <w:t xml:space="preserve"> and</w:t>
      </w:r>
      <w:proofErr w:type="gramEnd"/>
      <w:r>
        <w:t xml:space="preserve"> were aware of the goal</w:t>
      </w:r>
      <w:r w:rsidR="007A7721">
        <w:t>s</w:t>
      </w:r>
      <w:r>
        <w:t xml:space="preserve"> they were trying to achieve. </w:t>
      </w:r>
    </w:p>
    <w:p w14:paraId="6A3ECDFB" w14:textId="60267889" w:rsidR="00153F35" w:rsidRDefault="00153F35" w:rsidP="00153F35">
      <w:r>
        <w:tab/>
        <w:t>A further example of a major incident happened on July 7</w:t>
      </w:r>
      <w:r w:rsidRPr="00153F35">
        <w:rPr>
          <w:vertAlign w:val="superscript"/>
        </w:rPr>
        <w:t>th</w:t>
      </w:r>
      <w:proofErr w:type="gramStart"/>
      <w:r>
        <w:t xml:space="preserve"> 2005</w:t>
      </w:r>
      <w:proofErr w:type="gramEnd"/>
      <w:r>
        <w:t xml:space="preserve"> when four suicide bombers set off explosives in London</w:t>
      </w:r>
      <w:r w:rsidR="007A7721">
        <w:t>,</w:t>
      </w:r>
      <w:r>
        <w:t xml:space="preserve"> killing 52 people and injuri</w:t>
      </w:r>
      <w:r w:rsidR="007A7721">
        <w:t>ng</w:t>
      </w:r>
      <w:r>
        <w:t xml:space="preserve"> </w:t>
      </w:r>
      <w:r w:rsidR="006E5432">
        <w:t>hundreds</w:t>
      </w:r>
      <w:r>
        <w:t xml:space="preserve"> more (R</w:t>
      </w:r>
      <w:r w:rsidRPr="00153F35">
        <w:t xml:space="preserve">odgers, </w:t>
      </w:r>
      <w:proofErr w:type="spellStart"/>
      <w:r w:rsidRPr="00153F35">
        <w:t>Qurashi</w:t>
      </w:r>
      <w:proofErr w:type="spellEnd"/>
      <w:r w:rsidRPr="00153F35">
        <w:t xml:space="preserve"> and Connor, 2015</w:t>
      </w:r>
      <w:r>
        <w:t>). This incident again involved police, ambulance and the fire services all working together to control the aftermath of the incident as best they coul</w:t>
      </w:r>
      <w:r w:rsidR="00D73841">
        <w:t>d</w:t>
      </w:r>
      <w:r w:rsidR="00763809">
        <w:t xml:space="preserve"> to</w:t>
      </w:r>
      <w:r w:rsidR="00D73841">
        <w:t xml:space="preserve"> </w:t>
      </w:r>
      <w:r w:rsidR="0051329C">
        <w:t>ensure</w:t>
      </w:r>
      <w:r w:rsidR="00D73841">
        <w:t xml:space="preserve"> effective communication was occurring throughout.</w:t>
      </w:r>
      <w:r>
        <w:t xml:space="preserve"> </w:t>
      </w:r>
    </w:p>
    <w:p w14:paraId="6D1AF28C" w14:textId="7C55F9DB" w:rsidR="00153F35" w:rsidRDefault="00153F35" w:rsidP="00153F35">
      <w:pPr>
        <w:ind w:firstLine="720"/>
      </w:pPr>
      <w:r>
        <w:t>In conclusion</w:t>
      </w:r>
      <w:r w:rsidR="005F681E">
        <w:t>,</w:t>
      </w:r>
      <w:r>
        <w:t xml:space="preserve"> the role of response officers in dealing with critical and major incidents cannot be understated. It is the role of the response officer to make </w:t>
      </w:r>
      <w:r w:rsidR="005F681E">
        <w:t>the</w:t>
      </w:r>
      <w:r>
        <w:t xml:space="preserve"> initial decision that a critical incident or a major incident is occurring and pass </w:t>
      </w:r>
      <w:r w:rsidR="00C83758">
        <w:t>on</w:t>
      </w:r>
      <w:r>
        <w:t xml:space="preserve"> the information required in the METHANE mnemonic. The effectiveness of this communication is something that can have a dramatic effect on how the incident develops. Without effective and accurate communication</w:t>
      </w:r>
      <w:r w:rsidR="00C83758">
        <w:t>,</w:t>
      </w:r>
      <w:r>
        <w:t xml:space="preserve"> hazards, </w:t>
      </w:r>
      <w:proofErr w:type="gramStart"/>
      <w:r>
        <w:t>risks</w:t>
      </w:r>
      <w:proofErr w:type="gramEnd"/>
      <w:r>
        <w:t xml:space="preserve"> and information cannot be passed over to the other emergency services and as such there is a risk that the other services will not be fully informed</w:t>
      </w:r>
      <w:r w:rsidR="0051329C">
        <w:t xml:space="preserve"> of the dangers at the scene</w:t>
      </w:r>
      <w:r>
        <w:t>.  It is also vital</w:t>
      </w:r>
      <w:r w:rsidR="0051329C">
        <w:t xml:space="preserve"> that</w:t>
      </w:r>
      <w:r>
        <w:t xml:space="preserve"> in these circumstances the emergency services including the initial response officers are also effective at maintaining and restoring public confidence during a critical and major incident. </w:t>
      </w:r>
    </w:p>
    <w:p w14:paraId="7EDA109D" w14:textId="77777777" w:rsidR="00153F35" w:rsidRDefault="00153F35" w:rsidP="00153F35"/>
    <w:p w14:paraId="36868AA1" w14:textId="78D370AF" w:rsidR="00153F35" w:rsidRDefault="00153F35" w:rsidP="00153F35">
      <w:r>
        <w:t>Word Count - 9</w:t>
      </w:r>
      <w:r w:rsidR="00763809">
        <w:t>40</w:t>
      </w:r>
    </w:p>
    <w:p w14:paraId="1AC02588" w14:textId="77777777" w:rsidR="00973E71" w:rsidRDefault="00973E71"/>
    <w:p w14:paraId="2E3A5DBD" w14:textId="23031DB0" w:rsidR="00F13875" w:rsidRPr="00153F35" w:rsidRDefault="00831CBF">
      <w:pPr>
        <w:rPr>
          <w:u w:val="single"/>
        </w:rPr>
      </w:pPr>
      <w:r w:rsidRPr="00153F35">
        <w:rPr>
          <w:u w:val="single"/>
        </w:rPr>
        <w:t xml:space="preserve">Bibliography </w:t>
      </w:r>
    </w:p>
    <w:p w14:paraId="57B954BA" w14:textId="60F84F12" w:rsidR="00153F35" w:rsidRDefault="00153F35">
      <w:r>
        <w:t xml:space="preserve">BBC (2017) </w:t>
      </w:r>
      <w:r w:rsidRPr="00153F35">
        <w:t>‘Amazing’ emergency services work through night at Grenfell Tower fire. BBC News. [online] 14 Jun. Available at: https://www.bbc.co.uk/news/newsbeat-40270546.</w:t>
      </w:r>
    </w:p>
    <w:p w14:paraId="58B6839A" w14:textId="29F05236" w:rsidR="003B7A85" w:rsidRDefault="00153F35">
      <w:r w:rsidRPr="00153F35">
        <w:t xml:space="preserve">Bulley, D., &amp; </w:t>
      </w:r>
      <w:proofErr w:type="spellStart"/>
      <w:r w:rsidRPr="00153F35">
        <w:t>Brassett</w:t>
      </w:r>
      <w:proofErr w:type="spellEnd"/>
      <w:r w:rsidRPr="00153F35">
        <w:t xml:space="preserve">, J. (2021). Everyday ethics of the global event: Grenfell Tower and the politics of responsibility. Globalizations, 18(4), 551–567. </w:t>
      </w:r>
      <w:hyperlink r:id="rId9" w:history="1">
        <w:r w:rsidRPr="005003D4">
          <w:rPr>
            <w:rStyle w:val="Hyperlink"/>
          </w:rPr>
          <w:t>https://doi.org/10.1080/14747731.2020.1798109</w:t>
        </w:r>
      </w:hyperlink>
      <w:r>
        <w:t xml:space="preserve"> </w:t>
      </w:r>
    </w:p>
    <w:p w14:paraId="7AEBABF2" w14:textId="1D14BD5B" w:rsidR="00831CBF" w:rsidRDefault="00831CBF">
      <w:r>
        <w:lastRenderedPageBreak/>
        <w:t>College of Policing</w:t>
      </w:r>
      <w:r w:rsidRPr="00831CBF">
        <w:t xml:space="preserve"> (2013). Introduction and types of critical incidents | College of Policing. [online] Available at: https://www.college.police.uk/app/critical-incident-management/introduction-and-types-critical-incidents?highlight=graded%20response%20system [Accessed 20 May 2024].</w:t>
      </w:r>
      <w:r>
        <w:t xml:space="preserve">  </w:t>
      </w:r>
    </w:p>
    <w:p w14:paraId="38CC0B05" w14:textId="7D0CF374" w:rsidR="00153F35" w:rsidRDefault="00153F35">
      <w:pPr>
        <w:rPr>
          <w:sz w:val="20"/>
          <w:szCs w:val="20"/>
        </w:rPr>
      </w:pPr>
      <w:r w:rsidRPr="00153F35">
        <w:t xml:space="preserve">College of Policing (2018). Definitions. [online] College of Policing. Available at: </w:t>
      </w:r>
      <w:hyperlink r:id="rId10" w:history="1">
        <w:r w:rsidRPr="005003D4">
          <w:rPr>
            <w:rStyle w:val="Hyperlink"/>
          </w:rPr>
          <w:t>https://www.college.police.uk/app/civil-emergencies/disaster-victim-identification/definitions</w:t>
        </w:r>
      </w:hyperlink>
      <w:r w:rsidRPr="00153F35">
        <w:t>.</w:t>
      </w:r>
      <w:r>
        <w:t xml:space="preserve"> </w:t>
      </w:r>
      <w:r>
        <w:rPr>
          <w:sz w:val="20"/>
          <w:szCs w:val="20"/>
        </w:rPr>
        <w:t>[Accessed 20 May 2024]</w:t>
      </w:r>
    </w:p>
    <w:p w14:paraId="2A0DE8AD" w14:textId="518D3EBA" w:rsidR="00153F35" w:rsidRPr="00153F35" w:rsidRDefault="00153F35">
      <w:r w:rsidRPr="00153F35">
        <w:t xml:space="preserve">College of Policing (2024). Response | College of Policing. [online] Available at: </w:t>
      </w:r>
      <w:hyperlink r:id="rId11" w:anchor="methane-e059b494-0e79-4af5-b515-b4615168845b" w:history="1">
        <w:r w:rsidRPr="00153F35">
          <w:rPr>
            <w:rStyle w:val="Hyperlink"/>
          </w:rPr>
          <w:t>https://www.college.police.uk/app/civil-emergencies/civil-contingencies/response#methane-e059b494-0e79-4af5-b515-b4615168845b</w:t>
        </w:r>
      </w:hyperlink>
      <w:r w:rsidRPr="00153F35">
        <w:t>. [Accessed 20 May 2024]</w:t>
      </w:r>
    </w:p>
    <w:p w14:paraId="416A2616" w14:textId="733BFC51" w:rsidR="002345BC" w:rsidRDefault="002345BC" w:rsidP="002345BC">
      <w:pPr>
        <w:pStyle w:val="NormalWeb"/>
        <w:spacing w:before="0" w:beforeAutospacing="0" w:after="0" w:afterAutospacing="0" w:line="360" w:lineRule="atLeast"/>
        <w:rPr>
          <w:rFonts w:ascii="Calibri" w:hAnsi="Calibri" w:cs="Calibri"/>
          <w:color w:val="000000"/>
          <w:sz w:val="22"/>
          <w:szCs w:val="22"/>
        </w:rPr>
      </w:pPr>
      <w:r w:rsidRPr="002345BC">
        <w:rPr>
          <w:rFonts w:asciiTheme="minorHAnsi" w:hAnsiTheme="minorHAnsi" w:cstheme="minorHAnsi"/>
          <w:color w:val="000000"/>
          <w:sz w:val="22"/>
          <w:szCs w:val="22"/>
        </w:rPr>
        <w:t>Home Office (1999). </w:t>
      </w:r>
      <w:r w:rsidRPr="002345BC">
        <w:rPr>
          <w:rFonts w:asciiTheme="minorHAnsi" w:hAnsiTheme="minorHAnsi" w:cstheme="minorHAnsi"/>
          <w:i/>
          <w:iCs/>
          <w:color w:val="000000"/>
          <w:sz w:val="22"/>
          <w:szCs w:val="22"/>
        </w:rPr>
        <w:t>The Stephen Lawrence Inquiry</w:t>
      </w:r>
      <w:r w:rsidRPr="002345BC">
        <w:rPr>
          <w:rFonts w:asciiTheme="minorHAnsi" w:hAnsiTheme="minorHAnsi" w:cstheme="minorHAnsi"/>
          <w:color w:val="000000"/>
          <w:sz w:val="22"/>
          <w:szCs w:val="22"/>
        </w:rPr>
        <w:t xml:space="preserve">. [online] GOV.UK. Available at: </w:t>
      </w:r>
      <w:hyperlink r:id="rId12" w:history="1">
        <w:r w:rsidR="003B7A85" w:rsidRPr="005003D4">
          <w:rPr>
            <w:rStyle w:val="Hyperlink"/>
            <w:rFonts w:asciiTheme="minorHAnsi" w:hAnsiTheme="minorHAnsi" w:cstheme="minorHAnsi"/>
            <w:sz w:val="22"/>
            <w:szCs w:val="22"/>
          </w:rPr>
          <w:t>https://www.</w:t>
        </w:r>
        <w:r w:rsidR="003B7A85" w:rsidRPr="005003D4">
          <w:rPr>
            <w:rStyle w:val="Hyperlink"/>
            <w:rFonts w:ascii="Calibri" w:hAnsi="Calibri" w:cs="Calibri"/>
            <w:sz w:val="22"/>
            <w:szCs w:val="22"/>
          </w:rPr>
          <w:t>gov.uk/government/publications/the-stephen-lawrence-inquiry</w:t>
        </w:r>
      </w:hyperlink>
      <w:r w:rsidRPr="002345BC">
        <w:rPr>
          <w:rFonts w:ascii="Calibri" w:hAnsi="Calibri" w:cs="Calibri"/>
          <w:color w:val="000000"/>
          <w:sz w:val="22"/>
          <w:szCs w:val="22"/>
        </w:rPr>
        <w:t>.</w:t>
      </w:r>
      <w:r w:rsidR="003B7A85">
        <w:rPr>
          <w:rFonts w:ascii="Calibri" w:hAnsi="Calibri" w:cs="Calibri"/>
          <w:color w:val="000000"/>
          <w:sz w:val="22"/>
          <w:szCs w:val="22"/>
        </w:rPr>
        <w:t xml:space="preserve"> </w:t>
      </w:r>
    </w:p>
    <w:p w14:paraId="52FDD59A" w14:textId="77777777" w:rsidR="003B7A85" w:rsidRDefault="003B7A85" w:rsidP="002345BC">
      <w:pPr>
        <w:pStyle w:val="NormalWeb"/>
        <w:spacing w:before="0" w:beforeAutospacing="0" w:after="0" w:afterAutospacing="0" w:line="360" w:lineRule="atLeast"/>
        <w:rPr>
          <w:rFonts w:ascii="Calibri" w:hAnsi="Calibri" w:cs="Calibri"/>
          <w:color w:val="000000"/>
          <w:sz w:val="22"/>
          <w:szCs w:val="22"/>
        </w:rPr>
      </w:pPr>
    </w:p>
    <w:p w14:paraId="289D9D8E" w14:textId="0D0DE24A" w:rsidR="00153F35" w:rsidRDefault="00153F35" w:rsidP="002345BC">
      <w:pPr>
        <w:pStyle w:val="NormalWeb"/>
        <w:spacing w:before="0" w:beforeAutospacing="0" w:after="0" w:afterAutospacing="0" w:line="360" w:lineRule="atLeast"/>
        <w:rPr>
          <w:rFonts w:ascii="Calibri" w:hAnsi="Calibri" w:cs="Calibri"/>
          <w:color w:val="000000"/>
          <w:sz w:val="22"/>
          <w:szCs w:val="22"/>
        </w:rPr>
      </w:pPr>
      <w:r w:rsidRPr="00153F35">
        <w:rPr>
          <w:rFonts w:ascii="Calibri" w:hAnsi="Calibri" w:cs="Calibri"/>
          <w:color w:val="000000"/>
          <w:sz w:val="22"/>
          <w:szCs w:val="22"/>
        </w:rPr>
        <w:t xml:space="preserve">Rodgers, L., </w:t>
      </w:r>
      <w:proofErr w:type="spellStart"/>
      <w:r w:rsidRPr="00153F35">
        <w:rPr>
          <w:rFonts w:ascii="Calibri" w:hAnsi="Calibri" w:cs="Calibri"/>
          <w:color w:val="000000"/>
          <w:sz w:val="22"/>
          <w:szCs w:val="22"/>
        </w:rPr>
        <w:t>Qurashi</w:t>
      </w:r>
      <w:proofErr w:type="spellEnd"/>
      <w:r w:rsidRPr="00153F35">
        <w:rPr>
          <w:rFonts w:ascii="Calibri" w:hAnsi="Calibri" w:cs="Calibri"/>
          <w:color w:val="000000"/>
          <w:sz w:val="22"/>
          <w:szCs w:val="22"/>
        </w:rPr>
        <w:t xml:space="preserve">, S. and Connor, S. (2015). 7 July London bombings: What happened that day? BBC News. [online] 3 Jul. Available at: </w:t>
      </w:r>
      <w:hyperlink r:id="rId13" w:history="1">
        <w:r w:rsidRPr="005003D4">
          <w:rPr>
            <w:rStyle w:val="Hyperlink"/>
            <w:rFonts w:ascii="Calibri" w:hAnsi="Calibri" w:cs="Calibri"/>
            <w:sz w:val="22"/>
            <w:szCs w:val="22"/>
          </w:rPr>
          <w:t>https://www.bbc.co.uk/news/uk-33253598</w:t>
        </w:r>
      </w:hyperlink>
      <w:r w:rsidRPr="00153F35">
        <w:rPr>
          <w:rFonts w:ascii="Calibri" w:hAnsi="Calibri" w:cs="Calibri"/>
          <w:color w:val="000000"/>
          <w:sz w:val="22"/>
          <w:szCs w:val="22"/>
        </w:rPr>
        <w:t>.</w:t>
      </w:r>
      <w:r>
        <w:rPr>
          <w:rFonts w:ascii="Calibri" w:hAnsi="Calibri" w:cs="Calibri"/>
          <w:color w:val="000000"/>
          <w:sz w:val="22"/>
          <w:szCs w:val="22"/>
        </w:rPr>
        <w:t xml:space="preserve"> </w:t>
      </w:r>
    </w:p>
    <w:p w14:paraId="0394D5E9" w14:textId="77777777" w:rsidR="00153F35" w:rsidRDefault="00153F35" w:rsidP="002345BC">
      <w:pPr>
        <w:pStyle w:val="NormalWeb"/>
        <w:spacing w:before="0" w:beforeAutospacing="0" w:after="0" w:afterAutospacing="0" w:line="360" w:lineRule="atLeast"/>
        <w:rPr>
          <w:rFonts w:ascii="Calibri" w:hAnsi="Calibri" w:cs="Calibri"/>
          <w:color w:val="000000"/>
          <w:sz w:val="22"/>
          <w:szCs w:val="22"/>
        </w:rPr>
      </w:pPr>
    </w:p>
    <w:p w14:paraId="14C86070" w14:textId="224FD2C7" w:rsidR="00D755BD" w:rsidRPr="00153F35" w:rsidRDefault="00153F35">
      <w:pPr>
        <w:rPr>
          <w:rFonts w:cstheme="minorHAnsi"/>
          <w:b/>
          <w:bCs/>
        </w:rPr>
      </w:pPr>
      <w:proofErr w:type="spellStart"/>
      <w:r w:rsidRPr="00153F35">
        <w:rPr>
          <w:rFonts w:eastAsia="Times New Roman" w:cstheme="minorHAnsi"/>
          <w:color w:val="000000"/>
          <w:kern w:val="0"/>
          <w:lang w:eastAsia="en-GB"/>
          <w14:ligatures w14:val="none"/>
        </w:rPr>
        <w:t>Roycroft</w:t>
      </w:r>
      <w:proofErr w:type="spellEnd"/>
      <w:r w:rsidRPr="00153F35">
        <w:rPr>
          <w:rFonts w:eastAsia="Times New Roman" w:cstheme="minorHAnsi"/>
          <w:color w:val="000000"/>
          <w:kern w:val="0"/>
          <w:lang w:eastAsia="en-GB"/>
          <w14:ligatures w14:val="none"/>
        </w:rPr>
        <w:t xml:space="preserve">, M. and Roach, J. (2019). Decision Making in Police Enquiries and Critical </w:t>
      </w:r>
      <w:proofErr w:type="gramStart"/>
      <w:r w:rsidRPr="00153F35">
        <w:rPr>
          <w:rFonts w:eastAsia="Times New Roman" w:cstheme="minorHAnsi"/>
          <w:color w:val="000000"/>
          <w:kern w:val="0"/>
          <w:lang w:eastAsia="en-GB"/>
          <w14:ligatures w14:val="none"/>
        </w:rPr>
        <w:t>Incidents :</w:t>
      </w:r>
      <w:proofErr w:type="gramEnd"/>
      <w:r w:rsidRPr="00153F35">
        <w:rPr>
          <w:rFonts w:eastAsia="Times New Roman" w:cstheme="minorHAnsi"/>
          <w:color w:val="000000"/>
          <w:kern w:val="0"/>
          <w:lang w:eastAsia="en-GB"/>
          <w14:ligatures w14:val="none"/>
        </w:rPr>
        <w:t xml:space="preserve"> What Really Works? London: Palgrave Macmillan </w:t>
      </w:r>
      <w:proofErr w:type="spellStart"/>
      <w:r w:rsidRPr="00153F35">
        <w:rPr>
          <w:rFonts w:eastAsia="Times New Roman" w:cstheme="minorHAnsi"/>
          <w:color w:val="000000"/>
          <w:kern w:val="0"/>
          <w:lang w:eastAsia="en-GB"/>
          <w14:ligatures w14:val="none"/>
        </w:rPr>
        <w:t>Uk</w:t>
      </w:r>
      <w:proofErr w:type="spellEnd"/>
      <w:r w:rsidRPr="00153F35">
        <w:rPr>
          <w:rFonts w:eastAsia="Times New Roman" w:cstheme="minorHAnsi"/>
          <w:color w:val="000000"/>
          <w:kern w:val="0"/>
          <w:lang w:eastAsia="en-GB"/>
          <w14:ligatures w14:val="none"/>
        </w:rPr>
        <w:t>.</w:t>
      </w:r>
    </w:p>
    <w:p w14:paraId="39893936" w14:textId="77777777" w:rsidR="00D755BD" w:rsidRDefault="00D755BD">
      <w:pPr>
        <w:rPr>
          <w:b/>
          <w:bCs/>
        </w:rPr>
      </w:pPr>
    </w:p>
    <w:p w14:paraId="0C95733F" w14:textId="77777777" w:rsidR="00D755BD" w:rsidRDefault="00D755BD">
      <w:pPr>
        <w:rPr>
          <w:b/>
          <w:bCs/>
        </w:rPr>
      </w:pPr>
    </w:p>
    <w:p w14:paraId="3E5A905D" w14:textId="77777777" w:rsidR="00D755BD" w:rsidRDefault="00D755BD">
      <w:pPr>
        <w:rPr>
          <w:b/>
          <w:bCs/>
        </w:rPr>
      </w:pPr>
    </w:p>
    <w:p w14:paraId="3048F37A" w14:textId="77777777" w:rsidR="00D755BD" w:rsidRDefault="00D755BD">
      <w:pPr>
        <w:rPr>
          <w:b/>
          <w:bCs/>
        </w:rPr>
      </w:pPr>
    </w:p>
    <w:p w14:paraId="25AC009D" w14:textId="77777777" w:rsidR="00D755BD" w:rsidRDefault="00D755BD">
      <w:pPr>
        <w:rPr>
          <w:b/>
          <w:bCs/>
        </w:rPr>
      </w:pPr>
    </w:p>
    <w:p w14:paraId="68F9F95D" w14:textId="77777777" w:rsidR="00D755BD" w:rsidRDefault="00D755BD">
      <w:pPr>
        <w:rPr>
          <w:b/>
          <w:bCs/>
        </w:rPr>
      </w:pPr>
    </w:p>
    <w:p w14:paraId="2E6A8AD1" w14:textId="77777777" w:rsidR="00D755BD" w:rsidRDefault="00D755BD">
      <w:pPr>
        <w:rPr>
          <w:b/>
          <w:bCs/>
        </w:rPr>
      </w:pPr>
    </w:p>
    <w:p w14:paraId="13745FAD" w14:textId="77777777" w:rsidR="00D755BD" w:rsidRDefault="00D755BD">
      <w:pPr>
        <w:rPr>
          <w:b/>
          <w:bCs/>
        </w:rPr>
      </w:pPr>
    </w:p>
    <w:p w14:paraId="49458C14" w14:textId="77777777" w:rsidR="00D755BD" w:rsidRDefault="00D755BD">
      <w:pPr>
        <w:rPr>
          <w:b/>
          <w:bCs/>
        </w:rPr>
      </w:pPr>
    </w:p>
    <w:p w14:paraId="1CF72A62" w14:textId="77777777" w:rsidR="00D755BD" w:rsidRDefault="00D755BD">
      <w:pPr>
        <w:rPr>
          <w:b/>
          <w:bCs/>
        </w:rPr>
      </w:pPr>
    </w:p>
    <w:p w14:paraId="12090A7A" w14:textId="77777777" w:rsidR="00D755BD" w:rsidRDefault="00D755BD">
      <w:pPr>
        <w:rPr>
          <w:b/>
          <w:bCs/>
        </w:rPr>
      </w:pPr>
    </w:p>
    <w:p w14:paraId="5A9C679B" w14:textId="77777777" w:rsidR="00D755BD" w:rsidRDefault="00D755BD">
      <w:pPr>
        <w:rPr>
          <w:b/>
          <w:bCs/>
        </w:rPr>
      </w:pPr>
    </w:p>
    <w:p w14:paraId="699641C8" w14:textId="77777777" w:rsidR="00153F35" w:rsidRDefault="00153F35">
      <w:pPr>
        <w:rPr>
          <w:b/>
          <w:bCs/>
        </w:rPr>
      </w:pPr>
    </w:p>
    <w:p w14:paraId="2B768E4A" w14:textId="77777777" w:rsidR="00153F35" w:rsidRDefault="00153F35">
      <w:pPr>
        <w:rPr>
          <w:b/>
          <w:bCs/>
        </w:rPr>
      </w:pPr>
    </w:p>
    <w:p w14:paraId="174F90F0" w14:textId="77777777" w:rsidR="00153F35" w:rsidRDefault="00153F35">
      <w:pPr>
        <w:rPr>
          <w:b/>
          <w:bCs/>
        </w:rPr>
      </w:pPr>
    </w:p>
    <w:p w14:paraId="2FAA1F80" w14:textId="77777777" w:rsidR="00153F35" w:rsidRDefault="00153F35">
      <w:pPr>
        <w:rPr>
          <w:b/>
          <w:bCs/>
        </w:rPr>
      </w:pPr>
    </w:p>
    <w:p w14:paraId="5BB2EDAD" w14:textId="77777777" w:rsidR="00153F35" w:rsidRDefault="00153F35">
      <w:pPr>
        <w:rPr>
          <w:b/>
          <w:bCs/>
        </w:rPr>
      </w:pPr>
    </w:p>
    <w:p w14:paraId="25ABADE3" w14:textId="77777777" w:rsidR="00153F35" w:rsidRDefault="00153F35">
      <w:pPr>
        <w:rPr>
          <w:b/>
          <w:bCs/>
        </w:rPr>
      </w:pPr>
    </w:p>
    <w:p w14:paraId="522D2452" w14:textId="77777777" w:rsidR="00153F35" w:rsidRDefault="00153F35">
      <w:pPr>
        <w:rPr>
          <w:b/>
          <w:bCs/>
        </w:rPr>
      </w:pPr>
    </w:p>
    <w:p w14:paraId="15A8E4B3" w14:textId="77777777" w:rsidR="00B75E8A" w:rsidRDefault="00B75E8A" w:rsidP="005D0E62">
      <w:pPr>
        <w:pStyle w:val="Default"/>
        <w:rPr>
          <w:b/>
          <w:bCs/>
          <w:sz w:val="22"/>
          <w:szCs w:val="22"/>
        </w:rPr>
      </w:pPr>
    </w:p>
    <w:p w14:paraId="28B0316A" w14:textId="77777777" w:rsidR="00E77E95" w:rsidRDefault="00E77E95" w:rsidP="005D0E62">
      <w:pPr>
        <w:pStyle w:val="Default"/>
        <w:rPr>
          <w:b/>
          <w:bCs/>
          <w:sz w:val="22"/>
          <w:szCs w:val="22"/>
        </w:rPr>
      </w:pPr>
    </w:p>
    <w:p w14:paraId="4A2D3896" w14:textId="77777777" w:rsidR="00E77E95" w:rsidRDefault="00E77E95" w:rsidP="005D0E62">
      <w:pPr>
        <w:pStyle w:val="Default"/>
        <w:rPr>
          <w:b/>
          <w:bCs/>
          <w:sz w:val="22"/>
          <w:szCs w:val="22"/>
        </w:rPr>
      </w:pPr>
    </w:p>
    <w:p w14:paraId="1E56DE02" w14:textId="77777777" w:rsidR="00E77E95" w:rsidRDefault="00E77E95" w:rsidP="005D0E62">
      <w:pPr>
        <w:pStyle w:val="Default"/>
        <w:rPr>
          <w:b/>
          <w:bCs/>
          <w:sz w:val="22"/>
          <w:szCs w:val="22"/>
        </w:rPr>
      </w:pPr>
    </w:p>
    <w:p w14:paraId="762C64ED" w14:textId="77777777" w:rsidR="00E77E95" w:rsidRDefault="00E77E95" w:rsidP="005D0E62">
      <w:pPr>
        <w:pStyle w:val="Default"/>
        <w:rPr>
          <w:b/>
          <w:bCs/>
          <w:sz w:val="22"/>
          <w:szCs w:val="22"/>
        </w:rPr>
      </w:pPr>
    </w:p>
    <w:p w14:paraId="1710FD12" w14:textId="77777777" w:rsidR="00B75E8A" w:rsidRDefault="00B75E8A" w:rsidP="00B75E8A"/>
    <w:p w14:paraId="49338610" w14:textId="01C95084" w:rsidR="00FF175A" w:rsidRPr="009B0092" w:rsidRDefault="00FF175A" w:rsidP="00CF02CA"/>
    <w:sectPr w:rsidR="00FF175A" w:rsidRPr="009B0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f9">
    <w:altName w:val="Cambria"/>
    <w:panose1 w:val="00000000000000000000"/>
    <w:charset w:val="00"/>
    <w:family w:val="roman"/>
    <w:notTrueType/>
    <w:pitch w:val="default"/>
  </w:font>
  <w:font w:name="ffb">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600"/>
    <w:rsid w:val="00047140"/>
    <w:rsid w:val="0005260F"/>
    <w:rsid w:val="00055101"/>
    <w:rsid w:val="00065C60"/>
    <w:rsid w:val="0006698F"/>
    <w:rsid w:val="00071F26"/>
    <w:rsid w:val="00080372"/>
    <w:rsid w:val="000D137F"/>
    <w:rsid w:val="001026DA"/>
    <w:rsid w:val="00102727"/>
    <w:rsid w:val="001158ED"/>
    <w:rsid w:val="00153F35"/>
    <w:rsid w:val="00160587"/>
    <w:rsid w:val="00171206"/>
    <w:rsid w:val="0018047A"/>
    <w:rsid w:val="001912E1"/>
    <w:rsid w:val="001A5DC2"/>
    <w:rsid w:val="002345BC"/>
    <w:rsid w:val="00242DBB"/>
    <w:rsid w:val="00257A59"/>
    <w:rsid w:val="00285508"/>
    <w:rsid w:val="00292350"/>
    <w:rsid w:val="002E6B09"/>
    <w:rsid w:val="002F7A15"/>
    <w:rsid w:val="00304AFB"/>
    <w:rsid w:val="0032745B"/>
    <w:rsid w:val="00330A07"/>
    <w:rsid w:val="00362FF0"/>
    <w:rsid w:val="003835F5"/>
    <w:rsid w:val="00384BC5"/>
    <w:rsid w:val="00387B4C"/>
    <w:rsid w:val="00391AC9"/>
    <w:rsid w:val="003B3186"/>
    <w:rsid w:val="003B7A85"/>
    <w:rsid w:val="003F2472"/>
    <w:rsid w:val="003F3592"/>
    <w:rsid w:val="00415562"/>
    <w:rsid w:val="0041684F"/>
    <w:rsid w:val="0043776C"/>
    <w:rsid w:val="00442FFC"/>
    <w:rsid w:val="004637B5"/>
    <w:rsid w:val="004668BB"/>
    <w:rsid w:val="00476F28"/>
    <w:rsid w:val="004A0604"/>
    <w:rsid w:val="004B1DA2"/>
    <w:rsid w:val="004D4B92"/>
    <w:rsid w:val="004E3554"/>
    <w:rsid w:val="004F71A3"/>
    <w:rsid w:val="0051329C"/>
    <w:rsid w:val="00522913"/>
    <w:rsid w:val="005457B7"/>
    <w:rsid w:val="00550A03"/>
    <w:rsid w:val="00565C8E"/>
    <w:rsid w:val="005C1F52"/>
    <w:rsid w:val="005C769D"/>
    <w:rsid w:val="005D0D58"/>
    <w:rsid w:val="005D0E62"/>
    <w:rsid w:val="005F681E"/>
    <w:rsid w:val="005F71D7"/>
    <w:rsid w:val="00623DB2"/>
    <w:rsid w:val="00642866"/>
    <w:rsid w:val="00663C7E"/>
    <w:rsid w:val="00673E41"/>
    <w:rsid w:val="00680004"/>
    <w:rsid w:val="006867C3"/>
    <w:rsid w:val="006B5B35"/>
    <w:rsid w:val="006D3600"/>
    <w:rsid w:val="006D55B6"/>
    <w:rsid w:val="006E5432"/>
    <w:rsid w:val="006F1B72"/>
    <w:rsid w:val="00700966"/>
    <w:rsid w:val="00763809"/>
    <w:rsid w:val="00773F39"/>
    <w:rsid w:val="00776CB3"/>
    <w:rsid w:val="007A7721"/>
    <w:rsid w:val="007B1110"/>
    <w:rsid w:val="007C072B"/>
    <w:rsid w:val="007D7FC2"/>
    <w:rsid w:val="007E1478"/>
    <w:rsid w:val="007F57FC"/>
    <w:rsid w:val="0080761A"/>
    <w:rsid w:val="00816E14"/>
    <w:rsid w:val="00823820"/>
    <w:rsid w:val="00824802"/>
    <w:rsid w:val="00830682"/>
    <w:rsid w:val="00831CBF"/>
    <w:rsid w:val="00862B83"/>
    <w:rsid w:val="00873F82"/>
    <w:rsid w:val="008A63E3"/>
    <w:rsid w:val="008B1485"/>
    <w:rsid w:val="008B4537"/>
    <w:rsid w:val="008E0745"/>
    <w:rsid w:val="00936F09"/>
    <w:rsid w:val="009517F5"/>
    <w:rsid w:val="00973E71"/>
    <w:rsid w:val="009821C8"/>
    <w:rsid w:val="009A0B38"/>
    <w:rsid w:val="009A53B7"/>
    <w:rsid w:val="009B0092"/>
    <w:rsid w:val="009B384E"/>
    <w:rsid w:val="009B3C47"/>
    <w:rsid w:val="009C5954"/>
    <w:rsid w:val="009D1138"/>
    <w:rsid w:val="009D2C66"/>
    <w:rsid w:val="009F0E10"/>
    <w:rsid w:val="009F7F37"/>
    <w:rsid w:val="00A02E54"/>
    <w:rsid w:val="00A0791F"/>
    <w:rsid w:val="00A13F98"/>
    <w:rsid w:val="00A248D6"/>
    <w:rsid w:val="00A541C1"/>
    <w:rsid w:val="00A65511"/>
    <w:rsid w:val="00A87DA3"/>
    <w:rsid w:val="00A91DFD"/>
    <w:rsid w:val="00AD1F03"/>
    <w:rsid w:val="00AE2B7F"/>
    <w:rsid w:val="00B121CC"/>
    <w:rsid w:val="00B2204D"/>
    <w:rsid w:val="00B31EE1"/>
    <w:rsid w:val="00B4643F"/>
    <w:rsid w:val="00B63EE1"/>
    <w:rsid w:val="00B75693"/>
    <w:rsid w:val="00B75E8A"/>
    <w:rsid w:val="00B8698D"/>
    <w:rsid w:val="00B87C36"/>
    <w:rsid w:val="00B92940"/>
    <w:rsid w:val="00B93415"/>
    <w:rsid w:val="00B9396E"/>
    <w:rsid w:val="00B959DA"/>
    <w:rsid w:val="00BB1732"/>
    <w:rsid w:val="00BB2FAF"/>
    <w:rsid w:val="00BC3D83"/>
    <w:rsid w:val="00BC59D7"/>
    <w:rsid w:val="00BD32E2"/>
    <w:rsid w:val="00BE1252"/>
    <w:rsid w:val="00C046AC"/>
    <w:rsid w:val="00C7259B"/>
    <w:rsid w:val="00C738CA"/>
    <w:rsid w:val="00C83758"/>
    <w:rsid w:val="00C83FBB"/>
    <w:rsid w:val="00C965F6"/>
    <w:rsid w:val="00CB0F21"/>
    <w:rsid w:val="00CE5645"/>
    <w:rsid w:val="00CE78FC"/>
    <w:rsid w:val="00CF02CA"/>
    <w:rsid w:val="00CF3475"/>
    <w:rsid w:val="00D30796"/>
    <w:rsid w:val="00D721C9"/>
    <w:rsid w:val="00D73841"/>
    <w:rsid w:val="00D7462C"/>
    <w:rsid w:val="00D755BD"/>
    <w:rsid w:val="00D75A0F"/>
    <w:rsid w:val="00D85982"/>
    <w:rsid w:val="00DA0D4B"/>
    <w:rsid w:val="00DB3E5E"/>
    <w:rsid w:val="00DD1460"/>
    <w:rsid w:val="00DD73D0"/>
    <w:rsid w:val="00E108F5"/>
    <w:rsid w:val="00E35A52"/>
    <w:rsid w:val="00E40380"/>
    <w:rsid w:val="00E475F6"/>
    <w:rsid w:val="00E566C3"/>
    <w:rsid w:val="00E71B72"/>
    <w:rsid w:val="00E77E95"/>
    <w:rsid w:val="00E920AA"/>
    <w:rsid w:val="00EB56B6"/>
    <w:rsid w:val="00ED43D0"/>
    <w:rsid w:val="00EE0970"/>
    <w:rsid w:val="00F00D36"/>
    <w:rsid w:val="00F07558"/>
    <w:rsid w:val="00F13875"/>
    <w:rsid w:val="00F15D20"/>
    <w:rsid w:val="00F21B1F"/>
    <w:rsid w:val="00F22ECA"/>
    <w:rsid w:val="00F468E9"/>
    <w:rsid w:val="00F5192A"/>
    <w:rsid w:val="00F7668C"/>
    <w:rsid w:val="00F92C06"/>
    <w:rsid w:val="00F95F2A"/>
    <w:rsid w:val="00FA375E"/>
    <w:rsid w:val="00FE443F"/>
    <w:rsid w:val="00FE608E"/>
    <w:rsid w:val="00FF175A"/>
    <w:rsid w:val="00FF4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43CE6"/>
  <w15:chartTrackingRefBased/>
  <w15:docId w15:val="{0203710E-0533-4DBF-8AF8-C86888020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b">
    <w:name w:val="ffb"/>
    <w:basedOn w:val="DefaultParagraphFont"/>
    <w:rsid w:val="00071F26"/>
  </w:style>
  <w:style w:type="character" w:customStyle="1" w:styleId="ff5">
    <w:name w:val="ff5"/>
    <w:basedOn w:val="DefaultParagraphFont"/>
    <w:rsid w:val="00071F26"/>
  </w:style>
  <w:style w:type="character" w:customStyle="1" w:styleId="ls1">
    <w:name w:val="ls1"/>
    <w:basedOn w:val="DefaultParagraphFont"/>
    <w:rsid w:val="00071F26"/>
  </w:style>
  <w:style w:type="character" w:customStyle="1" w:styleId="ff9">
    <w:name w:val="ff9"/>
    <w:basedOn w:val="DefaultParagraphFont"/>
    <w:rsid w:val="00071F26"/>
  </w:style>
  <w:style w:type="character" w:styleId="Hyperlink">
    <w:name w:val="Hyperlink"/>
    <w:basedOn w:val="DefaultParagraphFont"/>
    <w:uiPriority w:val="99"/>
    <w:unhideWhenUsed/>
    <w:rsid w:val="00E475F6"/>
    <w:rPr>
      <w:color w:val="0563C1" w:themeColor="hyperlink"/>
      <w:u w:val="single"/>
    </w:rPr>
  </w:style>
  <w:style w:type="character" w:styleId="UnresolvedMention">
    <w:name w:val="Unresolved Mention"/>
    <w:basedOn w:val="DefaultParagraphFont"/>
    <w:uiPriority w:val="99"/>
    <w:semiHidden/>
    <w:unhideWhenUsed/>
    <w:rsid w:val="00E475F6"/>
    <w:rPr>
      <w:color w:val="605E5C"/>
      <w:shd w:val="clear" w:color="auto" w:fill="E1DFDD"/>
    </w:rPr>
  </w:style>
  <w:style w:type="character" w:styleId="Emphasis">
    <w:name w:val="Emphasis"/>
    <w:basedOn w:val="DefaultParagraphFont"/>
    <w:uiPriority w:val="20"/>
    <w:qFormat/>
    <w:rsid w:val="00C046AC"/>
    <w:rPr>
      <w:i/>
      <w:iCs/>
    </w:rPr>
  </w:style>
  <w:style w:type="paragraph" w:customStyle="1" w:styleId="Default">
    <w:name w:val="Default"/>
    <w:rsid w:val="005D0E62"/>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2345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rief-citation-data">
    <w:name w:val="brief-citation-data"/>
    <w:basedOn w:val="DefaultParagraphFont"/>
    <w:rsid w:val="00153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2862">
      <w:bodyDiv w:val="1"/>
      <w:marLeft w:val="0"/>
      <w:marRight w:val="0"/>
      <w:marTop w:val="0"/>
      <w:marBottom w:val="0"/>
      <w:divBdr>
        <w:top w:val="none" w:sz="0" w:space="0" w:color="auto"/>
        <w:left w:val="none" w:sz="0" w:space="0" w:color="auto"/>
        <w:bottom w:val="none" w:sz="0" w:space="0" w:color="auto"/>
        <w:right w:val="none" w:sz="0" w:space="0" w:color="auto"/>
      </w:divBdr>
      <w:divsChild>
        <w:div w:id="2041198949">
          <w:marLeft w:val="0"/>
          <w:marRight w:val="0"/>
          <w:marTop w:val="0"/>
          <w:marBottom w:val="0"/>
          <w:divBdr>
            <w:top w:val="none" w:sz="0" w:space="0" w:color="auto"/>
            <w:left w:val="none" w:sz="0" w:space="0" w:color="auto"/>
            <w:bottom w:val="none" w:sz="0" w:space="0" w:color="auto"/>
            <w:right w:val="none" w:sz="0" w:space="0" w:color="auto"/>
          </w:divBdr>
        </w:div>
      </w:divsChild>
    </w:div>
    <w:div w:id="55789548">
      <w:bodyDiv w:val="1"/>
      <w:marLeft w:val="0"/>
      <w:marRight w:val="0"/>
      <w:marTop w:val="0"/>
      <w:marBottom w:val="0"/>
      <w:divBdr>
        <w:top w:val="none" w:sz="0" w:space="0" w:color="auto"/>
        <w:left w:val="none" w:sz="0" w:space="0" w:color="auto"/>
        <w:bottom w:val="none" w:sz="0" w:space="0" w:color="auto"/>
        <w:right w:val="none" w:sz="0" w:space="0" w:color="auto"/>
      </w:divBdr>
      <w:divsChild>
        <w:div w:id="609246234">
          <w:marLeft w:val="0"/>
          <w:marRight w:val="0"/>
          <w:marTop w:val="0"/>
          <w:marBottom w:val="0"/>
          <w:divBdr>
            <w:top w:val="none" w:sz="0" w:space="0" w:color="auto"/>
            <w:left w:val="none" w:sz="0" w:space="0" w:color="auto"/>
            <w:bottom w:val="none" w:sz="0" w:space="0" w:color="auto"/>
            <w:right w:val="none" w:sz="0" w:space="0" w:color="auto"/>
          </w:divBdr>
        </w:div>
      </w:divsChild>
    </w:div>
    <w:div w:id="118839742">
      <w:bodyDiv w:val="1"/>
      <w:marLeft w:val="0"/>
      <w:marRight w:val="0"/>
      <w:marTop w:val="0"/>
      <w:marBottom w:val="0"/>
      <w:divBdr>
        <w:top w:val="none" w:sz="0" w:space="0" w:color="auto"/>
        <w:left w:val="none" w:sz="0" w:space="0" w:color="auto"/>
        <w:bottom w:val="none" w:sz="0" w:space="0" w:color="auto"/>
        <w:right w:val="none" w:sz="0" w:space="0" w:color="auto"/>
      </w:divBdr>
      <w:divsChild>
        <w:div w:id="771901221">
          <w:marLeft w:val="0"/>
          <w:marRight w:val="0"/>
          <w:marTop w:val="0"/>
          <w:marBottom w:val="0"/>
          <w:divBdr>
            <w:top w:val="none" w:sz="0" w:space="0" w:color="auto"/>
            <w:left w:val="none" w:sz="0" w:space="0" w:color="auto"/>
            <w:bottom w:val="none" w:sz="0" w:space="0" w:color="auto"/>
            <w:right w:val="none" w:sz="0" w:space="0" w:color="auto"/>
          </w:divBdr>
          <w:divsChild>
            <w:div w:id="1016075977">
              <w:marLeft w:val="0"/>
              <w:marRight w:val="0"/>
              <w:marTop w:val="0"/>
              <w:marBottom w:val="0"/>
              <w:divBdr>
                <w:top w:val="none" w:sz="0" w:space="0" w:color="auto"/>
                <w:left w:val="none" w:sz="0" w:space="0" w:color="auto"/>
                <w:bottom w:val="none" w:sz="0" w:space="0" w:color="auto"/>
                <w:right w:val="none" w:sz="0" w:space="0" w:color="auto"/>
              </w:divBdr>
              <w:divsChild>
                <w:div w:id="1017544131">
                  <w:marLeft w:val="0"/>
                  <w:marRight w:val="0"/>
                  <w:marTop w:val="0"/>
                  <w:marBottom w:val="0"/>
                  <w:divBdr>
                    <w:top w:val="none" w:sz="0" w:space="0" w:color="auto"/>
                    <w:left w:val="none" w:sz="0" w:space="0" w:color="auto"/>
                    <w:bottom w:val="none" w:sz="0" w:space="0" w:color="auto"/>
                    <w:right w:val="none" w:sz="0" w:space="0" w:color="auto"/>
                  </w:divBdr>
                  <w:divsChild>
                    <w:div w:id="1766917502">
                      <w:marLeft w:val="0"/>
                      <w:marRight w:val="0"/>
                      <w:marTop w:val="0"/>
                      <w:marBottom w:val="0"/>
                      <w:divBdr>
                        <w:top w:val="none" w:sz="0" w:space="0" w:color="auto"/>
                        <w:left w:val="none" w:sz="0" w:space="0" w:color="auto"/>
                        <w:bottom w:val="none" w:sz="0" w:space="0" w:color="auto"/>
                        <w:right w:val="none" w:sz="0" w:space="0" w:color="auto"/>
                      </w:divBdr>
                      <w:divsChild>
                        <w:div w:id="78801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864365">
      <w:bodyDiv w:val="1"/>
      <w:marLeft w:val="0"/>
      <w:marRight w:val="0"/>
      <w:marTop w:val="0"/>
      <w:marBottom w:val="0"/>
      <w:divBdr>
        <w:top w:val="none" w:sz="0" w:space="0" w:color="auto"/>
        <w:left w:val="none" w:sz="0" w:space="0" w:color="auto"/>
        <w:bottom w:val="none" w:sz="0" w:space="0" w:color="auto"/>
        <w:right w:val="none" w:sz="0" w:space="0" w:color="auto"/>
      </w:divBdr>
      <w:divsChild>
        <w:div w:id="804280700">
          <w:marLeft w:val="0"/>
          <w:marRight w:val="0"/>
          <w:marTop w:val="0"/>
          <w:marBottom w:val="0"/>
          <w:divBdr>
            <w:top w:val="none" w:sz="0" w:space="0" w:color="auto"/>
            <w:left w:val="none" w:sz="0" w:space="0" w:color="auto"/>
            <w:bottom w:val="none" w:sz="0" w:space="0" w:color="auto"/>
            <w:right w:val="none" w:sz="0" w:space="0" w:color="auto"/>
          </w:divBdr>
          <w:divsChild>
            <w:div w:id="93809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35776">
      <w:bodyDiv w:val="1"/>
      <w:marLeft w:val="0"/>
      <w:marRight w:val="0"/>
      <w:marTop w:val="0"/>
      <w:marBottom w:val="0"/>
      <w:divBdr>
        <w:top w:val="none" w:sz="0" w:space="0" w:color="auto"/>
        <w:left w:val="none" w:sz="0" w:space="0" w:color="auto"/>
        <w:bottom w:val="none" w:sz="0" w:space="0" w:color="auto"/>
        <w:right w:val="none" w:sz="0" w:space="0" w:color="auto"/>
      </w:divBdr>
      <w:divsChild>
        <w:div w:id="867835350">
          <w:marLeft w:val="0"/>
          <w:marRight w:val="0"/>
          <w:marTop w:val="0"/>
          <w:marBottom w:val="0"/>
          <w:divBdr>
            <w:top w:val="none" w:sz="0" w:space="0" w:color="auto"/>
            <w:left w:val="none" w:sz="0" w:space="0" w:color="auto"/>
            <w:bottom w:val="none" w:sz="0" w:space="0" w:color="auto"/>
            <w:right w:val="none" w:sz="0" w:space="0" w:color="auto"/>
          </w:divBdr>
        </w:div>
      </w:divsChild>
    </w:div>
    <w:div w:id="747113501">
      <w:bodyDiv w:val="1"/>
      <w:marLeft w:val="0"/>
      <w:marRight w:val="0"/>
      <w:marTop w:val="0"/>
      <w:marBottom w:val="0"/>
      <w:divBdr>
        <w:top w:val="none" w:sz="0" w:space="0" w:color="auto"/>
        <w:left w:val="none" w:sz="0" w:space="0" w:color="auto"/>
        <w:bottom w:val="none" w:sz="0" w:space="0" w:color="auto"/>
        <w:right w:val="none" w:sz="0" w:space="0" w:color="auto"/>
      </w:divBdr>
      <w:divsChild>
        <w:div w:id="191261901">
          <w:marLeft w:val="0"/>
          <w:marRight w:val="0"/>
          <w:marTop w:val="0"/>
          <w:marBottom w:val="0"/>
          <w:divBdr>
            <w:top w:val="none" w:sz="0" w:space="0" w:color="auto"/>
            <w:left w:val="none" w:sz="0" w:space="0" w:color="auto"/>
            <w:bottom w:val="none" w:sz="0" w:space="0" w:color="auto"/>
            <w:right w:val="none" w:sz="0" w:space="0" w:color="auto"/>
          </w:divBdr>
        </w:div>
      </w:divsChild>
    </w:div>
    <w:div w:id="950822793">
      <w:bodyDiv w:val="1"/>
      <w:marLeft w:val="0"/>
      <w:marRight w:val="0"/>
      <w:marTop w:val="0"/>
      <w:marBottom w:val="0"/>
      <w:divBdr>
        <w:top w:val="none" w:sz="0" w:space="0" w:color="auto"/>
        <w:left w:val="none" w:sz="0" w:space="0" w:color="auto"/>
        <w:bottom w:val="none" w:sz="0" w:space="0" w:color="auto"/>
        <w:right w:val="none" w:sz="0" w:space="0" w:color="auto"/>
      </w:divBdr>
    </w:div>
    <w:div w:id="1103646952">
      <w:bodyDiv w:val="1"/>
      <w:marLeft w:val="0"/>
      <w:marRight w:val="0"/>
      <w:marTop w:val="0"/>
      <w:marBottom w:val="0"/>
      <w:divBdr>
        <w:top w:val="none" w:sz="0" w:space="0" w:color="auto"/>
        <w:left w:val="none" w:sz="0" w:space="0" w:color="auto"/>
        <w:bottom w:val="none" w:sz="0" w:space="0" w:color="auto"/>
        <w:right w:val="none" w:sz="0" w:space="0" w:color="auto"/>
      </w:divBdr>
      <w:divsChild>
        <w:div w:id="510143369">
          <w:marLeft w:val="0"/>
          <w:marRight w:val="0"/>
          <w:marTop w:val="0"/>
          <w:marBottom w:val="0"/>
          <w:divBdr>
            <w:top w:val="none" w:sz="0" w:space="0" w:color="auto"/>
            <w:left w:val="none" w:sz="0" w:space="0" w:color="auto"/>
            <w:bottom w:val="none" w:sz="0" w:space="0" w:color="auto"/>
            <w:right w:val="none" w:sz="0" w:space="0" w:color="auto"/>
          </w:divBdr>
        </w:div>
      </w:divsChild>
    </w:div>
    <w:div w:id="1211772059">
      <w:bodyDiv w:val="1"/>
      <w:marLeft w:val="0"/>
      <w:marRight w:val="0"/>
      <w:marTop w:val="0"/>
      <w:marBottom w:val="0"/>
      <w:divBdr>
        <w:top w:val="none" w:sz="0" w:space="0" w:color="auto"/>
        <w:left w:val="none" w:sz="0" w:space="0" w:color="auto"/>
        <w:bottom w:val="none" w:sz="0" w:space="0" w:color="auto"/>
        <w:right w:val="none" w:sz="0" w:space="0" w:color="auto"/>
      </w:divBdr>
      <w:divsChild>
        <w:div w:id="1819036873">
          <w:marLeft w:val="0"/>
          <w:marRight w:val="0"/>
          <w:marTop w:val="0"/>
          <w:marBottom w:val="0"/>
          <w:divBdr>
            <w:top w:val="none" w:sz="0" w:space="0" w:color="auto"/>
            <w:left w:val="none" w:sz="0" w:space="0" w:color="auto"/>
            <w:bottom w:val="none" w:sz="0" w:space="0" w:color="auto"/>
            <w:right w:val="none" w:sz="0" w:space="0" w:color="auto"/>
          </w:divBdr>
          <w:divsChild>
            <w:div w:id="14566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495312">
      <w:bodyDiv w:val="1"/>
      <w:marLeft w:val="0"/>
      <w:marRight w:val="0"/>
      <w:marTop w:val="0"/>
      <w:marBottom w:val="0"/>
      <w:divBdr>
        <w:top w:val="none" w:sz="0" w:space="0" w:color="auto"/>
        <w:left w:val="none" w:sz="0" w:space="0" w:color="auto"/>
        <w:bottom w:val="none" w:sz="0" w:space="0" w:color="auto"/>
        <w:right w:val="none" w:sz="0" w:space="0" w:color="auto"/>
      </w:divBdr>
    </w:div>
    <w:div w:id="1501433422">
      <w:bodyDiv w:val="1"/>
      <w:marLeft w:val="0"/>
      <w:marRight w:val="0"/>
      <w:marTop w:val="0"/>
      <w:marBottom w:val="0"/>
      <w:divBdr>
        <w:top w:val="none" w:sz="0" w:space="0" w:color="auto"/>
        <w:left w:val="none" w:sz="0" w:space="0" w:color="auto"/>
        <w:bottom w:val="none" w:sz="0" w:space="0" w:color="auto"/>
        <w:right w:val="none" w:sz="0" w:space="0" w:color="auto"/>
      </w:divBdr>
    </w:div>
    <w:div w:id="1646010809">
      <w:bodyDiv w:val="1"/>
      <w:marLeft w:val="0"/>
      <w:marRight w:val="0"/>
      <w:marTop w:val="0"/>
      <w:marBottom w:val="0"/>
      <w:divBdr>
        <w:top w:val="none" w:sz="0" w:space="0" w:color="auto"/>
        <w:left w:val="none" w:sz="0" w:space="0" w:color="auto"/>
        <w:bottom w:val="none" w:sz="0" w:space="0" w:color="auto"/>
        <w:right w:val="none" w:sz="0" w:space="0" w:color="auto"/>
      </w:divBdr>
    </w:div>
    <w:div w:id="1783572988">
      <w:bodyDiv w:val="1"/>
      <w:marLeft w:val="0"/>
      <w:marRight w:val="0"/>
      <w:marTop w:val="0"/>
      <w:marBottom w:val="0"/>
      <w:divBdr>
        <w:top w:val="none" w:sz="0" w:space="0" w:color="auto"/>
        <w:left w:val="none" w:sz="0" w:space="0" w:color="auto"/>
        <w:bottom w:val="none" w:sz="0" w:space="0" w:color="auto"/>
        <w:right w:val="none" w:sz="0" w:space="0" w:color="auto"/>
      </w:divBdr>
      <w:divsChild>
        <w:div w:id="614168740">
          <w:marLeft w:val="0"/>
          <w:marRight w:val="0"/>
          <w:marTop w:val="0"/>
          <w:marBottom w:val="0"/>
          <w:divBdr>
            <w:top w:val="none" w:sz="0" w:space="0" w:color="auto"/>
            <w:left w:val="none" w:sz="0" w:space="0" w:color="auto"/>
            <w:bottom w:val="none" w:sz="0" w:space="0" w:color="auto"/>
            <w:right w:val="none" w:sz="0" w:space="0" w:color="auto"/>
          </w:divBdr>
        </w:div>
      </w:divsChild>
    </w:div>
    <w:div w:id="1786922626">
      <w:bodyDiv w:val="1"/>
      <w:marLeft w:val="0"/>
      <w:marRight w:val="0"/>
      <w:marTop w:val="0"/>
      <w:marBottom w:val="0"/>
      <w:divBdr>
        <w:top w:val="none" w:sz="0" w:space="0" w:color="auto"/>
        <w:left w:val="none" w:sz="0" w:space="0" w:color="auto"/>
        <w:bottom w:val="none" w:sz="0" w:space="0" w:color="auto"/>
        <w:right w:val="none" w:sz="0" w:space="0" w:color="auto"/>
      </w:divBdr>
      <w:divsChild>
        <w:div w:id="1042948164">
          <w:marLeft w:val="0"/>
          <w:marRight w:val="0"/>
          <w:marTop w:val="0"/>
          <w:marBottom w:val="0"/>
          <w:divBdr>
            <w:top w:val="none" w:sz="0" w:space="0" w:color="auto"/>
            <w:left w:val="none" w:sz="0" w:space="0" w:color="auto"/>
            <w:bottom w:val="none" w:sz="0" w:space="0" w:color="auto"/>
            <w:right w:val="none" w:sz="0" w:space="0" w:color="auto"/>
          </w:divBdr>
          <w:divsChild>
            <w:div w:id="80546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258639">
      <w:bodyDiv w:val="1"/>
      <w:marLeft w:val="0"/>
      <w:marRight w:val="0"/>
      <w:marTop w:val="0"/>
      <w:marBottom w:val="0"/>
      <w:divBdr>
        <w:top w:val="none" w:sz="0" w:space="0" w:color="auto"/>
        <w:left w:val="none" w:sz="0" w:space="0" w:color="auto"/>
        <w:bottom w:val="none" w:sz="0" w:space="0" w:color="auto"/>
        <w:right w:val="none" w:sz="0" w:space="0" w:color="auto"/>
      </w:divBdr>
    </w:div>
    <w:div w:id="1984189916">
      <w:bodyDiv w:val="1"/>
      <w:marLeft w:val="0"/>
      <w:marRight w:val="0"/>
      <w:marTop w:val="0"/>
      <w:marBottom w:val="0"/>
      <w:divBdr>
        <w:top w:val="none" w:sz="0" w:space="0" w:color="auto"/>
        <w:left w:val="none" w:sz="0" w:space="0" w:color="auto"/>
        <w:bottom w:val="none" w:sz="0" w:space="0" w:color="auto"/>
        <w:right w:val="none" w:sz="0" w:space="0" w:color="auto"/>
      </w:divBdr>
    </w:div>
    <w:div w:id="2136093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cbt-domestic-violence" TargetMode="External"/><Relationship Id="rId13" Type="http://schemas.openxmlformats.org/officeDocument/2006/relationships/hyperlink" Target="https://www.bbc.co.uk/news/uk-33253598" TargetMode="External"/><Relationship Id="rId3" Type="http://schemas.openxmlformats.org/officeDocument/2006/relationships/webSettings" Target="webSettings.xml"/><Relationship Id="rId7" Type="http://schemas.openxmlformats.org/officeDocument/2006/relationships/hyperlink" Target="https://doi.org/10.1111/j.1939-0025.1989.tb01671.x" TargetMode="External"/><Relationship Id="rId12" Type="http://schemas.openxmlformats.org/officeDocument/2006/relationships/hyperlink" Target="https://www.gov.uk/government/publications/the-stephen-lawrence-inqui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022427893030001005" TargetMode="External"/><Relationship Id="rId11" Type="http://schemas.openxmlformats.org/officeDocument/2006/relationships/hyperlink" Target="https://www.college.police.uk/app/civil-emergencies/civil-contingencies/response" TargetMode="External"/><Relationship Id="rId5" Type="http://schemas.openxmlformats.org/officeDocument/2006/relationships/hyperlink" Target="https://care.org.uk/news/2022/09/almost-half-of-kids-growing-up-outside-nuclear-family" TargetMode="External"/><Relationship Id="rId15" Type="http://schemas.openxmlformats.org/officeDocument/2006/relationships/theme" Target="theme/theme1.xml"/><Relationship Id="rId10" Type="http://schemas.openxmlformats.org/officeDocument/2006/relationships/hyperlink" Target="https://www.college.police.uk/app/civil-emergencies/disaster-victim-identification/definitions" TargetMode="External"/><Relationship Id="rId4" Type="http://schemas.openxmlformats.org/officeDocument/2006/relationships/hyperlink" Target="https://doi.org/10.2307/1423118" TargetMode="External"/><Relationship Id="rId9" Type="http://schemas.openxmlformats.org/officeDocument/2006/relationships/hyperlink" Target="https://doi.org/10.1080/14747731.2020.17981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4870</Words>
  <Characters>27899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Hobbs, Thomas</dc:creator>
  <cp:keywords/>
  <dc:description/>
  <cp:lastModifiedBy>Thomas Hobbs</cp:lastModifiedBy>
  <cp:revision>2</cp:revision>
  <dcterms:created xsi:type="dcterms:W3CDTF">2024-05-27T16:37:00Z</dcterms:created>
  <dcterms:modified xsi:type="dcterms:W3CDTF">2024-05-27T16:37:00Z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fda5675c-46b0-4032-a931-1903956de9f1</vt:lpwstr>
  </property>
  <property fmtid="{D5CDD505-2E9C-101B-9397-08002B2CF9AE}" pid="3" name="MSIP_Label_f2acd28b-79a3-4a0f-b0ff-4b75658b1549_Enabled">
    <vt:lpwstr>true</vt:lpwstr>
  </property>
  <property fmtid="{D5CDD505-2E9C-101B-9397-08002B2CF9AE}" pid="4" name="MSIP_Label_f2acd28b-79a3-4a0f-b0ff-4b75658b1549_SetDate">
    <vt:lpwstr>2024-02-11T21:21:27Z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48f620e4-3827-437b-a67d-9767d7672503</vt:lpwstr>
  </property>
  <property fmtid="{D5CDD505-2E9C-101B-9397-08002B2CF9AE}" pid="9" name="MSIP_Label_f2acd28b-79a3-4a0f-b0ff-4b75658b1549_ContentBits">
    <vt:lpwstr>0</vt:lpwstr>
  </property>
</Properties>
</file>