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89BA5F" w14:textId="426A6559" w:rsidR="000F2F83" w:rsidRDefault="000F2F83" w:rsidP="000F2F83">
      <w:pPr>
        <w:jc w:val="center"/>
        <w:rPr>
          <w:b/>
          <w:bCs/>
          <w:sz w:val="32"/>
          <w:szCs w:val="32"/>
          <w:u w:val="single"/>
        </w:rPr>
      </w:pPr>
      <w:r>
        <w:rPr>
          <w:b/>
          <w:bCs/>
          <w:sz w:val="32"/>
          <w:szCs w:val="32"/>
          <w:u w:val="single"/>
        </w:rPr>
        <w:t>Article Review</w:t>
      </w:r>
    </w:p>
    <w:p w14:paraId="06BEDB7B" w14:textId="446E320D" w:rsidR="000F2F83" w:rsidRDefault="000F2F83" w:rsidP="000F2F83">
      <w:pPr>
        <w:rPr>
          <w:sz w:val="24"/>
          <w:szCs w:val="24"/>
        </w:rPr>
      </w:pPr>
    </w:p>
    <w:p w14:paraId="4DBA0975" w14:textId="1462E6D4" w:rsidR="00DA310E" w:rsidRDefault="00985803" w:rsidP="000F2F83">
      <w:pPr>
        <w:rPr>
          <w:sz w:val="24"/>
          <w:szCs w:val="24"/>
        </w:rPr>
      </w:pPr>
      <w:r>
        <w:rPr>
          <w:sz w:val="24"/>
          <w:szCs w:val="24"/>
        </w:rPr>
        <w:t xml:space="preserve">The article “Last year in Jerusalem: Monuments of the Jewish war in Rome I” is written by Fergus Miller and was published by Oxford </w:t>
      </w:r>
      <w:r w:rsidR="00710B6C">
        <w:rPr>
          <w:sz w:val="24"/>
          <w:szCs w:val="24"/>
        </w:rPr>
        <w:t>U</w:t>
      </w:r>
      <w:r>
        <w:rPr>
          <w:sz w:val="24"/>
          <w:szCs w:val="24"/>
        </w:rPr>
        <w:t>niversity Press in 2005. It was part of the book edited by Jonathan Edmondson, Steve Mason and James Rives entitled Flavius Josephus and Flavi</w:t>
      </w:r>
      <w:r w:rsidR="00710B6C">
        <w:rPr>
          <w:sz w:val="24"/>
          <w:szCs w:val="24"/>
        </w:rPr>
        <w:t>a</w:t>
      </w:r>
      <w:r>
        <w:rPr>
          <w:sz w:val="24"/>
          <w:szCs w:val="24"/>
        </w:rPr>
        <w:t>n Rome. It was published online in 2007 by Oxford scholarship online</w:t>
      </w:r>
      <w:r w:rsidR="00802D68">
        <w:rPr>
          <w:rStyle w:val="FootnoteReference"/>
          <w:sz w:val="24"/>
          <w:szCs w:val="24"/>
        </w:rPr>
        <w:footnoteReference w:id="1"/>
      </w:r>
      <w:r>
        <w:rPr>
          <w:sz w:val="24"/>
          <w:szCs w:val="24"/>
        </w:rPr>
        <w:t xml:space="preserve">, and as such can be accessed there today.  </w:t>
      </w:r>
      <w:r w:rsidR="00E87AA7">
        <w:rPr>
          <w:sz w:val="24"/>
          <w:szCs w:val="24"/>
        </w:rPr>
        <w:t>The main point in the article i</w:t>
      </w:r>
      <w:r w:rsidR="00BB6CD1">
        <w:rPr>
          <w:sz w:val="24"/>
          <w:szCs w:val="24"/>
        </w:rPr>
        <w:t xml:space="preserve">s the monuments </w:t>
      </w:r>
      <w:r w:rsidR="00745F5E">
        <w:rPr>
          <w:sz w:val="24"/>
          <w:szCs w:val="24"/>
        </w:rPr>
        <w:t>found in Rome to immortalise the Jewish war</w:t>
      </w:r>
      <w:r w:rsidR="00E87AA7">
        <w:rPr>
          <w:sz w:val="24"/>
          <w:szCs w:val="24"/>
        </w:rPr>
        <w:t xml:space="preserve"> this is a</w:t>
      </w:r>
      <w:r w:rsidR="00745F5E">
        <w:rPr>
          <w:sz w:val="24"/>
          <w:szCs w:val="24"/>
        </w:rPr>
        <w:t>n</w:t>
      </w:r>
      <w:r w:rsidR="00E87AA7">
        <w:rPr>
          <w:sz w:val="24"/>
          <w:szCs w:val="24"/>
        </w:rPr>
        <w:t xml:space="preserve"> </w:t>
      </w:r>
      <w:r w:rsidR="00745F5E">
        <w:rPr>
          <w:sz w:val="24"/>
          <w:szCs w:val="24"/>
        </w:rPr>
        <w:t>important to the study of Roman civilization and Judaism because it is a turning point in both histories. In the Roman world it is the consolidation of a new dynasty and largest military success of the Imperial period. In the study of Judaism these monuments are important because they show what was taken from the second temple and Jerusalem as spoils of war. Both these points are discussed as part of Millers arguments about the purposes of the arches and monuments of Rome.</w:t>
      </w:r>
    </w:p>
    <w:p w14:paraId="038CF2B2" w14:textId="313E0811" w:rsidR="00962F3A" w:rsidRDefault="00E87AA7" w:rsidP="00962F3A">
      <w:pPr>
        <w:rPr>
          <w:sz w:val="24"/>
          <w:szCs w:val="24"/>
        </w:rPr>
      </w:pPr>
      <w:r>
        <w:rPr>
          <w:sz w:val="24"/>
          <w:szCs w:val="24"/>
        </w:rPr>
        <w:t>This article cove</w:t>
      </w:r>
      <w:r w:rsidR="00745F5E">
        <w:rPr>
          <w:sz w:val="24"/>
          <w:szCs w:val="24"/>
        </w:rPr>
        <w:t xml:space="preserve">rs </w:t>
      </w:r>
      <w:r w:rsidR="0055600C">
        <w:rPr>
          <w:sz w:val="24"/>
          <w:szCs w:val="24"/>
        </w:rPr>
        <w:t>the monument built with images or inscription about the Jewish war and destruction of the second temple of the Jews</w:t>
      </w:r>
      <w:r w:rsidR="00802D68">
        <w:rPr>
          <w:rStyle w:val="FootnoteReference"/>
          <w:sz w:val="24"/>
          <w:szCs w:val="24"/>
        </w:rPr>
        <w:footnoteReference w:id="2"/>
      </w:r>
      <w:r w:rsidR="0055600C">
        <w:rPr>
          <w:sz w:val="24"/>
          <w:szCs w:val="24"/>
        </w:rPr>
        <w:t>. Miller argues how he sees the monuments of Rome and their meaning to the peoples of the city and their purpose as part of public relations. One important point is the comparisons he makes to Nero and why those returning used monuments to keep control and power</w:t>
      </w:r>
      <w:r w:rsidR="00802D68">
        <w:rPr>
          <w:rStyle w:val="FootnoteReference"/>
          <w:sz w:val="24"/>
          <w:szCs w:val="24"/>
        </w:rPr>
        <w:footnoteReference w:id="3"/>
      </w:r>
      <w:r w:rsidR="0055600C">
        <w:rPr>
          <w:sz w:val="24"/>
          <w:szCs w:val="24"/>
        </w:rPr>
        <w:t xml:space="preserve">. </w:t>
      </w:r>
      <w:r>
        <w:rPr>
          <w:sz w:val="24"/>
          <w:szCs w:val="24"/>
        </w:rPr>
        <w:t>It goes into detail abou</w:t>
      </w:r>
      <w:r w:rsidR="00745F5E">
        <w:rPr>
          <w:sz w:val="24"/>
          <w:szCs w:val="24"/>
        </w:rPr>
        <w:t>t the procession returning to Rome after winning the Jewish War in 71CE, this includes an overview of the route that they are thought to have taken through Rome and ideas of what monuments were funded by the spoils brought back</w:t>
      </w:r>
      <w:r w:rsidR="00802D68">
        <w:rPr>
          <w:rStyle w:val="FootnoteReference"/>
          <w:sz w:val="24"/>
          <w:szCs w:val="24"/>
        </w:rPr>
        <w:footnoteReference w:id="4"/>
      </w:r>
      <w:r w:rsidR="00745F5E">
        <w:rPr>
          <w:sz w:val="24"/>
          <w:szCs w:val="24"/>
        </w:rPr>
        <w:t xml:space="preserve">. The Arches are the most discussed point, using Pliny and Josephus as primary sources for the information discussed along with </w:t>
      </w:r>
      <w:r w:rsidR="0055600C">
        <w:rPr>
          <w:sz w:val="24"/>
          <w:szCs w:val="24"/>
        </w:rPr>
        <w:t xml:space="preserve">building plans and images of the surviving artwork. </w:t>
      </w:r>
      <w:r w:rsidR="00872E5E">
        <w:rPr>
          <w:sz w:val="24"/>
          <w:szCs w:val="24"/>
        </w:rPr>
        <w:t>The articles central argument is about the role the monuments built to commemorate the victory of the Romans and the destruction of the Temple in the Jewish war, the difference between these building efforts and those of Nero.</w:t>
      </w:r>
    </w:p>
    <w:p w14:paraId="4FDB3E52" w14:textId="074F82F8" w:rsidR="00962F3A" w:rsidRDefault="00962F3A" w:rsidP="00962F3A">
      <w:pPr>
        <w:rPr>
          <w:sz w:val="24"/>
          <w:szCs w:val="24"/>
        </w:rPr>
      </w:pPr>
      <w:r>
        <w:rPr>
          <w:sz w:val="24"/>
          <w:szCs w:val="24"/>
        </w:rPr>
        <w:t xml:space="preserve">It is clearly written and engaging for students entering the studies of religion at university level, especially those focused on the Hellenistic and Classical worlds. The abstracts at the beginning is precise and defines what is being discussed decisively but does not quite clarify what the article ends up arguing. The 21 pages of the article are set out to first introduce the time, focussing on the atmosphere of Rome before going through each of the monuments connected to the procession returning from Jerusalem. Within this Miller covers what was the purpose of the monuments, who was to be able to see them, where they were placed in ancient Rome, which one still survive and if they continued to be </w:t>
      </w:r>
      <w:r>
        <w:rPr>
          <w:sz w:val="24"/>
          <w:szCs w:val="24"/>
        </w:rPr>
        <w:lastRenderedPageBreak/>
        <w:t>important 200 years later</w:t>
      </w:r>
      <w:r w:rsidR="00ED28C3">
        <w:rPr>
          <w:rStyle w:val="FootnoteReference"/>
          <w:sz w:val="24"/>
          <w:szCs w:val="24"/>
        </w:rPr>
        <w:footnoteReference w:id="5"/>
      </w:r>
      <w:r>
        <w:rPr>
          <w:sz w:val="24"/>
          <w:szCs w:val="24"/>
        </w:rPr>
        <w:t xml:space="preserve">. </w:t>
      </w:r>
      <w:r w:rsidR="00710B6C">
        <w:rPr>
          <w:sz w:val="24"/>
          <w:szCs w:val="24"/>
        </w:rPr>
        <w:t xml:space="preserve">He does </w:t>
      </w:r>
      <w:r w:rsidR="004202FC">
        <w:rPr>
          <w:sz w:val="24"/>
          <w:szCs w:val="24"/>
        </w:rPr>
        <w:t>refer</w:t>
      </w:r>
      <w:r w:rsidR="00710B6C">
        <w:rPr>
          <w:sz w:val="24"/>
          <w:szCs w:val="24"/>
        </w:rPr>
        <w:t xml:space="preserve"> in the first paragraph that the sources and perspective of the article is that of the Romans rather than that of the Jews</w:t>
      </w:r>
      <w:r w:rsidR="00802D68">
        <w:rPr>
          <w:rStyle w:val="FootnoteReference"/>
          <w:sz w:val="24"/>
          <w:szCs w:val="24"/>
        </w:rPr>
        <w:footnoteReference w:id="6"/>
      </w:r>
      <w:r w:rsidR="00710B6C">
        <w:rPr>
          <w:sz w:val="24"/>
          <w:szCs w:val="24"/>
        </w:rPr>
        <w:t xml:space="preserve">. </w:t>
      </w:r>
    </w:p>
    <w:p w14:paraId="36A0C491" w14:textId="69701D2B" w:rsidR="000F2F83" w:rsidRDefault="00E87AA7" w:rsidP="000F2F83">
      <w:pPr>
        <w:rPr>
          <w:sz w:val="24"/>
          <w:szCs w:val="24"/>
        </w:rPr>
      </w:pPr>
      <w:r>
        <w:rPr>
          <w:sz w:val="24"/>
          <w:szCs w:val="24"/>
        </w:rPr>
        <w:t>This evidence used to support the main points of this article are well presented by the author.</w:t>
      </w:r>
      <w:r w:rsidR="0027093C">
        <w:rPr>
          <w:sz w:val="24"/>
          <w:szCs w:val="24"/>
        </w:rPr>
        <w:t xml:space="preserve"> He uses a mixture of Roman literature and photographs of the monuments he is describing to clarify the points he is making. This is more clear at the beginning when Miller deconstructs a quote from Josephus Jewish War book 7, where he focusses on the meaning of ‘theatres’ in a sense of if they are actual buildings in Rome that are theatres or just places of public gathering and entertainment. Furthering this train of thought is </w:t>
      </w:r>
      <w:r w:rsidR="00D93B37">
        <w:rPr>
          <w:sz w:val="24"/>
          <w:szCs w:val="24"/>
        </w:rPr>
        <w:t>whether</w:t>
      </w:r>
      <w:r w:rsidR="0027093C">
        <w:rPr>
          <w:sz w:val="24"/>
          <w:szCs w:val="24"/>
        </w:rPr>
        <w:t xml:space="preserve"> Josephus was talking about a single building that was passed by the procession multiple times. </w:t>
      </w:r>
      <w:r w:rsidR="00710B6C">
        <w:rPr>
          <w:sz w:val="24"/>
          <w:szCs w:val="24"/>
        </w:rPr>
        <w:t>The main Roman Emperors mentioned by Miller are</w:t>
      </w:r>
      <w:r w:rsidR="00710B6C" w:rsidRPr="00710B6C">
        <w:rPr>
          <w:sz w:val="24"/>
          <w:szCs w:val="24"/>
        </w:rPr>
        <w:t xml:space="preserve"> Titus</w:t>
      </w:r>
      <w:r w:rsidR="00710B6C">
        <w:rPr>
          <w:sz w:val="24"/>
          <w:szCs w:val="24"/>
        </w:rPr>
        <w:t xml:space="preserve"> and</w:t>
      </w:r>
      <w:r w:rsidR="00A42ECE" w:rsidRPr="00A42ECE">
        <w:rPr>
          <w:sz w:val="24"/>
          <w:szCs w:val="24"/>
        </w:rPr>
        <w:t xml:space="preserve"> Vespasia</w:t>
      </w:r>
      <w:r w:rsidR="00A42ECE">
        <w:rPr>
          <w:sz w:val="24"/>
          <w:szCs w:val="24"/>
        </w:rPr>
        <w:t>n to compare them to Nero. Due to Titus following Vespasian most of the building work started by Vespasian were finished by Titus</w:t>
      </w:r>
      <w:r w:rsidR="009C65EF">
        <w:rPr>
          <w:sz w:val="24"/>
          <w:szCs w:val="24"/>
        </w:rPr>
        <w:t xml:space="preserve"> or Domitian</w:t>
      </w:r>
      <w:r w:rsidR="00A42ECE">
        <w:rPr>
          <w:sz w:val="24"/>
          <w:szCs w:val="24"/>
        </w:rPr>
        <w:t>, with the greatest monuments Miller discusses being, the Temple of Peace, Colosseum</w:t>
      </w:r>
      <w:r w:rsidR="002F4BC8">
        <w:rPr>
          <w:sz w:val="24"/>
          <w:szCs w:val="24"/>
        </w:rPr>
        <w:t>,</w:t>
      </w:r>
      <w:r w:rsidR="00A42ECE">
        <w:rPr>
          <w:sz w:val="24"/>
          <w:szCs w:val="24"/>
        </w:rPr>
        <w:t xml:space="preserve"> and the Arch of Titus. </w:t>
      </w:r>
      <w:r w:rsidR="009C65EF">
        <w:rPr>
          <w:sz w:val="24"/>
          <w:szCs w:val="24"/>
        </w:rPr>
        <w:t xml:space="preserve">The Arch of Titus is focussed on a lot in Millers </w:t>
      </w:r>
      <w:r w:rsidR="005D1FE6">
        <w:rPr>
          <w:sz w:val="24"/>
          <w:szCs w:val="24"/>
        </w:rPr>
        <w:t>article,</w:t>
      </w:r>
      <w:r w:rsidR="009C65EF">
        <w:rPr>
          <w:sz w:val="24"/>
          <w:szCs w:val="24"/>
        </w:rPr>
        <w:t xml:space="preserve"> but some information is not as simple as a similar article written by Mark Cartwright</w:t>
      </w:r>
      <w:r w:rsidR="009C65EF">
        <w:rPr>
          <w:rStyle w:val="FootnoteReference"/>
          <w:sz w:val="24"/>
          <w:szCs w:val="24"/>
        </w:rPr>
        <w:footnoteReference w:id="7"/>
      </w:r>
      <w:r w:rsidR="009C65EF">
        <w:rPr>
          <w:sz w:val="24"/>
          <w:szCs w:val="24"/>
        </w:rPr>
        <w:t xml:space="preserve">. </w:t>
      </w:r>
      <w:r w:rsidR="005D1FE6">
        <w:rPr>
          <w:sz w:val="24"/>
          <w:szCs w:val="24"/>
        </w:rPr>
        <w:t>This also happens with the Colosseum, which is torched upon by Miller to compare with the other monuments due to having Vespasian as the Emperors who began building</w:t>
      </w:r>
      <w:r w:rsidR="005D1FE6">
        <w:rPr>
          <w:rStyle w:val="FootnoteReference"/>
          <w:sz w:val="24"/>
          <w:szCs w:val="24"/>
        </w:rPr>
        <w:footnoteReference w:id="8"/>
      </w:r>
      <w:r w:rsidR="005D1FE6">
        <w:rPr>
          <w:sz w:val="24"/>
          <w:szCs w:val="24"/>
        </w:rPr>
        <w:t xml:space="preserve">. This would have furthered the argument about how the monument would be used </w:t>
      </w:r>
      <w:r w:rsidR="002F4BC8">
        <w:rPr>
          <w:sz w:val="24"/>
          <w:szCs w:val="24"/>
        </w:rPr>
        <w:t xml:space="preserve">but </w:t>
      </w:r>
      <w:r w:rsidR="00622A4B">
        <w:rPr>
          <w:sz w:val="24"/>
          <w:szCs w:val="24"/>
        </w:rPr>
        <w:t xml:space="preserve">would also </w:t>
      </w:r>
      <w:r w:rsidR="002F4BC8">
        <w:rPr>
          <w:sz w:val="24"/>
          <w:szCs w:val="24"/>
        </w:rPr>
        <w:t>detract</w:t>
      </w:r>
      <w:r w:rsidR="005D1FE6">
        <w:rPr>
          <w:sz w:val="24"/>
          <w:szCs w:val="24"/>
        </w:rPr>
        <w:t xml:space="preserve"> from the impact the Jewish war had on these monuments.</w:t>
      </w:r>
    </w:p>
    <w:p w14:paraId="3829EF9B" w14:textId="3F766CFA" w:rsidR="00DE6CE3" w:rsidRDefault="00E87AA7" w:rsidP="00DE6CE3">
      <w:pPr>
        <w:rPr>
          <w:sz w:val="24"/>
          <w:szCs w:val="24"/>
        </w:rPr>
      </w:pPr>
      <w:r>
        <w:rPr>
          <w:sz w:val="24"/>
          <w:szCs w:val="24"/>
        </w:rPr>
        <w:t>The use of quotes and physical examples</w:t>
      </w:r>
      <w:r w:rsidR="00DE6CE3">
        <w:rPr>
          <w:sz w:val="24"/>
          <w:szCs w:val="24"/>
        </w:rPr>
        <w:t xml:space="preserve"> were made clear by Miller through how he changed the background colour for the images and shifted the quotes to the right on a sperate paragraph. Each quote is introduced with the line number and who translated, for example:</w:t>
      </w:r>
    </w:p>
    <w:p w14:paraId="503604F6" w14:textId="55CD184C" w:rsidR="00DE6CE3" w:rsidRPr="00DE6CE3" w:rsidRDefault="00DE6CE3" w:rsidP="00DE6CE3">
      <w:pPr>
        <w:rPr>
          <w:sz w:val="24"/>
          <w:szCs w:val="24"/>
        </w:rPr>
      </w:pPr>
      <w:r>
        <w:rPr>
          <w:sz w:val="24"/>
          <w:szCs w:val="24"/>
        </w:rPr>
        <w:t>“</w:t>
      </w:r>
      <w:r w:rsidRPr="00DE6CE3">
        <w:rPr>
          <w:sz w:val="24"/>
          <w:szCs w:val="24"/>
        </w:rPr>
        <w:t>impression of the first stage of the route (BJ 7. 123–31, Loeb trans.):</w:t>
      </w:r>
    </w:p>
    <w:p w14:paraId="071C8FC7" w14:textId="22DB9D1F" w:rsidR="00E87AA7" w:rsidRDefault="00DE6CE3" w:rsidP="00DE6CE3">
      <w:pPr>
        <w:ind w:firstLine="720"/>
        <w:rPr>
          <w:sz w:val="24"/>
          <w:szCs w:val="24"/>
        </w:rPr>
      </w:pPr>
      <w:r w:rsidRPr="00DE6CE3">
        <w:rPr>
          <w:sz w:val="24"/>
          <w:szCs w:val="24"/>
        </w:rPr>
        <w:t>(123) The military, while night still reigned</w:t>
      </w:r>
      <w:r>
        <w:rPr>
          <w:sz w:val="24"/>
          <w:szCs w:val="24"/>
        </w:rPr>
        <w:t>…”</w:t>
      </w:r>
      <w:r w:rsidR="00802D68">
        <w:rPr>
          <w:rStyle w:val="FootnoteReference"/>
          <w:sz w:val="24"/>
          <w:szCs w:val="24"/>
        </w:rPr>
        <w:footnoteReference w:id="9"/>
      </w:r>
    </w:p>
    <w:p w14:paraId="00307118" w14:textId="42117529" w:rsidR="00DA68B0" w:rsidRDefault="00DE6CE3" w:rsidP="00DE6CE3">
      <w:pPr>
        <w:rPr>
          <w:sz w:val="24"/>
          <w:szCs w:val="24"/>
        </w:rPr>
      </w:pPr>
      <w:r>
        <w:rPr>
          <w:sz w:val="24"/>
          <w:szCs w:val="24"/>
        </w:rPr>
        <w:t xml:space="preserve">The images are always in the top right corner of the page in a rectangular grey box, with the figure number and a brief explanation at the bottom of what the image is of. The explanations are always short almost a declaration of what the image is of, though the last figure </w:t>
      </w:r>
      <w:r w:rsidR="00FE68DA">
        <w:rPr>
          <w:sz w:val="24"/>
          <w:szCs w:val="24"/>
        </w:rPr>
        <w:t xml:space="preserve">(fig. 5) </w:t>
      </w:r>
      <w:r>
        <w:rPr>
          <w:sz w:val="24"/>
          <w:szCs w:val="24"/>
        </w:rPr>
        <w:t xml:space="preserve">is </w:t>
      </w:r>
      <w:r w:rsidR="00FE68DA">
        <w:rPr>
          <w:sz w:val="24"/>
          <w:szCs w:val="24"/>
        </w:rPr>
        <w:t>of an inscription that was in Latin and how it was etched into the stone</w:t>
      </w:r>
      <w:r w:rsidR="003A11CB">
        <w:rPr>
          <w:rStyle w:val="FootnoteReference"/>
          <w:sz w:val="24"/>
          <w:szCs w:val="24"/>
        </w:rPr>
        <w:footnoteReference w:id="10"/>
      </w:r>
      <w:r w:rsidR="00FE68DA">
        <w:rPr>
          <w:sz w:val="24"/>
          <w:szCs w:val="24"/>
        </w:rPr>
        <w:t xml:space="preserve">. </w:t>
      </w:r>
      <w:r w:rsidR="00962F3A">
        <w:rPr>
          <w:sz w:val="24"/>
          <w:szCs w:val="24"/>
        </w:rPr>
        <w:t>Each figure in this article is expanded on in the following paragraph towards the point Miller is trying to make. The quotes are used the most and if they are unavailable from the primary sources, Miller states the opinions of other authors such a</w:t>
      </w:r>
      <w:r w:rsidR="00710B6C">
        <w:rPr>
          <w:sz w:val="24"/>
          <w:szCs w:val="24"/>
        </w:rPr>
        <w:t>s</w:t>
      </w:r>
      <w:r w:rsidR="00710B6C" w:rsidRPr="00710B6C">
        <w:rPr>
          <w:sz w:val="24"/>
          <w:szCs w:val="24"/>
        </w:rPr>
        <w:t xml:space="preserve"> Michael </w:t>
      </w:r>
      <w:proofErr w:type="spellStart"/>
      <w:r w:rsidR="00710B6C" w:rsidRPr="00710B6C">
        <w:rPr>
          <w:sz w:val="24"/>
          <w:szCs w:val="24"/>
        </w:rPr>
        <w:t>Pfanner</w:t>
      </w:r>
      <w:proofErr w:type="spellEnd"/>
      <w:r w:rsidR="00D564FE">
        <w:rPr>
          <w:sz w:val="24"/>
          <w:szCs w:val="24"/>
        </w:rPr>
        <w:t xml:space="preserve"> and </w:t>
      </w:r>
      <w:r w:rsidR="00D564FE" w:rsidRPr="00D564FE">
        <w:rPr>
          <w:sz w:val="24"/>
          <w:szCs w:val="24"/>
        </w:rPr>
        <w:t xml:space="preserve">Margareta </w:t>
      </w:r>
      <w:proofErr w:type="spellStart"/>
      <w:r w:rsidR="00D564FE" w:rsidRPr="00D564FE">
        <w:rPr>
          <w:sz w:val="24"/>
          <w:szCs w:val="24"/>
        </w:rPr>
        <w:t>Steinby</w:t>
      </w:r>
      <w:proofErr w:type="spellEnd"/>
      <w:r w:rsidR="00802D68">
        <w:rPr>
          <w:rStyle w:val="FootnoteReference"/>
          <w:sz w:val="24"/>
          <w:szCs w:val="24"/>
        </w:rPr>
        <w:footnoteReference w:id="11"/>
      </w:r>
      <w:r w:rsidR="00962F3A">
        <w:rPr>
          <w:sz w:val="24"/>
          <w:szCs w:val="24"/>
        </w:rPr>
        <w:t>.</w:t>
      </w:r>
      <w:r w:rsidR="00D564FE">
        <w:rPr>
          <w:sz w:val="24"/>
          <w:szCs w:val="24"/>
        </w:rPr>
        <w:t xml:space="preserve"> Both these authors perspectives add depth to Millers Interpretation of the monuments, with </w:t>
      </w:r>
      <w:proofErr w:type="spellStart"/>
      <w:r w:rsidR="00D564FE">
        <w:rPr>
          <w:sz w:val="24"/>
          <w:szCs w:val="24"/>
        </w:rPr>
        <w:t>Steinby’s</w:t>
      </w:r>
      <w:proofErr w:type="spellEnd"/>
      <w:r w:rsidR="00D564FE">
        <w:rPr>
          <w:sz w:val="24"/>
          <w:szCs w:val="24"/>
        </w:rPr>
        <w:t xml:space="preserve"> view contrasting with Miller. </w:t>
      </w:r>
      <w:r w:rsidR="00F54187">
        <w:rPr>
          <w:sz w:val="24"/>
          <w:szCs w:val="24"/>
        </w:rPr>
        <w:t xml:space="preserve">The use of different others or </w:t>
      </w:r>
      <w:r w:rsidR="00F54187">
        <w:rPr>
          <w:sz w:val="24"/>
          <w:szCs w:val="24"/>
        </w:rPr>
        <w:lastRenderedPageBreak/>
        <w:t xml:space="preserve">contrasting possibilities for where the spoils of war and purpose of the monuments gave the arguments Miller put forward greater weight in academia. </w:t>
      </w:r>
    </w:p>
    <w:p w14:paraId="29CD7E66" w14:textId="429136FB" w:rsidR="00710B6C" w:rsidRDefault="00DA68B0" w:rsidP="00DE6CE3">
      <w:pPr>
        <w:rPr>
          <w:sz w:val="24"/>
          <w:szCs w:val="24"/>
        </w:rPr>
      </w:pPr>
      <w:r>
        <w:rPr>
          <w:sz w:val="24"/>
          <w:szCs w:val="24"/>
        </w:rPr>
        <w:t>Millers chosen format makes his article straight forward to read, as each point leads on from where the last point finishes. This creates seamless prose which make for easier reading, many articles on the classic and Hellenistic worlds use small fonts to increase the information given to the reader</w:t>
      </w:r>
      <w:r w:rsidR="003A11CB">
        <w:rPr>
          <w:rStyle w:val="FootnoteReference"/>
          <w:sz w:val="24"/>
          <w:szCs w:val="24"/>
        </w:rPr>
        <w:footnoteReference w:id="12"/>
      </w:r>
      <w:r>
        <w:rPr>
          <w:sz w:val="24"/>
          <w:szCs w:val="24"/>
        </w:rPr>
        <w:t xml:space="preserve">. </w:t>
      </w:r>
      <w:r w:rsidR="00710B6C">
        <w:rPr>
          <w:sz w:val="24"/>
          <w:szCs w:val="24"/>
        </w:rPr>
        <w:t xml:space="preserve">The main clearest point Miller makes is summarised in the Quote bellow: </w:t>
      </w:r>
    </w:p>
    <w:p w14:paraId="4B0F550A" w14:textId="043ABB8F" w:rsidR="00DE6CE3" w:rsidRDefault="00710B6C" w:rsidP="00710B6C">
      <w:pPr>
        <w:ind w:left="720"/>
        <w:rPr>
          <w:sz w:val="24"/>
          <w:szCs w:val="24"/>
        </w:rPr>
      </w:pPr>
      <w:r>
        <w:rPr>
          <w:sz w:val="24"/>
          <w:szCs w:val="24"/>
        </w:rPr>
        <w:t>“</w:t>
      </w:r>
      <w:r w:rsidRPr="00710B6C">
        <w:rPr>
          <w:sz w:val="24"/>
          <w:szCs w:val="24"/>
        </w:rPr>
        <w:t>On any interpretation, the theme of the defeat of the Jews and the destruction of Jerusalem, coinciding with the need for self- assertion on the part of a new dynasty, and with the need to establish an emphatic public contrast with Nero, left a remarkable imprint on the evolution of public monuments in Imperial Rome</w:t>
      </w:r>
      <w:r>
        <w:rPr>
          <w:sz w:val="24"/>
          <w:szCs w:val="24"/>
        </w:rPr>
        <w:t>”</w:t>
      </w:r>
      <w:r w:rsidR="00802D68">
        <w:rPr>
          <w:rStyle w:val="FootnoteReference"/>
          <w:sz w:val="24"/>
          <w:szCs w:val="24"/>
        </w:rPr>
        <w:footnoteReference w:id="13"/>
      </w:r>
      <w:r>
        <w:rPr>
          <w:sz w:val="24"/>
          <w:szCs w:val="24"/>
        </w:rPr>
        <w:t xml:space="preserve"> </w:t>
      </w:r>
    </w:p>
    <w:p w14:paraId="60B9EEE5" w14:textId="33C83EBB" w:rsidR="00710B6C" w:rsidRDefault="00710B6C" w:rsidP="000F2F83">
      <w:pPr>
        <w:rPr>
          <w:sz w:val="24"/>
          <w:szCs w:val="24"/>
        </w:rPr>
      </w:pPr>
      <w:r>
        <w:rPr>
          <w:sz w:val="24"/>
          <w:szCs w:val="24"/>
        </w:rPr>
        <w:t>This point</w:t>
      </w:r>
      <w:r w:rsidR="00D564FE">
        <w:rPr>
          <w:sz w:val="24"/>
          <w:szCs w:val="24"/>
        </w:rPr>
        <w:t xml:space="preserve"> is one of two that Miller conclude the article with. The other point being the longevity of the monuments, which people living in Rome hundreds of years later knowing the stories attached to them. This makes them exceptionally good evidence of the success that the Flavian dynasty had in using their victory in the greatest effect. </w:t>
      </w:r>
    </w:p>
    <w:p w14:paraId="74D8E361" w14:textId="4F54B921" w:rsidR="000F2F83" w:rsidRDefault="00E87AA7" w:rsidP="000F2F83">
      <w:pPr>
        <w:rPr>
          <w:sz w:val="24"/>
          <w:szCs w:val="24"/>
        </w:rPr>
      </w:pPr>
      <w:r>
        <w:rPr>
          <w:sz w:val="24"/>
          <w:szCs w:val="24"/>
        </w:rPr>
        <w:t xml:space="preserve">To conclude my review of this article I will state that I found it </w:t>
      </w:r>
      <w:r w:rsidR="00D854D8">
        <w:rPr>
          <w:sz w:val="24"/>
          <w:szCs w:val="24"/>
        </w:rPr>
        <w:t xml:space="preserve">clear and well thought out in its arguments but not </w:t>
      </w:r>
      <w:r w:rsidR="00802D68">
        <w:rPr>
          <w:sz w:val="24"/>
          <w:szCs w:val="24"/>
        </w:rPr>
        <w:t>written in</w:t>
      </w:r>
      <w:r w:rsidR="00D854D8">
        <w:rPr>
          <w:sz w:val="24"/>
          <w:szCs w:val="24"/>
        </w:rPr>
        <w:t xml:space="preserve"> my preferred style. This may just be due to the lack of understanding some of the terms used by the </w:t>
      </w:r>
      <w:r w:rsidR="00802D68">
        <w:rPr>
          <w:sz w:val="24"/>
          <w:szCs w:val="24"/>
        </w:rPr>
        <w:t>a</w:t>
      </w:r>
      <w:r w:rsidR="00D854D8">
        <w:rPr>
          <w:sz w:val="24"/>
          <w:szCs w:val="24"/>
        </w:rPr>
        <w:t>uthor that are not as beginner friendly as they are not as fully explained as they could be</w:t>
      </w:r>
      <w:r w:rsidR="0055600C">
        <w:rPr>
          <w:sz w:val="24"/>
          <w:szCs w:val="24"/>
        </w:rPr>
        <w:t xml:space="preserve"> or are in Latin</w:t>
      </w:r>
      <w:r w:rsidR="00D854D8">
        <w:rPr>
          <w:sz w:val="24"/>
          <w:szCs w:val="24"/>
        </w:rPr>
        <w:t xml:space="preserve">. </w:t>
      </w:r>
      <w:r w:rsidR="00802D68">
        <w:rPr>
          <w:sz w:val="24"/>
          <w:szCs w:val="24"/>
        </w:rPr>
        <w:t xml:space="preserve"> The constant use of place names as they were in Rome I can be disorientating, and a labelled map of the city being talked about would have been appreciated. </w:t>
      </w:r>
      <w:r w:rsidR="00DE6CE3">
        <w:rPr>
          <w:sz w:val="24"/>
          <w:szCs w:val="24"/>
        </w:rPr>
        <w:t xml:space="preserve">It was engaging to read due to the explanations given to each piece of evidence or quote used by </w:t>
      </w:r>
      <w:r w:rsidR="00F06588">
        <w:rPr>
          <w:sz w:val="24"/>
          <w:szCs w:val="24"/>
        </w:rPr>
        <w:t>Miller, but I would have liked greater and clearer photo evidence of the monuments</w:t>
      </w:r>
      <w:r w:rsidR="00DE6CE3">
        <w:rPr>
          <w:sz w:val="24"/>
          <w:szCs w:val="24"/>
        </w:rPr>
        <w:t xml:space="preserve">. </w:t>
      </w:r>
      <w:r w:rsidR="0010686B">
        <w:rPr>
          <w:sz w:val="24"/>
          <w:szCs w:val="24"/>
        </w:rPr>
        <w:t xml:space="preserve">I have found that the article lived up to its title </w:t>
      </w:r>
      <w:r w:rsidR="0010686B">
        <w:rPr>
          <w:sz w:val="24"/>
          <w:szCs w:val="24"/>
        </w:rPr>
        <w:t>“Last year in Jerusalem: Monuments of the Jewish war in Rome I”</w:t>
      </w:r>
      <w:r w:rsidR="0010686B" w:rsidRPr="0010686B">
        <w:rPr>
          <w:sz w:val="24"/>
          <w:szCs w:val="24"/>
        </w:rPr>
        <w:t xml:space="preserve"> </w:t>
      </w:r>
      <w:r w:rsidR="0010686B">
        <w:rPr>
          <w:sz w:val="24"/>
          <w:szCs w:val="24"/>
        </w:rPr>
        <w:t xml:space="preserve">as </w:t>
      </w:r>
      <w:r w:rsidR="0010686B">
        <w:rPr>
          <w:sz w:val="24"/>
          <w:szCs w:val="24"/>
        </w:rPr>
        <w:t xml:space="preserve">it gives </w:t>
      </w:r>
      <w:r w:rsidR="0010686B">
        <w:rPr>
          <w:sz w:val="24"/>
          <w:szCs w:val="24"/>
        </w:rPr>
        <w:t xml:space="preserve">an overview </w:t>
      </w:r>
      <w:r w:rsidR="0010686B">
        <w:rPr>
          <w:sz w:val="24"/>
          <w:szCs w:val="24"/>
        </w:rPr>
        <w:t xml:space="preserve">and timeline for the creation and reasoning behind the monuments built to celebrate the Roman victory in the Jewish War. </w:t>
      </w:r>
    </w:p>
    <w:p w14:paraId="422B2545" w14:textId="0C418D4E" w:rsidR="000F2F83" w:rsidRDefault="000F2F83" w:rsidP="000F2F83">
      <w:pPr>
        <w:rPr>
          <w:sz w:val="24"/>
          <w:szCs w:val="24"/>
        </w:rPr>
      </w:pPr>
    </w:p>
    <w:p w14:paraId="6C6F4C2D" w14:textId="5348E398" w:rsidR="000F2F83" w:rsidRDefault="000F2F83" w:rsidP="000F2F83">
      <w:pPr>
        <w:rPr>
          <w:sz w:val="24"/>
          <w:szCs w:val="24"/>
        </w:rPr>
      </w:pPr>
      <w:r>
        <w:rPr>
          <w:b/>
          <w:bCs/>
          <w:sz w:val="24"/>
          <w:szCs w:val="24"/>
        </w:rPr>
        <w:t>Bibliography-</w:t>
      </w:r>
    </w:p>
    <w:p w14:paraId="604318F0" w14:textId="368F6FCC" w:rsidR="000F2F83" w:rsidRPr="00817A9B" w:rsidRDefault="00904FEE" w:rsidP="009C65EF">
      <w:pPr>
        <w:pStyle w:val="ListParagraph"/>
        <w:numPr>
          <w:ilvl w:val="0"/>
          <w:numId w:val="1"/>
        </w:numPr>
        <w:rPr>
          <w:sz w:val="24"/>
          <w:szCs w:val="24"/>
        </w:rPr>
      </w:pPr>
      <w:r w:rsidRPr="00817A9B">
        <w:rPr>
          <w:sz w:val="24"/>
          <w:szCs w:val="24"/>
        </w:rPr>
        <w:t xml:space="preserve">Miller, F. 2005. </w:t>
      </w:r>
      <w:r w:rsidRPr="00817A9B">
        <w:rPr>
          <w:i/>
          <w:iCs/>
          <w:sz w:val="24"/>
          <w:szCs w:val="24"/>
        </w:rPr>
        <w:t xml:space="preserve">Last year in Jerusalem: Monuments of the Jewish war in Rome I. </w:t>
      </w:r>
      <w:r w:rsidRPr="00817A9B">
        <w:rPr>
          <w:sz w:val="24"/>
          <w:szCs w:val="24"/>
        </w:rPr>
        <w:t xml:space="preserve">in. </w:t>
      </w:r>
      <w:proofErr w:type="spellStart"/>
      <w:r w:rsidRPr="00817A9B">
        <w:rPr>
          <w:sz w:val="24"/>
          <w:szCs w:val="24"/>
        </w:rPr>
        <w:t>Edmonson</w:t>
      </w:r>
      <w:proofErr w:type="spellEnd"/>
      <w:r w:rsidRPr="00817A9B">
        <w:rPr>
          <w:sz w:val="24"/>
          <w:szCs w:val="24"/>
        </w:rPr>
        <w:t xml:space="preserve">, J. Mason, S. Rives, J. ed. 2005. </w:t>
      </w:r>
      <w:r w:rsidRPr="00817A9B">
        <w:rPr>
          <w:i/>
          <w:iCs/>
          <w:sz w:val="24"/>
          <w:szCs w:val="24"/>
        </w:rPr>
        <w:t>Flavius Josephus and Flavian Rome</w:t>
      </w:r>
      <w:r w:rsidRPr="00817A9B">
        <w:rPr>
          <w:sz w:val="24"/>
          <w:szCs w:val="24"/>
        </w:rPr>
        <w:t xml:space="preserve">. Oxford University Press. Oxford.  </w:t>
      </w:r>
      <w:r w:rsidRPr="00817A9B">
        <w:rPr>
          <w:sz w:val="24"/>
          <w:szCs w:val="24"/>
        </w:rPr>
        <w:t>DOI:10.1093/</w:t>
      </w:r>
      <w:proofErr w:type="spellStart"/>
      <w:r w:rsidRPr="00817A9B">
        <w:rPr>
          <w:sz w:val="24"/>
          <w:szCs w:val="24"/>
        </w:rPr>
        <w:t>acprof:oso</w:t>
      </w:r>
      <w:proofErr w:type="spellEnd"/>
      <w:r w:rsidRPr="00817A9B">
        <w:rPr>
          <w:sz w:val="24"/>
          <w:szCs w:val="24"/>
        </w:rPr>
        <w:t>/9780199262120.003.0006</w:t>
      </w:r>
    </w:p>
    <w:p w14:paraId="01733A09" w14:textId="1BDC44A7" w:rsidR="000F2F83" w:rsidRPr="00817A9B" w:rsidRDefault="009C65EF" w:rsidP="000F2F83">
      <w:pPr>
        <w:pStyle w:val="ListParagraph"/>
        <w:numPr>
          <w:ilvl w:val="0"/>
          <w:numId w:val="1"/>
        </w:numPr>
        <w:rPr>
          <w:sz w:val="24"/>
          <w:szCs w:val="24"/>
        </w:rPr>
      </w:pPr>
      <w:r w:rsidRPr="00817A9B">
        <w:rPr>
          <w:sz w:val="24"/>
          <w:szCs w:val="24"/>
        </w:rPr>
        <w:t xml:space="preserve">Cartwright, M. 2013. </w:t>
      </w:r>
      <w:r w:rsidRPr="00817A9B">
        <w:rPr>
          <w:i/>
          <w:iCs/>
          <w:sz w:val="24"/>
          <w:szCs w:val="24"/>
        </w:rPr>
        <w:t>The arch of Titus, Rome.</w:t>
      </w:r>
      <w:r w:rsidRPr="00817A9B">
        <w:rPr>
          <w:sz w:val="24"/>
          <w:szCs w:val="24"/>
        </w:rPr>
        <w:t xml:space="preserve"> </w:t>
      </w:r>
      <w:hyperlink r:id="rId8" w:history="1">
        <w:r w:rsidRPr="00817A9B">
          <w:rPr>
            <w:rStyle w:val="Hyperlink"/>
            <w:sz w:val="24"/>
            <w:szCs w:val="24"/>
          </w:rPr>
          <w:t>https://www.ancient.eu/article/499/the-arch-of-titus-rome/</w:t>
        </w:r>
      </w:hyperlink>
      <w:r w:rsidRPr="00817A9B">
        <w:rPr>
          <w:sz w:val="24"/>
          <w:szCs w:val="24"/>
        </w:rPr>
        <w:t xml:space="preserve">  accessed- 28/05/2020</w:t>
      </w:r>
    </w:p>
    <w:p w14:paraId="6C426EF7" w14:textId="65B3289B" w:rsidR="009C65EF" w:rsidRPr="00817A9B" w:rsidRDefault="005D1FE6" w:rsidP="000F2F83">
      <w:pPr>
        <w:pStyle w:val="ListParagraph"/>
        <w:numPr>
          <w:ilvl w:val="0"/>
          <w:numId w:val="1"/>
        </w:numPr>
        <w:rPr>
          <w:sz w:val="24"/>
          <w:szCs w:val="24"/>
        </w:rPr>
      </w:pPr>
      <w:r w:rsidRPr="00817A9B">
        <w:rPr>
          <w:sz w:val="24"/>
          <w:szCs w:val="24"/>
        </w:rPr>
        <w:t xml:space="preserve">Jimkuo2. 2004. </w:t>
      </w:r>
      <w:r w:rsidRPr="00817A9B">
        <w:rPr>
          <w:i/>
          <w:iCs/>
          <w:sz w:val="24"/>
          <w:szCs w:val="24"/>
        </w:rPr>
        <w:t xml:space="preserve">The colosseum: Power, Brilliance and Brutality. </w:t>
      </w:r>
      <w:hyperlink r:id="rId9" w:history="1">
        <w:r w:rsidRPr="00817A9B">
          <w:rPr>
            <w:rStyle w:val="Hyperlink"/>
            <w:sz w:val="24"/>
            <w:szCs w:val="24"/>
          </w:rPr>
          <w:t>https://depts.washington.edu/hrome/Authors/jimkuo2/IlColosseo/pub_zbarticle_view_printable.html</w:t>
        </w:r>
      </w:hyperlink>
      <w:r w:rsidRPr="00817A9B">
        <w:rPr>
          <w:sz w:val="24"/>
          <w:szCs w:val="24"/>
        </w:rPr>
        <w:t xml:space="preserve">   accessed- 29/05/2020</w:t>
      </w:r>
    </w:p>
    <w:sectPr w:rsidR="009C65EF" w:rsidRPr="00817A9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AA6122" w14:textId="77777777" w:rsidR="00332080" w:rsidRDefault="00332080" w:rsidP="000F2F83">
      <w:pPr>
        <w:spacing w:after="0" w:line="240" w:lineRule="auto"/>
      </w:pPr>
      <w:r>
        <w:separator/>
      </w:r>
    </w:p>
  </w:endnote>
  <w:endnote w:type="continuationSeparator" w:id="0">
    <w:p w14:paraId="16E1CEC5" w14:textId="77777777" w:rsidR="00332080" w:rsidRDefault="00332080" w:rsidP="000F2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C916C3" w14:textId="77777777" w:rsidR="00332080" w:rsidRDefault="00332080" w:rsidP="000F2F83">
      <w:pPr>
        <w:spacing w:after="0" w:line="240" w:lineRule="auto"/>
      </w:pPr>
      <w:r>
        <w:separator/>
      </w:r>
    </w:p>
  </w:footnote>
  <w:footnote w:type="continuationSeparator" w:id="0">
    <w:p w14:paraId="63626F48" w14:textId="77777777" w:rsidR="00332080" w:rsidRDefault="00332080" w:rsidP="000F2F83">
      <w:pPr>
        <w:spacing w:after="0" w:line="240" w:lineRule="auto"/>
      </w:pPr>
      <w:r>
        <w:continuationSeparator/>
      </w:r>
    </w:p>
  </w:footnote>
  <w:footnote w:id="1">
    <w:p w14:paraId="008C678D" w14:textId="615D2312" w:rsidR="00802D68" w:rsidRDefault="00802D68">
      <w:pPr>
        <w:pStyle w:val="FootnoteText"/>
      </w:pPr>
      <w:r>
        <w:rPr>
          <w:rStyle w:val="FootnoteReference"/>
        </w:rPr>
        <w:footnoteRef/>
      </w:r>
      <w:r w:rsidRPr="00802D68">
        <w:rPr>
          <w:sz w:val="16"/>
          <w:szCs w:val="16"/>
        </w:rPr>
        <w:t xml:space="preserve"> </w:t>
      </w:r>
      <w:r w:rsidRPr="00802D68">
        <w:t>Miller. 2005</w:t>
      </w:r>
    </w:p>
  </w:footnote>
  <w:footnote w:id="2">
    <w:p w14:paraId="065871C5" w14:textId="1085B3C6" w:rsidR="00802D68" w:rsidRDefault="00802D68">
      <w:pPr>
        <w:pStyle w:val="FootnoteText"/>
      </w:pPr>
      <w:r>
        <w:rPr>
          <w:rStyle w:val="FootnoteReference"/>
        </w:rPr>
        <w:footnoteRef/>
      </w:r>
      <w:r>
        <w:t xml:space="preserve"> </w:t>
      </w:r>
      <w:r w:rsidRPr="00802D68">
        <w:t>Miller. 2005</w:t>
      </w:r>
    </w:p>
  </w:footnote>
  <w:footnote w:id="3">
    <w:p w14:paraId="7D2BE76D" w14:textId="357E1B13" w:rsidR="00802D68" w:rsidRDefault="00802D68">
      <w:pPr>
        <w:pStyle w:val="FootnoteText"/>
      </w:pPr>
      <w:r>
        <w:rPr>
          <w:rStyle w:val="FootnoteReference"/>
        </w:rPr>
        <w:footnoteRef/>
      </w:r>
      <w:r>
        <w:t xml:space="preserve"> </w:t>
      </w:r>
      <w:r w:rsidRPr="00802D68">
        <w:t>Miller. 2005</w:t>
      </w:r>
    </w:p>
  </w:footnote>
  <w:footnote w:id="4">
    <w:p w14:paraId="04605A82" w14:textId="2F787C9B" w:rsidR="00802D68" w:rsidRDefault="00802D68">
      <w:pPr>
        <w:pStyle w:val="FootnoteText"/>
      </w:pPr>
      <w:r>
        <w:rPr>
          <w:rStyle w:val="FootnoteReference"/>
        </w:rPr>
        <w:footnoteRef/>
      </w:r>
      <w:r>
        <w:t xml:space="preserve"> </w:t>
      </w:r>
      <w:r w:rsidRPr="00802D68">
        <w:t>Miller. 2005</w:t>
      </w:r>
    </w:p>
  </w:footnote>
  <w:footnote w:id="5">
    <w:p w14:paraId="10600AC3" w14:textId="591A55E5" w:rsidR="00ED28C3" w:rsidRDefault="00ED28C3">
      <w:pPr>
        <w:pStyle w:val="FootnoteText"/>
      </w:pPr>
      <w:r>
        <w:rPr>
          <w:rStyle w:val="FootnoteReference"/>
        </w:rPr>
        <w:footnoteRef/>
      </w:r>
      <w:r>
        <w:t xml:space="preserve"> Miller. 2005. </w:t>
      </w:r>
    </w:p>
  </w:footnote>
  <w:footnote w:id="6">
    <w:p w14:paraId="28A1EA76" w14:textId="5A55A659" w:rsidR="00802D68" w:rsidRDefault="00802D68">
      <w:pPr>
        <w:pStyle w:val="FootnoteText"/>
      </w:pPr>
      <w:r>
        <w:rPr>
          <w:rStyle w:val="FootnoteReference"/>
        </w:rPr>
        <w:footnoteRef/>
      </w:r>
      <w:r>
        <w:t xml:space="preserve"> </w:t>
      </w:r>
      <w:r w:rsidRPr="00802D68">
        <w:t>Miller. 2005</w:t>
      </w:r>
    </w:p>
  </w:footnote>
  <w:footnote w:id="7">
    <w:p w14:paraId="12AFAE6D" w14:textId="0D6DCEA5" w:rsidR="009C65EF" w:rsidRDefault="009C65EF">
      <w:pPr>
        <w:pStyle w:val="FootnoteText"/>
      </w:pPr>
      <w:r>
        <w:rPr>
          <w:rStyle w:val="FootnoteReference"/>
        </w:rPr>
        <w:footnoteRef/>
      </w:r>
      <w:r>
        <w:t xml:space="preserve"> </w:t>
      </w:r>
      <w:r w:rsidR="005D1FE6">
        <w:t>Cartwright. 2013.</w:t>
      </w:r>
    </w:p>
  </w:footnote>
  <w:footnote w:id="8">
    <w:p w14:paraId="67D78E6A" w14:textId="30B9E305" w:rsidR="005D1FE6" w:rsidRDefault="005D1FE6">
      <w:pPr>
        <w:pStyle w:val="FootnoteText"/>
      </w:pPr>
      <w:r>
        <w:rPr>
          <w:rStyle w:val="FootnoteReference"/>
        </w:rPr>
        <w:footnoteRef/>
      </w:r>
      <w:r>
        <w:t xml:space="preserve"> Jimkuo2. 2004.</w:t>
      </w:r>
    </w:p>
  </w:footnote>
  <w:footnote w:id="9">
    <w:p w14:paraId="5E2765B5" w14:textId="0AE1670B" w:rsidR="00802D68" w:rsidRDefault="00802D68">
      <w:pPr>
        <w:pStyle w:val="FootnoteText"/>
      </w:pPr>
      <w:r>
        <w:rPr>
          <w:rStyle w:val="FootnoteReference"/>
        </w:rPr>
        <w:footnoteRef/>
      </w:r>
      <w:r>
        <w:t xml:space="preserve"> </w:t>
      </w:r>
      <w:r w:rsidRPr="00802D68">
        <w:t>Miller. 2005</w:t>
      </w:r>
    </w:p>
  </w:footnote>
  <w:footnote w:id="10">
    <w:p w14:paraId="32C87DA3" w14:textId="337DD498" w:rsidR="003A11CB" w:rsidRDefault="003A11CB">
      <w:pPr>
        <w:pStyle w:val="FootnoteText"/>
      </w:pPr>
      <w:r>
        <w:rPr>
          <w:rStyle w:val="FootnoteReference"/>
        </w:rPr>
        <w:footnoteRef/>
      </w:r>
      <w:r>
        <w:t xml:space="preserve"> </w:t>
      </w:r>
      <w:r w:rsidRPr="00802D68">
        <w:t>Miller. 2005</w:t>
      </w:r>
    </w:p>
  </w:footnote>
  <w:footnote w:id="11">
    <w:p w14:paraId="1D6A35AF" w14:textId="353F0F2F" w:rsidR="00802D68" w:rsidRDefault="00802D68">
      <w:pPr>
        <w:pStyle w:val="FootnoteText"/>
      </w:pPr>
      <w:r>
        <w:rPr>
          <w:rStyle w:val="FootnoteReference"/>
        </w:rPr>
        <w:footnoteRef/>
      </w:r>
      <w:r>
        <w:t xml:space="preserve"> </w:t>
      </w:r>
      <w:r w:rsidRPr="00802D68">
        <w:t>Miller. 2005</w:t>
      </w:r>
    </w:p>
  </w:footnote>
  <w:footnote w:id="12">
    <w:p w14:paraId="57F72103" w14:textId="34ADB07E" w:rsidR="003A11CB" w:rsidRDefault="003A11CB">
      <w:pPr>
        <w:pStyle w:val="FootnoteText"/>
      </w:pPr>
      <w:r>
        <w:rPr>
          <w:rStyle w:val="FootnoteReference"/>
        </w:rPr>
        <w:footnoteRef/>
      </w:r>
      <w:r>
        <w:t xml:space="preserve"> </w:t>
      </w:r>
      <w:r w:rsidR="005D1FE6">
        <w:t>Jimkuo2. 2004.</w:t>
      </w:r>
    </w:p>
  </w:footnote>
  <w:footnote w:id="13">
    <w:p w14:paraId="5C3A1704" w14:textId="48374793" w:rsidR="00802D68" w:rsidRDefault="00802D68">
      <w:pPr>
        <w:pStyle w:val="FootnoteText"/>
      </w:pPr>
      <w:r>
        <w:rPr>
          <w:rStyle w:val="FootnoteReference"/>
        </w:rPr>
        <w:footnoteRef/>
      </w:r>
      <w:r>
        <w:t xml:space="preserve"> </w:t>
      </w:r>
      <w:r w:rsidRPr="00802D68">
        <w:t>Miller. 2005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alias w:val="Author"/>
      <w:tag w:val=""/>
      <w:id w:val="828256348"/>
      <w:placeholder>
        <w:docPart w:val="EEAD7024C1DC4933B1DC5B504EA42136"/>
      </w:placeholder>
      <w:dataBinding w:prefixMappings="xmlns:ns0='http://purl.org/dc/elements/1.1/' xmlns:ns1='http://schemas.openxmlformats.org/package/2006/metadata/core-properties' " w:xpath="/ns1:coreProperties[1]/ns0:creator[1]" w:storeItemID="{6C3C8BC8-F283-45AE-878A-BAB7291924A1}"/>
      <w:text/>
    </w:sdtPr>
    <w:sdtEndPr/>
    <w:sdtContent>
      <w:p w14:paraId="58622A71" w14:textId="157161A7" w:rsidR="000F2F83" w:rsidRDefault="000F2F83">
        <w:pPr>
          <w:pStyle w:val="Header"/>
        </w:pPr>
        <w:r>
          <w:t>Lorna Kelly</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D82AAF"/>
    <w:multiLevelType w:val="hybridMultilevel"/>
    <w:tmpl w:val="6388E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F83"/>
    <w:rsid w:val="000F2F83"/>
    <w:rsid w:val="0010686B"/>
    <w:rsid w:val="00176157"/>
    <w:rsid w:val="001E7AF6"/>
    <w:rsid w:val="0027093C"/>
    <w:rsid w:val="002F4BC8"/>
    <w:rsid w:val="00332080"/>
    <w:rsid w:val="003A11CB"/>
    <w:rsid w:val="004202FC"/>
    <w:rsid w:val="0055600C"/>
    <w:rsid w:val="005C2DFC"/>
    <w:rsid w:val="005D1FE6"/>
    <w:rsid w:val="00622A4B"/>
    <w:rsid w:val="00710B6C"/>
    <w:rsid w:val="00745F5E"/>
    <w:rsid w:val="00802D68"/>
    <w:rsid w:val="00817A9B"/>
    <w:rsid w:val="00872E5E"/>
    <w:rsid w:val="00904FEE"/>
    <w:rsid w:val="00962F3A"/>
    <w:rsid w:val="00985803"/>
    <w:rsid w:val="009C65EF"/>
    <w:rsid w:val="00A42ECE"/>
    <w:rsid w:val="00BB6CD1"/>
    <w:rsid w:val="00C30167"/>
    <w:rsid w:val="00D564FE"/>
    <w:rsid w:val="00D854D8"/>
    <w:rsid w:val="00D93B37"/>
    <w:rsid w:val="00DA310E"/>
    <w:rsid w:val="00DA68B0"/>
    <w:rsid w:val="00DE6CE3"/>
    <w:rsid w:val="00E87AA7"/>
    <w:rsid w:val="00ED03DE"/>
    <w:rsid w:val="00ED28C3"/>
    <w:rsid w:val="00F06588"/>
    <w:rsid w:val="00F54187"/>
    <w:rsid w:val="00FE6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E7137"/>
  <w15:chartTrackingRefBased/>
  <w15:docId w15:val="{B793B27C-73A7-4388-BBED-421E3B2E8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F83"/>
  </w:style>
  <w:style w:type="paragraph" w:styleId="Footer">
    <w:name w:val="footer"/>
    <w:basedOn w:val="Normal"/>
    <w:link w:val="FooterChar"/>
    <w:uiPriority w:val="99"/>
    <w:unhideWhenUsed/>
    <w:rsid w:val="000F2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F83"/>
  </w:style>
  <w:style w:type="character" w:styleId="PlaceholderText">
    <w:name w:val="Placeholder Text"/>
    <w:basedOn w:val="DefaultParagraphFont"/>
    <w:uiPriority w:val="99"/>
    <w:semiHidden/>
    <w:rsid w:val="000F2F83"/>
    <w:rPr>
      <w:color w:val="808080"/>
    </w:rPr>
  </w:style>
  <w:style w:type="paragraph" w:styleId="ListParagraph">
    <w:name w:val="List Paragraph"/>
    <w:basedOn w:val="Normal"/>
    <w:uiPriority w:val="34"/>
    <w:qFormat/>
    <w:rsid w:val="00904FEE"/>
    <w:pPr>
      <w:ind w:left="720"/>
      <w:contextualSpacing/>
    </w:pPr>
  </w:style>
  <w:style w:type="paragraph" w:styleId="FootnoteText">
    <w:name w:val="footnote text"/>
    <w:basedOn w:val="Normal"/>
    <w:link w:val="FootnoteTextChar"/>
    <w:uiPriority w:val="99"/>
    <w:semiHidden/>
    <w:unhideWhenUsed/>
    <w:rsid w:val="00802D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2D68"/>
    <w:rPr>
      <w:sz w:val="20"/>
      <w:szCs w:val="20"/>
    </w:rPr>
  </w:style>
  <w:style w:type="character" w:styleId="FootnoteReference">
    <w:name w:val="footnote reference"/>
    <w:basedOn w:val="DefaultParagraphFont"/>
    <w:uiPriority w:val="99"/>
    <w:semiHidden/>
    <w:unhideWhenUsed/>
    <w:rsid w:val="00802D68"/>
    <w:rPr>
      <w:vertAlign w:val="superscript"/>
    </w:rPr>
  </w:style>
  <w:style w:type="character" w:styleId="Hyperlink">
    <w:name w:val="Hyperlink"/>
    <w:basedOn w:val="DefaultParagraphFont"/>
    <w:uiPriority w:val="99"/>
    <w:semiHidden/>
    <w:unhideWhenUsed/>
    <w:rsid w:val="009C65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article/499/the-arch-of-titus-rom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epts.washington.edu/hrome/Authors/jimkuo2/IlColosseo/pub_zbarticle_view_printabl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EAD7024C1DC4933B1DC5B504EA42136"/>
        <w:category>
          <w:name w:val="General"/>
          <w:gallery w:val="placeholder"/>
        </w:category>
        <w:types>
          <w:type w:val="bbPlcHdr"/>
        </w:types>
        <w:behaviors>
          <w:behavior w:val="content"/>
        </w:behaviors>
        <w:guid w:val="{3F519843-1FB4-494F-AD40-396534786932}"/>
      </w:docPartPr>
      <w:docPartBody>
        <w:p w:rsidR="007245FD" w:rsidRDefault="00531054">
          <w:r w:rsidRPr="00AD58AB">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054"/>
    <w:rsid w:val="000B489D"/>
    <w:rsid w:val="00102200"/>
    <w:rsid w:val="00531054"/>
    <w:rsid w:val="007245FD"/>
    <w:rsid w:val="007F7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054"/>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105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07A4FE-3432-4CB6-B6CC-0A0EC0246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3</Pages>
  <Words>1256</Words>
  <Characters>7164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Kelly</dc:creator>
  <cp:keywords/>
  <dc:description/>
  <cp:lastModifiedBy>Lorna Kelly</cp:lastModifiedBy>
  <cp:revision>33</cp:revision>
  <dcterms:created xsi:type="dcterms:W3CDTF">2020-05-27T15:11:00Z</dcterms:created>
  <dcterms:modified xsi:type="dcterms:W3CDTF">2020-05-29T17:08:00Z</dcterms:modified>
</cp:coreProperties>
</file>