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Bold" w:hAnsi="Times New Roman Bold" w:cs="Times New Roman Bold"/>
          <w:b/>
          <w:bCs w:val="0"/>
          <w:sz w:val="24"/>
          <w:szCs w:val="24"/>
        </w:rPr>
      </w:pPr>
    </w:p>
    <w:p>
      <w:pPr>
        <w:jc w:val="center"/>
        <w:rPr>
          <w:rFonts w:hint="default" w:ascii="Times New Roman Bold" w:hAnsi="Times New Roman Bold" w:cs="Times New Roman Bold"/>
          <w:b/>
          <w:bCs w:val="0"/>
          <w:sz w:val="24"/>
          <w:szCs w:val="24"/>
        </w:rPr>
      </w:pPr>
      <w:r>
        <w:rPr>
          <w:rFonts w:hint="default" w:ascii="Times New Roman Bold" w:hAnsi="Times New Roman Bold" w:cs="Times New Roman Bold"/>
          <w:b/>
          <w:bCs w:val="0"/>
          <w:sz w:val="24"/>
          <w:szCs w:val="24"/>
        </w:rPr>
        <w:t>Critical Assessment of a Research Article</w:t>
      </w:r>
    </w:p>
    <w:p>
      <w:pPr>
        <w:jc w:val="center"/>
        <w:rPr>
          <w:rFonts w:hint="default" w:ascii="Times New Roman Bold" w:hAnsi="Times New Roman Bold" w:cs="Times New Roman Bold"/>
          <w:b/>
          <w:bCs w:val="0"/>
          <w:sz w:val="24"/>
          <w:szCs w:val="24"/>
        </w:rPr>
      </w:pPr>
    </w:p>
    <w:p>
      <w:pPr>
        <w:spacing w:line="360" w:lineRule="auto"/>
        <w:ind w:firstLine="600" w:firstLineChars="25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Group peer feedback activities have been brought into prominence in the filed of research regarding second language writing where a large quantity of related studies have mushroomed in recent years. However, little importance has been attached to research pertinent to the strategies L2 learners adopt while participating in such activities, which is the research area I take intense interest in. Therefore, I searched some related articles and made an attempt to choose one typical article to read in depth and make some critical assessment with supportive evidence. This article critically assesses a research article titled “exploring Chinese students’ strategy use in a cooperative peer feedback writing group” on the basis of </w:t>
      </w:r>
      <w:r>
        <w:rPr>
          <w:rFonts w:hint="default" w:ascii="Times New Roman Regular" w:hAnsi="Times New Roman Regular" w:cs="Times New Roman Regular"/>
          <w:sz w:val="24"/>
          <w:szCs w:val="24"/>
          <w:lang w:val="en-US" w:eastAsia="zh-CN"/>
        </w:rPr>
        <w:t>theor</w:t>
      </w:r>
      <w:r>
        <w:rPr>
          <w:rFonts w:hint="default" w:ascii="Times New Roman Regular" w:hAnsi="Times New Roman Regular" w:cs="Times New Roman Regular"/>
          <w:sz w:val="24"/>
          <w:szCs w:val="24"/>
          <w:lang w:eastAsia="zh-CN"/>
        </w:rPr>
        <w:t>etical considerations</w:t>
      </w:r>
      <w:r>
        <w:rPr>
          <w:rFonts w:hint="default" w:ascii="Times New Roman Regular" w:hAnsi="Times New Roman Regular" w:cs="Times New Roman Regular"/>
          <w:sz w:val="24"/>
          <w:szCs w:val="24"/>
          <w:lang w:val="en-US" w:eastAsia="zh-CN"/>
        </w:rPr>
        <w:t>,</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methodology</w:t>
      </w:r>
      <w:r>
        <w:rPr>
          <w:rFonts w:hint="default" w:ascii="Times New Roman Regular" w:hAnsi="Times New Roman Regular" w:cs="Times New Roman Regular"/>
          <w:sz w:val="24"/>
          <w:szCs w:val="24"/>
          <w:lang w:eastAsia="zh-CN"/>
        </w:rPr>
        <w:t xml:space="preserve"> together with results and relevance to theory respectively. </w:t>
      </w:r>
    </w:p>
    <w:p>
      <w:pPr>
        <w:spacing w:line="36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 </w:t>
      </w:r>
    </w:p>
    <w:p>
      <w:pPr>
        <w:spacing w:line="360" w:lineRule="auto"/>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I</w:t>
      </w:r>
      <w:r>
        <w:rPr>
          <w:rFonts w:hint="default" w:ascii="Times New Roman Bold" w:hAnsi="Times New Roman Bold" w:cs="Times New Roman Bold"/>
          <w:b/>
          <w:bCs/>
          <w:sz w:val="24"/>
          <w:szCs w:val="24"/>
          <w:lang w:eastAsia="zh-CN"/>
        </w:rPr>
        <w:t>.</w:t>
      </w:r>
      <w:r>
        <w:rPr>
          <w:rFonts w:hint="default" w:ascii="Times New Roman Bold" w:hAnsi="Times New Roman Bold" w:cs="Times New Roman Bold"/>
          <w:b/>
          <w:bCs/>
          <w:sz w:val="24"/>
          <w:szCs w:val="24"/>
          <w:lang w:eastAsia="zh-CN"/>
        </w:rPr>
        <w:t xml:space="preserve"> Theoretical Considerations</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It can be obviously seen from the research article that action theory, which is a sub-branch of sociocultural theory, is integrated into the exploration of strategies used by Chinese students to fulfill their tasks of peer feedback in their writing groups. Mediation plays a central role in constructing such theory, which means that human beings are capable of making indirect  connections between incoming stimulation and their responses through a variety of links (Luria,1976 quoted in Lei, 2008). in addition, such mediation can be accomplished via both tools and signs (Vygotsky, 1978 quoted in Lei, 2008), which is indicative of a dialectical relationship between humans and society and culture (Engestrom, 1999). Triggered by Vygosky’s original idea concerning mediation, Engestrom(1987, 1999) further developed the concept of mediation into activity theory. Specifically, artefact, community,rules and division of labor are the four main mediators interrelated with each other to comprise the activity system. </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Based on this conceptual framework, researchers put forward the hypothesis that peer feedback activities can be facilitated effectively if students can consciously take socially mediated actions. Engestrom(2001) also stresses that socially-organised and goal-directed mediated activities are of tremendous significance in learning the second language. Illuminated by activity theory, authors of this article also raised the research question “What strategies did EFL writers use during group peer feedback, and how did the strategies impact the peer interaction process?” </w:t>
      </w:r>
    </w:p>
    <w:p>
      <w:pPr>
        <w:spacing w:line="360" w:lineRule="auto"/>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 </w:t>
      </w:r>
    </w:p>
    <w:p>
      <w:pPr>
        <w:spacing w:line="360" w:lineRule="auto"/>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II</w:t>
      </w:r>
      <w:r>
        <w:rPr>
          <w:rFonts w:hint="default" w:ascii="Times New Roman Bold" w:hAnsi="Times New Roman Bold" w:cs="Times New Roman Bold"/>
          <w:b/>
          <w:bCs/>
          <w:sz w:val="24"/>
          <w:szCs w:val="24"/>
          <w:lang w:eastAsia="zh-CN"/>
        </w:rPr>
        <w:t>.</w:t>
      </w:r>
      <w:r>
        <w:rPr>
          <w:rFonts w:hint="default" w:ascii="Times New Roman Bold" w:hAnsi="Times New Roman Bold" w:cs="Times New Roman Bold"/>
          <w:b/>
          <w:bCs/>
          <w:sz w:val="24"/>
          <w:szCs w:val="24"/>
          <w:lang w:eastAsia="zh-CN"/>
        </w:rPr>
        <w:t xml:space="preserve"> Methodology</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According to this research article, it can be concluded that video recordings, semi-structured interviews, stimulated recalls and drafts of student writing were incorporated into qualitative methods of collecting data. As is claimed by Punch(2016), text and image data are often involved in qualitative methods. Moreover, he asserts that examining documents, observing behaviors and interviewing participants are of vital importance for researchers to collect qualitative data. Therefore, it is clear that the data analysed in the empirical study of this research article were collected from multiple perspectives, which are in accordance with the aforementioned theoretical framework. Such methods of collecting data often present a large picture with diverse factors interacting with each other in a variety of ways rather than merely form a linear model of cause and effect. </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However, there can be some alternative research methods to collect data which may contribute to resolving the research question in a more productive way.If permitted, I would use both observation and video recordings to observe and record students’ performance in group peer feedback activities in the English writing class. What mainly characterises qualitative research is that researchers gather up-close information by actually talking directly to people and observing their behaviors and actions at the research site (Crewell, 2018). As a result, if researchers could  takes field notes on the behavior and activities of individuals at the research site rather than merely count on video recordings, the data collected would be more convincing. To be more specific, in these field notes, an unstructured or semi-structured way(using some prior questions that the inquirer wants to know) can be recorded during the process of observation. “ Qualitative observers may also engage in roles varying from a nonparticipant to a complete participant. Typically these observations are open-ended in that the researchers ask general questions of the participants allowing the participants to freely provide their views.(Creswell, 2018, </w:t>
      </w:r>
      <w:r>
        <w:rPr>
          <w:rFonts w:hint="default" w:ascii="Times New Roman Regular" w:hAnsi="Times New Roman Regular" w:cs="Times New Roman Regular"/>
          <w:sz w:val="24"/>
          <w:szCs w:val="24"/>
          <w:lang w:eastAsia="zh-CN"/>
        </w:rPr>
        <w:t>p.</w:t>
      </w:r>
      <w:r>
        <w:rPr>
          <w:rFonts w:hint="default" w:ascii="Times New Roman Regular" w:hAnsi="Times New Roman Regular" w:cs="Times New Roman Regular"/>
          <w:sz w:val="24"/>
          <w:szCs w:val="24"/>
          <w:lang w:eastAsia="zh-CN"/>
        </w:rPr>
        <w:t>300)”</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In terms of participants selected to engage in this study, researchers chose four representatives from different universities of Mainland China on the basis of their English proficiency and the aim of this research . Such purposive sampling plays an essential role in implementing qualitative research methods since purposefully selecting participants will best help the researcher understand the problem and the research question (Creswell, 2018). However, researchers failed to establish the protocol for recording information and took ethical issues into consideration. Admittedly, research in the field of Second Language Acquisition is associated with collecting data from people and about people (Punch 2014, quoted in Creswell, 2018); therefore researchers should be held accountable for protecting their research participants, developing a trust with them and promoting the integrity of research (Israel&amp;Hay, 2006 quoted in Creswell, 2018). </w:t>
      </w:r>
    </w:p>
    <w:p>
      <w:pPr>
        <w:spacing w:line="360" w:lineRule="auto"/>
        <w:rPr>
          <w:rFonts w:hint="default" w:ascii="Times New Roman Regular" w:hAnsi="Times New Roman Regular" w:cs="Times New Roman Regular"/>
          <w:sz w:val="24"/>
          <w:szCs w:val="24"/>
          <w:lang w:eastAsia="zh-CN"/>
        </w:rPr>
      </w:pPr>
    </w:p>
    <w:p>
      <w:pPr>
        <w:spacing w:line="360" w:lineRule="auto"/>
        <w:ind w:firstLine="600" w:firstLineChars="25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With regard to data analysis, researchers relied on their research assistant to complete this task and failed to reflect about how their roles in this research and their personal background,culture and experiences would shape their interpretations. Such self-reflection or reflexivity should be typically integrated in the qualitative approach. Creswell(2018, ) asserts that “this aspect of the methods is more than merely advancing biases and values in the study, but how the background of the researchers actually may shape the direction of the study.”</w:t>
      </w:r>
    </w:p>
    <w:p>
      <w:pPr>
        <w:spacing w:line="360" w:lineRule="auto"/>
        <w:rPr>
          <w:rFonts w:hint="default" w:ascii="Times New Roman Regular" w:hAnsi="Times New Roman Regular" w:cs="Times New Roman Regular"/>
          <w:sz w:val="24"/>
          <w:szCs w:val="24"/>
          <w:lang w:eastAsia="zh-CN"/>
        </w:rPr>
      </w:pPr>
    </w:p>
    <w:p>
      <w:pPr>
        <w:spacing w:line="360" w:lineRule="auto"/>
        <w:rPr>
          <w:rFonts w:hint="default" w:ascii="Times New Roman Regular" w:hAnsi="Times New Roman Regular" w:cs="Times New Roman Regular"/>
          <w:sz w:val="24"/>
          <w:szCs w:val="24"/>
          <w:lang w:eastAsia="zh-CN"/>
        </w:rPr>
      </w:pPr>
    </w:p>
    <w:p>
      <w:pPr>
        <w:spacing w:line="360" w:lineRule="auto"/>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III</w:t>
      </w:r>
      <w:r>
        <w:rPr>
          <w:rFonts w:hint="default" w:ascii="Times New Roman Bold" w:hAnsi="Times New Roman Bold" w:cs="Times New Roman Bold"/>
          <w:b/>
          <w:bCs/>
          <w:sz w:val="24"/>
          <w:szCs w:val="24"/>
          <w:lang w:eastAsia="zh-CN"/>
        </w:rPr>
        <w:t>.</w:t>
      </w:r>
      <w:r>
        <w:rPr>
          <w:rFonts w:hint="default" w:ascii="Times New Roman Bold" w:hAnsi="Times New Roman Bold" w:cs="Times New Roman Bold"/>
          <w:b/>
          <w:bCs/>
          <w:sz w:val="24"/>
          <w:szCs w:val="24"/>
          <w:lang w:eastAsia="zh-CN"/>
        </w:rPr>
        <w:t xml:space="preserve"> Results and Relevance to Theory</w:t>
      </w:r>
    </w:p>
    <w:p>
      <w:pPr>
        <w:spacing w:line="360" w:lineRule="auto"/>
        <w:rPr>
          <w:rFonts w:hint="default" w:ascii="Times New Roman Regular" w:hAnsi="Times New Roman Regular" w:cs="Times New Roman Regular"/>
          <w:sz w:val="24"/>
          <w:szCs w:val="24"/>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Based on the data collected from the empirical study demonstrated in this research article, findings  show that corresponding to the four mediating factors in activity theory, there were the following specific strategies adopted by students to in group peer feedback activities in English writing class .</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First and foremost, Mandarin Chinese played the role of cultural artefact in facilitating group activities correlated with peer feedback, while the strategy of seeking help from the teachers was adopted based on the aspect of community. This is due to the fact that Chinese was mainly used to guarantee the effective communication and interaction among group members whereas students’ current English writing teacher together with their secondary English and Chinese teachers had significant influence on their performance in participating in peer feedback activities. In addition, rules were elucidated from two aspects, including L2 writing criteria and rules of group activities, both of which can contribute to helping students give more useful feedback to their peers with such guidance. Finally, with regard to division of labor, students’ different roles were illustrated as students can change their roles within the range of reader, writer and group leader when they devote themselves to a diversity of social-cognitive activities. Such findings were yielded from the data analysis which was chiefly derived from coding of transcripts from peer feedback observed from video-recordings, interviews and stimulated recalls, coupled with notes written on the margin of essay drafts. () </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Compared with previous related studies with the theoretical foundation of activity theory, there are some novel findings from this research regarding strategies used in group peer feedback activities.First, the research indicates that Chinese students could establish and maintain a harmonious interpersonal relationship even when they commented critically regardless of face problems. Second, it reveals that students had the tendency to work out their own criteria for peer review and feedback rather than follow the teacher’s criteria despite the potential conflicts and contradictions arising from their interaction in group peer feedback activities. Such two findings can serve as compelling evidences to break the stereotype of Chinese learners who are less likely to offer critical comments and challenge the authority of teachers for the sake of avoiding tension and disagreement.Third, in terms of key community members, the difference between previous studies and this research lies in the result that apart from students’ current L2 writing teachers, their previous L1 and L2 teachers in secondary schools also exerted certain influence on mediating peer feedback activities. This can be attributable to the historical and imitative nature of learning (Lantolf&amp;Thorne, 2006). Finally, students’ multiple roles played in the process of peer feedback, which involves reader, writer, group leader and coordinator, can be identified in this research. This is different from previous studies where limited roles, such as reader and writer, were engaged. It also corroborates that the mediation of various roles could help students collaborate more successfully in small group work.</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From the summary of findings demonstrated in the original research article, it can be clearly seen that the results are correlated with the key elements of activity theory, namely, four mediating factors. Additionally, the novel findings also reveal that learners can play active roles and take responsibilities to fulfill tasks with their own goals and values instead of passive individuals subjected to the environment. This can echo to the argument that human beings should actively act upon the world and engage in activities to construct the environment in particular ways (Lantolf, 2000), which is also advocated by activity theory. </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Activity theory and findings of this research serve as the beginning and concluding part of the logical chain embedded in the whole research design. Based on this theory and the context of this empirical study, researchers hypothesized that peer feedback activities can be facilitated effectively if students can consciously take socially mediated actions. In order to confirm their hypothesis, they made use of multiple qualitative research methods to collect data. Through scientific and systematic analysis of those data, five specific strategies were identified when students engage in group peer feedback activities, which embodied the key ingredients of activity theory. Thus, the theoretical basis, hypothesis of this research, data collected and findings yielded from analysis of data can form a logical circle of the whole research design.</w:t>
      </w:r>
    </w:p>
    <w:p>
      <w:pPr>
        <w:spacing w:line="360" w:lineRule="auto"/>
        <w:rPr>
          <w:rFonts w:hint="default" w:ascii="Times New Roman Regular" w:hAnsi="Times New Roman Regular" w:cs="Times New Roman Regular"/>
          <w:sz w:val="24"/>
          <w:szCs w:val="24"/>
          <w:lang w:eastAsia="zh-CN"/>
        </w:rPr>
      </w:pPr>
    </w:p>
    <w:p>
      <w:pPr>
        <w:spacing w:line="360" w:lineRule="auto"/>
        <w:ind w:firstLine="480" w:firstLineChars="200"/>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In conclusion, it can be clearly seen that despite some weaknesses, the original research article presents the main procedures of qualitative research holistically, from which valuable findings were gathered. Activity theory lays the solid theoretical foundation for the whole research design, multiple qualitative research methods provide reliable sources of collecting data and rewarding findings are identified through scientific and systematic analysis of data. However, researchers failed to take the ethical issues into account and there could be alternative research methods, such as observation to collect more compelling evidence at the research site. Such critical assessment is also of vital importance in helping me develop a profound understanding of this research article, which could shed light on my research design in my own study in the future.</w:t>
      </w:r>
    </w:p>
    <w:p>
      <w:pPr>
        <w:spacing w:line="360" w:lineRule="auto"/>
        <w:rPr>
          <w:rFonts w:hint="default" w:ascii="Times New Roman Regular" w:hAnsi="Times New Roman Regular" w:cs="Times New Roman Regular"/>
          <w:sz w:val="24"/>
          <w:szCs w:val="24"/>
          <w:lang w:eastAsia="zh-CN"/>
        </w:rPr>
      </w:pPr>
    </w:p>
    <w:p>
      <w:pPr>
        <w:spacing w:line="360" w:lineRule="auto"/>
        <w:rPr>
          <w:rFonts w:hint="default" w:ascii="Times New Roman Regular" w:hAnsi="Times New Roman Regular" w:cs="Times New Roman Regular"/>
          <w:sz w:val="24"/>
          <w:szCs w:val="24"/>
          <w:lang w:eastAsia="zh-CN"/>
        </w:rPr>
      </w:pPr>
    </w:p>
    <w:p>
      <w:pPr>
        <w:spacing w:line="360" w:lineRule="auto"/>
        <w:rPr>
          <w:rFonts w:hint="default" w:ascii="Times New Roman Regular" w:hAnsi="Times New Roman Regular" w:cs="Times New Roman Regular"/>
          <w:sz w:val="24"/>
          <w:szCs w:val="24"/>
        </w:rPr>
      </w:pPr>
    </w:p>
    <w:p>
      <w:pPr>
        <w:spacing w:line="360" w:lineRule="auto"/>
        <w:rPr>
          <w:rFonts w:hint="default" w:ascii="Times New Roman Regular" w:hAnsi="Times New Roman Regular" w:cs="Times New Roman Regular"/>
          <w:sz w:val="24"/>
          <w:szCs w:val="24"/>
        </w:rPr>
      </w:pPr>
    </w:p>
    <w:p>
      <w:pPr>
        <w:spacing w:line="360" w:lineRule="auto"/>
        <w:rPr>
          <w:rFonts w:hint="default" w:ascii="Times New Roman Regular" w:hAnsi="Times New Roman Regular" w:cs="Times New Roman Regular"/>
          <w:sz w:val="24"/>
          <w:szCs w:val="24"/>
        </w:rPr>
      </w:pPr>
    </w:p>
    <w:p/>
    <w:p/>
    <w:p/>
    <w:p/>
    <w:p/>
    <w:p/>
    <w:p/>
    <w:p/>
    <w:p/>
    <w:p/>
    <w:p>
      <w:pPr>
        <w:numPr>
          <w:ilvl w:val="0"/>
          <w:numId w:val="0"/>
        </w:numPr>
        <w:spacing w:line="360" w:lineRule="auto"/>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References</w:t>
      </w: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Creswell, J. W. &amp;Creswell, J.D. 2018. </w:t>
      </w:r>
      <w:r>
        <w:rPr>
          <w:rFonts w:hint="default" w:ascii="Times New Roman Italic" w:hAnsi="Times New Roman Italic" w:cs="Times New Roman Italic"/>
          <w:i/>
          <w:iCs/>
          <w:sz w:val="24"/>
          <w:szCs w:val="24"/>
        </w:rPr>
        <w:t xml:space="preserve">Research Design: Qualitative,Quantitative, and Mixed Methods Approaches. Fifth edition. </w:t>
      </w:r>
      <w:r>
        <w:rPr>
          <w:rFonts w:hint="default" w:ascii="Times New Roman" w:hAnsi="Times New Roman" w:cs="Times New Roman"/>
          <w:i w:val="0"/>
          <w:iCs w:val="0"/>
          <w:sz w:val="24"/>
          <w:szCs w:val="24"/>
        </w:rPr>
        <w:t xml:space="preserve">Sage publications Ltd. </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eastAsia" w:ascii="Times New Roman" w:hAnsi="Times New Roman" w:cs="Times New Roman"/>
          <w:i w:val="0"/>
          <w:iCs w:val="0"/>
          <w:sz w:val="24"/>
          <w:szCs w:val="24"/>
        </w:rPr>
      </w:pPr>
      <w:r>
        <w:rPr>
          <w:rFonts w:hint="eastAsia" w:ascii="Times New Roman" w:hAnsi="Times New Roman" w:cs="Times New Roman"/>
          <w:i w:val="0"/>
          <w:iCs w:val="0"/>
          <w:sz w:val="24"/>
          <w:szCs w:val="24"/>
        </w:rPr>
        <w:t>Engestrom, Y. (1999). Activity theory and individual and social transformation. In Y. Engestrom, R. Miettinen, &amp; R.-L. Punamaki (Eds.), Perspectives on activity</w:t>
      </w:r>
      <w:r>
        <w:rPr>
          <w:rFonts w:hint="default" w:ascii="Times New Roman" w:hAnsi="Times New Roman" w:cs="Times New Roman"/>
          <w:i w:val="0"/>
          <w:iCs w:val="0"/>
          <w:sz w:val="24"/>
          <w:szCs w:val="24"/>
        </w:rPr>
        <w:t xml:space="preserve"> </w:t>
      </w:r>
      <w:r>
        <w:rPr>
          <w:rFonts w:hint="eastAsia" w:ascii="Times New Roman" w:hAnsi="Times New Roman" w:cs="Times New Roman"/>
          <w:i w:val="0"/>
          <w:iCs w:val="0"/>
          <w:sz w:val="24"/>
          <w:szCs w:val="24"/>
        </w:rPr>
        <w:t>theory (pp. 19</w:t>
      </w:r>
      <w:r>
        <w:rPr>
          <w:rFonts w:hint="default" w:ascii="Times New Roman" w:hAnsi="Times New Roman" w:cs="Times New Roman"/>
          <w:i w:val="0"/>
          <w:iCs w:val="0"/>
          <w:sz w:val="24"/>
          <w:szCs w:val="24"/>
        </w:rPr>
        <w:t>-</w:t>
      </w:r>
      <w:r>
        <w:rPr>
          <w:rFonts w:hint="eastAsia" w:ascii="Times New Roman" w:hAnsi="Times New Roman" w:cs="Times New Roman"/>
          <w:i w:val="0"/>
          <w:iCs w:val="0"/>
          <w:sz w:val="24"/>
          <w:szCs w:val="24"/>
        </w:rPr>
        <w:t>38). Cambridge: Cambridge University Press.</w:t>
      </w:r>
    </w:p>
    <w:p>
      <w:pPr>
        <w:numPr>
          <w:ilvl w:val="0"/>
          <w:numId w:val="0"/>
        </w:numPr>
        <w:spacing w:line="360" w:lineRule="auto"/>
        <w:rPr>
          <w:rFonts w:hint="eastAsia" w:ascii="Times New Roman" w:hAnsi="Times New Roman" w:cs="Times New Roman"/>
          <w:i w:val="0"/>
          <w:iCs w:val="0"/>
          <w:sz w:val="24"/>
          <w:szCs w:val="24"/>
        </w:rPr>
      </w:pPr>
    </w:p>
    <w:p>
      <w:pPr>
        <w:numPr>
          <w:ilvl w:val="0"/>
          <w:numId w:val="0"/>
        </w:numPr>
        <w:spacing w:line="360" w:lineRule="auto"/>
        <w:rPr>
          <w:rFonts w:hint="eastAsia" w:ascii="Times New Roman" w:hAnsi="Times New Roman" w:cs="Times New Roman"/>
          <w:i w:val="0"/>
          <w:iCs w:val="0"/>
          <w:sz w:val="24"/>
          <w:szCs w:val="24"/>
        </w:rPr>
      </w:pPr>
      <w:r>
        <w:rPr>
          <w:rFonts w:hint="eastAsia" w:ascii="Times New Roman" w:hAnsi="Times New Roman" w:cs="Times New Roman"/>
          <w:i w:val="0"/>
          <w:iCs w:val="0"/>
          <w:sz w:val="24"/>
          <w:szCs w:val="24"/>
        </w:rPr>
        <w:t>Engestrom, Y. (2001). Expansive learning at work: toward an activity theoretical reconceptualization. Journal of Education and Work, 14(1), 133</w:t>
      </w:r>
      <w:r>
        <w:rPr>
          <w:rFonts w:hint="default" w:ascii="Times New Roman" w:hAnsi="Times New Roman" w:cs="Times New Roman"/>
          <w:i w:val="0"/>
          <w:iCs w:val="0"/>
          <w:sz w:val="24"/>
          <w:szCs w:val="24"/>
        </w:rPr>
        <w:t>-</w:t>
      </w:r>
      <w:r>
        <w:rPr>
          <w:rFonts w:hint="eastAsia" w:ascii="Times New Roman" w:hAnsi="Times New Roman" w:cs="Times New Roman"/>
          <w:i w:val="0"/>
          <w:iCs w:val="0"/>
          <w:sz w:val="24"/>
          <w:szCs w:val="24"/>
        </w:rPr>
        <w:t>156.</w:t>
      </w:r>
    </w:p>
    <w:p>
      <w:pPr>
        <w:numPr>
          <w:ilvl w:val="0"/>
          <w:numId w:val="0"/>
        </w:numPr>
        <w:spacing w:line="360" w:lineRule="auto"/>
        <w:rPr>
          <w:rFonts w:hint="eastAsia" w:ascii="Times New Roman" w:hAnsi="Times New Roman" w:cs="Times New Roman"/>
          <w:i w:val="0"/>
          <w:iCs w:val="0"/>
          <w:sz w:val="24"/>
          <w:szCs w:val="24"/>
        </w:rPr>
      </w:pPr>
    </w:p>
    <w:p>
      <w:pPr>
        <w:numPr>
          <w:ilvl w:val="0"/>
          <w:numId w:val="0"/>
        </w:numPr>
        <w:spacing w:line="360" w:lineRule="auto"/>
        <w:rPr>
          <w:rFonts w:hint="eastAsia" w:ascii="Times New Roman" w:hAnsi="Times New Roman" w:cs="Times New Roman"/>
          <w:i w:val="0"/>
          <w:iCs w:val="0"/>
          <w:sz w:val="24"/>
          <w:szCs w:val="24"/>
        </w:rPr>
      </w:pPr>
      <w:r>
        <w:rPr>
          <w:rFonts w:hint="eastAsia" w:ascii="Times New Roman" w:hAnsi="Times New Roman" w:cs="Times New Roman"/>
          <w:i w:val="0"/>
          <w:iCs w:val="0"/>
          <w:sz w:val="24"/>
          <w:szCs w:val="24"/>
        </w:rPr>
        <w:t>Lantolf, J. P., &amp; Thorne, S. L. (2006). Sociocultural theory and the genesis of second language development. Oxford: Oxford University Press.</w:t>
      </w:r>
    </w:p>
    <w:p>
      <w:pPr>
        <w:numPr>
          <w:ilvl w:val="0"/>
          <w:numId w:val="0"/>
        </w:numPr>
        <w:spacing w:line="360" w:lineRule="auto"/>
        <w:rPr>
          <w:rFonts w:hint="eastAsia"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eastAsia" w:ascii="Times New Roman" w:hAnsi="Times New Roman" w:cs="Times New Roman"/>
          <w:i w:val="0"/>
          <w:iCs w:val="0"/>
          <w:sz w:val="24"/>
          <w:szCs w:val="24"/>
        </w:rPr>
        <w:t xml:space="preserve">Lei, X. 2008. Exploring a sociocultural approach to writing strategy research:mediated actions in writing activities. Journal of Second Language Writing. 27. 217-236. </w:t>
      </w:r>
      <w:r>
        <w:rPr>
          <w:rFonts w:hint="default" w:ascii="Times New Roman" w:hAnsi="Times New Roman" w:cs="Times New Roman"/>
          <w:i w:val="0"/>
          <w:iCs w:val="0"/>
          <w:sz w:val="24"/>
          <w:szCs w:val="24"/>
        </w:rPr>
        <w:t>Available at: 10.1017/S02614448000319. Accessed 12th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Punch, K.F. 2016. </w:t>
      </w:r>
      <w:r>
        <w:rPr>
          <w:rFonts w:hint="default" w:ascii="Times New Roman Italic" w:hAnsi="Times New Roman Italic" w:cs="Times New Roman Italic"/>
          <w:i/>
          <w:iCs/>
          <w:sz w:val="24"/>
          <w:szCs w:val="24"/>
        </w:rPr>
        <w:t xml:space="preserve">Developing Effective Research Proposals. Third edition. </w:t>
      </w:r>
      <w:r>
        <w:rPr>
          <w:rFonts w:hint="default" w:ascii="Times New Roman" w:hAnsi="Times New Roman" w:cs="Times New Roman"/>
          <w:i w:val="0"/>
          <w:iCs w:val="0"/>
          <w:sz w:val="24"/>
          <w:szCs w:val="24"/>
        </w:rPr>
        <w:t xml:space="preserve">Sage publications Ltd. </w:t>
      </w:r>
    </w:p>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Yu, S. &amp; Lee, I. 2016. Exploring Chinese students’ strategy use in a cooperative peer feedback writing group. </w:t>
      </w:r>
      <w:r>
        <w:rPr>
          <w:rFonts w:hint="default" w:ascii="Times New Roman Italic" w:hAnsi="Times New Roman Italic" w:cs="Times New Roman Italic"/>
          <w:i/>
          <w:iCs/>
          <w:sz w:val="24"/>
          <w:szCs w:val="24"/>
        </w:rPr>
        <w:t>System.</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58, pp.1-11.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https://dox.doi.org/10.1016/j.system.2016.02.005.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2</w:t>
      </w:r>
      <w:r>
        <w:rPr>
          <w:rFonts w:hint="default" w:ascii="Times New Roman" w:hAnsi="Times New Roman" w:cs="Times New Roman"/>
          <w:i w:val="0"/>
          <w:iCs w:val="0"/>
          <w:sz w:val="24"/>
          <w:szCs w:val="24"/>
          <w:vertAlign w:val="superscript"/>
        </w:rPr>
        <w:t>nd</w:t>
      </w:r>
      <w:r>
        <w:rPr>
          <w:rFonts w:hint="default" w:ascii="Times New Roman" w:hAnsi="Times New Roman" w:cs="Times New Roman"/>
          <w:i w:val="0"/>
          <w:iCs w:val="0"/>
          <w:sz w:val="24"/>
          <w:szCs w:val="24"/>
        </w:rPr>
        <w:t xml:space="preserve"> April 2021.</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TimesNewRomanPSMT">
    <w:panose1 w:val="020205030504050903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Comic Sans MS Regular">
    <w:panose1 w:val="030F0902030302020204"/>
    <w:charset w:val="00"/>
    <w:family w:val="auto"/>
    <w:pitch w:val="default"/>
    <w:sig w:usb0="00000287" w:usb1="00000000" w:usb2="00000000" w:usb3="00000000" w:csb0="2000009F"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AEFPCL+TimesNewRoman">
    <w:altName w:val="苹方-简"/>
    <w:panose1 w:val="00000000000000000000"/>
    <w:charset w:val="00"/>
    <w:family w:val="roman"/>
    <w:pitch w:val="default"/>
    <w:sig w:usb0="00000000" w:usb1="00000000" w:usb2="00000010" w:usb3="00000000" w:csb0="00040000" w:csb1="00000000"/>
  </w:font>
  <w:font w:name="PMingLiU">
    <w:altName w:val="宋体-繁"/>
    <w:panose1 w:val="02020500000000000000"/>
    <w:charset w:val="00"/>
    <w:family w:val="roman"/>
    <w:pitch w:val="default"/>
    <w:sig w:usb0="00000000" w:usb1="00000000" w:usb2="00000016" w:usb3="00000000" w:csb0="00100001" w:csb1="00000000"/>
  </w:font>
  <w:font w:name="Comic Sans MS">
    <w:panose1 w:val="030F0902030302020204"/>
    <w:charset w:val="00"/>
    <w:family w:val="script"/>
    <w:pitch w:val="default"/>
    <w:sig w:usb0="00000287" w:usb1="00000000" w:usb2="00000000" w:usb3="00000000" w:csb0="2000009F" w:csb1="00000000"/>
  </w:font>
  <w:font w:name="Cheltenham-Book">
    <w:altName w:val="苹方-简"/>
    <w:panose1 w:val="00000000000000000000"/>
    <w:charset w:val="00"/>
    <w:family w:val="roman"/>
    <w:pitch w:val="default"/>
    <w:sig w:usb0="00000000" w:usb1="00000000" w:usb2="00000000" w:usb3="00000000" w:csb0="00000001" w:csb1="00000000"/>
  </w:font>
  <w:font w:name="宋体-繁">
    <w:panose1 w:val="02010600040101010101"/>
    <w:charset w:val="86"/>
    <w:family w:val="auto"/>
    <w:pitch w:val="default"/>
    <w:sig w:usb0="00000287" w:usb1="080F0000" w:usb2="00000000" w:usb3="00000000" w:csb0="0004009F" w:csb1="DFD70000"/>
  </w:font>
  <w:font w:name="冬青黑体简体中文">
    <w:panose1 w:val="020B0300000000000000"/>
    <w:charset w:val="86"/>
    <w:family w:val="auto"/>
    <w:pitch w:val="default"/>
    <w:sig w:usb0="A00002BF" w:usb1="1ACF7CFA" w:usb2="00000016" w:usb3="00000000" w:csb0="00060007" w:csb1="00000000"/>
  </w:font>
  <w:font w:name="Times New Roman Italic">
    <w:panose1 w:val="02020503050405090304"/>
    <w:charset w:val="00"/>
    <w:family w:val="auto"/>
    <w:pitch w:val="default"/>
    <w:sig w:usb0="E0000AFF" w:usb1="00007843" w:usb2="00000001" w:usb3="00000000" w:csb0="400001BF" w:csb1="DFF70000"/>
  </w:font>
  <w:font w:name="Arial">
    <w:panose1 w:val="020B0604020202090204"/>
    <w:charset w:val="00"/>
    <w:family w:val="auto"/>
    <w:pitch w:val="default"/>
    <w:sig w:usb0="E0000AFF" w:usb1="00007843" w:usb2="00000001" w:usb3="00000000" w:csb0="400001BF" w:csb1="DFF70000"/>
  </w:font>
  <w:font w:name="公文小标宋简">
    <w:altName w:val="苹方-简"/>
    <w:panose1 w:val="02010609010101010101"/>
    <w:charset w:val="00"/>
    <w:family w:val="modern"/>
    <w:pitch w:val="default"/>
    <w:sig w:usb0="00000000" w:usb1="00000000" w:usb2="00000010" w:usb3="00000000" w:csb0="00040000" w:csb1="00000000"/>
  </w:font>
  <w:font w:name="黑体">
    <w:altName w:val="汉仪中黑KW"/>
    <w:panose1 w:val="02010609060101010101"/>
    <w:charset w:val="00"/>
    <w:family w:val="modern"/>
    <w:pitch w:val="default"/>
    <w:sig w:usb0="00000000" w:usb1="00000000" w:usb2="00000016" w:usb3="00000000" w:csb0="00040001" w:csb1="00000000"/>
  </w:font>
  <w:font w:name="仿宋_GB2312">
    <w:altName w:val="方正仿宋_GBK"/>
    <w:panose1 w:val="020B0604020202020204"/>
    <w:charset w:val="00"/>
    <w:family w:val="auto"/>
    <w:pitch w:val="default"/>
    <w:sig w:usb0="00000000" w:usb1="00000000" w:usb2="00000000" w:usb3="00000000" w:csb0="00040000" w:csb1="00000000"/>
  </w:font>
  <w:font w:name="华文中宋">
    <w:altName w:val="苹方-简"/>
    <w:panose1 w:val="02010600040101010101"/>
    <w:charset w:val="00"/>
    <w:family w:val="auto"/>
    <w:pitch w:val="default"/>
    <w:sig w:usb0="00000000" w:usb1="00000000" w:usb2="00000010" w:usb3="00000000" w:csb0="0004009F" w:csb1="00000000"/>
  </w:font>
  <w:font w:name="Songti TC Light">
    <w:panose1 w:val="02010600040101010101"/>
    <w:charset w:val="86"/>
    <w:family w:val="auto"/>
    <w:pitch w:val="default"/>
    <w:sig w:usb0="00000287" w:usb1="080F0000" w:usb2="00000000" w:usb3="00000000" w:csb0="0004009F" w:csb1="DFD7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Times">
    <w:panose1 w:val="00000500000000020000"/>
    <w:charset w:val="00"/>
    <w:family w:val="roman"/>
    <w:pitch w:val="default"/>
    <w:sig w:usb0="E00002FF" w:usb1="5000205A" w:usb2="00000000" w:usb3="00000000" w:csb0="2000019F" w:csb1="4F010000"/>
  </w:font>
  <w:font w:name="Lucida Grande">
    <w:panose1 w:val="020B0600040502020204"/>
    <w:charset w:val="00"/>
    <w:family w:val="auto"/>
    <w:pitch w:val="default"/>
    <w:sig w:usb0="E1000AEF" w:usb1="5000A1FF" w:usb2="00000000" w:usb3="00000000" w:csb0="200001BF" w:csb1="4F010000"/>
  </w:font>
  <w:font w:name="Code">
    <w:altName w:val="苹方-简"/>
    <w:panose1 w:val="00000000000000000000"/>
    <w:charset w:val="00"/>
    <w:family w:val="swiss"/>
    <w:pitch w:val="default"/>
    <w:sig w:usb0="00000000" w:usb1="00000000" w:usb2="00000010" w:usb3="00000000" w:csb0="00040000" w:csb1="00000000"/>
  </w:font>
  <w:font w:name="RealpagePAL3">
    <w:altName w:val="苹方-简"/>
    <w:panose1 w:val="00000000000000000000"/>
    <w:charset w:val="00"/>
    <w:family w:val="swiss"/>
    <w:pitch w:val="default"/>
    <w:sig w:usb0="00000000" w:usb1="00000000" w:usb2="00000000" w:usb3="00000000" w:csb0="00000001" w:csb1="00000000"/>
  </w:font>
  <w:font w:name="AdobeSongStd-Light">
    <w:altName w:val="苹方-简"/>
    <w:panose1 w:val="00000000000000000000"/>
    <w:charset w:val="00"/>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DC409"/>
    <w:rsid w:val="0BFE6C58"/>
    <w:rsid w:val="2B7DC409"/>
    <w:rsid w:val="5A457F86"/>
    <w:rsid w:val="5EF76A9B"/>
    <w:rsid w:val="6FFFAC5A"/>
    <w:rsid w:val="777C8923"/>
    <w:rsid w:val="7B3F254D"/>
    <w:rsid w:val="7FB832B6"/>
    <w:rsid w:val="7FBA0C63"/>
    <w:rsid w:val="9FEF2548"/>
    <w:rsid w:val="BFF2D831"/>
    <w:rsid w:val="C5FFD79A"/>
    <w:rsid w:val="CA3FFD0E"/>
    <w:rsid w:val="CFBB702D"/>
    <w:rsid w:val="D67F0659"/>
    <w:rsid w:val="D6EB353A"/>
    <w:rsid w:val="ED5D8E8F"/>
    <w:rsid w:val="F4F7C427"/>
    <w:rsid w:val="F7762D15"/>
    <w:rsid w:val="FDFFC18C"/>
    <w:rsid w:val="FE637354"/>
    <w:rsid w:val="FEFF7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2020-10-04T10:44:00Z</dcterms:created>
  <dc:creator>wangyuwen</dc:creator>
  <cp:lastModifiedBy>wangyuwen</cp:lastModifiedBy>
  <dcterms:modified xsi:type="dcterms:W3CDTF">2021-11-26T21:15:32Z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