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4AE2B" w14:textId="2FFF4197" w:rsidR="00D55A70" w:rsidRPr="00A964CD" w:rsidRDefault="00F95A77" w:rsidP="00A964CD">
      <w:pPr>
        <w:pStyle w:val="NormalWeb"/>
        <w:spacing w:beforeAutospacing="0" w:afterAutospacing="0" w:line="360" w:lineRule="auto"/>
        <w:jc w:val="both"/>
        <w:rPr>
          <w:color w:val="000000" w:themeColor="text1"/>
        </w:rPr>
      </w:pPr>
      <w:r>
        <w:rPr>
          <w:noProof/>
          <w:color w:val="000000" w:themeColor="text1"/>
        </w:rPr>
        <w:drawing>
          <wp:anchor distT="0" distB="0" distL="114300" distR="114300" simplePos="0" relativeHeight="251658240" behindDoc="0" locked="0" layoutInCell="1" allowOverlap="1" wp14:anchorId="6D2AC1C6" wp14:editId="4B96AFDE">
            <wp:simplePos x="0" y="0"/>
            <wp:positionH relativeFrom="column">
              <wp:posOffset>3931920</wp:posOffset>
            </wp:positionH>
            <wp:positionV relativeFrom="paragraph">
              <wp:posOffset>-403860</wp:posOffset>
            </wp:positionV>
            <wp:extent cx="2446020" cy="1223010"/>
            <wp:effectExtent l="0" t="0" r="0" b="0"/>
            <wp:wrapNone/>
            <wp:docPr id="2105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46020" cy="1223010"/>
                    </a:xfrm>
                    <a:prstGeom prst="rect">
                      <a:avLst/>
                    </a:prstGeom>
                    <a:noFill/>
                  </pic:spPr>
                </pic:pic>
              </a:graphicData>
            </a:graphic>
          </wp:anchor>
        </w:drawing>
      </w:r>
    </w:p>
    <w:p w14:paraId="0D8FFBDD" w14:textId="67BE0927" w:rsidR="00A83D09" w:rsidRPr="00A964CD" w:rsidRDefault="00A83D09" w:rsidP="00A964CD">
      <w:pPr>
        <w:pStyle w:val="NormalWeb"/>
        <w:spacing w:beforeAutospacing="0" w:afterAutospacing="0" w:line="360" w:lineRule="auto"/>
        <w:jc w:val="both"/>
        <w:rPr>
          <w:color w:val="000000" w:themeColor="text1"/>
        </w:rPr>
      </w:pPr>
    </w:p>
    <w:p w14:paraId="0071FC08" w14:textId="2FDE70BC" w:rsidR="00A83D09" w:rsidRPr="00A964CD" w:rsidRDefault="00A83D09" w:rsidP="00A964CD">
      <w:pPr>
        <w:pStyle w:val="NormalWeb"/>
        <w:spacing w:beforeAutospacing="0" w:afterAutospacing="0" w:line="360" w:lineRule="auto"/>
        <w:jc w:val="both"/>
        <w:rPr>
          <w:color w:val="000000" w:themeColor="text1"/>
        </w:rPr>
      </w:pPr>
    </w:p>
    <w:p w14:paraId="7D66939D" w14:textId="77777777" w:rsidR="00F95A77" w:rsidRDefault="00F95A77" w:rsidP="00A964CD">
      <w:pPr>
        <w:pStyle w:val="NormalWeb"/>
        <w:spacing w:beforeAutospacing="0" w:afterAutospacing="0" w:line="360" w:lineRule="auto"/>
        <w:jc w:val="both"/>
        <w:rPr>
          <w:color w:val="000000" w:themeColor="text1"/>
        </w:rPr>
      </w:pPr>
    </w:p>
    <w:p w14:paraId="3E420541" w14:textId="77777777" w:rsidR="00F95A77" w:rsidRDefault="00F95A77" w:rsidP="00A964CD">
      <w:pPr>
        <w:pStyle w:val="NormalWeb"/>
        <w:spacing w:beforeAutospacing="0" w:afterAutospacing="0" w:line="360" w:lineRule="auto"/>
        <w:jc w:val="both"/>
        <w:rPr>
          <w:color w:val="000000" w:themeColor="text1"/>
        </w:rPr>
      </w:pPr>
    </w:p>
    <w:p w14:paraId="288E8CF1" w14:textId="77777777" w:rsidR="00F95A77" w:rsidRDefault="00F95A77" w:rsidP="00A964CD">
      <w:pPr>
        <w:pStyle w:val="NormalWeb"/>
        <w:spacing w:beforeAutospacing="0" w:afterAutospacing="0" w:line="360" w:lineRule="auto"/>
        <w:jc w:val="both"/>
        <w:rPr>
          <w:color w:val="000000" w:themeColor="text1"/>
        </w:rPr>
      </w:pPr>
    </w:p>
    <w:p w14:paraId="47BDED2F" w14:textId="77777777" w:rsidR="00F95A77" w:rsidRDefault="00F95A77" w:rsidP="00A964CD">
      <w:pPr>
        <w:pStyle w:val="NormalWeb"/>
        <w:spacing w:beforeAutospacing="0" w:afterAutospacing="0" w:line="360" w:lineRule="auto"/>
        <w:jc w:val="both"/>
        <w:rPr>
          <w:color w:val="000000" w:themeColor="text1"/>
        </w:rPr>
      </w:pPr>
    </w:p>
    <w:p w14:paraId="0397AE20" w14:textId="7FC1C560" w:rsidR="00A83D09" w:rsidRPr="00F95A77" w:rsidRDefault="00F95A77" w:rsidP="00F95A77">
      <w:pPr>
        <w:pStyle w:val="NormalWeb"/>
        <w:spacing w:beforeAutospacing="0" w:afterAutospacing="0" w:line="360" w:lineRule="auto"/>
        <w:jc w:val="center"/>
        <w:rPr>
          <w:color w:val="000000" w:themeColor="text1"/>
          <w:sz w:val="28"/>
          <w:szCs w:val="28"/>
        </w:rPr>
      </w:pPr>
      <w:r w:rsidRPr="00F95A77">
        <w:rPr>
          <w:color w:val="000000" w:themeColor="text1"/>
          <w:sz w:val="28"/>
          <w:szCs w:val="28"/>
        </w:rPr>
        <w:t>Introduction to Health and Social Care</w:t>
      </w:r>
    </w:p>
    <w:p w14:paraId="26D25F34" w14:textId="43C08908" w:rsidR="00A83D09" w:rsidRPr="00F95A77" w:rsidRDefault="00F95A77" w:rsidP="00F95A77">
      <w:pPr>
        <w:pStyle w:val="NormalWeb"/>
        <w:spacing w:beforeAutospacing="0" w:afterAutospacing="0" w:line="360" w:lineRule="auto"/>
        <w:jc w:val="center"/>
        <w:rPr>
          <w:color w:val="000000" w:themeColor="text1"/>
          <w:sz w:val="28"/>
          <w:szCs w:val="28"/>
        </w:rPr>
      </w:pPr>
      <w:r w:rsidRPr="00F95A77">
        <w:rPr>
          <w:color w:val="000000" w:themeColor="text1"/>
          <w:sz w:val="28"/>
          <w:szCs w:val="28"/>
        </w:rPr>
        <w:t>Module Code: LCHS4003</w:t>
      </w:r>
    </w:p>
    <w:p w14:paraId="2C6198DA" w14:textId="1F954C44" w:rsidR="00A83D09" w:rsidRPr="00F95A77" w:rsidRDefault="00A83D09" w:rsidP="00F95A77">
      <w:pPr>
        <w:pStyle w:val="NormalWeb"/>
        <w:spacing w:beforeAutospacing="0" w:afterAutospacing="0" w:line="360" w:lineRule="auto"/>
        <w:jc w:val="center"/>
        <w:rPr>
          <w:color w:val="000000" w:themeColor="text1"/>
          <w:sz w:val="28"/>
          <w:szCs w:val="28"/>
        </w:rPr>
      </w:pPr>
    </w:p>
    <w:p w14:paraId="071FF71F" w14:textId="70581BAD" w:rsidR="00A83D09" w:rsidRPr="00F95A77" w:rsidRDefault="00A83D09" w:rsidP="00F95A77">
      <w:pPr>
        <w:pStyle w:val="NormalWeb"/>
        <w:spacing w:beforeAutospacing="0" w:afterAutospacing="0" w:line="360" w:lineRule="auto"/>
        <w:jc w:val="center"/>
        <w:rPr>
          <w:color w:val="000000" w:themeColor="text1"/>
          <w:sz w:val="28"/>
          <w:szCs w:val="28"/>
        </w:rPr>
      </w:pPr>
    </w:p>
    <w:p w14:paraId="2FB15E32" w14:textId="77777777" w:rsidR="00134663" w:rsidRPr="00F95A77" w:rsidRDefault="00134663" w:rsidP="00F95A77">
      <w:pPr>
        <w:pStyle w:val="NormalWeb"/>
        <w:spacing w:beforeAutospacing="0" w:afterAutospacing="0" w:line="360" w:lineRule="auto"/>
        <w:rPr>
          <w:color w:val="000000" w:themeColor="text1"/>
          <w:sz w:val="28"/>
          <w:szCs w:val="28"/>
        </w:rPr>
      </w:pPr>
    </w:p>
    <w:p w14:paraId="5D7924F3" w14:textId="77777777" w:rsidR="00A83D09" w:rsidRPr="00F95A77" w:rsidRDefault="00A83D09" w:rsidP="00F95A77">
      <w:pPr>
        <w:pStyle w:val="NormalWeb"/>
        <w:spacing w:beforeAutospacing="0" w:afterAutospacing="0" w:line="360" w:lineRule="auto"/>
        <w:jc w:val="center"/>
        <w:rPr>
          <w:color w:val="000000" w:themeColor="text1"/>
          <w:sz w:val="28"/>
          <w:szCs w:val="28"/>
        </w:rPr>
      </w:pPr>
    </w:p>
    <w:p w14:paraId="2FFAB603" w14:textId="77777777" w:rsidR="00D55A70" w:rsidRPr="00F95A77" w:rsidRDefault="009374B4" w:rsidP="00F95A77">
      <w:pPr>
        <w:pStyle w:val="NormalWeb"/>
        <w:spacing w:beforeAutospacing="0" w:afterAutospacing="0" w:line="360" w:lineRule="auto"/>
        <w:jc w:val="center"/>
        <w:rPr>
          <w:i/>
          <w:iCs/>
          <w:color w:val="000000" w:themeColor="text1"/>
          <w:sz w:val="28"/>
          <w:szCs w:val="28"/>
          <w:u w:val="single"/>
        </w:rPr>
      </w:pPr>
      <w:r w:rsidRPr="00F95A77">
        <w:rPr>
          <w:i/>
          <w:iCs/>
          <w:color w:val="000000" w:themeColor="text1"/>
          <w:sz w:val="28"/>
          <w:szCs w:val="28"/>
          <w:u w:val="single"/>
        </w:rPr>
        <w:t xml:space="preserve">Written Assignment – Case Study: </w:t>
      </w:r>
      <w:proofErr w:type="spellStart"/>
      <w:r w:rsidRPr="00F95A77">
        <w:rPr>
          <w:i/>
          <w:iCs/>
          <w:color w:val="000000" w:themeColor="text1"/>
          <w:sz w:val="28"/>
          <w:szCs w:val="28"/>
          <w:u w:val="single"/>
        </w:rPr>
        <w:t>Mrs</w:t>
      </w:r>
      <w:proofErr w:type="spellEnd"/>
      <w:r w:rsidRPr="00F95A77">
        <w:rPr>
          <w:i/>
          <w:iCs/>
          <w:color w:val="000000" w:themeColor="text1"/>
          <w:sz w:val="28"/>
          <w:szCs w:val="28"/>
          <w:u w:val="single"/>
        </w:rPr>
        <w:t xml:space="preserve"> Mann</w:t>
      </w:r>
    </w:p>
    <w:p w14:paraId="0AEC7CDD" w14:textId="77777777" w:rsidR="00F95A77" w:rsidRPr="00F95A77" w:rsidRDefault="00F95A77" w:rsidP="00F95A77">
      <w:pPr>
        <w:pStyle w:val="NormalWeb"/>
        <w:spacing w:beforeAutospacing="0" w:afterAutospacing="0" w:line="360" w:lineRule="auto"/>
        <w:jc w:val="center"/>
        <w:rPr>
          <w:color w:val="000000" w:themeColor="text1"/>
          <w:sz w:val="28"/>
          <w:szCs w:val="28"/>
        </w:rPr>
      </w:pPr>
    </w:p>
    <w:p w14:paraId="7A24CFF2" w14:textId="77777777" w:rsidR="00F95A77" w:rsidRPr="00F95A77" w:rsidRDefault="00F95A77" w:rsidP="00F95A77">
      <w:pPr>
        <w:pStyle w:val="NormalWeb"/>
        <w:spacing w:beforeAutospacing="0" w:afterAutospacing="0" w:line="360" w:lineRule="auto"/>
        <w:jc w:val="center"/>
        <w:rPr>
          <w:color w:val="000000" w:themeColor="text1"/>
          <w:sz w:val="28"/>
          <w:szCs w:val="28"/>
        </w:rPr>
      </w:pPr>
    </w:p>
    <w:p w14:paraId="5008E84E" w14:textId="77777777" w:rsidR="00D55A70" w:rsidRPr="00F95A77" w:rsidRDefault="00D55A70" w:rsidP="00F95A77">
      <w:pPr>
        <w:pStyle w:val="NormalWeb"/>
        <w:spacing w:beforeAutospacing="0" w:afterAutospacing="0" w:line="360" w:lineRule="auto"/>
        <w:jc w:val="center"/>
        <w:rPr>
          <w:color w:val="000000" w:themeColor="text1"/>
          <w:sz w:val="28"/>
          <w:szCs w:val="28"/>
        </w:rPr>
      </w:pPr>
    </w:p>
    <w:p w14:paraId="4ADB40A0" w14:textId="21FB8E98" w:rsidR="00D55A70" w:rsidRPr="00F95A77" w:rsidRDefault="009374B4" w:rsidP="00F95A77">
      <w:pPr>
        <w:pStyle w:val="NormalWeb"/>
        <w:spacing w:beforeAutospacing="0" w:afterAutospacing="0" w:line="360" w:lineRule="auto"/>
        <w:jc w:val="center"/>
        <w:rPr>
          <w:color w:val="000000" w:themeColor="text1"/>
          <w:sz w:val="28"/>
          <w:szCs w:val="28"/>
        </w:rPr>
      </w:pPr>
      <w:r w:rsidRPr="00F95A77">
        <w:rPr>
          <w:color w:val="000000" w:themeColor="text1"/>
          <w:sz w:val="28"/>
          <w:szCs w:val="28"/>
        </w:rPr>
        <w:t>Word count: 1545</w:t>
      </w:r>
    </w:p>
    <w:p w14:paraId="381FC9CB" w14:textId="77777777" w:rsidR="00F95A77" w:rsidRPr="00F95A77" w:rsidRDefault="00F95A77" w:rsidP="00F95A77">
      <w:pPr>
        <w:pStyle w:val="NormalWeb"/>
        <w:spacing w:beforeAutospacing="0" w:afterAutospacing="0" w:line="360" w:lineRule="auto"/>
        <w:jc w:val="center"/>
        <w:rPr>
          <w:color w:val="000000" w:themeColor="text1"/>
          <w:sz w:val="28"/>
          <w:szCs w:val="28"/>
        </w:rPr>
      </w:pPr>
    </w:p>
    <w:p w14:paraId="645C5AB5" w14:textId="77777777" w:rsidR="00F95A77" w:rsidRPr="00F95A77" w:rsidRDefault="00F95A77" w:rsidP="00F95A77">
      <w:pPr>
        <w:pStyle w:val="NormalWeb"/>
        <w:spacing w:beforeAutospacing="0" w:afterAutospacing="0" w:line="360" w:lineRule="auto"/>
        <w:jc w:val="center"/>
        <w:rPr>
          <w:color w:val="000000" w:themeColor="text1"/>
          <w:sz w:val="28"/>
          <w:szCs w:val="28"/>
        </w:rPr>
      </w:pPr>
    </w:p>
    <w:p w14:paraId="5442BCEB" w14:textId="68535CDA" w:rsidR="00F95A77" w:rsidRPr="00F95A77" w:rsidRDefault="00F95A77" w:rsidP="00F95A77">
      <w:pPr>
        <w:spacing w:line="360" w:lineRule="auto"/>
        <w:jc w:val="center"/>
        <w:rPr>
          <w:rFonts w:ascii="Times New Roman" w:hAnsi="Times New Roman" w:cs="Times New Roman"/>
          <w:color w:val="000000" w:themeColor="text1"/>
          <w:sz w:val="28"/>
          <w:szCs w:val="28"/>
        </w:rPr>
      </w:pPr>
      <w:r w:rsidRPr="00F95A77">
        <w:rPr>
          <w:rFonts w:ascii="Times New Roman" w:hAnsi="Times New Roman" w:cs="Times New Roman"/>
          <w:color w:val="000000" w:themeColor="text1"/>
          <w:sz w:val="28"/>
          <w:szCs w:val="28"/>
        </w:rPr>
        <w:t>Student Name: Mihaela Ionita</w:t>
      </w:r>
    </w:p>
    <w:p w14:paraId="2848F0B2" w14:textId="7C3A7BB8" w:rsidR="00F95A77" w:rsidRPr="00F95A77" w:rsidRDefault="00F95A77" w:rsidP="00F95A77">
      <w:pPr>
        <w:spacing w:line="360" w:lineRule="auto"/>
        <w:jc w:val="center"/>
        <w:rPr>
          <w:rFonts w:ascii="Times New Roman" w:hAnsi="Times New Roman" w:cs="Times New Roman"/>
          <w:color w:val="000000" w:themeColor="text1"/>
          <w:sz w:val="28"/>
          <w:szCs w:val="28"/>
        </w:rPr>
      </w:pPr>
      <w:r w:rsidRPr="00F95A77">
        <w:rPr>
          <w:rFonts w:ascii="Times New Roman" w:hAnsi="Times New Roman" w:cs="Times New Roman"/>
          <w:color w:val="000000" w:themeColor="text1"/>
          <w:sz w:val="28"/>
          <w:szCs w:val="28"/>
        </w:rPr>
        <w:t>Student Number: 2436853</w:t>
      </w:r>
    </w:p>
    <w:p w14:paraId="44CCC682" w14:textId="77777777" w:rsidR="00F95A77" w:rsidRDefault="00F95A77" w:rsidP="00A964CD">
      <w:pPr>
        <w:spacing w:line="360" w:lineRule="auto"/>
        <w:rPr>
          <w:rFonts w:ascii="Times New Roman" w:hAnsi="Times New Roman" w:cs="Times New Roman"/>
          <w:b/>
          <w:bCs/>
          <w:color w:val="000000" w:themeColor="text1"/>
          <w:sz w:val="24"/>
          <w:szCs w:val="24"/>
        </w:rPr>
      </w:pPr>
    </w:p>
    <w:p w14:paraId="0D467610" w14:textId="77777777" w:rsidR="00F95A77" w:rsidRDefault="00F95A77" w:rsidP="00A964CD">
      <w:pPr>
        <w:spacing w:line="360" w:lineRule="auto"/>
        <w:rPr>
          <w:rFonts w:ascii="Times New Roman" w:hAnsi="Times New Roman" w:cs="Times New Roman"/>
          <w:b/>
          <w:bCs/>
          <w:color w:val="000000" w:themeColor="text1"/>
          <w:sz w:val="24"/>
          <w:szCs w:val="24"/>
        </w:rPr>
      </w:pPr>
    </w:p>
    <w:p w14:paraId="28F700D7" w14:textId="77777777" w:rsidR="00F95A77" w:rsidRDefault="00F95A77" w:rsidP="00A964CD">
      <w:pPr>
        <w:spacing w:line="360" w:lineRule="auto"/>
        <w:rPr>
          <w:rFonts w:ascii="Times New Roman" w:hAnsi="Times New Roman" w:cs="Times New Roman"/>
          <w:b/>
          <w:bCs/>
          <w:color w:val="000000" w:themeColor="text1"/>
          <w:sz w:val="24"/>
          <w:szCs w:val="24"/>
        </w:rPr>
      </w:pPr>
    </w:p>
    <w:p w14:paraId="2E7B744E" w14:textId="77777777" w:rsidR="00F95A77" w:rsidRDefault="00F95A77" w:rsidP="00A964CD">
      <w:pPr>
        <w:spacing w:line="360" w:lineRule="auto"/>
        <w:rPr>
          <w:rFonts w:ascii="Times New Roman" w:hAnsi="Times New Roman" w:cs="Times New Roman"/>
          <w:b/>
          <w:bCs/>
          <w:color w:val="000000" w:themeColor="text1"/>
          <w:sz w:val="24"/>
          <w:szCs w:val="24"/>
        </w:rPr>
      </w:pPr>
    </w:p>
    <w:p w14:paraId="5FA021CF" w14:textId="77777777" w:rsidR="00F95A77" w:rsidRDefault="00F95A77" w:rsidP="00A964CD">
      <w:pPr>
        <w:spacing w:line="360" w:lineRule="auto"/>
        <w:rPr>
          <w:rFonts w:ascii="Times New Roman" w:hAnsi="Times New Roman" w:cs="Times New Roman"/>
          <w:b/>
          <w:bCs/>
          <w:color w:val="000000" w:themeColor="text1"/>
          <w:sz w:val="24"/>
          <w:szCs w:val="24"/>
        </w:rPr>
      </w:pPr>
    </w:p>
    <w:p w14:paraId="4559B98C" w14:textId="77777777" w:rsidR="00F95A77" w:rsidRDefault="00F95A77" w:rsidP="00A964CD">
      <w:pPr>
        <w:spacing w:line="360" w:lineRule="auto"/>
        <w:rPr>
          <w:rFonts w:ascii="Times New Roman" w:hAnsi="Times New Roman" w:cs="Times New Roman"/>
          <w:b/>
          <w:bCs/>
          <w:color w:val="000000" w:themeColor="text1"/>
          <w:sz w:val="24"/>
          <w:szCs w:val="24"/>
        </w:rPr>
      </w:pPr>
    </w:p>
    <w:p w14:paraId="35247BDD" w14:textId="77777777" w:rsidR="00F95A77" w:rsidRPr="00F95A77" w:rsidRDefault="00F95A77" w:rsidP="00A964CD">
      <w:pPr>
        <w:spacing w:line="360" w:lineRule="auto"/>
        <w:rPr>
          <w:rFonts w:ascii="Times New Roman" w:hAnsi="Times New Roman" w:cs="Times New Roman"/>
          <w:b/>
          <w:bCs/>
          <w:color w:val="000000" w:themeColor="text1"/>
          <w:sz w:val="24"/>
          <w:szCs w:val="24"/>
        </w:rPr>
      </w:pPr>
    </w:p>
    <w:sdt>
      <w:sdtPr>
        <w:rPr>
          <w:rFonts w:ascii="Times New Roman" w:eastAsiaTheme="minorEastAsia" w:hAnsi="Times New Roman" w:cs="Times New Roman"/>
          <w:color w:val="auto"/>
          <w:sz w:val="28"/>
          <w:szCs w:val="24"/>
          <w:lang w:eastAsia="zh-CN"/>
        </w:rPr>
        <w:id w:val="-1975974798"/>
        <w:docPartObj>
          <w:docPartGallery w:val="Table of Contents"/>
          <w:docPartUnique/>
        </w:docPartObj>
      </w:sdtPr>
      <w:sdtEndPr>
        <w:rPr>
          <w:b/>
          <w:bCs/>
          <w:noProof/>
          <w:sz w:val="24"/>
        </w:rPr>
      </w:sdtEndPr>
      <w:sdtContent>
        <w:p w14:paraId="342CE715" w14:textId="39D1EA79" w:rsidR="00A964CD" w:rsidRPr="00E517F2" w:rsidRDefault="00A964CD" w:rsidP="00A964CD">
          <w:pPr>
            <w:pStyle w:val="TOCHeading"/>
            <w:spacing w:line="360" w:lineRule="auto"/>
            <w:rPr>
              <w:rFonts w:ascii="Times New Roman" w:hAnsi="Times New Roman" w:cs="Times New Roman"/>
              <w:sz w:val="28"/>
              <w:szCs w:val="24"/>
            </w:rPr>
          </w:pPr>
          <w:r w:rsidRPr="00E517F2">
            <w:rPr>
              <w:rFonts w:ascii="Times New Roman" w:hAnsi="Times New Roman" w:cs="Times New Roman"/>
              <w:sz w:val="28"/>
              <w:szCs w:val="24"/>
            </w:rPr>
            <w:t>Contents</w:t>
          </w:r>
        </w:p>
        <w:p w14:paraId="35004AB6" w14:textId="28243152"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r w:rsidRPr="00A964CD">
            <w:rPr>
              <w:rFonts w:ascii="Times New Roman" w:hAnsi="Times New Roman" w:cs="Times New Roman"/>
              <w:b/>
              <w:bCs/>
              <w:noProof/>
              <w:sz w:val="24"/>
              <w:szCs w:val="24"/>
            </w:rPr>
            <w:fldChar w:fldCharType="begin"/>
          </w:r>
          <w:r w:rsidRPr="00A964CD">
            <w:rPr>
              <w:rFonts w:ascii="Times New Roman" w:hAnsi="Times New Roman" w:cs="Times New Roman"/>
              <w:b/>
              <w:bCs/>
              <w:noProof/>
              <w:sz w:val="24"/>
              <w:szCs w:val="24"/>
            </w:rPr>
            <w:instrText xml:space="preserve"> TOC \o "1-3" \h \z \u </w:instrText>
          </w:r>
          <w:r w:rsidRPr="00A964CD">
            <w:rPr>
              <w:rFonts w:ascii="Times New Roman" w:hAnsi="Times New Roman" w:cs="Times New Roman"/>
              <w:b/>
              <w:bCs/>
              <w:noProof/>
              <w:sz w:val="24"/>
              <w:szCs w:val="24"/>
            </w:rPr>
            <w:fldChar w:fldCharType="separate"/>
          </w:r>
          <w:hyperlink w:anchor="_Toc211438993" w:history="1">
            <w:r w:rsidRPr="00A964CD">
              <w:rPr>
                <w:rStyle w:val="Hyperlink"/>
                <w:rFonts w:ascii="Times New Roman" w:hAnsi="Times New Roman" w:cs="Times New Roman"/>
                <w:noProof/>
                <w:sz w:val="24"/>
                <w:szCs w:val="24"/>
              </w:rPr>
              <w:t>Introduction</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_Toc211438993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3</w:t>
            </w:r>
            <w:r w:rsidRPr="00A964CD">
              <w:rPr>
                <w:rFonts w:ascii="Times New Roman" w:hAnsi="Times New Roman" w:cs="Times New Roman"/>
                <w:noProof/>
                <w:webHidden/>
                <w:sz w:val="24"/>
                <w:szCs w:val="24"/>
              </w:rPr>
              <w:fldChar w:fldCharType="end"/>
            </w:r>
          </w:hyperlink>
        </w:p>
        <w:p w14:paraId="673EF60A" w14:textId="793E4B99"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hyperlink w:anchor="_Toc211438994" w:history="1">
            <w:r w:rsidRPr="00A964CD">
              <w:rPr>
                <w:rStyle w:val="Hyperlink"/>
                <w:rFonts w:ascii="Times New Roman" w:hAnsi="Times New Roman" w:cs="Times New Roman"/>
                <w:noProof/>
                <w:sz w:val="24"/>
                <w:szCs w:val="24"/>
              </w:rPr>
              <w:t>Effective Communication in the Care of Mrs Mann.</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_Toc211438994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3</w:t>
            </w:r>
            <w:r w:rsidRPr="00A964CD">
              <w:rPr>
                <w:rFonts w:ascii="Times New Roman" w:hAnsi="Times New Roman" w:cs="Times New Roman"/>
                <w:noProof/>
                <w:webHidden/>
                <w:sz w:val="24"/>
                <w:szCs w:val="24"/>
              </w:rPr>
              <w:fldChar w:fldCharType="end"/>
            </w:r>
          </w:hyperlink>
        </w:p>
        <w:p w14:paraId="7571DA3C" w14:textId="6FB3D7F1"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hyperlink w:anchor="_Toc211438995" w:history="1">
            <w:r w:rsidRPr="00A964CD">
              <w:rPr>
                <w:rStyle w:val="Hyperlink"/>
                <w:rFonts w:ascii="Times New Roman" w:hAnsi="Times New Roman" w:cs="Times New Roman"/>
                <w:noProof/>
                <w:sz w:val="24"/>
                <w:szCs w:val="24"/>
              </w:rPr>
              <w:t>Significance of Good Administrative and Record-Keeping practises.</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_Toc211438995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4</w:t>
            </w:r>
            <w:r w:rsidRPr="00A964CD">
              <w:rPr>
                <w:rFonts w:ascii="Times New Roman" w:hAnsi="Times New Roman" w:cs="Times New Roman"/>
                <w:noProof/>
                <w:webHidden/>
                <w:sz w:val="24"/>
                <w:szCs w:val="24"/>
              </w:rPr>
              <w:fldChar w:fldCharType="end"/>
            </w:r>
          </w:hyperlink>
        </w:p>
        <w:p w14:paraId="2BCE32A0" w14:textId="2569E209"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hyperlink w:anchor="_Toc211438996" w:history="1">
            <w:r w:rsidRPr="00A964CD">
              <w:rPr>
                <w:rStyle w:val="Hyperlink"/>
                <w:rFonts w:ascii="Times New Roman" w:eastAsia="SimSun" w:hAnsi="Times New Roman" w:cs="Times New Roman"/>
                <w:noProof/>
                <w:sz w:val="24"/>
                <w:szCs w:val="24"/>
              </w:rPr>
              <w:t>Collaborating with the Work of other Professionals.</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_Toc211438996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5</w:t>
            </w:r>
            <w:r w:rsidRPr="00A964CD">
              <w:rPr>
                <w:rFonts w:ascii="Times New Roman" w:hAnsi="Times New Roman" w:cs="Times New Roman"/>
                <w:noProof/>
                <w:webHidden/>
                <w:sz w:val="24"/>
                <w:szCs w:val="24"/>
              </w:rPr>
              <w:fldChar w:fldCharType="end"/>
            </w:r>
          </w:hyperlink>
        </w:p>
        <w:p w14:paraId="2078DD4C" w14:textId="34AE1E02"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hyperlink w:anchor="_Toc211438997" w:history="1">
            <w:r w:rsidRPr="00A964CD">
              <w:rPr>
                <w:rStyle w:val="Hyperlink"/>
                <w:rFonts w:ascii="Times New Roman" w:hAnsi="Times New Roman" w:cs="Times New Roman"/>
                <w:noProof/>
                <w:sz w:val="24"/>
                <w:szCs w:val="24"/>
              </w:rPr>
              <w:t>Conclusion</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_Toc211438997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6</w:t>
            </w:r>
            <w:r w:rsidRPr="00A964CD">
              <w:rPr>
                <w:rFonts w:ascii="Times New Roman" w:hAnsi="Times New Roman" w:cs="Times New Roman"/>
                <w:noProof/>
                <w:webHidden/>
                <w:sz w:val="24"/>
                <w:szCs w:val="24"/>
              </w:rPr>
              <w:fldChar w:fldCharType="end"/>
            </w:r>
          </w:hyperlink>
        </w:p>
        <w:p w14:paraId="57CE76CA" w14:textId="2D26CB53" w:rsidR="00A964CD" w:rsidRPr="00A964CD" w:rsidRDefault="00A964CD" w:rsidP="00A964CD">
          <w:pPr>
            <w:pStyle w:val="TOC1"/>
            <w:tabs>
              <w:tab w:val="right" w:leader="dot" w:pos="9016"/>
            </w:tabs>
            <w:spacing w:line="360" w:lineRule="auto"/>
            <w:rPr>
              <w:rFonts w:ascii="Times New Roman" w:hAnsi="Times New Roman" w:cs="Times New Roman"/>
              <w:noProof/>
              <w:sz w:val="24"/>
              <w:szCs w:val="24"/>
            </w:rPr>
          </w:pPr>
          <w:hyperlink w:anchor="_Toc211438998" w:history="1">
            <w:r w:rsidRPr="00A964CD">
              <w:rPr>
                <w:rStyle w:val="Hyperlink"/>
                <w:rFonts w:ascii="Times New Roman" w:hAnsi="Times New Roman" w:cs="Times New Roman"/>
                <w:noProof/>
                <w:sz w:val="24"/>
                <w:szCs w:val="24"/>
              </w:rPr>
              <w:t>References‌</w:t>
            </w:r>
            <w:r w:rsidRPr="00A964CD">
              <w:rPr>
                <w:rFonts w:ascii="Times New Roman" w:hAnsi="Times New Roman" w:cs="Times New Roman"/>
                <w:noProof/>
                <w:webHidden/>
                <w:sz w:val="24"/>
                <w:szCs w:val="24"/>
              </w:rPr>
              <w:tab/>
            </w:r>
            <w:r w:rsidRPr="00A964CD">
              <w:rPr>
                <w:rFonts w:ascii="Times New Roman" w:hAnsi="Times New Roman" w:cs="Times New Roman"/>
                <w:noProof/>
                <w:webHidden/>
                <w:sz w:val="24"/>
                <w:szCs w:val="24"/>
              </w:rPr>
              <w:fldChar w:fldCharType="begin"/>
            </w:r>
            <w:r w:rsidRPr="00A964CD">
              <w:rPr>
                <w:rFonts w:ascii="Times New Roman" w:hAnsi="Times New Roman" w:cs="Times New Roman"/>
                <w:noProof/>
                <w:webHidden/>
                <w:sz w:val="24"/>
                <w:szCs w:val="24"/>
              </w:rPr>
              <w:instrText xml:space="preserve"> PAGEREF _Toc211438998 \h </w:instrText>
            </w:r>
            <w:r w:rsidRPr="00A964CD">
              <w:rPr>
                <w:rFonts w:ascii="Times New Roman" w:hAnsi="Times New Roman" w:cs="Times New Roman"/>
                <w:noProof/>
                <w:webHidden/>
                <w:sz w:val="24"/>
                <w:szCs w:val="24"/>
              </w:rPr>
            </w:r>
            <w:r w:rsidRPr="00A964CD">
              <w:rPr>
                <w:rFonts w:ascii="Times New Roman" w:hAnsi="Times New Roman" w:cs="Times New Roman"/>
                <w:noProof/>
                <w:webHidden/>
                <w:sz w:val="24"/>
                <w:szCs w:val="24"/>
              </w:rPr>
              <w:fldChar w:fldCharType="separate"/>
            </w:r>
            <w:r w:rsidR="009374B4">
              <w:rPr>
                <w:rFonts w:ascii="Times New Roman" w:hAnsi="Times New Roman" w:cs="Times New Roman"/>
                <w:noProof/>
                <w:webHidden/>
                <w:sz w:val="24"/>
                <w:szCs w:val="24"/>
              </w:rPr>
              <w:t>8</w:t>
            </w:r>
            <w:r w:rsidRPr="00A964CD">
              <w:rPr>
                <w:rFonts w:ascii="Times New Roman" w:hAnsi="Times New Roman" w:cs="Times New Roman"/>
                <w:noProof/>
                <w:webHidden/>
                <w:sz w:val="24"/>
                <w:szCs w:val="24"/>
              </w:rPr>
              <w:fldChar w:fldCharType="end"/>
            </w:r>
          </w:hyperlink>
        </w:p>
        <w:p w14:paraId="39A9D02B" w14:textId="528B01D3" w:rsidR="00A964CD" w:rsidRPr="00A964CD" w:rsidRDefault="00A964CD" w:rsidP="00A964CD">
          <w:pPr>
            <w:spacing w:line="360" w:lineRule="auto"/>
            <w:rPr>
              <w:rFonts w:ascii="Times New Roman" w:hAnsi="Times New Roman" w:cs="Times New Roman"/>
              <w:sz w:val="24"/>
              <w:szCs w:val="24"/>
            </w:rPr>
          </w:pPr>
          <w:r w:rsidRPr="00A964CD">
            <w:rPr>
              <w:rFonts w:ascii="Times New Roman" w:hAnsi="Times New Roman" w:cs="Times New Roman"/>
              <w:b/>
              <w:bCs/>
              <w:noProof/>
              <w:sz w:val="24"/>
              <w:szCs w:val="24"/>
            </w:rPr>
            <w:fldChar w:fldCharType="end"/>
          </w:r>
        </w:p>
      </w:sdtContent>
    </w:sdt>
    <w:p w14:paraId="1659766B" w14:textId="2F7ECCF4" w:rsidR="00D55A70" w:rsidRPr="00A964CD" w:rsidRDefault="00D55A70" w:rsidP="00A964CD">
      <w:pPr>
        <w:spacing w:line="360" w:lineRule="auto"/>
        <w:rPr>
          <w:rFonts w:ascii="Times New Roman" w:hAnsi="Times New Roman" w:cs="Times New Roman"/>
          <w:bCs/>
          <w:color w:val="000000" w:themeColor="text1"/>
          <w:sz w:val="24"/>
          <w:szCs w:val="24"/>
        </w:rPr>
      </w:pPr>
    </w:p>
    <w:p w14:paraId="0A12FBD7" w14:textId="77777777" w:rsidR="00D55A70" w:rsidRPr="00A964CD" w:rsidRDefault="00D55A70" w:rsidP="00A964CD">
      <w:pPr>
        <w:spacing w:line="360" w:lineRule="auto"/>
        <w:jc w:val="both"/>
        <w:rPr>
          <w:rFonts w:ascii="Times New Roman" w:hAnsi="Times New Roman" w:cs="Times New Roman"/>
          <w:bCs/>
          <w:color w:val="000000" w:themeColor="text1"/>
          <w:sz w:val="24"/>
          <w:szCs w:val="24"/>
        </w:rPr>
      </w:pPr>
    </w:p>
    <w:p w14:paraId="634A6A77" w14:textId="77777777" w:rsidR="00D55A70" w:rsidRPr="00A964CD" w:rsidRDefault="009374B4" w:rsidP="00A964CD">
      <w:pPr>
        <w:spacing w:line="360" w:lineRule="auto"/>
        <w:rPr>
          <w:rFonts w:ascii="Times New Roman" w:hAnsi="Times New Roman" w:cs="Times New Roman"/>
          <w:b/>
          <w:bCs/>
          <w:color w:val="000000" w:themeColor="text1"/>
          <w:sz w:val="24"/>
          <w:szCs w:val="24"/>
        </w:rPr>
      </w:pPr>
      <w:r w:rsidRPr="00A964CD">
        <w:rPr>
          <w:rFonts w:ascii="Times New Roman" w:hAnsi="Times New Roman" w:cs="Times New Roman"/>
          <w:b/>
          <w:bCs/>
          <w:color w:val="000000" w:themeColor="text1"/>
          <w:sz w:val="24"/>
          <w:szCs w:val="24"/>
        </w:rPr>
        <w:br w:type="page"/>
      </w:r>
    </w:p>
    <w:p w14:paraId="52975EE8" w14:textId="77777777" w:rsidR="00D55A70" w:rsidRPr="00A964CD" w:rsidRDefault="009374B4" w:rsidP="00A964CD">
      <w:pPr>
        <w:pStyle w:val="Heading1"/>
        <w:spacing w:line="360" w:lineRule="auto"/>
        <w:jc w:val="both"/>
        <w:rPr>
          <w:rFonts w:ascii="Times New Roman" w:hAnsi="Times New Roman" w:cs="Times New Roman"/>
          <w:color w:val="000000" w:themeColor="text1"/>
          <w:sz w:val="24"/>
          <w:szCs w:val="24"/>
        </w:rPr>
      </w:pPr>
      <w:bookmarkStart w:id="0" w:name="_Toc26897"/>
      <w:bookmarkStart w:id="1" w:name="_Toc211438993"/>
      <w:r w:rsidRPr="00A964CD">
        <w:rPr>
          <w:rFonts w:ascii="Times New Roman" w:hAnsi="Times New Roman" w:cs="Times New Roman"/>
          <w:color w:val="000000" w:themeColor="text1"/>
          <w:sz w:val="24"/>
          <w:szCs w:val="24"/>
        </w:rPr>
        <w:lastRenderedPageBreak/>
        <w:t>Introduction</w:t>
      </w:r>
      <w:bookmarkEnd w:id="0"/>
      <w:bookmarkEnd w:id="1"/>
      <w:r w:rsidRPr="00A964CD">
        <w:rPr>
          <w:rFonts w:ascii="Times New Roman" w:hAnsi="Times New Roman" w:cs="Times New Roman"/>
          <w:color w:val="000000" w:themeColor="text1"/>
          <w:sz w:val="24"/>
          <w:szCs w:val="24"/>
        </w:rPr>
        <w:t xml:space="preserve"> </w:t>
      </w:r>
    </w:p>
    <w:p w14:paraId="3A1597B5"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This report presents a case study involving the patient, </w:t>
      </w:r>
      <w:proofErr w:type="spellStart"/>
      <w:r w:rsidRPr="00A964CD">
        <w:rPr>
          <w:color w:val="000000" w:themeColor="text1"/>
        </w:rPr>
        <w:t>Mrs</w:t>
      </w:r>
      <w:proofErr w:type="spellEnd"/>
      <w:r w:rsidRPr="00A964CD">
        <w:rPr>
          <w:color w:val="000000" w:themeColor="text1"/>
        </w:rPr>
        <w:t xml:space="preserve"> Mann who is a 72-year old woman that has recently come out of a hospital after undergoing hip-replacement surgery. </w:t>
      </w:r>
      <w:proofErr w:type="spellStart"/>
      <w:r w:rsidRPr="00A964CD">
        <w:rPr>
          <w:color w:val="000000" w:themeColor="text1"/>
        </w:rPr>
        <w:t>Mrs</w:t>
      </w:r>
      <w:proofErr w:type="spellEnd"/>
      <w:r w:rsidRPr="00A964CD">
        <w:rPr>
          <w:color w:val="000000" w:themeColor="text1"/>
        </w:rPr>
        <w:t xml:space="preserve"> Mann has domiciliary carers, her daughter who visits as a physiotherapist in the community, and her general practitioner which is the primary support she receives given that she lives alone and does not communicate in English. The need to </w:t>
      </w:r>
      <w:proofErr w:type="spellStart"/>
      <w:r w:rsidRPr="00A964CD">
        <w:rPr>
          <w:color w:val="000000" w:themeColor="text1"/>
        </w:rPr>
        <w:t>practise</w:t>
      </w:r>
      <w:proofErr w:type="spellEnd"/>
      <w:r w:rsidRPr="00A964CD">
        <w:rPr>
          <w:color w:val="000000" w:themeColor="text1"/>
        </w:rPr>
        <w:t xml:space="preserve"> safely and collaboratively has been subjects of concern due to the inconsistent documentation and delayed medication changes in the recent past.</w:t>
      </w:r>
    </w:p>
    <w:p w14:paraId="531DEEF9"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Three key dimensions are discussed, which cannot be ignored to ensure high-quality health and social-care delivery, namely, (1) effective communication with service users and families; (2) sound administrative and record-keeping </w:t>
      </w:r>
      <w:proofErr w:type="spellStart"/>
      <w:r w:rsidRPr="00A964CD">
        <w:rPr>
          <w:color w:val="000000" w:themeColor="text1"/>
        </w:rPr>
        <w:t>practises</w:t>
      </w:r>
      <w:proofErr w:type="spellEnd"/>
      <w:r w:rsidRPr="00A964CD">
        <w:rPr>
          <w:color w:val="000000" w:themeColor="text1"/>
        </w:rPr>
        <w:t>; and (3) working together by professionals. Both sections feature concerned legislation, policy structures, and theoretical frameworks, therefore, showing how these foundations enhance person-</w:t>
      </w:r>
      <w:proofErr w:type="spellStart"/>
      <w:r w:rsidRPr="00A964CD">
        <w:rPr>
          <w:color w:val="000000" w:themeColor="text1"/>
        </w:rPr>
        <w:t>centred</w:t>
      </w:r>
      <w:proofErr w:type="spellEnd"/>
      <w:r w:rsidRPr="00A964CD">
        <w:rPr>
          <w:color w:val="000000" w:themeColor="text1"/>
        </w:rPr>
        <w:t xml:space="preserve"> and legal abiding care. The report ends by presenting a summary on how improved communication, documentation and inter-professional collaboration works together to improve the outcome of </w:t>
      </w:r>
      <w:proofErr w:type="spellStart"/>
      <w:r w:rsidRPr="00A964CD">
        <w:rPr>
          <w:color w:val="000000" w:themeColor="text1"/>
        </w:rPr>
        <w:t>Mrs</w:t>
      </w:r>
      <w:proofErr w:type="spellEnd"/>
      <w:r w:rsidRPr="00A964CD">
        <w:rPr>
          <w:color w:val="000000" w:themeColor="text1"/>
        </w:rPr>
        <w:t xml:space="preserve"> Mann and to protect her well-being.</w:t>
      </w:r>
    </w:p>
    <w:p w14:paraId="78A8F82A" w14:textId="77777777" w:rsidR="00D55A70" w:rsidRPr="00A964CD" w:rsidRDefault="009374B4" w:rsidP="00A964CD">
      <w:pPr>
        <w:pStyle w:val="Heading1"/>
        <w:spacing w:line="360" w:lineRule="auto"/>
        <w:jc w:val="both"/>
        <w:rPr>
          <w:rFonts w:ascii="Times New Roman" w:hAnsi="Times New Roman" w:cs="Times New Roman"/>
          <w:color w:val="000000" w:themeColor="text1"/>
          <w:sz w:val="24"/>
          <w:szCs w:val="24"/>
        </w:rPr>
      </w:pPr>
      <w:bookmarkStart w:id="2" w:name="_Toc30302"/>
      <w:bookmarkStart w:id="3" w:name="_Toc211438994"/>
      <w:r w:rsidRPr="00A964CD">
        <w:rPr>
          <w:rFonts w:ascii="Times New Roman" w:hAnsi="Times New Roman" w:cs="Times New Roman"/>
          <w:color w:val="000000" w:themeColor="text1"/>
          <w:sz w:val="24"/>
          <w:szCs w:val="24"/>
        </w:rPr>
        <w:t>Effective Communication in the Care of Mrs Mann.</w:t>
      </w:r>
      <w:bookmarkEnd w:id="2"/>
      <w:bookmarkEnd w:id="3"/>
    </w:p>
    <w:p w14:paraId="1AAAF05A"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Person-</w:t>
      </w:r>
      <w:proofErr w:type="spellStart"/>
      <w:r w:rsidRPr="00A964CD">
        <w:rPr>
          <w:color w:val="000000" w:themeColor="text1"/>
        </w:rPr>
        <w:t>centred</w:t>
      </w:r>
      <w:proofErr w:type="spellEnd"/>
      <w:r w:rsidRPr="00A964CD">
        <w:rPr>
          <w:color w:val="000000" w:themeColor="text1"/>
        </w:rPr>
        <w:t xml:space="preserve"> care cannot be effective without effective communication particularly among people who have language or cultural barriers. In the case of </w:t>
      </w:r>
      <w:proofErr w:type="spellStart"/>
      <w:r w:rsidRPr="00A964CD">
        <w:rPr>
          <w:color w:val="000000" w:themeColor="text1"/>
        </w:rPr>
        <w:t>Mrs</w:t>
      </w:r>
      <w:proofErr w:type="spellEnd"/>
      <w:r w:rsidRPr="00A964CD">
        <w:rPr>
          <w:color w:val="000000" w:themeColor="text1"/>
        </w:rPr>
        <w:t xml:space="preserve"> Mann, the native language is Urdu and a poor command of English may hinder her understanding of treatment regimens, prescriptions and consent procedures. Some misunderstanding during this is likely to occur, which will lead to medication errors or mental distress; therefore, a comprehensive and culturally sensitive model should take precedence.</w:t>
      </w:r>
    </w:p>
    <w:p w14:paraId="3CB725D8"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The Equality act 2010 stipulates that people must be treated as equals regardless of the background and that reasonable accommodation should be made towards making people with constituted characteristics have fair access to information (GOV.UK, 2013). This in the case of </w:t>
      </w:r>
      <w:proofErr w:type="spellStart"/>
      <w:r w:rsidRPr="00A964CD">
        <w:rPr>
          <w:color w:val="000000" w:themeColor="text1"/>
        </w:rPr>
        <w:t>Mrs</w:t>
      </w:r>
      <w:proofErr w:type="spellEnd"/>
      <w:r w:rsidRPr="00A964CD">
        <w:rPr>
          <w:color w:val="000000" w:themeColor="text1"/>
        </w:rPr>
        <w:t xml:space="preserve"> Mann would involve the implementation of interpreters, the delivery of translated forms or the presentation of visual materials that can be used to improve her comprehension. Moreover, the domiciliary care agency ought to provide its employees with equality and diversity training to enable them to have empathy and reduce unconscious bias.</w:t>
      </w:r>
    </w:p>
    <w:p w14:paraId="77A8F5B8"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lastRenderedPageBreak/>
        <w:t xml:space="preserve">The SOLER model by Egan offers a systematic way of establishing rapport. It provides active listening and non-verbal assistance through the model--Squarely facing, Open posture, Leaning forward, Eye contact and Relaxed body language (Egan, 2020).  Through such modalities, Mrs. Mann can be convinced that her needs are observed in spite of the language barriers. Similarly, active listening, which Staten and Making (2025) </w:t>
      </w:r>
      <w:proofErr w:type="spellStart"/>
      <w:r w:rsidRPr="00A964CD">
        <w:rPr>
          <w:color w:val="000000" w:themeColor="text1"/>
        </w:rPr>
        <w:t>emphasise</w:t>
      </w:r>
      <w:proofErr w:type="spellEnd"/>
      <w:r w:rsidRPr="00A964CD">
        <w:rPr>
          <w:color w:val="000000" w:themeColor="text1"/>
        </w:rPr>
        <w:t xml:space="preserve"> upon makes sure that carers do not only hear but also interpret and </w:t>
      </w:r>
      <w:proofErr w:type="spellStart"/>
      <w:r w:rsidRPr="00A964CD">
        <w:rPr>
          <w:color w:val="000000" w:themeColor="text1"/>
        </w:rPr>
        <w:t>realise</w:t>
      </w:r>
      <w:proofErr w:type="spellEnd"/>
      <w:r w:rsidRPr="00A964CD">
        <w:rPr>
          <w:color w:val="000000" w:themeColor="text1"/>
        </w:rPr>
        <w:t xml:space="preserve"> the perception of what the service user communicates. The communication methods used to overcome misunderstandings, e.g. closed-loop communication where the received information was repeated back, counteracted misunderstandings especially when it comes to medication or physiotherapy schedule.</w:t>
      </w:r>
    </w:p>
    <w:p w14:paraId="49BF69DF"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Cultural sensitivity also increases communication. Health professionals must understand that older South Asian women can be choosy of female carers or they are shy to talk about personal issues. The conformity to these preferences is in line with the Nursing and Midwifery Council Code (2018), which requires treating service users as individuals and protecting dignity. </w:t>
      </w:r>
      <w:proofErr w:type="spellStart"/>
      <w:r w:rsidRPr="00A964CD">
        <w:rPr>
          <w:color w:val="000000" w:themeColor="text1"/>
        </w:rPr>
        <w:t>Mrs</w:t>
      </w:r>
      <w:proofErr w:type="spellEnd"/>
      <w:r w:rsidRPr="00A964CD">
        <w:rPr>
          <w:color w:val="000000" w:themeColor="text1"/>
        </w:rPr>
        <w:t xml:space="preserve"> handling does not require the help of her daughter to translate the word, although, where possible, the services of professional interpreters should be employed because the confidentiality and correct translation are crucial.</w:t>
      </w:r>
    </w:p>
    <w:p w14:paraId="539D1096"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Altogether, to achieve effective communication in the case of Mrs. Mann, the legal compliance, interpersonal ability, and cultural competence must be combined. Using the Equality Act 2010, the NMC Code and Egan, SOLER model will enable practitioners to provide quality, respectful, inclusive, and empowering care that will foster comfort, safety and recovery of Mrs. Mann.</w:t>
      </w:r>
    </w:p>
    <w:p w14:paraId="5D3ED861" w14:textId="77777777" w:rsidR="00D55A70" w:rsidRPr="00A964CD" w:rsidRDefault="009374B4" w:rsidP="00A964CD">
      <w:pPr>
        <w:pStyle w:val="Heading1"/>
        <w:spacing w:line="360" w:lineRule="auto"/>
        <w:jc w:val="both"/>
        <w:rPr>
          <w:rFonts w:ascii="Times New Roman" w:hAnsi="Times New Roman" w:cs="Times New Roman"/>
          <w:color w:val="000000" w:themeColor="text1"/>
          <w:sz w:val="24"/>
          <w:szCs w:val="24"/>
        </w:rPr>
      </w:pPr>
      <w:bookmarkStart w:id="4" w:name="_Toc1622"/>
      <w:bookmarkStart w:id="5" w:name="_Toc211438995"/>
      <w:r w:rsidRPr="00A964CD">
        <w:rPr>
          <w:rFonts w:ascii="Times New Roman" w:hAnsi="Times New Roman" w:cs="Times New Roman"/>
          <w:color w:val="000000" w:themeColor="text1"/>
          <w:sz w:val="24"/>
          <w:szCs w:val="24"/>
        </w:rPr>
        <w:t>Significance of Good Administrative and Record-Keeping practises.</w:t>
      </w:r>
      <w:bookmarkEnd w:id="4"/>
      <w:bookmarkEnd w:id="5"/>
    </w:p>
    <w:p w14:paraId="528D105B"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Safe, accountable and person-</w:t>
      </w:r>
      <w:proofErr w:type="spellStart"/>
      <w:r w:rsidRPr="00A964CD">
        <w:rPr>
          <w:color w:val="000000" w:themeColor="text1"/>
        </w:rPr>
        <w:t>centred</w:t>
      </w:r>
      <w:proofErr w:type="spellEnd"/>
      <w:r w:rsidRPr="00A964CD">
        <w:rPr>
          <w:color w:val="000000" w:themeColor="text1"/>
        </w:rPr>
        <w:t xml:space="preserve"> care within health and social care settings can only be maintained through accurate and consistent record keeping. The lack of consistency in documentation and medication changes as seen in the case of </w:t>
      </w:r>
      <w:proofErr w:type="spellStart"/>
      <w:r w:rsidRPr="00A964CD">
        <w:rPr>
          <w:color w:val="000000" w:themeColor="text1"/>
        </w:rPr>
        <w:t>Mrs</w:t>
      </w:r>
      <w:proofErr w:type="spellEnd"/>
      <w:r w:rsidRPr="00A964CD">
        <w:rPr>
          <w:color w:val="000000" w:themeColor="text1"/>
        </w:rPr>
        <w:t xml:space="preserve"> Mann is indicative of the problems within the administrative </w:t>
      </w:r>
      <w:proofErr w:type="spellStart"/>
      <w:r w:rsidRPr="00A964CD">
        <w:rPr>
          <w:color w:val="000000" w:themeColor="text1"/>
        </w:rPr>
        <w:t>practise</w:t>
      </w:r>
      <w:proofErr w:type="spellEnd"/>
      <w:r w:rsidRPr="00A964CD">
        <w:rPr>
          <w:color w:val="000000" w:themeColor="text1"/>
        </w:rPr>
        <w:t xml:space="preserve"> that could endanger her safety and wellbeing. Well-developed administrative and record-keeping systems are used to facilitate continuity of care, legal compliance and promote communication within the multidisciplinary team.</w:t>
      </w:r>
    </w:p>
    <w:p w14:paraId="1AC5425C"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The Legal guidelines in the Data Protection Act 2018 define the principles through which personal information should be handled and they state that all data must be properly, precisely and used in another way (GOV.UK, 2018). Practically, this will require that the </w:t>
      </w:r>
      <w:r w:rsidRPr="00A964CD">
        <w:rPr>
          <w:color w:val="000000" w:themeColor="text1"/>
        </w:rPr>
        <w:lastRenderedPageBreak/>
        <w:t xml:space="preserve">medical and personal information of </w:t>
      </w:r>
      <w:proofErr w:type="spellStart"/>
      <w:r w:rsidRPr="00A964CD">
        <w:rPr>
          <w:color w:val="000000" w:themeColor="text1"/>
        </w:rPr>
        <w:t>Mrs.Mann</w:t>
      </w:r>
      <w:proofErr w:type="spellEnd"/>
      <w:r w:rsidRPr="00A964CD">
        <w:rPr>
          <w:color w:val="000000" w:themeColor="text1"/>
        </w:rPr>
        <w:t xml:space="preserve"> be disclosed safely with an </w:t>
      </w:r>
      <w:proofErr w:type="spellStart"/>
      <w:r w:rsidRPr="00A964CD">
        <w:rPr>
          <w:color w:val="000000" w:themeColor="text1"/>
        </w:rPr>
        <w:t>authorised</w:t>
      </w:r>
      <w:proofErr w:type="spellEnd"/>
      <w:r w:rsidRPr="00A964CD">
        <w:rPr>
          <w:color w:val="000000" w:themeColor="text1"/>
        </w:rPr>
        <w:t xml:space="preserve"> staff and up-to-date. Breach of confidential or any inaccuracy would lead to medication errors or lack of trust. As a result, employees are expected to maintain high data -protection levels in filling the care notes or informing the general practitioners and physiotherapists on any updates.</w:t>
      </w:r>
    </w:p>
    <w:p w14:paraId="6838AABB"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The National Health Service Code (2018) also </w:t>
      </w:r>
      <w:proofErr w:type="spellStart"/>
      <w:r w:rsidRPr="00A964CD">
        <w:rPr>
          <w:color w:val="000000" w:themeColor="text1"/>
        </w:rPr>
        <w:t>emphasises</w:t>
      </w:r>
      <w:proofErr w:type="spellEnd"/>
      <w:r w:rsidRPr="00A964CD">
        <w:rPr>
          <w:color w:val="000000" w:themeColor="text1"/>
        </w:rPr>
        <w:t xml:space="preserve"> on the need to have accurate, clear, and timely documentation as a part of professional responsibility. Records serve as clinical as well as legal evidence in intervention thus facilitating safe decision-making. An example of this is recording the unwillingness of </w:t>
      </w:r>
      <w:proofErr w:type="spellStart"/>
      <w:r w:rsidRPr="00A964CD">
        <w:rPr>
          <w:color w:val="000000" w:themeColor="text1"/>
        </w:rPr>
        <w:t>Mrs</w:t>
      </w:r>
      <w:proofErr w:type="spellEnd"/>
      <w:r w:rsidRPr="00A964CD">
        <w:rPr>
          <w:color w:val="000000" w:themeColor="text1"/>
        </w:rPr>
        <w:t> Mann to undergo physiotherapy or alteration of mobility which puts the situation in perspective and holds the staffs off the hook. On the same note, record-keeping on drug administration will provide transparency and make investigations on discrepancies quick.</w:t>
      </w:r>
    </w:p>
    <w:p w14:paraId="49ACBD91"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In the current situation when health and social care services are adopted in digital form, practitioners need to be able to prove their skill in the responsible usage of electronic records, where entries must be factual, contemporary and professional. Administrative diligence involves updating the care plans on a regular basis, cross-checking the medication records, and the prompt reporting of the instance. These roles are strengthened by the Health and Social Care Act 2012, which promotes multi-faceted information systems to strengthen coordination of services (UK Government, 2012).</w:t>
      </w:r>
    </w:p>
    <w:p w14:paraId="7E6F5495"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Finally, professional integrity in form of careful record keeping protects the patients and the practitioners as well. With Data Protection Act (2018) and the National Health Service Code (2018) in place, effective administrative </w:t>
      </w:r>
      <w:proofErr w:type="spellStart"/>
      <w:r w:rsidRPr="00A964CD">
        <w:rPr>
          <w:color w:val="000000" w:themeColor="text1"/>
        </w:rPr>
        <w:t>practises</w:t>
      </w:r>
      <w:proofErr w:type="spellEnd"/>
      <w:r w:rsidRPr="00A964CD">
        <w:rPr>
          <w:color w:val="000000" w:themeColor="text1"/>
        </w:rPr>
        <w:t xml:space="preserve"> ensure that Mrs. Mann obtains a high-quality, safe, and seamless care and promotes a relaxed cooperation of professionals engaged in her treatment.</w:t>
      </w:r>
    </w:p>
    <w:p w14:paraId="21912735" w14:textId="77777777" w:rsidR="00D55A70" w:rsidRPr="00A964CD" w:rsidRDefault="009374B4" w:rsidP="00A964CD">
      <w:pPr>
        <w:pStyle w:val="NormalWeb"/>
        <w:spacing w:beforeAutospacing="0" w:afterAutospacing="0" w:line="360" w:lineRule="auto"/>
        <w:jc w:val="both"/>
        <w:rPr>
          <w:color w:val="000000" w:themeColor="text1"/>
        </w:rPr>
      </w:pPr>
      <w:bookmarkStart w:id="6" w:name="_Toc211438996"/>
      <w:bookmarkStart w:id="7" w:name="_Toc7295"/>
      <w:r w:rsidRPr="00A964CD">
        <w:rPr>
          <w:rStyle w:val="Heading1Char"/>
          <w:color w:val="000000" w:themeColor="text1"/>
          <w:sz w:val="24"/>
          <w:szCs w:val="24"/>
        </w:rPr>
        <w:t>Collaborating with the Work of other Professionals.</w:t>
      </w:r>
      <w:bookmarkEnd w:id="6"/>
      <w:r w:rsidRPr="00A964CD">
        <w:rPr>
          <w:rStyle w:val="Heading1Char"/>
          <w:color w:val="000000" w:themeColor="text1"/>
          <w:sz w:val="24"/>
          <w:szCs w:val="24"/>
        </w:rPr>
        <w:t xml:space="preserve"> </w:t>
      </w:r>
      <w:bookmarkEnd w:id="7"/>
      <w:r w:rsidRPr="00A964CD">
        <w:rPr>
          <w:color w:val="000000" w:themeColor="text1"/>
        </w:rPr>
        <w:t xml:space="preserve"> </w:t>
      </w:r>
    </w:p>
    <w:p w14:paraId="1B1A8315"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Multi-agency or collaborative working is a vital component of providing holistic care. The recovery of Mrs_Mann will depend on the good coordination between her domiciliary carers, physiotherapist, and general practitioner. Every specialist has his/her expertise which is of specific use but the effectiveness of the complete care plan is based upon the integration of the goals and clear communication.</w:t>
      </w:r>
    </w:p>
    <w:p w14:paraId="0AC7E621"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The Health and Social Care Act 2012 supports the notion of the delivery of services in an integrated manner, and the professionals working with patients will need to co-operate with social-care professionals to enhance patient outcomes and to reduce fragmentation (UK Government, 2012). This, in </w:t>
      </w:r>
      <w:proofErr w:type="spellStart"/>
      <w:r w:rsidRPr="00A964CD">
        <w:rPr>
          <w:color w:val="000000" w:themeColor="text1"/>
        </w:rPr>
        <w:t>practise</w:t>
      </w:r>
      <w:proofErr w:type="spellEnd"/>
      <w:r w:rsidRPr="00A964CD">
        <w:rPr>
          <w:color w:val="000000" w:themeColor="text1"/>
        </w:rPr>
        <w:t xml:space="preserve">, involves the exchange of information, holding of </w:t>
      </w:r>
      <w:r w:rsidRPr="00A964CD">
        <w:rPr>
          <w:color w:val="000000" w:themeColor="text1"/>
        </w:rPr>
        <w:lastRenderedPageBreak/>
        <w:t xml:space="preserve">frequent multidisciplinary meetings and the formulation of joint care plans. In the case of </w:t>
      </w:r>
      <w:proofErr w:type="spellStart"/>
      <w:r w:rsidRPr="00A964CD">
        <w:rPr>
          <w:color w:val="000000" w:themeColor="text1"/>
        </w:rPr>
        <w:t>Mrs</w:t>
      </w:r>
      <w:proofErr w:type="spellEnd"/>
      <w:r w:rsidRPr="00A964CD">
        <w:rPr>
          <w:color w:val="000000" w:themeColor="text1"/>
        </w:rPr>
        <w:t> Mann, these mechanisms can be used to make sure that her medication schedule, physiotherapy process and personal-care routines are balanced thus preventing duplication or omission.</w:t>
      </w:r>
    </w:p>
    <w:p w14:paraId="0D03D94C"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Good cooperation also requires another consolidated definition of roles and respect amongst the team members. The NMC Code (2018) guides practitioners to collaborate as well as to uphold professional communication with colleagues to assist them in providing safe care. Miscommunication, including the one which resulted in the delayed medication adjustment, can be prevented with the help of the structured handover methods, among which are SBAR (Situation, Background, Assessment, Recommendation). The model </w:t>
      </w:r>
      <w:proofErr w:type="spellStart"/>
      <w:r w:rsidRPr="00A964CD">
        <w:rPr>
          <w:color w:val="000000" w:themeColor="text1"/>
        </w:rPr>
        <w:t>standardises</w:t>
      </w:r>
      <w:proofErr w:type="spellEnd"/>
      <w:r w:rsidRPr="00A964CD">
        <w:rPr>
          <w:color w:val="000000" w:themeColor="text1"/>
        </w:rPr>
        <w:t xml:space="preserve"> communication and ensures that key information is passed across professionals in a unambiguous manner.</w:t>
      </w:r>
    </w:p>
    <w:p w14:paraId="2D9C8B65" w14:textId="4721FFCE"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Time limitation, </w:t>
      </w:r>
      <w:proofErr w:type="spellStart"/>
      <w:r w:rsidRPr="00A964CD">
        <w:rPr>
          <w:color w:val="000000" w:themeColor="text1"/>
        </w:rPr>
        <w:t>organisational</w:t>
      </w:r>
      <w:proofErr w:type="spellEnd"/>
      <w:r w:rsidRPr="00A964CD">
        <w:rPr>
          <w:color w:val="000000" w:themeColor="text1"/>
        </w:rPr>
        <w:t xml:space="preserve"> differences of priorities and confidentiality are common obstacles to inter-agency collaboration. To overcome these barriers, the agencies can implement common electronic care records and use a prosecution professional to </w:t>
      </w:r>
      <w:proofErr w:type="spellStart"/>
      <w:r w:rsidRPr="00A964CD">
        <w:rPr>
          <w:color w:val="000000" w:themeColor="text1"/>
        </w:rPr>
        <w:t>organi</w:t>
      </w:r>
      <w:r w:rsidR="00E517F2">
        <w:rPr>
          <w:color w:val="000000" w:themeColor="text1"/>
        </w:rPr>
        <w:t>s</w:t>
      </w:r>
      <w:r w:rsidRPr="00A964CD">
        <w:rPr>
          <w:color w:val="000000" w:themeColor="text1"/>
        </w:rPr>
        <w:t>e</w:t>
      </w:r>
      <w:proofErr w:type="spellEnd"/>
      <w:r w:rsidRPr="00A964CD">
        <w:rPr>
          <w:color w:val="000000" w:themeColor="text1"/>
        </w:rPr>
        <w:t xml:space="preserve"> the updates. Frequent reflective practice sessions also help the teams to review the things that are working and where it can be improved. Respect and mutual desire to take care of Mrs. Mann help create trust and teamwork.</w:t>
      </w:r>
    </w:p>
    <w:p w14:paraId="161142C9"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t xml:space="preserve">In general, effective cooperation is the key to providing </w:t>
      </w:r>
      <w:proofErr w:type="spellStart"/>
      <w:r w:rsidRPr="00A964CD">
        <w:rPr>
          <w:color w:val="000000" w:themeColor="text1"/>
        </w:rPr>
        <w:t>Mrs</w:t>
      </w:r>
      <w:proofErr w:type="spellEnd"/>
      <w:r w:rsidRPr="00A964CD">
        <w:rPr>
          <w:color w:val="000000" w:themeColor="text1"/>
        </w:rPr>
        <w:t> Mann with constant, secure and individualized care. The quality and continuity of her care are significantly improved when the professionals freely communicate and document accurately and work within regulatory health and social care legislation of the Health and Social Care Act 2012 and the NMC Code.</w:t>
      </w:r>
    </w:p>
    <w:p w14:paraId="26136730" w14:textId="77777777" w:rsidR="00D55A70" w:rsidRPr="00A964CD" w:rsidRDefault="009374B4" w:rsidP="00A964CD">
      <w:pPr>
        <w:pStyle w:val="Heading1"/>
        <w:spacing w:line="360" w:lineRule="auto"/>
        <w:jc w:val="both"/>
        <w:rPr>
          <w:rFonts w:ascii="Times New Roman" w:hAnsi="Times New Roman" w:cs="Times New Roman"/>
          <w:color w:val="000000" w:themeColor="text1"/>
          <w:sz w:val="24"/>
          <w:szCs w:val="24"/>
        </w:rPr>
      </w:pPr>
      <w:bookmarkStart w:id="8" w:name="_Toc32449"/>
      <w:bookmarkStart w:id="9" w:name="_Toc211438997"/>
      <w:r w:rsidRPr="00A964CD">
        <w:rPr>
          <w:rFonts w:ascii="Times New Roman" w:hAnsi="Times New Roman" w:cs="Times New Roman"/>
          <w:color w:val="000000" w:themeColor="text1"/>
          <w:sz w:val="24"/>
          <w:szCs w:val="24"/>
        </w:rPr>
        <w:t>Conclusion</w:t>
      </w:r>
      <w:bookmarkEnd w:id="8"/>
      <w:bookmarkEnd w:id="9"/>
    </w:p>
    <w:p w14:paraId="697530C7" w14:textId="77777777" w:rsidR="00D55A70" w:rsidRPr="00A964CD" w:rsidRDefault="009374B4" w:rsidP="00A964CD">
      <w:pPr>
        <w:pStyle w:val="NormalWeb"/>
        <w:spacing w:beforeAutospacing="0" w:afterAutospacing="0" w:line="360" w:lineRule="auto"/>
        <w:jc w:val="both"/>
        <w:rPr>
          <w:color w:val="000000" w:themeColor="text1"/>
        </w:rPr>
      </w:pPr>
      <w:proofErr w:type="spellStart"/>
      <w:r w:rsidRPr="00A964CD">
        <w:rPr>
          <w:color w:val="000000" w:themeColor="text1"/>
        </w:rPr>
        <w:t>Mrs</w:t>
      </w:r>
      <w:proofErr w:type="spellEnd"/>
      <w:r w:rsidRPr="00A964CD">
        <w:rPr>
          <w:color w:val="000000" w:themeColor="text1"/>
        </w:rPr>
        <w:t> Mann case demonstrates that three elements linked to each other (effective communication, precise administration and collaborative practice are critical aspects of health and social-care provision of high quality. By following the rules of the Equality Act 2010, it would be possible to provide person-</w:t>
      </w:r>
      <w:proofErr w:type="spellStart"/>
      <w:r w:rsidRPr="00A964CD">
        <w:rPr>
          <w:color w:val="000000" w:themeColor="text1"/>
        </w:rPr>
        <w:t>centred</w:t>
      </w:r>
      <w:proofErr w:type="spellEnd"/>
      <w:r w:rsidRPr="00A964CD">
        <w:rPr>
          <w:color w:val="000000" w:themeColor="text1"/>
        </w:rPr>
        <w:t xml:space="preserve"> communication that is inclusive and respectful of linguistic and cultural diversity. Confidentiality, accountability, and safe record-keeping are provided by compliance with the Data Protection Act of 2018, the NMC Code (2018). Lastly, inter-professional collaboration, as recommended in the Health and Social Care Act 2012 helps to facilitate coordinated care and avoid fragmentation of service.</w:t>
      </w:r>
    </w:p>
    <w:p w14:paraId="3BD9E8E9" w14:textId="77777777" w:rsidR="00D55A70" w:rsidRPr="00A964CD" w:rsidRDefault="009374B4" w:rsidP="00A964CD">
      <w:pPr>
        <w:pStyle w:val="NormalWeb"/>
        <w:spacing w:beforeAutospacing="0" w:afterAutospacing="0" w:line="360" w:lineRule="auto"/>
        <w:jc w:val="both"/>
        <w:rPr>
          <w:color w:val="000000" w:themeColor="text1"/>
        </w:rPr>
      </w:pPr>
      <w:r w:rsidRPr="00A964CD">
        <w:rPr>
          <w:color w:val="000000" w:themeColor="text1"/>
        </w:rPr>
        <w:lastRenderedPageBreak/>
        <w:t xml:space="preserve">In the case of </w:t>
      </w:r>
      <w:proofErr w:type="spellStart"/>
      <w:r w:rsidRPr="00A964CD">
        <w:rPr>
          <w:color w:val="000000" w:themeColor="text1"/>
        </w:rPr>
        <w:t>Mrs</w:t>
      </w:r>
      <w:proofErr w:type="spellEnd"/>
      <w:r w:rsidRPr="00A964CD">
        <w:rPr>
          <w:color w:val="000000" w:themeColor="text1"/>
        </w:rPr>
        <w:t xml:space="preserve"> Mann, a combination of the two principles does not only imply safer clinical outcomes but also a recovery journey that is more dignified and empowering. The health and social-care professionals should hence integrate a sense of legal-awareness, professionalism and interpersonal competence in order to deliver compassionate, effective and holistic care to each service user.</w:t>
      </w:r>
    </w:p>
    <w:p w14:paraId="30CF40D7" w14:textId="77777777" w:rsidR="00D55A70" w:rsidRPr="00A964CD" w:rsidRDefault="00D55A70" w:rsidP="00A964CD">
      <w:pPr>
        <w:pStyle w:val="NormalWeb"/>
        <w:spacing w:beforeAutospacing="0" w:afterAutospacing="0" w:line="360" w:lineRule="auto"/>
        <w:jc w:val="both"/>
        <w:rPr>
          <w:color w:val="000000" w:themeColor="text1"/>
        </w:rPr>
      </w:pPr>
    </w:p>
    <w:p w14:paraId="6705B21C" w14:textId="77777777" w:rsidR="00D55A70" w:rsidRPr="00A964CD" w:rsidRDefault="00D55A70" w:rsidP="00A964CD">
      <w:pPr>
        <w:pStyle w:val="NormalWeb"/>
        <w:spacing w:beforeAutospacing="0" w:afterAutospacing="0" w:line="360" w:lineRule="auto"/>
        <w:jc w:val="both"/>
        <w:rPr>
          <w:color w:val="000000" w:themeColor="text1"/>
        </w:rPr>
      </w:pPr>
    </w:p>
    <w:p w14:paraId="00D36C07" w14:textId="77777777" w:rsidR="00D55A70" w:rsidRPr="00A964CD" w:rsidRDefault="00D55A70" w:rsidP="00A964CD">
      <w:pPr>
        <w:pStyle w:val="NormalWeb"/>
        <w:spacing w:beforeAutospacing="0" w:afterAutospacing="0" w:line="360" w:lineRule="auto"/>
        <w:jc w:val="both"/>
        <w:rPr>
          <w:color w:val="000000" w:themeColor="text1"/>
        </w:rPr>
      </w:pPr>
    </w:p>
    <w:p w14:paraId="19F53C04" w14:textId="77777777" w:rsidR="00D55A70" w:rsidRPr="00A964CD" w:rsidRDefault="009374B4" w:rsidP="00A964CD">
      <w:pPr>
        <w:spacing w:line="360" w:lineRule="auto"/>
        <w:jc w:val="both"/>
        <w:rPr>
          <w:rFonts w:ascii="Times New Roman" w:hAnsi="Times New Roman" w:cs="Times New Roman"/>
          <w:color w:val="000000" w:themeColor="text1"/>
          <w:sz w:val="24"/>
          <w:szCs w:val="24"/>
        </w:rPr>
      </w:pPr>
      <w:r w:rsidRPr="00A964CD">
        <w:rPr>
          <w:rFonts w:ascii="Times New Roman" w:hAnsi="Times New Roman" w:cs="Times New Roman"/>
          <w:color w:val="000000" w:themeColor="text1"/>
          <w:sz w:val="24"/>
          <w:szCs w:val="24"/>
        </w:rPr>
        <w:br w:type="page"/>
      </w:r>
    </w:p>
    <w:p w14:paraId="3576B48E" w14:textId="77777777" w:rsidR="00D55A70" w:rsidRPr="00A964CD" w:rsidRDefault="009374B4" w:rsidP="00A964CD">
      <w:pPr>
        <w:pStyle w:val="Heading1"/>
        <w:spacing w:line="360" w:lineRule="auto"/>
        <w:jc w:val="both"/>
        <w:rPr>
          <w:rFonts w:ascii="Times New Roman" w:hAnsi="Times New Roman" w:cs="Times New Roman"/>
          <w:color w:val="000000" w:themeColor="text1"/>
          <w:sz w:val="24"/>
          <w:szCs w:val="24"/>
        </w:rPr>
      </w:pPr>
      <w:bookmarkStart w:id="10" w:name="_Toc17653"/>
      <w:bookmarkStart w:id="11" w:name="_Toc211438998"/>
      <w:r w:rsidRPr="00A964CD">
        <w:rPr>
          <w:rFonts w:ascii="Times New Roman" w:hAnsi="Times New Roman" w:cs="Times New Roman"/>
          <w:color w:val="000000" w:themeColor="text1"/>
          <w:sz w:val="24"/>
          <w:szCs w:val="24"/>
        </w:rPr>
        <w:lastRenderedPageBreak/>
        <w:t>Reference</w:t>
      </w:r>
      <w:r w:rsidRPr="00A964CD">
        <w:rPr>
          <w:rFonts w:ascii="Times New Roman" w:hAnsi="Times New Roman" w:cs="Times New Roman"/>
          <w:color w:val="000000" w:themeColor="text1"/>
          <w:sz w:val="24"/>
          <w:szCs w:val="24"/>
          <w:lang w:val="en-US"/>
        </w:rPr>
        <w:t>s</w:t>
      </w:r>
      <w:r w:rsidRPr="00A964CD">
        <w:rPr>
          <w:rFonts w:ascii="Times New Roman" w:hAnsi="Times New Roman" w:cs="Times New Roman"/>
          <w:color w:val="000000" w:themeColor="text1"/>
          <w:sz w:val="24"/>
          <w:szCs w:val="24"/>
        </w:rPr>
        <w:t>‌</w:t>
      </w:r>
      <w:bookmarkEnd w:id="10"/>
      <w:bookmarkEnd w:id="11"/>
    </w:p>
    <w:p w14:paraId="229836A5" w14:textId="77777777" w:rsidR="00D55A70" w:rsidRPr="00A964CD" w:rsidRDefault="00D55A70" w:rsidP="00A964CD">
      <w:pPr>
        <w:spacing w:line="360" w:lineRule="auto"/>
        <w:jc w:val="both"/>
        <w:rPr>
          <w:rFonts w:ascii="Times New Roman" w:hAnsi="Times New Roman" w:cs="Times New Roman"/>
          <w:color w:val="000000" w:themeColor="text1"/>
          <w:sz w:val="24"/>
          <w:szCs w:val="24"/>
        </w:rPr>
      </w:pPr>
    </w:p>
    <w:p w14:paraId="0F1C1775" w14:textId="77777777" w:rsidR="00D55A70" w:rsidRPr="00A964CD" w:rsidRDefault="009374B4" w:rsidP="00A964CD">
      <w:pPr>
        <w:pStyle w:val="NormalWeb"/>
        <w:spacing w:beforeAutospacing="0" w:afterAutospacing="0" w:line="360" w:lineRule="auto"/>
        <w:ind w:left="360" w:hangingChars="150" w:hanging="360"/>
        <w:jc w:val="both"/>
        <w:rPr>
          <w:color w:val="000000" w:themeColor="text1"/>
        </w:rPr>
      </w:pPr>
      <w:r w:rsidRPr="00A964CD">
        <w:rPr>
          <w:color w:val="000000" w:themeColor="text1"/>
        </w:rPr>
        <w:t>Egan, G. (2020). The Skilled Helper: A Problem-Management and Opportunity-Development Approach to Helping. Brooks/Cole. Available at: https://psycnet.apa.org/record/1994-97032-000</w:t>
      </w:r>
    </w:p>
    <w:p w14:paraId="45577C41" w14:textId="77777777" w:rsidR="00D55A70" w:rsidRPr="00A964CD" w:rsidRDefault="009374B4" w:rsidP="00A964CD">
      <w:pPr>
        <w:pStyle w:val="NormalWeb"/>
        <w:spacing w:beforeAutospacing="0" w:afterAutospacing="0" w:line="360" w:lineRule="auto"/>
        <w:ind w:left="360" w:hangingChars="150" w:hanging="360"/>
        <w:jc w:val="both"/>
        <w:rPr>
          <w:color w:val="000000" w:themeColor="text1"/>
        </w:rPr>
      </w:pPr>
      <w:r w:rsidRPr="00A964CD">
        <w:rPr>
          <w:color w:val="000000" w:themeColor="text1"/>
        </w:rPr>
        <w:t>GOV.UK (2013). Equality Act 2010. [online] Available at: https://www.gov.uk/guidance/equality-act-2010-guidance</w:t>
      </w:r>
    </w:p>
    <w:p w14:paraId="26B2B036" w14:textId="77777777" w:rsidR="00D55A70" w:rsidRPr="00A964CD" w:rsidRDefault="009374B4" w:rsidP="00A964CD">
      <w:pPr>
        <w:pStyle w:val="NormalWeb"/>
        <w:spacing w:beforeAutospacing="0" w:afterAutospacing="0" w:line="360" w:lineRule="auto"/>
        <w:ind w:left="360" w:hangingChars="150" w:hanging="360"/>
        <w:jc w:val="both"/>
        <w:rPr>
          <w:color w:val="000000" w:themeColor="text1"/>
        </w:rPr>
      </w:pPr>
      <w:r w:rsidRPr="00A964CD">
        <w:rPr>
          <w:color w:val="000000" w:themeColor="text1"/>
        </w:rPr>
        <w:t>GOV.UK (2018). Data Protection Act 2018. [online] Available at: https://www.legislation.gov.uk/ukpga/2018/12/contents</w:t>
      </w:r>
    </w:p>
    <w:p w14:paraId="6D11DD73" w14:textId="77777777" w:rsidR="00D55A70" w:rsidRPr="00A964CD" w:rsidRDefault="009374B4" w:rsidP="00A964CD">
      <w:pPr>
        <w:pStyle w:val="NormalWeb"/>
        <w:spacing w:beforeAutospacing="0" w:afterAutospacing="0" w:line="360" w:lineRule="auto"/>
        <w:ind w:left="360" w:hangingChars="150" w:hanging="360"/>
        <w:jc w:val="both"/>
        <w:rPr>
          <w:color w:val="000000" w:themeColor="text1"/>
        </w:rPr>
      </w:pPr>
      <w:r w:rsidRPr="00A964CD">
        <w:rPr>
          <w:color w:val="000000" w:themeColor="text1"/>
        </w:rPr>
        <w:t xml:space="preserve">NMC (2018). The Code: Professional Standards of Practice and </w:t>
      </w:r>
      <w:proofErr w:type="spellStart"/>
      <w:r w:rsidRPr="00A964CD">
        <w:rPr>
          <w:color w:val="000000" w:themeColor="text1"/>
        </w:rPr>
        <w:t>Behaviour</w:t>
      </w:r>
      <w:proofErr w:type="spellEnd"/>
      <w:r w:rsidRPr="00A964CD">
        <w:rPr>
          <w:color w:val="000000" w:themeColor="text1"/>
        </w:rPr>
        <w:t xml:space="preserve"> for Nurses, Midwives and Nursing Associates. [online] Nursing and Midwifery Council. Available at: https://www.nmc.org.uk/standards/code/</w:t>
      </w:r>
    </w:p>
    <w:p w14:paraId="2007EAB4" w14:textId="77777777" w:rsidR="00D55A70" w:rsidRPr="00A964CD" w:rsidRDefault="009374B4" w:rsidP="00A964CD">
      <w:pPr>
        <w:pStyle w:val="NormalWeb"/>
        <w:spacing w:beforeAutospacing="0" w:afterAutospacing="0" w:line="360" w:lineRule="auto"/>
        <w:ind w:left="360" w:hangingChars="150" w:hanging="360"/>
        <w:jc w:val="both"/>
        <w:rPr>
          <w:color w:val="000000" w:themeColor="text1"/>
        </w:rPr>
      </w:pPr>
      <w:r w:rsidRPr="00A964CD">
        <w:rPr>
          <w:color w:val="000000" w:themeColor="text1"/>
        </w:rPr>
        <w:t>Staten, A. and Making, S. D. (2025). Communication Skills. In: Practical General Practice – E-BOOK. 12th ed. Elsevier.</w:t>
      </w:r>
    </w:p>
    <w:p w14:paraId="426279B2" w14:textId="02A22792" w:rsidR="00D55A70" w:rsidRPr="00E517F2" w:rsidRDefault="009374B4" w:rsidP="00A964CD">
      <w:pPr>
        <w:pStyle w:val="NormalWeb"/>
        <w:spacing w:beforeAutospacing="0" w:afterAutospacing="0" w:line="360" w:lineRule="auto"/>
        <w:ind w:left="360" w:hangingChars="150" w:hanging="360"/>
        <w:jc w:val="both"/>
        <w:rPr>
          <w:color w:val="000000" w:themeColor="text1"/>
          <w:lang w:val="en-GB"/>
        </w:rPr>
      </w:pPr>
      <w:r w:rsidRPr="00A964CD">
        <w:rPr>
          <w:color w:val="000000" w:themeColor="text1"/>
        </w:rPr>
        <w:t>UK Government (2012). Health and Social Care Act 2012. [online] Available at: https://www.legislation.gov.uk/ukpga/2012/7/contents</w:t>
      </w:r>
    </w:p>
    <w:sectPr w:rsidR="00D55A70" w:rsidRPr="00E517F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defaultTabStop w:val="720"/>
  <w:drawingGridVerticalSpacing w:val="156"/>
  <w:noPunctuationKerning/>
  <w:characterSpacingControl w:val="doNotCompress"/>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C2A1506"/>
    <w:rsid w:val="00131799"/>
    <w:rsid w:val="00134663"/>
    <w:rsid w:val="009374B4"/>
    <w:rsid w:val="00A83D09"/>
    <w:rsid w:val="00A964CD"/>
    <w:rsid w:val="00D55A70"/>
    <w:rsid w:val="00E517F2"/>
    <w:rsid w:val="00F95A77"/>
    <w:rsid w:val="0C2A1506"/>
    <w:rsid w:val="15BD1CB8"/>
    <w:rsid w:val="17D84EBC"/>
    <w:rsid w:val="1D757DDC"/>
    <w:rsid w:val="3E67411C"/>
    <w:rsid w:val="467525DB"/>
    <w:rsid w:val="4C1F5286"/>
    <w:rsid w:val="69C43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3FCFC"/>
  <w15:docId w15:val="{A03B2495-8C1C-4B0C-A461-23CDB4F1E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Default Paragraph Font" w:semiHidden="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link w:val="Heading1Char"/>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paragraph" w:styleId="NormalWeb">
    <w:name w:val="Normal (Web)"/>
    <w:pPr>
      <w:spacing w:beforeAutospacing="1" w:afterAutospacing="1"/>
    </w:pPr>
    <w:rPr>
      <w:sz w:val="24"/>
      <w:szCs w:val="24"/>
      <w:lang w:val="en-US" w:eastAsia="zh-CN"/>
    </w:rPr>
  </w:style>
  <w:style w:type="character" w:customStyle="1" w:styleId="Heading1Char">
    <w:name w:val="Heading 1 Char"/>
    <w:link w:val="Heading1"/>
    <w:rPr>
      <w:b/>
      <w:bCs/>
      <w:kern w:val="44"/>
      <w:sz w:val="44"/>
      <w:szCs w:val="44"/>
    </w:rPr>
  </w:style>
  <w:style w:type="paragraph" w:customStyle="1" w:styleId="WPSOffice1">
    <w:name w:val="WPSOffice手动目录 1"/>
  </w:style>
  <w:style w:type="paragraph" w:styleId="TOCHeading">
    <w:name w:val="TOC Heading"/>
    <w:basedOn w:val="Heading1"/>
    <w:next w:val="Normal"/>
    <w:uiPriority w:val="39"/>
    <w:unhideWhenUsed/>
    <w:qFormat/>
    <w:rsid w:val="00A964CD"/>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en-US"/>
    </w:rPr>
  </w:style>
  <w:style w:type="paragraph" w:styleId="TOC1">
    <w:name w:val="toc 1"/>
    <w:basedOn w:val="Normal"/>
    <w:next w:val="Normal"/>
    <w:autoRedefine/>
    <w:uiPriority w:val="39"/>
    <w:rsid w:val="00A964C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0FD13-7375-445D-BB7D-25B8986D5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Ezzah Kamran (CHG)</cp:lastModifiedBy>
  <cp:revision>7</cp:revision>
  <dcterms:created xsi:type="dcterms:W3CDTF">2025-10-15T07:22:00Z</dcterms:created>
  <dcterms:modified xsi:type="dcterms:W3CDTF">2025-10-15T17:33:00Z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16361C7599BE44EEB6C39A47AEB8D6CD_11</vt:lpwstr>
  </property>
</Properties>
</file>