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219CA" w14:textId="0C5CF8EE" w:rsidR="00461AB6" w:rsidRDefault="00461AB6" w:rsidP="00461AB6">
      <w:r>
        <w:rPr>
          <w:noProof/>
        </w:rPr>
        <w:drawing>
          <wp:anchor distT="0" distB="0" distL="114300" distR="114300" simplePos="0" relativeHeight="251656704" behindDoc="0" locked="0" layoutInCell="1" allowOverlap="1" wp14:anchorId="7DC61BD4" wp14:editId="1955BF77">
            <wp:simplePos x="0" y="0"/>
            <wp:positionH relativeFrom="column">
              <wp:posOffset>-215109</wp:posOffset>
            </wp:positionH>
            <wp:positionV relativeFrom="paragraph">
              <wp:posOffset>-323251</wp:posOffset>
            </wp:positionV>
            <wp:extent cx="2247900" cy="923925"/>
            <wp:effectExtent l="0" t="0" r="0" b="9525"/>
            <wp:wrapSquare wrapText="bothSides"/>
            <wp:docPr id="1128264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264063" name=""/>
                    <pic:cNvPicPr/>
                  </pic:nvPicPr>
                  <pic:blipFill>
                    <a:blip r:embed="rId8"/>
                    <a:stretch>
                      <a:fillRect/>
                    </a:stretch>
                  </pic:blipFill>
                  <pic:spPr>
                    <a:xfrm>
                      <a:off x="0" y="0"/>
                      <a:ext cx="2247900" cy="923925"/>
                    </a:xfrm>
                    <a:prstGeom prst="rect">
                      <a:avLst/>
                    </a:prstGeom>
                  </pic:spPr>
                </pic:pic>
              </a:graphicData>
            </a:graphic>
          </wp:anchor>
        </w:drawing>
      </w:r>
    </w:p>
    <w:p w14:paraId="7926392B" w14:textId="4EAE3611" w:rsidR="00461AB6" w:rsidRDefault="00461AB6" w:rsidP="00461AB6"/>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61AB6" w:rsidRPr="00A406E5" w14:paraId="481D3CF6" w14:textId="77777777" w:rsidTr="00461AB6">
        <w:trPr>
          <w:jc w:val="center"/>
        </w:trPr>
        <w:tc>
          <w:tcPr>
            <w:tcW w:w="2093" w:type="dxa"/>
          </w:tcPr>
          <w:p w14:paraId="29D290AB"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Student name:</w:t>
            </w:r>
          </w:p>
        </w:tc>
        <w:tc>
          <w:tcPr>
            <w:tcW w:w="3293" w:type="dxa"/>
          </w:tcPr>
          <w:p w14:paraId="0E04BDFA" w14:textId="442B8EAA" w:rsidR="00461AB6" w:rsidRPr="00461AB6" w:rsidRDefault="00461AB6" w:rsidP="00461AB6">
            <w:pPr>
              <w:spacing w:before="120"/>
              <w:jc w:val="both"/>
              <w:rPr>
                <w:rFonts w:ascii="Arial" w:hAnsi="Arial" w:cs="Arial"/>
                <w:bCs/>
                <w:sz w:val="22"/>
              </w:rPr>
            </w:pPr>
            <w:r w:rsidRPr="00461AB6">
              <w:rPr>
                <w:rFonts w:ascii="Arial" w:hAnsi="Arial" w:cs="Arial"/>
                <w:bCs/>
                <w:sz w:val="22"/>
              </w:rPr>
              <w:t>Zain Mubarik</w:t>
            </w:r>
          </w:p>
        </w:tc>
        <w:tc>
          <w:tcPr>
            <w:tcW w:w="2268" w:type="dxa"/>
            <w:shd w:val="clear" w:color="auto" w:fill="D9D9D9" w:themeFill="background1" w:themeFillShade="D9"/>
          </w:tcPr>
          <w:p w14:paraId="66F8C8BB"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Student ID number:</w:t>
            </w:r>
          </w:p>
        </w:tc>
        <w:tc>
          <w:tcPr>
            <w:tcW w:w="2268" w:type="dxa"/>
          </w:tcPr>
          <w:p w14:paraId="71398E83" w14:textId="39C38A91" w:rsidR="00461AB6" w:rsidRPr="00A406E5" w:rsidRDefault="00461AB6" w:rsidP="00461AB6">
            <w:pPr>
              <w:spacing w:before="120"/>
              <w:jc w:val="both"/>
              <w:rPr>
                <w:rFonts w:ascii="Arial" w:hAnsi="Arial" w:cs="Arial"/>
                <w:b/>
                <w:sz w:val="22"/>
              </w:rPr>
            </w:pPr>
            <w:r w:rsidRPr="00461AB6">
              <w:rPr>
                <w:rFonts w:ascii="Arial" w:hAnsi="Arial" w:cs="Arial"/>
                <w:b/>
                <w:sz w:val="22"/>
              </w:rPr>
              <w:t>2424488</w:t>
            </w:r>
          </w:p>
        </w:tc>
      </w:tr>
      <w:tr w:rsidR="00461AB6" w:rsidRPr="00A406E5" w14:paraId="7638888E" w14:textId="77777777" w:rsidTr="00461AB6">
        <w:trPr>
          <w:jc w:val="center"/>
        </w:trPr>
        <w:tc>
          <w:tcPr>
            <w:tcW w:w="2093" w:type="dxa"/>
          </w:tcPr>
          <w:p w14:paraId="24B88F7F"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Programme:</w:t>
            </w:r>
          </w:p>
        </w:tc>
        <w:tc>
          <w:tcPr>
            <w:tcW w:w="7829" w:type="dxa"/>
            <w:gridSpan w:val="3"/>
          </w:tcPr>
          <w:p w14:paraId="5765C4B7" w14:textId="77777777" w:rsidR="00461AB6" w:rsidRPr="00461AB6" w:rsidRDefault="00461AB6" w:rsidP="00461AB6">
            <w:pPr>
              <w:spacing w:before="120"/>
              <w:jc w:val="both"/>
              <w:rPr>
                <w:rFonts w:ascii="Arial" w:hAnsi="Arial" w:cs="Arial"/>
                <w:bCs/>
                <w:sz w:val="22"/>
              </w:rPr>
            </w:pPr>
            <w:r w:rsidRPr="00461AB6">
              <w:rPr>
                <w:rFonts w:ascii="Arial" w:hAnsi="Arial" w:cs="Arial"/>
                <w:bCs/>
                <w:sz w:val="22"/>
              </w:rPr>
              <w:t xml:space="preserve">BA (Hons) Leadership and Management Skills for the Workplace   </w:t>
            </w:r>
          </w:p>
        </w:tc>
      </w:tr>
      <w:tr w:rsidR="00461AB6" w:rsidRPr="00A406E5" w14:paraId="6C49E19F" w14:textId="77777777" w:rsidTr="00461AB6">
        <w:trPr>
          <w:jc w:val="center"/>
        </w:trPr>
        <w:tc>
          <w:tcPr>
            <w:tcW w:w="2093" w:type="dxa"/>
          </w:tcPr>
          <w:p w14:paraId="71DB94E3"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Module:</w:t>
            </w:r>
          </w:p>
        </w:tc>
        <w:tc>
          <w:tcPr>
            <w:tcW w:w="7829" w:type="dxa"/>
            <w:gridSpan w:val="3"/>
          </w:tcPr>
          <w:p w14:paraId="0FEBB87C" w14:textId="77777777" w:rsidR="00461AB6" w:rsidRPr="00461AB6" w:rsidRDefault="00461AB6" w:rsidP="00461AB6">
            <w:pPr>
              <w:rPr>
                <w:rFonts w:ascii="Arial" w:hAnsi="Arial" w:cs="Arial"/>
                <w:bCs/>
                <w:color w:val="000000" w:themeColor="text1"/>
                <w:sz w:val="22"/>
              </w:rPr>
            </w:pPr>
          </w:p>
          <w:p w14:paraId="611135CD" w14:textId="77777777" w:rsidR="00461AB6" w:rsidRPr="00461AB6" w:rsidRDefault="00461AB6" w:rsidP="00461AB6">
            <w:pPr>
              <w:rPr>
                <w:rFonts w:ascii="Arial" w:hAnsi="Arial" w:cs="Arial"/>
                <w:bCs/>
                <w:sz w:val="22"/>
              </w:rPr>
            </w:pPr>
            <w:r w:rsidRPr="00461AB6">
              <w:rPr>
                <w:rFonts w:ascii="Arial" w:hAnsi="Arial" w:cs="Arial"/>
                <w:bCs/>
                <w:color w:val="000000" w:themeColor="text1"/>
                <w:sz w:val="22"/>
              </w:rPr>
              <w:t xml:space="preserve">Managing Business Information   </w:t>
            </w:r>
          </w:p>
        </w:tc>
      </w:tr>
      <w:tr w:rsidR="007E5649" w:rsidRPr="00B62895" w14:paraId="4CDB9167" w14:textId="77777777" w:rsidTr="007E5649">
        <w:trPr>
          <w:jc w:val="center"/>
        </w:trPr>
        <w:tc>
          <w:tcPr>
            <w:tcW w:w="2093" w:type="dxa"/>
          </w:tcPr>
          <w:p w14:paraId="69617D08" w14:textId="77777777" w:rsidR="007E5649" w:rsidRPr="00A406E5" w:rsidRDefault="007E5649" w:rsidP="00461AB6">
            <w:pPr>
              <w:spacing w:before="120"/>
              <w:jc w:val="both"/>
              <w:rPr>
                <w:rFonts w:ascii="Arial" w:hAnsi="Arial" w:cs="Arial"/>
                <w:b/>
                <w:sz w:val="22"/>
              </w:rPr>
            </w:pPr>
            <w:r w:rsidRPr="00A406E5">
              <w:rPr>
                <w:rFonts w:ascii="Arial" w:hAnsi="Arial" w:cs="Arial"/>
                <w:b/>
                <w:sz w:val="22"/>
              </w:rPr>
              <w:t>Module code:</w:t>
            </w:r>
          </w:p>
        </w:tc>
        <w:tc>
          <w:tcPr>
            <w:tcW w:w="7825" w:type="dxa"/>
            <w:gridSpan w:val="3"/>
          </w:tcPr>
          <w:p w14:paraId="5C0687E0" w14:textId="77777777" w:rsidR="007E5649" w:rsidRPr="00461AB6" w:rsidRDefault="007E5649" w:rsidP="00461AB6">
            <w:pPr>
              <w:spacing w:before="120"/>
              <w:jc w:val="both"/>
              <w:rPr>
                <w:rFonts w:ascii="Arial" w:hAnsi="Arial" w:cs="Arial"/>
                <w:bCs/>
                <w:sz w:val="22"/>
              </w:rPr>
            </w:pPr>
            <w:r w:rsidRPr="00461AB6">
              <w:rPr>
                <w:rFonts w:ascii="Arial" w:hAnsi="Arial" w:cs="Arial"/>
                <w:bCs/>
                <w:sz w:val="22"/>
              </w:rPr>
              <w:t>LCLM 5004</w:t>
            </w:r>
          </w:p>
        </w:tc>
      </w:tr>
      <w:tr w:rsidR="00461AB6" w:rsidRPr="00A406E5" w14:paraId="2F245FD4" w14:textId="77777777" w:rsidTr="00461AB6">
        <w:trPr>
          <w:jc w:val="center"/>
        </w:trPr>
        <w:tc>
          <w:tcPr>
            <w:tcW w:w="2093" w:type="dxa"/>
          </w:tcPr>
          <w:p w14:paraId="1E65EB6F"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Lecturer:</w:t>
            </w:r>
          </w:p>
        </w:tc>
        <w:tc>
          <w:tcPr>
            <w:tcW w:w="3293" w:type="dxa"/>
          </w:tcPr>
          <w:p w14:paraId="4705B660" w14:textId="77777777" w:rsidR="00461AB6" w:rsidRPr="00461AB6" w:rsidRDefault="00461AB6" w:rsidP="00461AB6">
            <w:pPr>
              <w:spacing w:before="120"/>
              <w:jc w:val="both"/>
              <w:rPr>
                <w:rFonts w:ascii="Arial" w:hAnsi="Arial" w:cs="Arial"/>
                <w:bCs/>
                <w:sz w:val="22"/>
                <w:lang w:val="de-DE"/>
              </w:rPr>
            </w:pPr>
            <w:r w:rsidRPr="00461AB6">
              <w:rPr>
                <w:rFonts w:ascii="Arial" w:hAnsi="Arial" w:cs="Arial"/>
                <w:bCs/>
                <w:sz w:val="22"/>
                <w:lang w:val="de-DE"/>
              </w:rPr>
              <w:t>Dr. Amer Kareem</w:t>
            </w:r>
          </w:p>
          <w:p w14:paraId="41324B6E" w14:textId="77777777" w:rsidR="00461AB6" w:rsidRPr="00461AB6" w:rsidRDefault="00461AB6" w:rsidP="00461AB6">
            <w:pPr>
              <w:spacing w:before="120"/>
              <w:jc w:val="both"/>
              <w:rPr>
                <w:rFonts w:ascii="Arial" w:hAnsi="Arial" w:cs="Arial"/>
                <w:bCs/>
                <w:sz w:val="22"/>
                <w:lang w:val="de-DE"/>
              </w:rPr>
            </w:pPr>
            <w:r w:rsidRPr="00461AB6">
              <w:rPr>
                <w:rFonts w:ascii="Arial" w:hAnsi="Arial" w:cs="Arial"/>
                <w:bCs/>
                <w:sz w:val="22"/>
                <w:lang w:val="de-DE"/>
              </w:rPr>
              <w:t>Dr Chinomso Nwagboso</w:t>
            </w:r>
          </w:p>
        </w:tc>
        <w:tc>
          <w:tcPr>
            <w:tcW w:w="2268" w:type="dxa"/>
            <w:shd w:val="clear" w:color="auto" w:fill="D9D9D9" w:themeFill="background1" w:themeFillShade="D9"/>
          </w:tcPr>
          <w:p w14:paraId="41848A89"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Internal Verifier:</w:t>
            </w:r>
          </w:p>
        </w:tc>
        <w:tc>
          <w:tcPr>
            <w:tcW w:w="2268" w:type="dxa"/>
          </w:tcPr>
          <w:p w14:paraId="14C37FDD" w14:textId="77777777" w:rsidR="00461AB6" w:rsidRPr="00461AB6" w:rsidRDefault="00461AB6" w:rsidP="00461AB6">
            <w:pPr>
              <w:spacing w:before="120"/>
              <w:jc w:val="both"/>
              <w:rPr>
                <w:rFonts w:ascii="Arial" w:hAnsi="Arial" w:cs="Arial"/>
                <w:bCs/>
                <w:sz w:val="22"/>
              </w:rPr>
            </w:pPr>
            <w:r w:rsidRPr="00461AB6">
              <w:rPr>
                <w:rFonts w:ascii="Arial" w:hAnsi="Arial" w:cs="Arial"/>
                <w:bCs/>
                <w:sz w:val="22"/>
              </w:rPr>
              <w:t>Md Kalam</w:t>
            </w:r>
          </w:p>
          <w:p w14:paraId="2B0D0FD0" w14:textId="77777777" w:rsidR="00461AB6" w:rsidRPr="00461AB6" w:rsidRDefault="00461AB6" w:rsidP="00461AB6">
            <w:pPr>
              <w:spacing w:before="120"/>
              <w:jc w:val="both"/>
              <w:rPr>
                <w:rFonts w:ascii="Arial" w:hAnsi="Arial" w:cs="Arial"/>
                <w:bCs/>
                <w:sz w:val="22"/>
              </w:rPr>
            </w:pPr>
            <w:r w:rsidRPr="00461AB6">
              <w:rPr>
                <w:rFonts w:ascii="Arial" w:hAnsi="Arial" w:cs="Arial"/>
                <w:bCs/>
                <w:sz w:val="22"/>
              </w:rPr>
              <w:t>Samuel Ofori</w:t>
            </w:r>
          </w:p>
        </w:tc>
      </w:tr>
      <w:tr w:rsidR="00461AB6" w:rsidRPr="00A406E5" w14:paraId="0487570D" w14:textId="77777777" w:rsidTr="00461AB6">
        <w:trPr>
          <w:jc w:val="center"/>
        </w:trPr>
        <w:tc>
          <w:tcPr>
            <w:tcW w:w="2093" w:type="dxa"/>
          </w:tcPr>
          <w:p w14:paraId="217D0383" w14:textId="77777777" w:rsidR="00461AB6" w:rsidRPr="00A406E5" w:rsidRDefault="00461AB6" w:rsidP="00461AB6">
            <w:pPr>
              <w:spacing w:before="120"/>
              <w:jc w:val="both"/>
              <w:rPr>
                <w:rFonts w:ascii="Arial" w:hAnsi="Arial" w:cs="Arial"/>
                <w:b/>
                <w:sz w:val="22"/>
              </w:rPr>
            </w:pPr>
            <w:r w:rsidRPr="00A406E5">
              <w:rPr>
                <w:rFonts w:ascii="Arial" w:hAnsi="Arial" w:cs="Arial"/>
                <w:b/>
                <w:sz w:val="22"/>
              </w:rPr>
              <w:t>Assignment Title:</w:t>
            </w:r>
          </w:p>
        </w:tc>
        <w:tc>
          <w:tcPr>
            <w:tcW w:w="3293" w:type="dxa"/>
          </w:tcPr>
          <w:p w14:paraId="53FC749B" w14:textId="77777777" w:rsidR="00461AB6" w:rsidRPr="00461AB6" w:rsidRDefault="00461AB6" w:rsidP="00461AB6">
            <w:pPr>
              <w:spacing w:before="120"/>
              <w:rPr>
                <w:rFonts w:ascii="Arial" w:hAnsi="Arial" w:cs="Arial"/>
                <w:bCs/>
                <w:sz w:val="22"/>
              </w:rPr>
            </w:pPr>
            <w:r w:rsidRPr="00461AB6">
              <w:rPr>
                <w:rFonts w:ascii="Arial" w:hAnsi="Arial" w:cs="Arial"/>
                <w:bCs/>
                <w:color w:val="000000" w:themeColor="text1"/>
                <w:szCs w:val="24"/>
              </w:rPr>
              <w:t>Component 2-</w:t>
            </w:r>
            <w:r w:rsidRPr="00461AB6">
              <w:rPr>
                <w:rFonts w:ascii="Arial" w:hAnsi="Arial" w:cs="Arial"/>
                <w:bCs/>
                <w:szCs w:val="24"/>
              </w:rPr>
              <w:t xml:space="preserve"> Individual report</w:t>
            </w:r>
            <w:r w:rsidRPr="00461AB6">
              <w:rPr>
                <w:rFonts w:ascii="Arial" w:hAnsi="Arial" w:cs="Arial"/>
                <w:bCs/>
                <w:color w:val="000000" w:themeColor="text1"/>
                <w:sz w:val="22"/>
              </w:rPr>
              <w:t>- Information Systems Improvements</w:t>
            </w:r>
          </w:p>
        </w:tc>
        <w:tc>
          <w:tcPr>
            <w:tcW w:w="2268" w:type="dxa"/>
          </w:tcPr>
          <w:p w14:paraId="17124B1B" w14:textId="77777777" w:rsidR="00461AB6" w:rsidRPr="00A406E5" w:rsidRDefault="00461AB6" w:rsidP="00461AB6">
            <w:pPr>
              <w:spacing w:before="120"/>
              <w:jc w:val="both"/>
              <w:rPr>
                <w:rFonts w:ascii="Arial" w:hAnsi="Arial" w:cs="Arial"/>
                <w:b/>
                <w:sz w:val="22"/>
              </w:rPr>
            </w:pPr>
            <w:r>
              <w:rPr>
                <w:rFonts w:ascii="Arial" w:hAnsi="Arial" w:cs="Arial"/>
                <w:b/>
                <w:sz w:val="22"/>
              </w:rPr>
              <w:t>Word count (or equivalent):</w:t>
            </w:r>
          </w:p>
        </w:tc>
        <w:tc>
          <w:tcPr>
            <w:tcW w:w="2268" w:type="dxa"/>
          </w:tcPr>
          <w:p w14:paraId="33D81AC2" w14:textId="3FB1E3F1" w:rsidR="00461AB6" w:rsidRPr="00461AB6" w:rsidRDefault="00461AB6" w:rsidP="00461AB6">
            <w:pPr>
              <w:pStyle w:val="TableParagraph"/>
              <w:spacing w:before="1" w:line="360" w:lineRule="auto"/>
              <w:ind w:left="108"/>
              <w:rPr>
                <w:bCs/>
              </w:rPr>
            </w:pPr>
            <w:r>
              <w:rPr>
                <w:bCs/>
                <w:sz w:val="21"/>
                <w:szCs w:val="21"/>
              </w:rPr>
              <w:t>2154</w:t>
            </w:r>
          </w:p>
        </w:tc>
      </w:tr>
    </w:tbl>
    <w:p w14:paraId="75A289CD" w14:textId="77777777" w:rsidR="00461AB6" w:rsidRDefault="00461AB6" w:rsidP="00461AB6"/>
    <w:p w14:paraId="564F11AB" w14:textId="77777777" w:rsidR="00461AB6" w:rsidRDefault="00461AB6">
      <w:pPr>
        <w:spacing w:after="200" w:line="276" w:lineRule="auto"/>
        <w:rPr>
          <w:rFonts w:asciiTheme="minorBidi" w:eastAsiaTheme="majorEastAsia" w:hAnsiTheme="minorBidi"/>
          <w:b/>
          <w:bCs/>
          <w:sz w:val="22"/>
        </w:rPr>
      </w:pPr>
      <w:r>
        <w:rPr>
          <w:rFonts w:asciiTheme="minorBidi" w:hAnsiTheme="minorBidi"/>
          <w:sz w:val="22"/>
        </w:rPr>
        <w:br w:type="page"/>
      </w:r>
    </w:p>
    <w:sdt>
      <w:sdtPr>
        <w:rPr>
          <w:sz w:val="22"/>
          <w:szCs w:val="22"/>
        </w:rPr>
        <w:id w:val="-1096172883"/>
        <w:docPartObj>
          <w:docPartGallery w:val="Table of Contents"/>
          <w:docPartUnique/>
        </w:docPartObj>
      </w:sdtPr>
      <w:sdtEndPr>
        <w:rPr>
          <w:rFonts w:ascii="Times New Roman" w:eastAsia="Times New Roman" w:hAnsi="Times New Roman" w:cstheme="minorBidi"/>
          <w:noProof/>
          <w:color w:val="auto"/>
          <w:sz w:val="24"/>
        </w:rPr>
      </w:sdtEndPr>
      <w:sdtContent>
        <w:p w14:paraId="425D3910" w14:textId="397BD988" w:rsidR="00BD5319" w:rsidRPr="00F855AF" w:rsidRDefault="00BD5319" w:rsidP="00BD5319">
          <w:pPr>
            <w:pStyle w:val="TOCHeading"/>
            <w:jc w:val="center"/>
            <w:rPr>
              <w:rFonts w:asciiTheme="minorBidi" w:hAnsiTheme="minorBidi" w:cstheme="minorBidi"/>
              <w:sz w:val="24"/>
              <w:szCs w:val="24"/>
            </w:rPr>
          </w:pPr>
          <w:r w:rsidRPr="00F855AF">
            <w:rPr>
              <w:rFonts w:asciiTheme="minorBidi" w:hAnsiTheme="minorBidi" w:cstheme="minorBidi"/>
              <w:sz w:val="24"/>
              <w:szCs w:val="24"/>
            </w:rPr>
            <w:t>Contents</w:t>
          </w:r>
        </w:p>
        <w:p w14:paraId="79589AA7" w14:textId="6BA4A5F1" w:rsidR="007E5649" w:rsidRPr="007E5649" w:rsidRDefault="00BD5319">
          <w:pPr>
            <w:pStyle w:val="TOC1"/>
            <w:tabs>
              <w:tab w:val="right" w:leader="dot" w:pos="9350"/>
            </w:tabs>
            <w:rPr>
              <w:rFonts w:asciiTheme="minorHAnsi" w:eastAsiaTheme="minorEastAsia" w:hAnsiTheme="minorHAnsi"/>
              <w:noProof/>
              <w:kern w:val="2"/>
              <w:sz w:val="22"/>
              <w:lang w:val="en-PK" w:eastAsia="en-PK"/>
              <w14:ligatures w14:val="standardContextual"/>
            </w:rPr>
          </w:pPr>
          <w:r w:rsidRPr="007E5649">
            <w:rPr>
              <w:sz w:val="22"/>
            </w:rPr>
            <w:fldChar w:fldCharType="begin"/>
          </w:r>
          <w:r w:rsidRPr="007E5649">
            <w:rPr>
              <w:sz w:val="22"/>
            </w:rPr>
            <w:instrText xml:space="preserve"> TOC \o "1-3" \h \z \u </w:instrText>
          </w:r>
          <w:r w:rsidRPr="007E5649">
            <w:rPr>
              <w:sz w:val="22"/>
            </w:rPr>
            <w:fldChar w:fldCharType="separate"/>
          </w:r>
          <w:hyperlink w:anchor="_Toc234501111" w:history="1">
            <w:r w:rsidR="007E5649" w:rsidRPr="007E5649">
              <w:rPr>
                <w:rStyle w:val="Hyperlink"/>
                <w:rFonts w:asciiTheme="minorBidi" w:hAnsiTheme="minorBidi"/>
                <w:noProof/>
                <w:sz w:val="22"/>
              </w:rPr>
              <w:t>1. Introduction</w:t>
            </w:r>
            <w:r w:rsidR="007E5649" w:rsidRPr="007E5649">
              <w:rPr>
                <w:noProof/>
                <w:webHidden/>
                <w:sz w:val="22"/>
              </w:rPr>
              <w:tab/>
            </w:r>
            <w:r w:rsidR="007E5649" w:rsidRPr="007E5649">
              <w:rPr>
                <w:noProof/>
                <w:webHidden/>
                <w:sz w:val="22"/>
              </w:rPr>
              <w:fldChar w:fldCharType="begin"/>
            </w:r>
            <w:r w:rsidR="007E5649" w:rsidRPr="007E5649">
              <w:rPr>
                <w:noProof/>
                <w:webHidden/>
                <w:sz w:val="22"/>
              </w:rPr>
              <w:instrText xml:space="preserve"> PAGEREF _Toc234501111 \h </w:instrText>
            </w:r>
            <w:r w:rsidR="007E5649" w:rsidRPr="007E5649">
              <w:rPr>
                <w:noProof/>
                <w:webHidden/>
                <w:sz w:val="22"/>
              </w:rPr>
            </w:r>
            <w:r w:rsidR="007E5649" w:rsidRPr="007E5649">
              <w:rPr>
                <w:noProof/>
                <w:webHidden/>
                <w:sz w:val="22"/>
              </w:rPr>
              <w:fldChar w:fldCharType="separate"/>
            </w:r>
            <w:r w:rsidR="007E5649" w:rsidRPr="007E5649">
              <w:rPr>
                <w:noProof/>
                <w:webHidden/>
                <w:sz w:val="22"/>
              </w:rPr>
              <w:t>3</w:t>
            </w:r>
            <w:r w:rsidR="007E5649" w:rsidRPr="007E5649">
              <w:rPr>
                <w:noProof/>
                <w:webHidden/>
                <w:sz w:val="22"/>
              </w:rPr>
              <w:fldChar w:fldCharType="end"/>
            </w:r>
          </w:hyperlink>
        </w:p>
        <w:p w14:paraId="5731FAD1" w14:textId="707A757B" w:rsidR="007E5649" w:rsidRPr="007E5649" w:rsidRDefault="007E5649">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234501112" w:history="1">
            <w:r w:rsidRPr="007E5649">
              <w:rPr>
                <w:rStyle w:val="Hyperlink"/>
                <w:rFonts w:asciiTheme="minorBidi" w:hAnsiTheme="minorBidi"/>
                <w:noProof/>
                <w:sz w:val="22"/>
              </w:rPr>
              <w:t>2. Evaluation of Existing Systems</w:t>
            </w:r>
            <w:r w:rsidRPr="007E5649">
              <w:rPr>
                <w:noProof/>
                <w:webHidden/>
                <w:sz w:val="22"/>
              </w:rPr>
              <w:tab/>
            </w:r>
            <w:r w:rsidRPr="007E5649">
              <w:rPr>
                <w:noProof/>
                <w:webHidden/>
                <w:sz w:val="22"/>
              </w:rPr>
              <w:fldChar w:fldCharType="begin"/>
            </w:r>
            <w:r w:rsidRPr="007E5649">
              <w:rPr>
                <w:noProof/>
                <w:webHidden/>
                <w:sz w:val="22"/>
              </w:rPr>
              <w:instrText xml:space="preserve"> PAGEREF _Toc234501112 \h </w:instrText>
            </w:r>
            <w:r w:rsidRPr="007E5649">
              <w:rPr>
                <w:noProof/>
                <w:webHidden/>
                <w:sz w:val="22"/>
              </w:rPr>
            </w:r>
            <w:r w:rsidRPr="007E5649">
              <w:rPr>
                <w:noProof/>
                <w:webHidden/>
                <w:sz w:val="22"/>
              </w:rPr>
              <w:fldChar w:fldCharType="separate"/>
            </w:r>
            <w:r w:rsidRPr="007E5649">
              <w:rPr>
                <w:noProof/>
                <w:webHidden/>
                <w:sz w:val="22"/>
              </w:rPr>
              <w:t>3</w:t>
            </w:r>
            <w:r w:rsidRPr="007E5649">
              <w:rPr>
                <w:noProof/>
                <w:webHidden/>
                <w:sz w:val="22"/>
              </w:rPr>
              <w:fldChar w:fldCharType="end"/>
            </w:r>
          </w:hyperlink>
        </w:p>
        <w:p w14:paraId="33701166" w14:textId="240742B1" w:rsidR="007E5649" w:rsidRPr="007E5649" w:rsidRDefault="007E5649">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234501113" w:history="1">
            <w:r w:rsidRPr="007E5649">
              <w:rPr>
                <w:rStyle w:val="Hyperlink"/>
                <w:rFonts w:asciiTheme="minorBidi" w:hAnsiTheme="minorBidi"/>
                <w:noProof/>
                <w:sz w:val="22"/>
              </w:rPr>
              <w:t>2.1. Evaluation of System Options</w:t>
            </w:r>
            <w:r w:rsidRPr="007E5649">
              <w:rPr>
                <w:noProof/>
                <w:webHidden/>
                <w:sz w:val="22"/>
              </w:rPr>
              <w:tab/>
            </w:r>
            <w:r w:rsidRPr="007E5649">
              <w:rPr>
                <w:noProof/>
                <w:webHidden/>
                <w:sz w:val="22"/>
              </w:rPr>
              <w:fldChar w:fldCharType="begin"/>
            </w:r>
            <w:r w:rsidRPr="007E5649">
              <w:rPr>
                <w:noProof/>
                <w:webHidden/>
                <w:sz w:val="22"/>
              </w:rPr>
              <w:instrText xml:space="preserve"> PAGEREF _Toc234501113 \h </w:instrText>
            </w:r>
            <w:r w:rsidRPr="007E5649">
              <w:rPr>
                <w:noProof/>
                <w:webHidden/>
                <w:sz w:val="22"/>
              </w:rPr>
            </w:r>
            <w:r w:rsidRPr="007E5649">
              <w:rPr>
                <w:noProof/>
                <w:webHidden/>
                <w:sz w:val="22"/>
              </w:rPr>
              <w:fldChar w:fldCharType="separate"/>
            </w:r>
            <w:r w:rsidRPr="007E5649">
              <w:rPr>
                <w:noProof/>
                <w:webHidden/>
                <w:sz w:val="22"/>
              </w:rPr>
              <w:t>4</w:t>
            </w:r>
            <w:r w:rsidRPr="007E5649">
              <w:rPr>
                <w:noProof/>
                <w:webHidden/>
                <w:sz w:val="22"/>
              </w:rPr>
              <w:fldChar w:fldCharType="end"/>
            </w:r>
          </w:hyperlink>
        </w:p>
        <w:p w14:paraId="6D5837FD" w14:textId="33521128" w:rsidR="007E5649" w:rsidRPr="007E5649" w:rsidRDefault="007E5649">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234501114" w:history="1">
            <w:r w:rsidRPr="007E5649">
              <w:rPr>
                <w:rStyle w:val="Hyperlink"/>
                <w:rFonts w:asciiTheme="minorBidi" w:hAnsiTheme="minorBidi"/>
                <w:noProof/>
                <w:sz w:val="22"/>
              </w:rPr>
              <w:t>3. Recommended Solution</w:t>
            </w:r>
            <w:r w:rsidRPr="007E5649">
              <w:rPr>
                <w:noProof/>
                <w:webHidden/>
                <w:sz w:val="22"/>
              </w:rPr>
              <w:tab/>
            </w:r>
            <w:r w:rsidRPr="007E5649">
              <w:rPr>
                <w:noProof/>
                <w:webHidden/>
                <w:sz w:val="22"/>
              </w:rPr>
              <w:fldChar w:fldCharType="begin"/>
            </w:r>
            <w:r w:rsidRPr="007E5649">
              <w:rPr>
                <w:noProof/>
                <w:webHidden/>
                <w:sz w:val="22"/>
              </w:rPr>
              <w:instrText xml:space="preserve"> PAGEREF _Toc234501114 \h </w:instrText>
            </w:r>
            <w:r w:rsidRPr="007E5649">
              <w:rPr>
                <w:noProof/>
                <w:webHidden/>
                <w:sz w:val="22"/>
              </w:rPr>
            </w:r>
            <w:r w:rsidRPr="007E5649">
              <w:rPr>
                <w:noProof/>
                <w:webHidden/>
                <w:sz w:val="22"/>
              </w:rPr>
              <w:fldChar w:fldCharType="separate"/>
            </w:r>
            <w:r w:rsidRPr="007E5649">
              <w:rPr>
                <w:noProof/>
                <w:webHidden/>
                <w:sz w:val="22"/>
              </w:rPr>
              <w:t>5</w:t>
            </w:r>
            <w:r w:rsidRPr="007E5649">
              <w:rPr>
                <w:noProof/>
                <w:webHidden/>
                <w:sz w:val="22"/>
              </w:rPr>
              <w:fldChar w:fldCharType="end"/>
            </w:r>
          </w:hyperlink>
        </w:p>
        <w:p w14:paraId="6C68DF1E" w14:textId="4DD4C11F" w:rsidR="007E5649" w:rsidRPr="007E5649" w:rsidRDefault="007E5649">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234501115" w:history="1">
            <w:r w:rsidRPr="007E5649">
              <w:rPr>
                <w:rStyle w:val="Hyperlink"/>
                <w:rFonts w:asciiTheme="minorBidi" w:hAnsiTheme="minorBidi"/>
                <w:noProof/>
                <w:sz w:val="22"/>
              </w:rPr>
              <w:t>4. Implementation Plan</w:t>
            </w:r>
            <w:r w:rsidRPr="007E5649">
              <w:rPr>
                <w:noProof/>
                <w:webHidden/>
                <w:sz w:val="22"/>
              </w:rPr>
              <w:tab/>
            </w:r>
            <w:r w:rsidRPr="007E5649">
              <w:rPr>
                <w:noProof/>
                <w:webHidden/>
                <w:sz w:val="22"/>
              </w:rPr>
              <w:fldChar w:fldCharType="begin"/>
            </w:r>
            <w:r w:rsidRPr="007E5649">
              <w:rPr>
                <w:noProof/>
                <w:webHidden/>
                <w:sz w:val="22"/>
              </w:rPr>
              <w:instrText xml:space="preserve"> PAGEREF _Toc234501115 \h </w:instrText>
            </w:r>
            <w:r w:rsidRPr="007E5649">
              <w:rPr>
                <w:noProof/>
                <w:webHidden/>
                <w:sz w:val="22"/>
              </w:rPr>
            </w:r>
            <w:r w:rsidRPr="007E5649">
              <w:rPr>
                <w:noProof/>
                <w:webHidden/>
                <w:sz w:val="22"/>
              </w:rPr>
              <w:fldChar w:fldCharType="separate"/>
            </w:r>
            <w:r w:rsidRPr="007E5649">
              <w:rPr>
                <w:noProof/>
                <w:webHidden/>
                <w:sz w:val="22"/>
              </w:rPr>
              <w:t>7</w:t>
            </w:r>
            <w:r w:rsidRPr="007E5649">
              <w:rPr>
                <w:noProof/>
                <w:webHidden/>
                <w:sz w:val="22"/>
              </w:rPr>
              <w:fldChar w:fldCharType="end"/>
            </w:r>
          </w:hyperlink>
        </w:p>
        <w:p w14:paraId="0E4465A2" w14:textId="3A43BB49" w:rsidR="007E5649" w:rsidRPr="007E5649" w:rsidRDefault="007E5649">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234501116" w:history="1">
            <w:r w:rsidRPr="007E5649">
              <w:rPr>
                <w:rStyle w:val="Hyperlink"/>
                <w:rFonts w:asciiTheme="minorBidi" w:hAnsiTheme="minorBidi"/>
                <w:noProof/>
                <w:sz w:val="22"/>
              </w:rPr>
              <w:t>5. Conclusion</w:t>
            </w:r>
            <w:r w:rsidRPr="007E5649">
              <w:rPr>
                <w:noProof/>
                <w:webHidden/>
                <w:sz w:val="22"/>
              </w:rPr>
              <w:tab/>
            </w:r>
            <w:r w:rsidRPr="007E5649">
              <w:rPr>
                <w:noProof/>
                <w:webHidden/>
                <w:sz w:val="22"/>
              </w:rPr>
              <w:fldChar w:fldCharType="begin"/>
            </w:r>
            <w:r w:rsidRPr="007E5649">
              <w:rPr>
                <w:noProof/>
                <w:webHidden/>
                <w:sz w:val="22"/>
              </w:rPr>
              <w:instrText xml:space="preserve"> PAGEREF _Toc234501116 \h </w:instrText>
            </w:r>
            <w:r w:rsidRPr="007E5649">
              <w:rPr>
                <w:noProof/>
                <w:webHidden/>
                <w:sz w:val="22"/>
              </w:rPr>
            </w:r>
            <w:r w:rsidRPr="007E5649">
              <w:rPr>
                <w:noProof/>
                <w:webHidden/>
                <w:sz w:val="22"/>
              </w:rPr>
              <w:fldChar w:fldCharType="separate"/>
            </w:r>
            <w:r w:rsidRPr="007E5649">
              <w:rPr>
                <w:noProof/>
                <w:webHidden/>
                <w:sz w:val="22"/>
              </w:rPr>
              <w:t>8</w:t>
            </w:r>
            <w:r w:rsidRPr="007E5649">
              <w:rPr>
                <w:noProof/>
                <w:webHidden/>
                <w:sz w:val="22"/>
              </w:rPr>
              <w:fldChar w:fldCharType="end"/>
            </w:r>
          </w:hyperlink>
        </w:p>
        <w:p w14:paraId="70FBA255" w14:textId="3F6DD64D" w:rsidR="007E5649" w:rsidRPr="007E5649" w:rsidRDefault="007E5649">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234501117" w:history="1">
            <w:r w:rsidRPr="007E5649">
              <w:rPr>
                <w:rStyle w:val="Hyperlink"/>
                <w:rFonts w:asciiTheme="minorBidi" w:hAnsiTheme="minorBidi"/>
                <w:noProof/>
                <w:sz w:val="22"/>
              </w:rPr>
              <w:t>References</w:t>
            </w:r>
            <w:r w:rsidRPr="007E5649">
              <w:rPr>
                <w:noProof/>
                <w:webHidden/>
                <w:sz w:val="22"/>
              </w:rPr>
              <w:tab/>
            </w:r>
            <w:r w:rsidRPr="007E5649">
              <w:rPr>
                <w:noProof/>
                <w:webHidden/>
                <w:sz w:val="22"/>
              </w:rPr>
              <w:fldChar w:fldCharType="begin"/>
            </w:r>
            <w:r w:rsidRPr="007E5649">
              <w:rPr>
                <w:noProof/>
                <w:webHidden/>
                <w:sz w:val="22"/>
              </w:rPr>
              <w:instrText xml:space="preserve"> PAGEREF _Toc234501117 \h </w:instrText>
            </w:r>
            <w:r w:rsidRPr="007E5649">
              <w:rPr>
                <w:noProof/>
                <w:webHidden/>
                <w:sz w:val="22"/>
              </w:rPr>
            </w:r>
            <w:r w:rsidRPr="007E5649">
              <w:rPr>
                <w:noProof/>
                <w:webHidden/>
                <w:sz w:val="22"/>
              </w:rPr>
              <w:fldChar w:fldCharType="separate"/>
            </w:r>
            <w:r w:rsidRPr="007E5649">
              <w:rPr>
                <w:noProof/>
                <w:webHidden/>
                <w:sz w:val="22"/>
              </w:rPr>
              <w:t>9</w:t>
            </w:r>
            <w:r w:rsidRPr="007E5649">
              <w:rPr>
                <w:noProof/>
                <w:webHidden/>
                <w:sz w:val="22"/>
              </w:rPr>
              <w:fldChar w:fldCharType="end"/>
            </w:r>
          </w:hyperlink>
        </w:p>
        <w:p w14:paraId="0D62E6B8" w14:textId="008F96B6" w:rsidR="00BD5319" w:rsidRDefault="00BD5319" w:rsidP="00BD5319">
          <w:pPr>
            <w:jc w:val="center"/>
          </w:pPr>
          <w:r w:rsidRPr="007E5649">
            <w:rPr>
              <w:b/>
              <w:bCs/>
              <w:noProof/>
              <w:sz w:val="22"/>
            </w:rPr>
            <w:fldChar w:fldCharType="end"/>
          </w:r>
        </w:p>
      </w:sdtContent>
    </w:sdt>
    <w:p w14:paraId="10157D56" w14:textId="77777777" w:rsidR="00BD5319" w:rsidRDefault="00BD5319">
      <w:pPr>
        <w:spacing w:after="200" w:line="276" w:lineRule="auto"/>
        <w:rPr>
          <w:rFonts w:asciiTheme="minorBidi" w:eastAsiaTheme="majorEastAsia" w:hAnsiTheme="minorBidi"/>
          <w:b/>
          <w:bCs/>
          <w:sz w:val="22"/>
        </w:rPr>
      </w:pPr>
      <w:r>
        <w:rPr>
          <w:rFonts w:asciiTheme="minorBidi" w:hAnsiTheme="minorBidi"/>
          <w:sz w:val="22"/>
        </w:rPr>
        <w:br w:type="page"/>
      </w:r>
    </w:p>
    <w:p w14:paraId="1337E78B" w14:textId="306E3C8B" w:rsidR="003A59D5" w:rsidRPr="001419ED" w:rsidRDefault="00667F4A" w:rsidP="001419ED">
      <w:pPr>
        <w:pStyle w:val="Heading1"/>
        <w:rPr>
          <w:rFonts w:asciiTheme="minorBidi" w:hAnsiTheme="minorBidi" w:cstheme="minorBidi"/>
          <w:color w:val="auto"/>
          <w:sz w:val="22"/>
          <w:szCs w:val="22"/>
        </w:rPr>
      </w:pPr>
      <w:bookmarkStart w:id="0" w:name="_Toc234501111"/>
      <w:r w:rsidRPr="001419ED">
        <w:rPr>
          <w:rFonts w:asciiTheme="minorBidi" w:hAnsiTheme="minorBidi" w:cstheme="minorBidi"/>
          <w:color w:val="auto"/>
          <w:sz w:val="22"/>
          <w:szCs w:val="22"/>
        </w:rPr>
        <w:lastRenderedPageBreak/>
        <w:t>1. Introduction</w:t>
      </w:r>
      <w:bookmarkEnd w:id="0"/>
    </w:p>
    <w:p w14:paraId="21ABC582" w14:textId="43815491" w:rsidR="001419ED" w:rsidRPr="001419ED" w:rsidRDefault="001419ED" w:rsidP="001419ED">
      <w:pPr>
        <w:jc w:val="both"/>
        <w:rPr>
          <w:rFonts w:asciiTheme="minorBidi" w:hAnsiTheme="minorBidi"/>
          <w:sz w:val="22"/>
        </w:rPr>
      </w:pPr>
      <w:r w:rsidRPr="001419ED">
        <w:rPr>
          <w:rFonts w:asciiTheme="minorBidi" w:hAnsiTheme="minorBidi"/>
          <w:sz w:val="22"/>
        </w:rPr>
        <w:t xml:space="preserve">The issue </w:t>
      </w:r>
      <w:proofErr w:type="spellStart"/>
      <w:r w:rsidRPr="001419ED">
        <w:rPr>
          <w:rFonts w:asciiTheme="minorBidi" w:hAnsiTheme="minorBidi"/>
          <w:sz w:val="22"/>
        </w:rPr>
        <w:t>Maldiva</w:t>
      </w:r>
      <w:proofErr w:type="spellEnd"/>
      <w:r w:rsidRPr="001419ED">
        <w:rPr>
          <w:rFonts w:asciiTheme="minorBidi" w:hAnsiTheme="minorBidi"/>
          <w:sz w:val="22"/>
        </w:rPr>
        <w:t xml:space="preserve"> Ltd. is currently having is not a small administrative issue – it is a Systems capability issue. The sales growth through 30 stores and a </w:t>
      </w:r>
      <w:r w:rsidRPr="001419ED">
        <w:rPr>
          <w:rFonts w:asciiTheme="minorBidi" w:hAnsiTheme="minorBidi"/>
          <w:sz w:val="22"/>
        </w:rPr>
        <w:t>sale</w:t>
      </w:r>
      <w:r w:rsidRPr="001419ED">
        <w:rPr>
          <w:rFonts w:asciiTheme="minorBidi" w:hAnsiTheme="minorBidi"/>
          <w:sz w:val="22"/>
        </w:rPr>
        <w:t xml:space="preserve"> through e-commerce channel has highlighted the deficiencies of manual stock keeping, lack of customer data integration, disconnected sales and finance, and a lack of data security. The proposed cloud-based integrated retail information system is thus an enterprise resource planning (ERP), order management, warehouse/inventory management, customer relationship management (CRM) and business intelligence (BI) system all rolled into one governed data environment. Recent ERP evidence reveals that improvement of the SME decision quality can be achieved if the ERP implementation is designed to support the process change.</w:t>
      </w:r>
      <w:r w:rsidRPr="001419ED">
        <w:rPr>
          <w:rFonts w:asciiTheme="minorBidi" w:hAnsiTheme="minorBidi"/>
          <w:sz w:val="22"/>
        </w:rPr>
        <w:t xml:space="preserve"> </w:t>
      </w:r>
      <w:r w:rsidRPr="001419ED">
        <w:rPr>
          <w:rFonts w:asciiTheme="minorBidi" w:hAnsiTheme="minorBidi"/>
          <w:sz w:val="22"/>
        </w:rPr>
        <w:t>Recent ERP evidence indicates that, when implemented with the intent of supporting the process change, an integrated system can improve the SME decision quality</w:t>
      </w:r>
      <w:r w:rsidRPr="001419ED">
        <w:rPr>
          <w:rFonts w:asciiTheme="minorBidi" w:hAnsiTheme="minorBidi"/>
          <w:sz w:val="22"/>
        </w:rPr>
        <w:t xml:space="preserve"> </w:t>
      </w:r>
      <w:r w:rsidRPr="001419ED">
        <w:rPr>
          <w:rFonts w:asciiTheme="minorBidi" w:hAnsiTheme="minorBidi"/>
          <w:sz w:val="22"/>
        </w:rPr>
        <w:t>(</w:t>
      </w:r>
      <w:proofErr w:type="spellStart"/>
      <w:r w:rsidRPr="001419ED">
        <w:rPr>
          <w:rFonts w:asciiTheme="minorBidi" w:hAnsiTheme="minorBidi"/>
          <w:sz w:val="22"/>
        </w:rPr>
        <w:t>Gessa</w:t>
      </w:r>
      <w:proofErr w:type="spellEnd"/>
      <w:r w:rsidRPr="001419ED">
        <w:rPr>
          <w:rFonts w:asciiTheme="minorBidi" w:hAnsiTheme="minorBidi"/>
          <w:sz w:val="22"/>
        </w:rPr>
        <w:t xml:space="preserve"> et al., 2023).</w:t>
      </w:r>
    </w:p>
    <w:p w14:paraId="27CF2590" w14:textId="0A57D824" w:rsidR="003A59D5" w:rsidRPr="001419ED" w:rsidRDefault="001419ED" w:rsidP="001419ED">
      <w:pPr>
        <w:jc w:val="both"/>
        <w:rPr>
          <w:rFonts w:asciiTheme="minorBidi" w:hAnsiTheme="minorBidi"/>
          <w:sz w:val="22"/>
        </w:rPr>
      </w:pPr>
      <w:r w:rsidRPr="001419ED">
        <w:rPr>
          <w:rFonts w:asciiTheme="minorBidi" w:hAnsiTheme="minorBidi"/>
          <w:sz w:val="22"/>
        </w:rPr>
        <w:t xml:space="preserve">The fundamental business challenge is </w:t>
      </w:r>
      <w:proofErr w:type="spellStart"/>
      <w:r w:rsidRPr="001419ED">
        <w:rPr>
          <w:rFonts w:asciiTheme="minorBidi" w:hAnsiTheme="minorBidi"/>
          <w:sz w:val="22"/>
        </w:rPr>
        <w:t>Maldiva's</w:t>
      </w:r>
      <w:proofErr w:type="spellEnd"/>
      <w:r w:rsidRPr="001419ED">
        <w:rPr>
          <w:rFonts w:asciiTheme="minorBidi" w:hAnsiTheme="minorBidi"/>
          <w:sz w:val="22"/>
        </w:rPr>
        <w:t xml:space="preserve"> guarantee to its customers is presented before its information capability. Although it is possible to purchase online, the company cannot guarantee the availability of the product at the various retail locations and warehouses. Managers can see the growth in </w:t>
      </w:r>
      <w:r w:rsidRPr="001419ED">
        <w:rPr>
          <w:rFonts w:asciiTheme="minorBidi" w:hAnsiTheme="minorBidi"/>
          <w:sz w:val="22"/>
        </w:rPr>
        <w:t>sales but</w:t>
      </w:r>
      <w:r w:rsidRPr="001419ED">
        <w:rPr>
          <w:rFonts w:asciiTheme="minorBidi" w:hAnsiTheme="minorBidi"/>
          <w:sz w:val="22"/>
        </w:rPr>
        <w:t xml:space="preserve"> </w:t>
      </w:r>
      <w:r w:rsidRPr="001419ED">
        <w:rPr>
          <w:rFonts w:asciiTheme="minorBidi" w:hAnsiTheme="minorBidi"/>
          <w:sz w:val="22"/>
        </w:rPr>
        <w:t>are not</w:t>
      </w:r>
      <w:r w:rsidRPr="001419ED">
        <w:rPr>
          <w:rFonts w:asciiTheme="minorBidi" w:hAnsiTheme="minorBidi"/>
          <w:sz w:val="22"/>
        </w:rPr>
        <w:t xml:space="preserve"> able to identify rapidly the customers who are growing, the products which are oversold, and who </w:t>
      </w:r>
      <w:r w:rsidRPr="001419ED">
        <w:rPr>
          <w:rFonts w:asciiTheme="minorBidi" w:hAnsiTheme="minorBidi"/>
          <w:sz w:val="22"/>
        </w:rPr>
        <w:t>are</w:t>
      </w:r>
      <w:r w:rsidRPr="001419ED">
        <w:rPr>
          <w:rFonts w:asciiTheme="minorBidi" w:hAnsiTheme="minorBidi"/>
          <w:sz w:val="22"/>
        </w:rPr>
        <w:t xml:space="preserve"> likely to return for subsequent purchases. In retail, this translates </w:t>
      </w:r>
      <w:r w:rsidRPr="001419ED">
        <w:rPr>
          <w:rFonts w:asciiTheme="minorBidi" w:hAnsiTheme="minorBidi"/>
          <w:sz w:val="22"/>
        </w:rPr>
        <w:t>into</w:t>
      </w:r>
      <w:r w:rsidRPr="001419ED">
        <w:rPr>
          <w:rFonts w:asciiTheme="minorBidi" w:hAnsiTheme="minorBidi"/>
          <w:sz w:val="22"/>
        </w:rPr>
        <w:t xml:space="preserve"> a direct correlation between information failure and operational failure: out-of-date stock information leads to refunds, customer grievances, lost revenues and much more; inconsistent CRM practices mean less personalisation; and manual reporting means less management action. The proposal offers </w:t>
      </w:r>
      <w:r w:rsidRPr="001419ED">
        <w:rPr>
          <w:rFonts w:asciiTheme="minorBidi" w:hAnsiTheme="minorBidi"/>
          <w:sz w:val="22"/>
        </w:rPr>
        <w:t>practical</w:t>
      </w:r>
      <w:r w:rsidRPr="001419ED">
        <w:rPr>
          <w:rFonts w:asciiTheme="minorBidi" w:hAnsiTheme="minorBidi"/>
          <w:sz w:val="22"/>
        </w:rPr>
        <w:t xml:space="preserve"> systems architecture solution to these problems, rather than just a single, generic software solution.</w:t>
      </w:r>
    </w:p>
    <w:p w14:paraId="50E0D556" w14:textId="77777777" w:rsidR="003A59D5" w:rsidRPr="001419ED" w:rsidRDefault="00667F4A" w:rsidP="001419ED">
      <w:pPr>
        <w:pStyle w:val="Heading1"/>
        <w:rPr>
          <w:rFonts w:asciiTheme="minorBidi" w:hAnsiTheme="minorBidi" w:cstheme="minorBidi"/>
          <w:color w:val="auto"/>
          <w:sz w:val="22"/>
          <w:szCs w:val="22"/>
        </w:rPr>
      </w:pPr>
      <w:bookmarkStart w:id="1" w:name="_Toc234501112"/>
      <w:r w:rsidRPr="001419ED">
        <w:rPr>
          <w:rFonts w:asciiTheme="minorBidi" w:hAnsiTheme="minorBidi" w:cstheme="minorBidi"/>
          <w:color w:val="auto"/>
          <w:sz w:val="22"/>
          <w:szCs w:val="22"/>
        </w:rPr>
        <w:t>2. Evaluation of Existing Systems</w:t>
      </w:r>
      <w:bookmarkEnd w:id="1"/>
    </w:p>
    <w:p w14:paraId="668EC30E" w14:textId="1BE377AA" w:rsidR="001419ED" w:rsidRPr="001419ED" w:rsidRDefault="001419ED" w:rsidP="001419ED">
      <w:pPr>
        <w:jc w:val="both"/>
        <w:rPr>
          <w:rFonts w:asciiTheme="minorBidi" w:hAnsiTheme="minorBidi"/>
          <w:sz w:val="22"/>
        </w:rPr>
      </w:pPr>
      <w:r w:rsidRPr="001419ED">
        <w:rPr>
          <w:rFonts w:asciiTheme="minorBidi" w:hAnsiTheme="minorBidi"/>
          <w:sz w:val="22"/>
        </w:rPr>
        <w:t xml:space="preserve">The current inventory system is the biggest problem, as it is manual and </w:t>
      </w:r>
      <w:r w:rsidRPr="001419ED">
        <w:rPr>
          <w:rFonts w:asciiTheme="minorBidi" w:hAnsiTheme="minorBidi"/>
          <w:sz w:val="22"/>
        </w:rPr>
        <w:t>channel specific</w:t>
      </w:r>
      <w:r w:rsidRPr="001419ED">
        <w:rPr>
          <w:rFonts w:asciiTheme="minorBidi" w:hAnsiTheme="minorBidi"/>
          <w:sz w:val="22"/>
        </w:rPr>
        <w:t xml:space="preserve">. There is a lack of coordination between the store management and the e-commerce </w:t>
      </w:r>
      <w:r w:rsidRPr="001419ED">
        <w:rPr>
          <w:rFonts w:asciiTheme="minorBidi" w:hAnsiTheme="minorBidi"/>
          <w:sz w:val="22"/>
        </w:rPr>
        <w:t>system,</w:t>
      </w:r>
      <w:r w:rsidRPr="001419ED">
        <w:rPr>
          <w:rFonts w:asciiTheme="minorBidi" w:hAnsiTheme="minorBidi"/>
          <w:sz w:val="22"/>
        </w:rPr>
        <w:t xml:space="preserve"> and they seem to be working on updating stocks </w:t>
      </w:r>
      <w:r w:rsidRPr="001419ED">
        <w:rPr>
          <w:rFonts w:asciiTheme="minorBidi" w:hAnsiTheme="minorBidi"/>
          <w:sz w:val="22"/>
        </w:rPr>
        <w:t>separately. There</w:t>
      </w:r>
      <w:r w:rsidRPr="001419ED">
        <w:rPr>
          <w:rFonts w:asciiTheme="minorBidi" w:hAnsiTheme="minorBidi"/>
          <w:sz w:val="22"/>
        </w:rPr>
        <w:t xml:space="preserve"> is not much coordination between the store management and the e-commerce system as they appear to be updating stocks separately and orders are taken without guaranteed real-time availability. This produces a classic single source of truth problem: multiple departments have a part of the </w:t>
      </w:r>
      <w:r w:rsidRPr="001419ED">
        <w:rPr>
          <w:rFonts w:asciiTheme="minorBidi" w:hAnsiTheme="minorBidi"/>
          <w:sz w:val="22"/>
        </w:rPr>
        <w:t>truth,</w:t>
      </w:r>
      <w:r w:rsidRPr="001419ED">
        <w:rPr>
          <w:rFonts w:asciiTheme="minorBidi" w:hAnsiTheme="minorBidi"/>
          <w:sz w:val="22"/>
        </w:rPr>
        <w:t xml:space="preserve"> but no one can be relied upon as the operational master source of truth. Inditex is a good real-world case study to illustrate how digital stock visibility is a vital element of omnichannel retail as their annual report reports, 'The implementation of the RFID system and an integrated stock management system enable staff to locate items both in the stores and in the online operations, making this an essential part of the business today' (Inditex, 2025).</w:t>
      </w:r>
    </w:p>
    <w:p w14:paraId="0DDDCB94" w14:textId="77777777" w:rsidR="001419ED" w:rsidRPr="001419ED" w:rsidRDefault="001419ED" w:rsidP="001419ED">
      <w:pPr>
        <w:jc w:val="both"/>
        <w:rPr>
          <w:rFonts w:asciiTheme="minorBidi" w:hAnsiTheme="minorBidi"/>
          <w:sz w:val="22"/>
        </w:rPr>
      </w:pPr>
      <w:r w:rsidRPr="001419ED">
        <w:rPr>
          <w:rFonts w:asciiTheme="minorBidi" w:hAnsiTheme="minorBidi"/>
          <w:sz w:val="22"/>
        </w:rPr>
        <w:lastRenderedPageBreak/>
        <w:t>The structure of the CRM environment is also poor. The company has various sales, marketing and support systems that are disconnected, making it difficult for the company to have a complete view of its customers. This equates with marketing being unable to break up customers based on their buying habits, the ability of the support team to easily confirm orders and the opportunity the business misses to offer loyalty incentives. CRM should not be viewed as just a contact database, but as a strategic tool for retaining customers, improving service levels and increasing profitability. Empirical studies conducted recently reveal that CRM technologies can be used to facilitate analysis, integrate data, and measure the performance measures of the business when coupled with a customer relationship orientation (</w:t>
      </w:r>
      <w:proofErr w:type="spellStart"/>
      <w:r w:rsidRPr="001419ED">
        <w:rPr>
          <w:rFonts w:asciiTheme="minorBidi" w:hAnsiTheme="minorBidi"/>
          <w:sz w:val="22"/>
        </w:rPr>
        <w:t>Pașcalău</w:t>
      </w:r>
      <w:proofErr w:type="spellEnd"/>
      <w:r w:rsidRPr="001419ED">
        <w:rPr>
          <w:rFonts w:asciiTheme="minorBidi" w:hAnsiTheme="minorBidi"/>
          <w:sz w:val="22"/>
        </w:rPr>
        <w:t xml:space="preserve"> et al., 2024).</w:t>
      </w:r>
    </w:p>
    <w:p w14:paraId="10D797ED" w14:textId="4440077D" w:rsidR="001419ED" w:rsidRPr="001419ED" w:rsidRDefault="001419ED" w:rsidP="001419ED">
      <w:pPr>
        <w:jc w:val="both"/>
        <w:rPr>
          <w:rFonts w:asciiTheme="minorBidi" w:hAnsiTheme="minorBidi"/>
          <w:sz w:val="22"/>
        </w:rPr>
      </w:pPr>
      <w:r w:rsidRPr="001419ED">
        <w:rPr>
          <w:rFonts w:asciiTheme="minorBidi" w:hAnsiTheme="minorBidi"/>
          <w:sz w:val="22"/>
        </w:rPr>
        <w:t xml:space="preserve">The current management information process is slow, as spreadsheets are used as decision systems and not analysis tools. Spreadsheets are suitable for </w:t>
      </w:r>
      <w:r w:rsidRPr="001419ED">
        <w:rPr>
          <w:rFonts w:asciiTheme="minorBidi" w:hAnsiTheme="minorBidi"/>
          <w:sz w:val="22"/>
        </w:rPr>
        <w:t>small-scale, short-term</w:t>
      </w:r>
      <w:r w:rsidRPr="001419ED">
        <w:rPr>
          <w:rFonts w:asciiTheme="minorBidi" w:hAnsiTheme="minorBidi"/>
          <w:sz w:val="22"/>
        </w:rPr>
        <w:t xml:space="preserve"> work, but are prone to error, versioning problems and stale data when reporting enterprise data. </w:t>
      </w:r>
      <w:proofErr w:type="spellStart"/>
      <w:r w:rsidRPr="001419ED">
        <w:rPr>
          <w:rFonts w:asciiTheme="minorBidi" w:hAnsiTheme="minorBidi"/>
          <w:sz w:val="22"/>
        </w:rPr>
        <w:t>Maldiva</w:t>
      </w:r>
      <w:proofErr w:type="spellEnd"/>
      <w:r w:rsidRPr="001419ED">
        <w:rPr>
          <w:rFonts w:asciiTheme="minorBidi" w:hAnsiTheme="minorBidi"/>
          <w:sz w:val="22"/>
        </w:rPr>
        <w:t xml:space="preserve"> should have dashboards that display sales, inventory turnover, delays in sale, refunds, themes of complaints and profitability of products in real time. Research on business intelligence and analytics adoption suggests a data-driven culture is a key factor in enhancing decision-making effectiveness and managerial performance with BI (</w:t>
      </w:r>
      <w:proofErr w:type="spellStart"/>
      <w:r w:rsidRPr="001419ED">
        <w:rPr>
          <w:rFonts w:asciiTheme="minorBidi" w:hAnsiTheme="minorBidi"/>
          <w:sz w:val="22"/>
        </w:rPr>
        <w:t>Hurbean</w:t>
      </w:r>
      <w:proofErr w:type="spellEnd"/>
      <w:r w:rsidRPr="001419ED">
        <w:rPr>
          <w:rFonts w:asciiTheme="minorBidi" w:hAnsiTheme="minorBidi"/>
          <w:sz w:val="22"/>
        </w:rPr>
        <w:t xml:space="preserve"> et al., 2025).</w:t>
      </w:r>
    </w:p>
    <w:p w14:paraId="5DC4F933" w14:textId="2C97064E" w:rsidR="003A59D5" w:rsidRPr="001419ED" w:rsidRDefault="001419ED" w:rsidP="001419ED">
      <w:pPr>
        <w:jc w:val="both"/>
        <w:rPr>
          <w:rFonts w:asciiTheme="minorBidi" w:hAnsiTheme="minorBidi"/>
          <w:sz w:val="22"/>
        </w:rPr>
      </w:pPr>
      <w:r w:rsidRPr="001419ED">
        <w:rPr>
          <w:rFonts w:asciiTheme="minorBidi" w:hAnsiTheme="minorBidi"/>
          <w:sz w:val="22"/>
        </w:rPr>
        <w:t xml:space="preserve">The third and last weakness is governance. The existing system does not have robust access controls, audit trails and consistent data-retention policies. This is not just a technical problem </w:t>
      </w:r>
      <w:r w:rsidRPr="001419ED">
        <w:rPr>
          <w:rFonts w:asciiTheme="minorBidi" w:hAnsiTheme="minorBidi"/>
          <w:sz w:val="22"/>
        </w:rPr>
        <w:t>and</w:t>
      </w:r>
      <w:r w:rsidRPr="001419ED">
        <w:rPr>
          <w:rFonts w:asciiTheme="minorBidi" w:hAnsiTheme="minorBidi"/>
          <w:sz w:val="22"/>
        </w:rPr>
        <w:t xml:space="preserve"> an ethical problem as </w:t>
      </w:r>
      <w:proofErr w:type="spellStart"/>
      <w:r w:rsidRPr="001419ED">
        <w:rPr>
          <w:rFonts w:asciiTheme="minorBidi" w:hAnsiTheme="minorBidi"/>
          <w:sz w:val="22"/>
        </w:rPr>
        <w:t>Maldiva</w:t>
      </w:r>
      <w:proofErr w:type="spellEnd"/>
      <w:r w:rsidRPr="001419ED">
        <w:rPr>
          <w:rFonts w:asciiTheme="minorBidi" w:hAnsiTheme="minorBidi"/>
          <w:sz w:val="22"/>
        </w:rPr>
        <w:t xml:space="preserve"> records customer identities, addresses, purchases and complaints. The maximum penalty, under the GDPR and the Data Protection Act 2018, is up to £17.5 million or 4% of global annual turnover, depending on the size of the infringements and size of the undertaking (ICO, 2026).</w:t>
      </w:r>
    </w:p>
    <w:p w14:paraId="6898F35D" w14:textId="65CF2A21" w:rsidR="003A59D5" w:rsidRPr="001419ED" w:rsidRDefault="0013250D" w:rsidP="001419ED">
      <w:pPr>
        <w:pStyle w:val="Heading2"/>
        <w:rPr>
          <w:rFonts w:asciiTheme="minorBidi" w:hAnsiTheme="minorBidi" w:cstheme="minorBidi"/>
          <w:color w:val="auto"/>
          <w:sz w:val="22"/>
          <w:szCs w:val="22"/>
        </w:rPr>
      </w:pPr>
      <w:bookmarkStart w:id="2" w:name="_Toc234501113"/>
      <w:r>
        <w:rPr>
          <w:rFonts w:asciiTheme="minorBidi" w:hAnsiTheme="minorBidi" w:cstheme="minorBidi"/>
          <w:color w:val="auto"/>
          <w:sz w:val="22"/>
          <w:szCs w:val="22"/>
        </w:rPr>
        <w:t xml:space="preserve">2.1. </w:t>
      </w:r>
      <w:r w:rsidR="00667F4A" w:rsidRPr="001419ED">
        <w:rPr>
          <w:rFonts w:asciiTheme="minorBidi" w:hAnsiTheme="minorBidi" w:cstheme="minorBidi"/>
          <w:color w:val="auto"/>
          <w:sz w:val="22"/>
          <w:szCs w:val="22"/>
        </w:rPr>
        <w:t>Evaluation of System Options</w:t>
      </w:r>
      <w:bookmarkEnd w:id="2"/>
    </w:p>
    <w:tbl>
      <w:tblPr>
        <w:tblStyle w:val="TableGrid"/>
        <w:tblW w:w="0" w:type="auto"/>
        <w:tblLook w:val="04A0" w:firstRow="1" w:lastRow="0" w:firstColumn="1" w:lastColumn="0" w:noHBand="0" w:noVBand="1"/>
      </w:tblPr>
      <w:tblGrid>
        <w:gridCol w:w="2337"/>
        <w:gridCol w:w="2338"/>
        <w:gridCol w:w="2338"/>
        <w:gridCol w:w="2337"/>
      </w:tblGrid>
      <w:tr w:rsidR="003A59D5" w:rsidRPr="001419ED" w14:paraId="4D924B07" w14:textId="77777777" w:rsidTr="001419ED">
        <w:tc>
          <w:tcPr>
            <w:tcW w:w="2340" w:type="dxa"/>
          </w:tcPr>
          <w:p w14:paraId="4EBD2ED2"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Option</w:t>
            </w:r>
          </w:p>
        </w:tc>
        <w:tc>
          <w:tcPr>
            <w:tcW w:w="2340" w:type="dxa"/>
          </w:tcPr>
          <w:p w14:paraId="4ABA07AE"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Strengths</w:t>
            </w:r>
          </w:p>
        </w:tc>
        <w:tc>
          <w:tcPr>
            <w:tcW w:w="2340" w:type="dxa"/>
          </w:tcPr>
          <w:p w14:paraId="5DC56C6F"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Limitations</w:t>
            </w:r>
          </w:p>
        </w:tc>
        <w:tc>
          <w:tcPr>
            <w:tcW w:w="2340" w:type="dxa"/>
          </w:tcPr>
          <w:p w14:paraId="79DDD070"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 xml:space="preserve">Fit for </w:t>
            </w:r>
            <w:proofErr w:type="spellStart"/>
            <w:r w:rsidRPr="001419ED">
              <w:rPr>
                <w:rFonts w:asciiTheme="minorBidi" w:hAnsiTheme="minorBidi"/>
                <w:b/>
                <w:sz w:val="22"/>
                <w:lang w:val="en-GB"/>
              </w:rPr>
              <w:t>Maldiva</w:t>
            </w:r>
            <w:proofErr w:type="spellEnd"/>
          </w:p>
        </w:tc>
      </w:tr>
      <w:tr w:rsidR="003A59D5" w:rsidRPr="001419ED" w14:paraId="339AEC4D" w14:textId="77777777" w:rsidTr="001419ED">
        <w:tc>
          <w:tcPr>
            <w:tcW w:w="2340" w:type="dxa"/>
          </w:tcPr>
          <w:p w14:paraId="00552C94"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Standalone CRM</w:t>
            </w:r>
          </w:p>
        </w:tc>
        <w:tc>
          <w:tcPr>
            <w:tcW w:w="2340" w:type="dxa"/>
          </w:tcPr>
          <w:p w14:paraId="5E9BE5DB"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Improves customer profiles, support history and targeted promotions.</w:t>
            </w:r>
          </w:p>
        </w:tc>
        <w:tc>
          <w:tcPr>
            <w:tcW w:w="2340" w:type="dxa"/>
          </w:tcPr>
          <w:p w14:paraId="1DCDF654"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Does not solve stock accuracy, finance integration or fulfilment visibility.</w:t>
            </w:r>
          </w:p>
        </w:tc>
        <w:tc>
          <w:tcPr>
            <w:tcW w:w="2340" w:type="dxa"/>
          </w:tcPr>
          <w:p w14:paraId="016FA85F"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Useful component but insufficient alone.</w:t>
            </w:r>
          </w:p>
        </w:tc>
      </w:tr>
      <w:tr w:rsidR="003A59D5" w:rsidRPr="001419ED" w14:paraId="0FFBDCE5" w14:textId="77777777" w:rsidTr="001419ED">
        <w:tc>
          <w:tcPr>
            <w:tcW w:w="2340" w:type="dxa"/>
          </w:tcPr>
          <w:p w14:paraId="59680AC2"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Standalone BI tool</w:t>
            </w:r>
          </w:p>
        </w:tc>
        <w:tc>
          <w:tcPr>
            <w:tcW w:w="2340" w:type="dxa"/>
          </w:tcPr>
          <w:p w14:paraId="07719015"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Improves dashboards, trend analysis and management reporting.</w:t>
            </w:r>
          </w:p>
        </w:tc>
        <w:tc>
          <w:tcPr>
            <w:tcW w:w="2340" w:type="dxa"/>
          </w:tcPr>
          <w:p w14:paraId="2AB11819"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BI only reports on available data; poor source data will still produce unreliable insight.</w:t>
            </w:r>
          </w:p>
        </w:tc>
        <w:tc>
          <w:tcPr>
            <w:tcW w:w="2340" w:type="dxa"/>
          </w:tcPr>
          <w:p w14:paraId="66F63FD6"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Needed as a reporting layer, not as the core solution.</w:t>
            </w:r>
          </w:p>
        </w:tc>
      </w:tr>
      <w:tr w:rsidR="003A59D5" w:rsidRPr="001419ED" w14:paraId="57C18C13" w14:textId="77777777" w:rsidTr="001419ED">
        <w:tc>
          <w:tcPr>
            <w:tcW w:w="2340" w:type="dxa"/>
          </w:tcPr>
          <w:p w14:paraId="4C560319"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lastRenderedPageBreak/>
              <w:t>WMS/OMS only</w:t>
            </w:r>
          </w:p>
        </w:tc>
        <w:tc>
          <w:tcPr>
            <w:tcW w:w="2340" w:type="dxa"/>
          </w:tcPr>
          <w:p w14:paraId="1AC1C1FB"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Improves inventory accuracy, order routing and fulfilment control.</w:t>
            </w:r>
          </w:p>
        </w:tc>
        <w:tc>
          <w:tcPr>
            <w:tcW w:w="2340" w:type="dxa"/>
          </w:tcPr>
          <w:p w14:paraId="163B833E"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Limited value for CRM, finance and enterprise-wide governance.</w:t>
            </w:r>
          </w:p>
        </w:tc>
        <w:tc>
          <w:tcPr>
            <w:tcW w:w="2340" w:type="dxa"/>
          </w:tcPr>
          <w:p w14:paraId="042698D3"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Important retail module but too narrow alone.</w:t>
            </w:r>
          </w:p>
        </w:tc>
      </w:tr>
      <w:tr w:rsidR="003A59D5" w:rsidRPr="001419ED" w14:paraId="5AC9DD32" w14:textId="77777777" w:rsidTr="001419ED">
        <w:tc>
          <w:tcPr>
            <w:tcW w:w="2340" w:type="dxa"/>
          </w:tcPr>
          <w:p w14:paraId="3727A24C"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b/>
                <w:sz w:val="22"/>
                <w:lang w:val="en-GB"/>
              </w:rPr>
              <w:t>Integrated cloud ERP with CRM, OMS/WMS and BI</w:t>
            </w:r>
          </w:p>
        </w:tc>
        <w:tc>
          <w:tcPr>
            <w:tcW w:w="2340" w:type="dxa"/>
          </w:tcPr>
          <w:p w14:paraId="068A1EF2"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Creates a single operational data model across stores, e-commerce, finance, inventory and customers.</w:t>
            </w:r>
          </w:p>
        </w:tc>
        <w:tc>
          <w:tcPr>
            <w:tcW w:w="2340" w:type="dxa"/>
          </w:tcPr>
          <w:p w14:paraId="7BD1DB83"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Higher implementation effort and change-management risk.</w:t>
            </w:r>
          </w:p>
        </w:tc>
        <w:tc>
          <w:tcPr>
            <w:tcW w:w="2340" w:type="dxa"/>
          </w:tcPr>
          <w:p w14:paraId="3CDF3A3C" w14:textId="77777777" w:rsidR="003A59D5" w:rsidRPr="001419ED" w:rsidRDefault="00667F4A" w:rsidP="001419ED">
            <w:pPr>
              <w:pStyle w:val="SmallTableText"/>
              <w:spacing w:line="360" w:lineRule="auto"/>
              <w:rPr>
                <w:rFonts w:asciiTheme="minorBidi" w:hAnsiTheme="minorBidi"/>
                <w:sz w:val="22"/>
                <w:lang w:val="en-GB"/>
              </w:rPr>
            </w:pPr>
            <w:r w:rsidRPr="001419ED">
              <w:rPr>
                <w:rFonts w:asciiTheme="minorBidi" w:hAnsiTheme="minorBidi"/>
                <w:sz w:val="22"/>
                <w:lang w:val="en-GB"/>
              </w:rPr>
              <w:t xml:space="preserve">Best strategic fit because </w:t>
            </w:r>
            <w:proofErr w:type="spellStart"/>
            <w:r w:rsidRPr="001419ED">
              <w:rPr>
                <w:rFonts w:asciiTheme="minorBidi" w:hAnsiTheme="minorBidi"/>
                <w:sz w:val="22"/>
                <w:lang w:val="en-GB"/>
              </w:rPr>
              <w:t>Maldiva’s</w:t>
            </w:r>
            <w:proofErr w:type="spellEnd"/>
            <w:r w:rsidRPr="001419ED">
              <w:rPr>
                <w:rFonts w:asciiTheme="minorBidi" w:hAnsiTheme="minorBidi"/>
                <w:sz w:val="22"/>
                <w:lang w:val="en-GB"/>
              </w:rPr>
              <w:t xml:space="preserve"> problems are cross-functional.</w:t>
            </w:r>
          </w:p>
        </w:tc>
      </w:tr>
    </w:tbl>
    <w:p w14:paraId="0D37B95C" w14:textId="77777777" w:rsidR="003A59D5" w:rsidRPr="001419ED" w:rsidRDefault="00667F4A" w:rsidP="001419ED">
      <w:pPr>
        <w:pStyle w:val="Heading1"/>
        <w:rPr>
          <w:rFonts w:asciiTheme="minorBidi" w:hAnsiTheme="minorBidi" w:cstheme="minorBidi"/>
          <w:color w:val="auto"/>
          <w:sz w:val="22"/>
          <w:szCs w:val="22"/>
        </w:rPr>
      </w:pPr>
      <w:bookmarkStart w:id="3" w:name="_Toc234501114"/>
      <w:r w:rsidRPr="001419ED">
        <w:rPr>
          <w:rFonts w:asciiTheme="minorBidi" w:hAnsiTheme="minorBidi" w:cstheme="minorBidi"/>
          <w:color w:val="auto"/>
          <w:sz w:val="22"/>
          <w:szCs w:val="22"/>
        </w:rPr>
        <w:t>3. Recommended Solution</w:t>
      </w:r>
      <w:bookmarkEnd w:id="3"/>
    </w:p>
    <w:p w14:paraId="0C815981" w14:textId="2F8313ED" w:rsidR="001419ED" w:rsidRPr="001419ED" w:rsidRDefault="001419ED" w:rsidP="001419ED">
      <w:pPr>
        <w:jc w:val="both"/>
        <w:rPr>
          <w:rFonts w:asciiTheme="minorBidi" w:hAnsiTheme="minorBidi"/>
          <w:sz w:val="22"/>
        </w:rPr>
      </w:pPr>
      <w:r w:rsidRPr="001419ED">
        <w:rPr>
          <w:rFonts w:asciiTheme="minorBidi" w:hAnsiTheme="minorBidi"/>
          <w:sz w:val="22"/>
        </w:rPr>
        <w:t xml:space="preserve">The suggested solution is to deploy an integrated </w:t>
      </w:r>
      <w:r w:rsidR="0013250D" w:rsidRPr="001419ED">
        <w:rPr>
          <w:rFonts w:asciiTheme="minorBidi" w:hAnsiTheme="minorBidi"/>
          <w:sz w:val="22"/>
        </w:rPr>
        <w:t>cloud-based</w:t>
      </w:r>
      <w:r w:rsidRPr="001419ED">
        <w:rPr>
          <w:rFonts w:asciiTheme="minorBidi" w:hAnsiTheme="minorBidi"/>
          <w:sz w:val="22"/>
        </w:rPr>
        <w:t xml:space="preserve"> retail ERP solution based on five modules – core finance and procurement, inventory/WMS, order management, CRM and BI dashboards. </w:t>
      </w:r>
      <w:r w:rsidR="0013250D" w:rsidRPr="001419ED">
        <w:rPr>
          <w:rFonts w:asciiTheme="minorBidi" w:hAnsiTheme="minorBidi"/>
          <w:sz w:val="22"/>
        </w:rPr>
        <w:t>Customers’</w:t>
      </w:r>
      <w:r w:rsidRPr="001419ED">
        <w:rPr>
          <w:rFonts w:asciiTheme="minorBidi" w:hAnsiTheme="minorBidi"/>
          <w:sz w:val="22"/>
        </w:rPr>
        <w:t xml:space="preserve"> orders should be generated from the website or POS on the store, be reserved in real time, be updated after fulfilment, be automatically posted as a financial transaction and should update the manager dashboards of the store. Individual tools making the best-of-breed approach may yield good </w:t>
      </w:r>
      <w:r w:rsidR="0013250D" w:rsidRPr="001419ED">
        <w:rPr>
          <w:rFonts w:asciiTheme="minorBidi" w:hAnsiTheme="minorBidi"/>
          <w:sz w:val="22"/>
        </w:rPr>
        <w:t>results but</w:t>
      </w:r>
      <w:r w:rsidRPr="001419ED">
        <w:rPr>
          <w:rFonts w:asciiTheme="minorBidi" w:hAnsiTheme="minorBidi"/>
          <w:sz w:val="22"/>
        </w:rPr>
        <w:t xml:space="preserve"> would recreate the burden of integration on </w:t>
      </w:r>
      <w:proofErr w:type="spellStart"/>
      <w:r w:rsidRPr="001419ED">
        <w:rPr>
          <w:rFonts w:asciiTheme="minorBidi" w:hAnsiTheme="minorBidi"/>
          <w:sz w:val="22"/>
        </w:rPr>
        <w:t>Maldiva</w:t>
      </w:r>
      <w:proofErr w:type="spellEnd"/>
      <w:r w:rsidRPr="001419ED">
        <w:rPr>
          <w:rFonts w:asciiTheme="minorBidi" w:hAnsiTheme="minorBidi"/>
          <w:sz w:val="22"/>
        </w:rPr>
        <w:t>. Relative advantage, system quality, security, vendor lock-in, and top management support and regulatory pressure are known as key factors in the adoption of cloud ERP—making a modular cloud suite more apt than individual departmental systems (Christiansen et al., 2022).</w:t>
      </w:r>
    </w:p>
    <w:p w14:paraId="6C83221F" w14:textId="2C8D035D" w:rsidR="003A59D5" w:rsidRPr="001419ED" w:rsidRDefault="001419ED" w:rsidP="001419ED">
      <w:pPr>
        <w:jc w:val="both"/>
        <w:rPr>
          <w:rFonts w:asciiTheme="minorBidi" w:hAnsiTheme="minorBidi"/>
          <w:sz w:val="22"/>
        </w:rPr>
      </w:pPr>
      <w:r w:rsidRPr="001419ED">
        <w:rPr>
          <w:rFonts w:asciiTheme="minorBidi" w:hAnsiTheme="minorBidi"/>
          <w:sz w:val="22"/>
        </w:rPr>
        <w:t xml:space="preserve">It is always vital to handle the inventory and order management system. One master record, one stockkeeping unit (SKU) structure, stock movement with bar code or RFID, automatic reorder thresholds and availability rules at the channel level should be provided in each product. This will help to minimise over-selling as online orders will only be taken when there is stock in hand or transferable. It would also help to decrease overstocking as </w:t>
      </w:r>
      <w:r w:rsidR="0013250D" w:rsidRPr="001419ED">
        <w:rPr>
          <w:rFonts w:asciiTheme="minorBidi" w:hAnsiTheme="minorBidi"/>
          <w:sz w:val="22"/>
        </w:rPr>
        <w:t>slow-moving</w:t>
      </w:r>
      <w:r w:rsidRPr="001419ED">
        <w:rPr>
          <w:rFonts w:asciiTheme="minorBidi" w:hAnsiTheme="minorBidi"/>
          <w:sz w:val="22"/>
        </w:rPr>
        <w:t xml:space="preserve"> inventory would be marked by location of the product, season, and product category. Research conducted in recent years on omnichannel inventory indicates that stochastic inventory planning and scenario-based inventory allocation reduce the costs exposure and enhance the balance between store sales and e-commerce fulfilment (</w:t>
      </w:r>
      <w:proofErr w:type="spellStart"/>
      <w:r w:rsidRPr="001419ED">
        <w:rPr>
          <w:rFonts w:asciiTheme="minorBidi" w:hAnsiTheme="minorBidi"/>
          <w:sz w:val="22"/>
        </w:rPr>
        <w:t>Abouelrous</w:t>
      </w:r>
      <w:proofErr w:type="spellEnd"/>
      <w:r w:rsidRPr="001419ED">
        <w:rPr>
          <w:rFonts w:asciiTheme="minorBidi" w:hAnsiTheme="minorBidi"/>
          <w:sz w:val="22"/>
        </w:rPr>
        <w:t xml:space="preserve"> et al., 2022).</w:t>
      </w:r>
    </w:p>
    <w:p w14:paraId="73EF948C" w14:textId="77777777" w:rsidR="001419ED" w:rsidRPr="001419ED" w:rsidRDefault="001419ED" w:rsidP="001419ED">
      <w:pPr>
        <w:jc w:val="both"/>
        <w:rPr>
          <w:rFonts w:asciiTheme="minorBidi" w:hAnsiTheme="minorBidi"/>
          <w:sz w:val="22"/>
        </w:rPr>
      </w:pPr>
      <w:r w:rsidRPr="001419ED">
        <w:rPr>
          <w:rFonts w:asciiTheme="minorBidi" w:hAnsiTheme="minorBidi"/>
          <w:sz w:val="22"/>
        </w:rPr>
        <w:t xml:space="preserve">CRM module should be able to merge all the customer profile, consent preferences, purchase history, complaint history, support tickets, and response to campaign. This will enable </w:t>
      </w:r>
      <w:proofErr w:type="spellStart"/>
      <w:r w:rsidRPr="001419ED">
        <w:rPr>
          <w:rFonts w:asciiTheme="minorBidi" w:hAnsiTheme="minorBidi"/>
          <w:sz w:val="22"/>
        </w:rPr>
        <w:t>Maldiva</w:t>
      </w:r>
      <w:proofErr w:type="spellEnd"/>
      <w:r w:rsidRPr="001419ED">
        <w:rPr>
          <w:rFonts w:asciiTheme="minorBidi" w:hAnsiTheme="minorBidi"/>
          <w:sz w:val="22"/>
        </w:rPr>
        <w:t xml:space="preserve"> to split the customers based on their products interest, lifetime value, return behaviour and service history. There would be support teams that can immediately check purchase records, marketing </w:t>
      </w:r>
      <w:r w:rsidRPr="001419ED">
        <w:rPr>
          <w:rFonts w:asciiTheme="minorBidi" w:hAnsiTheme="minorBidi"/>
          <w:sz w:val="22"/>
        </w:rPr>
        <w:lastRenderedPageBreak/>
        <w:t xml:space="preserve">can send specific marketing deals instead of general marketing. According to digital retention research, personalisation, trust, digital innovation and efficient support are crucial elements for retaining customers, and this is where CRM plays a vital role in </w:t>
      </w:r>
      <w:proofErr w:type="spellStart"/>
      <w:r w:rsidRPr="001419ED">
        <w:rPr>
          <w:rFonts w:asciiTheme="minorBidi" w:hAnsiTheme="minorBidi"/>
          <w:sz w:val="22"/>
        </w:rPr>
        <w:t>Maldiva's</w:t>
      </w:r>
      <w:proofErr w:type="spellEnd"/>
      <w:r w:rsidRPr="001419ED">
        <w:rPr>
          <w:rFonts w:asciiTheme="minorBidi" w:hAnsiTheme="minorBidi"/>
          <w:sz w:val="22"/>
        </w:rPr>
        <w:t xml:space="preserve"> customer satisfaction problem (Pereira et al., 2025).</w:t>
      </w:r>
    </w:p>
    <w:p w14:paraId="6F579283" w14:textId="4922B266" w:rsidR="003A59D5" w:rsidRPr="001419ED" w:rsidRDefault="001419ED" w:rsidP="001419ED">
      <w:pPr>
        <w:jc w:val="both"/>
        <w:rPr>
          <w:rFonts w:asciiTheme="minorBidi" w:hAnsiTheme="minorBidi"/>
          <w:sz w:val="22"/>
        </w:rPr>
      </w:pPr>
      <w:r w:rsidRPr="001419ED">
        <w:rPr>
          <w:rFonts w:asciiTheme="minorBidi" w:hAnsiTheme="minorBidi"/>
          <w:sz w:val="22"/>
        </w:rPr>
        <w:t xml:space="preserve">The </w:t>
      </w:r>
      <w:proofErr w:type="gramStart"/>
      <w:r w:rsidRPr="001419ED">
        <w:rPr>
          <w:rFonts w:asciiTheme="minorBidi" w:hAnsiTheme="minorBidi"/>
          <w:sz w:val="22"/>
        </w:rPr>
        <w:t>BI layer</w:t>
      </w:r>
      <w:proofErr w:type="gramEnd"/>
      <w:r w:rsidRPr="001419ED">
        <w:rPr>
          <w:rFonts w:asciiTheme="minorBidi" w:hAnsiTheme="minorBidi"/>
          <w:sz w:val="22"/>
        </w:rPr>
        <w:t xml:space="preserve"> should be created for decisions – operational and strategic. Store managers require daily Stock Variance, Fulfilment Delay and Sales-Conversion dashboards, whilst Finance requires Margin, Refund and Working Capital reports – and Senior Management require Forecasting, Category Performance and Expanding Readiness reports. The research into data-driven decision-making reveals that using transaction data, customer behaviour and campaign performance is helpful for segmentation, pricing and for more responsible marketing decisions (Cruz and Rosário, 2025).</w:t>
      </w:r>
    </w:p>
    <w:p w14:paraId="0D9C8F79" w14:textId="68C0ED46" w:rsidR="003A59D5" w:rsidRPr="001419ED" w:rsidRDefault="001419ED" w:rsidP="001419ED">
      <w:pPr>
        <w:jc w:val="both"/>
        <w:rPr>
          <w:rFonts w:asciiTheme="minorBidi" w:hAnsiTheme="minorBidi"/>
          <w:sz w:val="22"/>
        </w:rPr>
      </w:pPr>
      <w:r w:rsidRPr="001419ED">
        <w:rPr>
          <w:rFonts w:asciiTheme="minorBidi" w:hAnsiTheme="minorBidi"/>
          <w:sz w:val="22"/>
        </w:rPr>
        <w:t>In addition to this, privacy-by-design and security-by-design must be incorporated in the solution.</w:t>
      </w:r>
      <w:r w:rsidR="00667F4A" w:rsidRPr="001419ED">
        <w:rPr>
          <w:rFonts w:asciiTheme="minorBidi" w:hAnsiTheme="minorBidi"/>
          <w:sz w:val="22"/>
        </w:rPr>
        <w:t xml:space="preserve"> Role-based access, multi-factor authentication, encryption, audit logs, supplier due diligence, backup testing and data-retention controls should be configured before go-live. </w:t>
      </w:r>
      <w:r w:rsidRPr="001419ED">
        <w:rPr>
          <w:rFonts w:asciiTheme="minorBidi" w:hAnsiTheme="minorBidi"/>
          <w:sz w:val="22"/>
        </w:rPr>
        <w:t>The average cost of a data breach in 2025 is US$4.4 million, highlighting the need to address cybersecurity as a business risk on the board of directors' agenda, not an IT afterthought (IBM, 2025).</w:t>
      </w:r>
    </w:p>
    <w:p w14:paraId="0D164477" w14:textId="77777777" w:rsidR="001419ED" w:rsidRPr="001419ED" w:rsidRDefault="001419ED" w:rsidP="001419ED">
      <w:pPr>
        <w:jc w:val="both"/>
        <w:rPr>
          <w:rFonts w:asciiTheme="minorBidi" w:hAnsiTheme="minorBidi"/>
          <w:sz w:val="22"/>
        </w:rPr>
      </w:pPr>
      <w:r w:rsidRPr="001419ED">
        <w:rPr>
          <w:rFonts w:asciiTheme="minorBidi" w:hAnsiTheme="minorBidi"/>
          <w:sz w:val="22"/>
        </w:rPr>
        <w:t>Business case should include sustainability. Improved demand forecasting, better stock visibility can help to minimise emergency deliveries, inter-store transfers and obsolete stocks. Digital supply-chain research highlights that integrating information systems into supply chain processes and not as standalone reporting tools can contribute to economic, environmental and social sustainability (</w:t>
      </w:r>
      <w:proofErr w:type="spellStart"/>
      <w:r w:rsidRPr="001419ED">
        <w:rPr>
          <w:rFonts w:asciiTheme="minorBidi" w:hAnsiTheme="minorBidi"/>
          <w:sz w:val="22"/>
        </w:rPr>
        <w:t>Stroumpoulis</w:t>
      </w:r>
      <w:proofErr w:type="spellEnd"/>
      <w:r w:rsidRPr="001419ED">
        <w:rPr>
          <w:rFonts w:asciiTheme="minorBidi" w:hAnsiTheme="minorBidi"/>
          <w:sz w:val="22"/>
        </w:rPr>
        <w:t xml:space="preserve"> et al., 2024).</w:t>
      </w:r>
    </w:p>
    <w:p w14:paraId="2A4D2FF8" w14:textId="77777777" w:rsidR="001419ED" w:rsidRPr="001419ED" w:rsidRDefault="001419ED" w:rsidP="001419ED">
      <w:pPr>
        <w:jc w:val="both"/>
        <w:rPr>
          <w:rFonts w:asciiTheme="minorBidi" w:hAnsiTheme="minorBidi"/>
          <w:sz w:val="22"/>
        </w:rPr>
      </w:pPr>
      <w:r w:rsidRPr="001419ED">
        <w:rPr>
          <w:rFonts w:asciiTheme="minorBidi" w:hAnsiTheme="minorBidi"/>
          <w:sz w:val="22"/>
        </w:rPr>
        <w:t xml:space="preserve">The suggestion isn't a solution based on AIs. </w:t>
      </w:r>
      <w:proofErr w:type="spellStart"/>
      <w:r w:rsidRPr="001419ED">
        <w:rPr>
          <w:rFonts w:asciiTheme="minorBidi" w:hAnsiTheme="minorBidi"/>
          <w:sz w:val="22"/>
        </w:rPr>
        <w:t>Maldiva's</w:t>
      </w:r>
      <w:proofErr w:type="spellEnd"/>
      <w:r w:rsidRPr="001419ED">
        <w:rPr>
          <w:rFonts w:asciiTheme="minorBidi" w:hAnsiTheme="minorBidi"/>
          <w:sz w:val="22"/>
        </w:rPr>
        <w:t xml:space="preserve"> big problem is not that it lacks sophisticated algorithms, but rather, data is siloed across transactions. After the ERP, CRM and BI foundations are solid, the company can consider implementing predictive replenishment, churn scoring, and campaign optimisation in the future. Safety: Staged logic is safer as analytics and AI rely on clean, governed and timely data. The literature on data-driven marketing also highlights that governance and ethical uses need to be built in parallel with the capability to use data for marketing (Cruz and Rosário, 2025).</w:t>
      </w:r>
    </w:p>
    <w:p w14:paraId="6E361369" w14:textId="77777777" w:rsidR="001419ED" w:rsidRPr="001419ED" w:rsidRDefault="001419ED" w:rsidP="001419ED">
      <w:pPr>
        <w:jc w:val="both"/>
        <w:rPr>
          <w:rFonts w:asciiTheme="minorBidi" w:hAnsiTheme="minorBidi"/>
          <w:sz w:val="22"/>
        </w:rPr>
      </w:pPr>
      <w:r w:rsidRPr="001419ED">
        <w:rPr>
          <w:rFonts w:asciiTheme="minorBidi" w:hAnsiTheme="minorBidi"/>
          <w:sz w:val="22"/>
        </w:rPr>
        <w:t xml:space="preserve">The proposed system also brings the benefit of the data management aspect of the system by defining the ownership of the data on the master. The product data, stock movement, customer consent and financial records should be the responsibility of the merchandising, operations, marketing and support respectively. This governance approach is one of the ways of eliminating the common problem that occurs in various departments when they edit their version of the truth. Data quality rules should prevent duplicate customers, product code inconsistencies, </w:t>
      </w:r>
      <w:r w:rsidRPr="001419ED">
        <w:rPr>
          <w:rFonts w:asciiTheme="minorBidi" w:hAnsiTheme="minorBidi"/>
          <w:sz w:val="22"/>
        </w:rPr>
        <w:lastRenderedPageBreak/>
        <w:t>unauthorised changes to stock and missing consent fields. This improves the accuracy of the operation as well as the accountability for the ethical responsibilities.</w:t>
      </w:r>
    </w:p>
    <w:p w14:paraId="67098B26" w14:textId="46B59041" w:rsidR="003A59D5" w:rsidRPr="001419ED" w:rsidRDefault="001419ED" w:rsidP="001419ED">
      <w:pPr>
        <w:jc w:val="both"/>
        <w:rPr>
          <w:rFonts w:asciiTheme="minorBidi" w:hAnsiTheme="minorBidi"/>
          <w:sz w:val="22"/>
        </w:rPr>
      </w:pPr>
      <w:r w:rsidRPr="001419ED">
        <w:rPr>
          <w:rFonts w:asciiTheme="minorBidi" w:hAnsiTheme="minorBidi"/>
          <w:sz w:val="22"/>
        </w:rPr>
        <w:t xml:space="preserve">Key aspects of the recommendation are cost and scalability. The cloud suite would typically help move </w:t>
      </w:r>
      <w:proofErr w:type="spellStart"/>
      <w:r w:rsidRPr="001419ED">
        <w:rPr>
          <w:rFonts w:asciiTheme="minorBidi" w:hAnsiTheme="minorBidi"/>
          <w:sz w:val="22"/>
        </w:rPr>
        <w:t>Maldiva</w:t>
      </w:r>
      <w:proofErr w:type="spellEnd"/>
      <w:r w:rsidRPr="001419ED">
        <w:rPr>
          <w:rFonts w:asciiTheme="minorBidi" w:hAnsiTheme="minorBidi"/>
          <w:sz w:val="22"/>
        </w:rPr>
        <w:t xml:space="preserve"> away from large server ownership, and towards subscription, configuration, integration and training costs. This doesn't imply that this project is low cost, it's just that costs can be associated with users, modules and staged deployment. The cost needs to be compared with the avoidance of refunds, decreased manual administration, decreased stockholding errors, faster and better reporting, and improved compliance. </w:t>
      </w:r>
    </w:p>
    <w:p w14:paraId="742C2F0E" w14:textId="77777777" w:rsidR="003A59D5" w:rsidRPr="001419ED" w:rsidRDefault="00667F4A" w:rsidP="001419ED">
      <w:pPr>
        <w:pStyle w:val="Heading1"/>
        <w:rPr>
          <w:rFonts w:asciiTheme="minorBidi" w:hAnsiTheme="minorBidi" w:cstheme="minorBidi"/>
          <w:color w:val="auto"/>
          <w:sz w:val="22"/>
          <w:szCs w:val="22"/>
        </w:rPr>
      </w:pPr>
      <w:bookmarkStart w:id="4" w:name="_Toc234501115"/>
      <w:r w:rsidRPr="001419ED">
        <w:rPr>
          <w:rFonts w:asciiTheme="minorBidi" w:hAnsiTheme="minorBidi" w:cstheme="minorBidi"/>
          <w:color w:val="auto"/>
          <w:sz w:val="22"/>
          <w:szCs w:val="22"/>
        </w:rPr>
        <w:t>4. Implementation Plan</w:t>
      </w:r>
      <w:bookmarkEnd w:id="4"/>
    </w:p>
    <w:p w14:paraId="1196B9B0" w14:textId="42816EC8" w:rsidR="001419ED" w:rsidRPr="001419ED" w:rsidRDefault="001419ED" w:rsidP="001419ED">
      <w:pPr>
        <w:jc w:val="both"/>
        <w:rPr>
          <w:rFonts w:asciiTheme="minorBidi" w:hAnsiTheme="minorBidi"/>
          <w:sz w:val="22"/>
        </w:rPr>
      </w:pPr>
      <w:r w:rsidRPr="001419ED">
        <w:rPr>
          <w:rFonts w:asciiTheme="minorBidi" w:hAnsiTheme="minorBidi"/>
          <w:sz w:val="22"/>
        </w:rPr>
        <w:t xml:space="preserve">The implementation will take place in 6 phases. To start with </w:t>
      </w:r>
      <w:proofErr w:type="spellStart"/>
      <w:r w:rsidRPr="001419ED">
        <w:rPr>
          <w:rFonts w:asciiTheme="minorBidi" w:hAnsiTheme="minorBidi"/>
          <w:sz w:val="22"/>
        </w:rPr>
        <w:t>Maldiva</w:t>
      </w:r>
      <w:proofErr w:type="spellEnd"/>
      <w:r w:rsidRPr="001419ED">
        <w:rPr>
          <w:rFonts w:asciiTheme="minorBidi" w:hAnsiTheme="minorBidi"/>
          <w:sz w:val="22"/>
        </w:rPr>
        <w:t xml:space="preserve"> must map out the processes in sales, stock, finance, marketing and service and determine which processes are required and their data owners. Second, it should choose a vendor based on a </w:t>
      </w:r>
      <w:r w:rsidR="0013250D" w:rsidRPr="001419ED">
        <w:rPr>
          <w:rFonts w:asciiTheme="minorBidi" w:hAnsiTheme="minorBidi"/>
          <w:sz w:val="22"/>
        </w:rPr>
        <w:t>weighted analysis</w:t>
      </w:r>
      <w:r w:rsidRPr="001419ED">
        <w:rPr>
          <w:rFonts w:asciiTheme="minorBidi" w:hAnsiTheme="minorBidi"/>
          <w:sz w:val="22"/>
        </w:rPr>
        <w:t xml:space="preserve"> of the following criteria: retail functionality (weight 10), integration capability (weight 9), security certification (weight 8), total cost of ownership (weight 7), scalability (weight 6), implementation support and exit flexibility (weight 5). Thirdly, the company </w:t>
      </w:r>
      <w:r w:rsidR="0013250D" w:rsidRPr="001419ED">
        <w:rPr>
          <w:rFonts w:asciiTheme="minorBidi" w:hAnsiTheme="minorBidi"/>
          <w:sz w:val="22"/>
        </w:rPr>
        <w:t>must</w:t>
      </w:r>
      <w:r w:rsidRPr="001419ED">
        <w:rPr>
          <w:rFonts w:asciiTheme="minorBidi" w:hAnsiTheme="minorBidi"/>
          <w:sz w:val="22"/>
        </w:rPr>
        <w:t xml:space="preserve"> cleanse its master data such as product codes, customer data, supplier data, and store inventory counts. The risks that are found in the GDPR and cloud-service research are those of unauthorised access, loss of confidentiality, and loss of control over the system, which could be mitigated by encrypting the data, establishing clear governance procedures, and implementing contractual measures with cloud service providers (</w:t>
      </w:r>
      <w:proofErr w:type="spellStart"/>
      <w:r w:rsidRPr="001419ED">
        <w:rPr>
          <w:rFonts w:asciiTheme="minorBidi" w:hAnsiTheme="minorBidi"/>
          <w:sz w:val="22"/>
        </w:rPr>
        <w:t>Issaoui</w:t>
      </w:r>
      <w:proofErr w:type="spellEnd"/>
      <w:r w:rsidRPr="001419ED">
        <w:rPr>
          <w:rFonts w:asciiTheme="minorBidi" w:hAnsiTheme="minorBidi"/>
          <w:sz w:val="22"/>
        </w:rPr>
        <w:t xml:space="preserve"> et al., 2023).</w:t>
      </w:r>
    </w:p>
    <w:p w14:paraId="5E5E5D2B" w14:textId="77777777" w:rsidR="001419ED" w:rsidRPr="001419ED" w:rsidRDefault="001419ED" w:rsidP="001419ED">
      <w:pPr>
        <w:jc w:val="both"/>
        <w:rPr>
          <w:rFonts w:asciiTheme="minorBidi" w:hAnsiTheme="minorBidi"/>
          <w:sz w:val="22"/>
        </w:rPr>
      </w:pPr>
      <w:r w:rsidRPr="001419ED">
        <w:rPr>
          <w:rFonts w:asciiTheme="minorBidi" w:hAnsiTheme="minorBidi"/>
          <w:sz w:val="22"/>
        </w:rPr>
        <w:t xml:space="preserve">Fourth, </w:t>
      </w:r>
      <w:proofErr w:type="spellStart"/>
      <w:r w:rsidRPr="001419ED">
        <w:rPr>
          <w:rFonts w:asciiTheme="minorBidi" w:hAnsiTheme="minorBidi"/>
          <w:sz w:val="22"/>
        </w:rPr>
        <w:t>Maldiva</w:t>
      </w:r>
      <w:proofErr w:type="spellEnd"/>
      <w:r w:rsidRPr="001419ED">
        <w:rPr>
          <w:rFonts w:asciiTheme="minorBidi" w:hAnsiTheme="minorBidi"/>
          <w:sz w:val="22"/>
        </w:rPr>
        <w:t xml:space="preserve"> could test the solution in three stores and the e-commerce channel, before rolling it out. The pilot needs to try out real-time stock reservation, refunds, handling of CRM tickets, dashboard accuracy, finance posting etc. Fifth, training should be done by role: scanning, stock adjustment, CRM and complaint workflows should be taught to the store teams; dashboard interpretation to managers; and security and data-quality to administrators. Sixth, stores should be installed in waves of 5-7, and weekly issue logs, help desk, floorwalkers. The success indicator for the implementation should be stock accuracy, cancellation rate of orders on the internet, resolution time for complaints, report preparation time and the rate of customer repeat purchases.</w:t>
      </w:r>
    </w:p>
    <w:p w14:paraId="48399B5E" w14:textId="5F1A591A" w:rsidR="003A59D5" w:rsidRPr="001419ED" w:rsidRDefault="001419ED" w:rsidP="00ED72D7">
      <w:pPr>
        <w:jc w:val="both"/>
        <w:rPr>
          <w:rFonts w:asciiTheme="minorBidi" w:hAnsiTheme="minorBidi"/>
          <w:sz w:val="22"/>
        </w:rPr>
      </w:pPr>
      <w:r w:rsidRPr="001419ED">
        <w:rPr>
          <w:rFonts w:asciiTheme="minorBidi" w:hAnsiTheme="minorBidi"/>
          <w:sz w:val="22"/>
        </w:rPr>
        <w:t xml:space="preserve">The primary threats include cost escalation, change management, data migration and over-customisation. These should be controlled by executive sponsorship, a change champion in every store, minimal customisation, decision rights and post go-live stabilisation. The system is not just a system that is installed, but it is also one that is used properly and in which processes are accelerated, improved in accuracy and improved in security. ERP studies conducted when the </w:t>
      </w:r>
      <w:r w:rsidRPr="001419ED">
        <w:rPr>
          <w:rFonts w:asciiTheme="minorBidi" w:hAnsiTheme="minorBidi"/>
          <w:sz w:val="22"/>
        </w:rPr>
        <w:lastRenderedPageBreak/>
        <w:t>businesses are in turmoil reveal that the implementation benefits do not come from just the software; they require managerial commitment and alignment of the businesses (</w:t>
      </w:r>
      <w:r w:rsidR="00ED72D7" w:rsidRPr="00ED72D7">
        <w:rPr>
          <w:rFonts w:asciiTheme="minorBidi" w:hAnsiTheme="minorBidi"/>
          <w:sz w:val="22"/>
        </w:rPr>
        <w:t xml:space="preserve">Sykora, </w:t>
      </w:r>
      <w:r w:rsidR="00ED72D7">
        <w:rPr>
          <w:rFonts w:asciiTheme="minorBidi" w:hAnsiTheme="minorBidi"/>
          <w:sz w:val="22"/>
        </w:rPr>
        <w:t xml:space="preserve">et al. </w:t>
      </w:r>
      <w:r w:rsidR="00ED72D7" w:rsidRPr="00ED72D7">
        <w:rPr>
          <w:rFonts w:asciiTheme="minorBidi" w:hAnsiTheme="minorBidi"/>
          <w:sz w:val="22"/>
        </w:rPr>
        <w:t>2022</w:t>
      </w:r>
      <w:r w:rsidRPr="001419ED">
        <w:rPr>
          <w:rFonts w:asciiTheme="minorBidi" w:hAnsiTheme="minorBidi"/>
          <w:sz w:val="22"/>
        </w:rPr>
        <w:t>).</w:t>
      </w:r>
    </w:p>
    <w:p w14:paraId="650A3FBC" w14:textId="77777777" w:rsidR="003A59D5" w:rsidRPr="001419ED" w:rsidRDefault="00667F4A" w:rsidP="001419ED">
      <w:pPr>
        <w:pStyle w:val="Heading1"/>
        <w:rPr>
          <w:rFonts w:asciiTheme="minorBidi" w:hAnsiTheme="minorBidi" w:cstheme="minorBidi"/>
          <w:color w:val="auto"/>
          <w:sz w:val="22"/>
          <w:szCs w:val="22"/>
        </w:rPr>
      </w:pPr>
      <w:bookmarkStart w:id="5" w:name="_Toc234501116"/>
      <w:r w:rsidRPr="001419ED">
        <w:rPr>
          <w:rFonts w:asciiTheme="minorBidi" w:hAnsiTheme="minorBidi" w:cstheme="minorBidi"/>
          <w:color w:val="auto"/>
          <w:sz w:val="22"/>
          <w:szCs w:val="22"/>
        </w:rPr>
        <w:t>5. Conclusion</w:t>
      </w:r>
      <w:bookmarkEnd w:id="5"/>
    </w:p>
    <w:p w14:paraId="553C004A" w14:textId="1DA7BACA" w:rsidR="003A59D5" w:rsidRPr="001419ED" w:rsidRDefault="001419ED" w:rsidP="001419ED">
      <w:pPr>
        <w:jc w:val="both"/>
        <w:rPr>
          <w:rFonts w:asciiTheme="minorBidi" w:hAnsiTheme="minorBidi"/>
          <w:sz w:val="22"/>
        </w:rPr>
      </w:pPr>
      <w:proofErr w:type="spellStart"/>
      <w:r w:rsidRPr="001419ED">
        <w:rPr>
          <w:rFonts w:asciiTheme="minorBidi" w:hAnsiTheme="minorBidi"/>
          <w:sz w:val="22"/>
        </w:rPr>
        <w:t>Maldiva</w:t>
      </w:r>
      <w:proofErr w:type="spellEnd"/>
      <w:r w:rsidRPr="001419ED">
        <w:rPr>
          <w:rFonts w:asciiTheme="minorBidi" w:hAnsiTheme="minorBidi"/>
          <w:sz w:val="22"/>
        </w:rPr>
        <w:t xml:space="preserve"> Ltd. should upgrade its disorganized manual processes with an integrated cloud retail ERP with inventory management systems such as OMS, CRM and BI dashboards. This recommendation directly addresses case problems that are encountered by businesses: stock discrepancies, customer dissatisfaction, poor marketing personalisation, slow reporting, GDPR exposure and departmental duplication. A standalone CRM or BI would only address one of the issues, but never the main one of integration. The benefits that are anticipated include an increase in the accuracy of the stocks, fewer cancelled online orders, quicker handling of complaints, better forecasting, improved data governance, better customer retention, and an expandable platform for growth. </w:t>
      </w:r>
    </w:p>
    <w:p w14:paraId="353F68BA" w14:textId="77777777" w:rsidR="001419ED" w:rsidRPr="001419ED" w:rsidRDefault="001419ED">
      <w:pPr>
        <w:spacing w:after="200" w:line="276" w:lineRule="auto"/>
        <w:rPr>
          <w:rFonts w:asciiTheme="minorBidi" w:eastAsiaTheme="majorEastAsia" w:hAnsiTheme="minorBidi"/>
          <w:b/>
          <w:bCs/>
          <w:sz w:val="22"/>
        </w:rPr>
      </w:pPr>
      <w:r w:rsidRPr="001419ED">
        <w:rPr>
          <w:rFonts w:asciiTheme="minorBidi" w:hAnsiTheme="minorBidi"/>
          <w:sz w:val="22"/>
        </w:rPr>
        <w:br w:type="page"/>
      </w:r>
    </w:p>
    <w:p w14:paraId="79E3ED6C" w14:textId="5AF2F21F" w:rsidR="003A59D5" w:rsidRPr="001419ED" w:rsidRDefault="00667F4A" w:rsidP="001419ED">
      <w:pPr>
        <w:pStyle w:val="Heading1"/>
        <w:rPr>
          <w:rFonts w:asciiTheme="minorBidi" w:hAnsiTheme="minorBidi" w:cstheme="minorBidi"/>
          <w:color w:val="auto"/>
          <w:sz w:val="22"/>
          <w:szCs w:val="22"/>
        </w:rPr>
      </w:pPr>
      <w:bookmarkStart w:id="6" w:name="_Toc234501117"/>
      <w:r w:rsidRPr="001419ED">
        <w:rPr>
          <w:rFonts w:asciiTheme="minorBidi" w:hAnsiTheme="minorBidi" w:cstheme="minorBidi"/>
          <w:color w:val="auto"/>
          <w:sz w:val="22"/>
          <w:szCs w:val="22"/>
        </w:rPr>
        <w:lastRenderedPageBreak/>
        <w:t>References</w:t>
      </w:r>
      <w:bookmarkEnd w:id="6"/>
    </w:p>
    <w:p w14:paraId="38184092" w14:textId="704F48C3" w:rsidR="003A59D5" w:rsidRPr="001419ED" w:rsidRDefault="00ED72D7" w:rsidP="00ED72D7">
      <w:pPr>
        <w:ind w:left="360" w:hanging="360"/>
        <w:rPr>
          <w:rFonts w:asciiTheme="minorBidi" w:hAnsiTheme="minorBidi"/>
          <w:sz w:val="22"/>
        </w:rPr>
      </w:pPr>
      <w:proofErr w:type="spellStart"/>
      <w:r w:rsidRPr="00ED72D7">
        <w:rPr>
          <w:rFonts w:asciiTheme="minorBidi" w:hAnsiTheme="minorBidi"/>
          <w:sz w:val="22"/>
        </w:rPr>
        <w:t>Abouelrous</w:t>
      </w:r>
      <w:proofErr w:type="spellEnd"/>
      <w:r w:rsidRPr="00ED72D7">
        <w:rPr>
          <w:rFonts w:asciiTheme="minorBidi" w:hAnsiTheme="minorBidi"/>
          <w:sz w:val="22"/>
        </w:rPr>
        <w:t xml:space="preserve">, A., Gabor, A. F., &amp; Zhang, Y. (2022). Optimizing the inventory and </w:t>
      </w:r>
      <w:proofErr w:type="spellStart"/>
      <w:r w:rsidRPr="00ED72D7">
        <w:rPr>
          <w:rFonts w:asciiTheme="minorBidi" w:hAnsiTheme="minorBidi"/>
          <w:sz w:val="22"/>
        </w:rPr>
        <w:t>fulfillment</w:t>
      </w:r>
      <w:proofErr w:type="spellEnd"/>
      <w:r w:rsidRPr="00ED72D7">
        <w:rPr>
          <w:rFonts w:asciiTheme="minorBidi" w:hAnsiTheme="minorBidi"/>
          <w:sz w:val="22"/>
        </w:rPr>
        <w:t xml:space="preserve"> of an omnichannel retailer: a stochastic approach with scenario clustering. </w:t>
      </w:r>
      <w:r w:rsidRPr="00ED72D7">
        <w:rPr>
          <w:rFonts w:asciiTheme="minorBidi" w:hAnsiTheme="minorBidi"/>
          <w:i/>
          <w:iCs/>
          <w:sz w:val="22"/>
        </w:rPr>
        <w:t>Computers &amp; Industrial Engineering</w:t>
      </w:r>
      <w:r w:rsidRPr="00ED72D7">
        <w:rPr>
          <w:rFonts w:asciiTheme="minorBidi" w:hAnsiTheme="minorBidi"/>
          <w:sz w:val="22"/>
        </w:rPr>
        <w:t>, </w:t>
      </w:r>
      <w:r w:rsidRPr="00ED72D7">
        <w:rPr>
          <w:rFonts w:asciiTheme="minorBidi" w:hAnsiTheme="minorBidi"/>
          <w:i/>
          <w:iCs/>
          <w:sz w:val="22"/>
        </w:rPr>
        <w:t>173</w:t>
      </w:r>
      <w:r w:rsidRPr="00ED72D7">
        <w:rPr>
          <w:rFonts w:asciiTheme="minorBidi" w:hAnsiTheme="minorBidi"/>
          <w:sz w:val="22"/>
        </w:rPr>
        <w:t>, 108723.</w:t>
      </w:r>
    </w:p>
    <w:p w14:paraId="1571F017" w14:textId="099F13D2" w:rsidR="003A59D5" w:rsidRPr="001419ED" w:rsidRDefault="00ED72D7" w:rsidP="00ED72D7">
      <w:pPr>
        <w:ind w:left="360" w:hanging="360"/>
        <w:rPr>
          <w:rFonts w:asciiTheme="minorBidi" w:hAnsiTheme="minorBidi"/>
          <w:sz w:val="22"/>
        </w:rPr>
      </w:pPr>
      <w:r w:rsidRPr="00ED72D7">
        <w:rPr>
          <w:rFonts w:asciiTheme="minorBidi" w:hAnsiTheme="minorBidi"/>
          <w:sz w:val="22"/>
        </w:rPr>
        <w:t>Christiansen, V., Haddara, M., &amp; Langseth, M. (2022). Factors affecting cloud ERP adoption decisions in organizations. </w:t>
      </w:r>
      <w:r w:rsidRPr="00ED72D7">
        <w:rPr>
          <w:rFonts w:asciiTheme="minorBidi" w:hAnsiTheme="minorBidi"/>
          <w:i/>
          <w:iCs/>
          <w:sz w:val="22"/>
        </w:rPr>
        <w:t>Procedia computer science</w:t>
      </w:r>
      <w:r w:rsidRPr="00ED72D7">
        <w:rPr>
          <w:rFonts w:asciiTheme="minorBidi" w:hAnsiTheme="minorBidi"/>
          <w:sz w:val="22"/>
        </w:rPr>
        <w:t>, </w:t>
      </w:r>
      <w:r w:rsidRPr="00ED72D7">
        <w:rPr>
          <w:rFonts w:asciiTheme="minorBidi" w:hAnsiTheme="minorBidi"/>
          <w:i/>
          <w:iCs/>
          <w:sz w:val="22"/>
        </w:rPr>
        <w:t>196</w:t>
      </w:r>
      <w:r w:rsidRPr="00ED72D7">
        <w:rPr>
          <w:rFonts w:asciiTheme="minorBidi" w:hAnsiTheme="minorBidi"/>
          <w:sz w:val="22"/>
        </w:rPr>
        <w:t>, 255-262.</w:t>
      </w:r>
    </w:p>
    <w:p w14:paraId="4F146E08" w14:textId="41601437" w:rsidR="003A59D5" w:rsidRPr="001419ED" w:rsidRDefault="00ED72D7" w:rsidP="00ED72D7">
      <w:pPr>
        <w:ind w:left="360" w:hanging="360"/>
        <w:rPr>
          <w:rFonts w:asciiTheme="minorBidi" w:hAnsiTheme="minorBidi"/>
          <w:sz w:val="22"/>
        </w:rPr>
      </w:pPr>
      <w:r w:rsidRPr="00ED72D7">
        <w:rPr>
          <w:rFonts w:asciiTheme="minorBidi" w:hAnsiTheme="minorBidi"/>
          <w:sz w:val="22"/>
        </w:rPr>
        <w:t>Cruz, R. N., &amp; Rosário, A. T. (2025). Data-driven decision-making in marketing: A systematic literature review of emerging themes and research gaps. </w:t>
      </w:r>
      <w:r w:rsidRPr="00ED72D7">
        <w:rPr>
          <w:rFonts w:asciiTheme="minorBidi" w:hAnsiTheme="minorBidi"/>
          <w:i/>
          <w:iCs/>
          <w:sz w:val="22"/>
        </w:rPr>
        <w:t>Systems</w:t>
      </w:r>
      <w:r w:rsidRPr="00ED72D7">
        <w:rPr>
          <w:rFonts w:asciiTheme="minorBidi" w:hAnsiTheme="minorBidi"/>
          <w:sz w:val="22"/>
        </w:rPr>
        <w:t>, </w:t>
      </w:r>
      <w:r w:rsidRPr="00ED72D7">
        <w:rPr>
          <w:rFonts w:asciiTheme="minorBidi" w:hAnsiTheme="minorBidi"/>
          <w:i/>
          <w:iCs/>
          <w:sz w:val="22"/>
        </w:rPr>
        <w:t>13</w:t>
      </w:r>
      <w:r w:rsidRPr="00ED72D7">
        <w:rPr>
          <w:rFonts w:asciiTheme="minorBidi" w:hAnsiTheme="minorBidi"/>
          <w:sz w:val="22"/>
        </w:rPr>
        <w:t>(12), 1114.</w:t>
      </w:r>
    </w:p>
    <w:p w14:paraId="5DCE1447" w14:textId="601C6A0E" w:rsidR="003A59D5" w:rsidRPr="001419ED" w:rsidRDefault="00ED72D7" w:rsidP="00ED72D7">
      <w:pPr>
        <w:ind w:left="360" w:hanging="360"/>
        <w:rPr>
          <w:rFonts w:asciiTheme="minorBidi" w:hAnsiTheme="minorBidi"/>
          <w:sz w:val="22"/>
        </w:rPr>
      </w:pPr>
      <w:proofErr w:type="spellStart"/>
      <w:r w:rsidRPr="00ED72D7">
        <w:rPr>
          <w:rFonts w:asciiTheme="minorBidi" w:hAnsiTheme="minorBidi"/>
          <w:sz w:val="22"/>
        </w:rPr>
        <w:t>Gessa</w:t>
      </w:r>
      <w:proofErr w:type="spellEnd"/>
      <w:r w:rsidRPr="00ED72D7">
        <w:rPr>
          <w:rFonts w:asciiTheme="minorBidi" w:hAnsiTheme="minorBidi"/>
          <w:sz w:val="22"/>
        </w:rPr>
        <w:t xml:space="preserve"> Perera, A., Jiménez </w:t>
      </w:r>
      <w:proofErr w:type="spellStart"/>
      <w:r w:rsidRPr="00ED72D7">
        <w:rPr>
          <w:rFonts w:asciiTheme="minorBidi" w:hAnsiTheme="minorBidi"/>
          <w:sz w:val="22"/>
        </w:rPr>
        <w:t>Jiménez</w:t>
      </w:r>
      <w:proofErr w:type="spellEnd"/>
      <w:r w:rsidRPr="00ED72D7">
        <w:rPr>
          <w:rFonts w:asciiTheme="minorBidi" w:hAnsiTheme="minorBidi"/>
          <w:sz w:val="22"/>
        </w:rPr>
        <w:t>, M. A., &amp; Sancha Dionisio, M. P. (2023). Exploring ERP systems adoption in challenging times. Insights of SMEs stories.</w:t>
      </w:r>
    </w:p>
    <w:p w14:paraId="45ECCCCC" w14:textId="1A89279E" w:rsidR="003A59D5" w:rsidRPr="001419ED" w:rsidRDefault="00ED72D7" w:rsidP="00ED72D7">
      <w:pPr>
        <w:ind w:left="360" w:hanging="360"/>
        <w:rPr>
          <w:rFonts w:asciiTheme="minorBidi" w:hAnsiTheme="minorBidi"/>
          <w:sz w:val="22"/>
        </w:rPr>
      </w:pPr>
      <w:proofErr w:type="spellStart"/>
      <w:r w:rsidRPr="00ED72D7">
        <w:rPr>
          <w:rFonts w:asciiTheme="minorBidi" w:hAnsiTheme="minorBidi"/>
          <w:sz w:val="22"/>
        </w:rPr>
        <w:t>Gessa</w:t>
      </w:r>
      <w:proofErr w:type="spellEnd"/>
      <w:r w:rsidRPr="00ED72D7">
        <w:rPr>
          <w:rFonts w:asciiTheme="minorBidi" w:hAnsiTheme="minorBidi"/>
          <w:sz w:val="22"/>
        </w:rPr>
        <w:t>, A., Jiménez, A., &amp; Sancha, P. (2023). Exploring ERP systems adoption in challenging times. Insights of SMEs stories. </w:t>
      </w:r>
      <w:r w:rsidRPr="00ED72D7">
        <w:rPr>
          <w:rFonts w:asciiTheme="minorBidi" w:hAnsiTheme="minorBidi"/>
          <w:i/>
          <w:iCs/>
          <w:sz w:val="22"/>
        </w:rPr>
        <w:t>Technological Forecasting and Social Change</w:t>
      </w:r>
      <w:r w:rsidRPr="00ED72D7">
        <w:rPr>
          <w:rFonts w:asciiTheme="minorBidi" w:hAnsiTheme="minorBidi"/>
          <w:sz w:val="22"/>
        </w:rPr>
        <w:t>, </w:t>
      </w:r>
      <w:r w:rsidRPr="00ED72D7">
        <w:rPr>
          <w:rFonts w:asciiTheme="minorBidi" w:hAnsiTheme="minorBidi"/>
          <w:i/>
          <w:iCs/>
          <w:sz w:val="22"/>
        </w:rPr>
        <w:t>195</w:t>
      </w:r>
      <w:r w:rsidRPr="00ED72D7">
        <w:rPr>
          <w:rFonts w:asciiTheme="minorBidi" w:hAnsiTheme="minorBidi"/>
          <w:sz w:val="22"/>
        </w:rPr>
        <w:t>, 122795.</w:t>
      </w:r>
    </w:p>
    <w:p w14:paraId="28798241" w14:textId="251FA814" w:rsidR="003A59D5" w:rsidRPr="001419ED" w:rsidRDefault="00667F4A" w:rsidP="001419ED">
      <w:pPr>
        <w:ind w:left="360" w:hanging="360"/>
        <w:rPr>
          <w:rFonts w:asciiTheme="minorBidi" w:hAnsiTheme="minorBidi"/>
          <w:sz w:val="22"/>
        </w:rPr>
      </w:pPr>
      <w:r w:rsidRPr="001419ED">
        <w:rPr>
          <w:rFonts w:asciiTheme="minorBidi" w:hAnsiTheme="minorBidi"/>
          <w:sz w:val="22"/>
        </w:rPr>
        <w:t xml:space="preserve">IBM (2025) Cost of a Data Breach Report 2025. Available at: </w:t>
      </w:r>
      <w:hyperlink r:id="rId9" w:history="1">
        <w:r w:rsidR="00ED72D7" w:rsidRPr="00A87887">
          <w:rPr>
            <w:rStyle w:val="Hyperlink"/>
            <w:rFonts w:asciiTheme="minorBidi" w:hAnsiTheme="minorBidi"/>
            <w:sz w:val="22"/>
          </w:rPr>
          <w:t>https://www.ibm.com/reports/data-breach</w:t>
        </w:r>
      </w:hyperlink>
    </w:p>
    <w:p w14:paraId="5886D0C7" w14:textId="1EBC4895" w:rsidR="003A59D5" w:rsidRPr="001419ED" w:rsidRDefault="00667F4A" w:rsidP="001419ED">
      <w:pPr>
        <w:ind w:left="360" w:hanging="360"/>
        <w:rPr>
          <w:rFonts w:asciiTheme="minorBidi" w:hAnsiTheme="minorBidi"/>
          <w:sz w:val="22"/>
        </w:rPr>
      </w:pPr>
      <w:r w:rsidRPr="001419ED">
        <w:rPr>
          <w:rFonts w:asciiTheme="minorBidi" w:hAnsiTheme="minorBidi"/>
          <w:sz w:val="22"/>
        </w:rPr>
        <w:t xml:space="preserve">ICO (2026) The maximum amount of a fine under UK GDPR and DPA 2018. Available at: </w:t>
      </w:r>
      <w:hyperlink r:id="rId10" w:history="1">
        <w:r w:rsidR="00ED72D7" w:rsidRPr="00A87887">
          <w:rPr>
            <w:rStyle w:val="Hyperlink"/>
            <w:rFonts w:asciiTheme="minorBidi" w:hAnsiTheme="minorBidi"/>
            <w:sz w:val="22"/>
          </w:rPr>
          <w:t>https://ico.org.uk/about-the-ico/our-information/policies-and-procedures/data-protection-fining-guidance/statutory-background/the-maximum-amount-of-a-fine-under-uk-gdpr-and-dpa-2018/</w:t>
        </w:r>
      </w:hyperlink>
      <w:r w:rsidR="00ED72D7">
        <w:rPr>
          <w:rFonts w:asciiTheme="minorBidi" w:hAnsiTheme="minorBidi"/>
          <w:sz w:val="22"/>
        </w:rPr>
        <w:t xml:space="preserve"> </w:t>
      </w:r>
    </w:p>
    <w:p w14:paraId="470441FA" w14:textId="0BB5DFA7" w:rsidR="003A59D5" w:rsidRPr="001419ED" w:rsidRDefault="00667F4A" w:rsidP="001419ED">
      <w:pPr>
        <w:ind w:left="360" w:hanging="360"/>
        <w:rPr>
          <w:rFonts w:asciiTheme="minorBidi" w:hAnsiTheme="minorBidi"/>
          <w:sz w:val="22"/>
        </w:rPr>
      </w:pPr>
      <w:r w:rsidRPr="001419ED">
        <w:rPr>
          <w:rFonts w:asciiTheme="minorBidi" w:hAnsiTheme="minorBidi"/>
          <w:sz w:val="22"/>
        </w:rPr>
        <w:t xml:space="preserve">Inditex (2025) Inditex Group Annual Report 2024. Available at: </w:t>
      </w:r>
      <w:hyperlink r:id="rId11" w:history="1">
        <w:r w:rsidR="00ED72D7" w:rsidRPr="00A87887">
          <w:rPr>
            <w:rStyle w:val="Hyperlink"/>
            <w:rFonts w:asciiTheme="minorBidi" w:hAnsiTheme="minorBidi"/>
            <w:sz w:val="22"/>
          </w:rPr>
          <w:t>https://www.inditex.com/itxcomweb/api/media/604197b9-50de-4f4f-ab84-c1e379cb3fd0/Inditex_Group_Annual_Report_2024.pdf</w:t>
        </w:r>
      </w:hyperlink>
      <w:r w:rsidR="00ED72D7">
        <w:rPr>
          <w:rFonts w:asciiTheme="minorBidi" w:hAnsiTheme="minorBidi"/>
          <w:sz w:val="22"/>
        </w:rPr>
        <w:t xml:space="preserve"> </w:t>
      </w:r>
    </w:p>
    <w:p w14:paraId="0963EBF1" w14:textId="1CA0127E" w:rsidR="003A59D5" w:rsidRPr="001419ED" w:rsidRDefault="00ED72D7" w:rsidP="00ED72D7">
      <w:pPr>
        <w:ind w:left="360" w:hanging="360"/>
        <w:rPr>
          <w:rFonts w:asciiTheme="minorBidi" w:hAnsiTheme="minorBidi"/>
          <w:sz w:val="22"/>
        </w:rPr>
      </w:pPr>
      <w:r w:rsidRPr="00ED72D7">
        <w:rPr>
          <w:rFonts w:asciiTheme="minorBidi" w:hAnsiTheme="minorBidi"/>
          <w:sz w:val="22"/>
          <w:lang w:val="de-DE"/>
        </w:rPr>
        <w:t xml:space="preserve">Issaoui, A., Örtensjö, J., &amp; Islam, M. S. (2023). </w:t>
      </w:r>
      <w:r w:rsidRPr="00ED72D7">
        <w:rPr>
          <w:rFonts w:asciiTheme="minorBidi" w:hAnsiTheme="minorBidi"/>
          <w:sz w:val="22"/>
        </w:rPr>
        <w:t>Exploring the General Data Protection Regulation (GDPR) compliance in cloud services: insights from Swedish public organizations on privacy compliance. </w:t>
      </w:r>
      <w:r w:rsidRPr="00ED72D7">
        <w:rPr>
          <w:rFonts w:asciiTheme="minorBidi" w:hAnsiTheme="minorBidi"/>
          <w:i/>
          <w:iCs/>
          <w:sz w:val="22"/>
        </w:rPr>
        <w:t>Future Business Journal</w:t>
      </w:r>
      <w:r w:rsidRPr="00ED72D7">
        <w:rPr>
          <w:rFonts w:asciiTheme="minorBidi" w:hAnsiTheme="minorBidi"/>
          <w:sz w:val="22"/>
        </w:rPr>
        <w:t>, </w:t>
      </w:r>
      <w:r w:rsidRPr="00ED72D7">
        <w:rPr>
          <w:rFonts w:asciiTheme="minorBidi" w:hAnsiTheme="minorBidi"/>
          <w:i/>
          <w:iCs/>
          <w:sz w:val="22"/>
        </w:rPr>
        <w:t>9</w:t>
      </w:r>
      <w:r w:rsidRPr="00ED72D7">
        <w:rPr>
          <w:rFonts w:asciiTheme="minorBidi" w:hAnsiTheme="minorBidi"/>
          <w:sz w:val="22"/>
        </w:rPr>
        <w:t>(1), 107.</w:t>
      </w:r>
    </w:p>
    <w:p w14:paraId="595F210A" w14:textId="1953E5DE" w:rsidR="003A59D5" w:rsidRPr="001419ED" w:rsidRDefault="00ED72D7" w:rsidP="00ED72D7">
      <w:pPr>
        <w:ind w:left="360" w:hanging="360"/>
        <w:rPr>
          <w:rFonts w:asciiTheme="minorBidi" w:hAnsiTheme="minorBidi"/>
          <w:sz w:val="22"/>
        </w:rPr>
      </w:pPr>
      <w:proofErr w:type="spellStart"/>
      <w:r w:rsidRPr="00ED72D7">
        <w:rPr>
          <w:rFonts w:asciiTheme="minorBidi" w:hAnsiTheme="minorBidi"/>
          <w:sz w:val="22"/>
        </w:rPr>
        <w:t>Pașcalău</w:t>
      </w:r>
      <w:proofErr w:type="spellEnd"/>
      <w:r w:rsidRPr="00ED72D7">
        <w:rPr>
          <w:rFonts w:asciiTheme="minorBidi" w:hAnsiTheme="minorBidi"/>
          <w:sz w:val="22"/>
        </w:rPr>
        <w:t xml:space="preserve">, S. V., Popescu, F. A., </w:t>
      </w:r>
      <w:proofErr w:type="spellStart"/>
      <w:r w:rsidRPr="00ED72D7">
        <w:rPr>
          <w:rFonts w:asciiTheme="minorBidi" w:hAnsiTheme="minorBidi"/>
          <w:sz w:val="22"/>
        </w:rPr>
        <w:t>Bîrlădeanu</w:t>
      </w:r>
      <w:proofErr w:type="spellEnd"/>
      <w:r w:rsidRPr="00ED72D7">
        <w:rPr>
          <w:rFonts w:asciiTheme="minorBidi" w:hAnsiTheme="minorBidi"/>
          <w:sz w:val="22"/>
        </w:rPr>
        <w:t>, G. L., &amp; Gigauri, I. (2024). The effects of a digital marketing orientation on business performance. </w:t>
      </w:r>
      <w:r w:rsidRPr="00ED72D7">
        <w:rPr>
          <w:rFonts w:asciiTheme="minorBidi" w:hAnsiTheme="minorBidi"/>
          <w:i/>
          <w:iCs/>
          <w:sz w:val="22"/>
        </w:rPr>
        <w:t>Sustainability</w:t>
      </w:r>
      <w:r w:rsidRPr="00ED72D7">
        <w:rPr>
          <w:rFonts w:asciiTheme="minorBidi" w:hAnsiTheme="minorBidi"/>
          <w:sz w:val="22"/>
        </w:rPr>
        <w:t>, </w:t>
      </w:r>
      <w:r w:rsidRPr="00ED72D7">
        <w:rPr>
          <w:rFonts w:asciiTheme="minorBidi" w:hAnsiTheme="minorBidi"/>
          <w:i/>
          <w:iCs/>
          <w:sz w:val="22"/>
        </w:rPr>
        <w:t>16</w:t>
      </w:r>
      <w:r w:rsidRPr="00ED72D7">
        <w:rPr>
          <w:rFonts w:asciiTheme="minorBidi" w:hAnsiTheme="minorBidi"/>
          <w:sz w:val="22"/>
        </w:rPr>
        <w:t>(15), 6685.</w:t>
      </w:r>
    </w:p>
    <w:p w14:paraId="31836815" w14:textId="49FC27A6" w:rsidR="003A59D5" w:rsidRPr="001419ED" w:rsidRDefault="00ED72D7" w:rsidP="00ED72D7">
      <w:pPr>
        <w:ind w:left="360" w:hanging="360"/>
        <w:rPr>
          <w:rFonts w:asciiTheme="minorBidi" w:hAnsiTheme="minorBidi"/>
          <w:sz w:val="22"/>
        </w:rPr>
      </w:pPr>
      <w:r w:rsidRPr="00ED72D7">
        <w:rPr>
          <w:rFonts w:asciiTheme="minorBidi" w:hAnsiTheme="minorBidi"/>
          <w:sz w:val="22"/>
        </w:rPr>
        <w:t>Pereira, M. D. S., de Castro, B. S., Cordeiro, B. A., de Castro, B. S., Peixoto, M. G. M., da Silva, E. C. M., &amp; Gonçalves, M. C. (2025). Factors of customer loyalty and retention in the digital environment. </w:t>
      </w:r>
      <w:r w:rsidRPr="00ED72D7">
        <w:rPr>
          <w:rFonts w:asciiTheme="minorBidi" w:hAnsiTheme="minorBidi"/>
          <w:i/>
          <w:iCs/>
          <w:sz w:val="22"/>
        </w:rPr>
        <w:t>Journal of Theoretical and Applied Electronic Commerce Research</w:t>
      </w:r>
      <w:r w:rsidRPr="00ED72D7">
        <w:rPr>
          <w:rFonts w:asciiTheme="minorBidi" w:hAnsiTheme="minorBidi"/>
          <w:sz w:val="22"/>
        </w:rPr>
        <w:t>, </w:t>
      </w:r>
      <w:r w:rsidRPr="00ED72D7">
        <w:rPr>
          <w:rFonts w:asciiTheme="minorBidi" w:hAnsiTheme="minorBidi"/>
          <w:i/>
          <w:iCs/>
          <w:sz w:val="22"/>
        </w:rPr>
        <w:t>20</w:t>
      </w:r>
      <w:r w:rsidRPr="00ED72D7">
        <w:rPr>
          <w:rFonts w:asciiTheme="minorBidi" w:hAnsiTheme="minorBidi"/>
          <w:sz w:val="22"/>
        </w:rPr>
        <w:t>(2), 71.</w:t>
      </w:r>
    </w:p>
    <w:p w14:paraId="193CB33D" w14:textId="2F906604" w:rsidR="003A59D5" w:rsidRPr="001419ED" w:rsidRDefault="00ED72D7" w:rsidP="00ED72D7">
      <w:pPr>
        <w:ind w:left="360" w:hanging="360"/>
        <w:rPr>
          <w:rFonts w:asciiTheme="minorBidi" w:hAnsiTheme="minorBidi"/>
          <w:sz w:val="22"/>
        </w:rPr>
      </w:pPr>
      <w:r w:rsidRPr="00ED72D7">
        <w:rPr>
          <w:rFonts w:asciiTheme="minorBidi" w:hAnsiTheme="minorBidi"/>
          <w:sz w:val="22"/>
        </w:rPr>
        <w:lastRenderedPageBreak/>
        <w:t>Sykora, M., Elayan, S., Hodgkinson, I. R., Jackson, T. W., &amp; West, A. (2022). The power of emotions: Leveraging user generated content for customer experience management. </w:t>
      </w:r>
      <w:r w:rsidRPr="00ED72D7">
        <w:rPr>
          <w:rFonts w:asciiTheme="minorBidi" w:hAnsiTheme="minorBidi"/>
          <w:i/>
          <w:iCs/>
          <w:sz w:val="22"/>
        </w:rPr>
        <w:t>Journal of Business Research</w:t>
      </w:r>
      <w:r w:rsidRPr="00ED72D7">
        <w:rPr>
          <w:rFonts w:asciiTheme="minorBidi" w:hAnsiTheme="minorBidi"/>
          <w:sz w:val="22"/>
        </w:rPr>
        <w:t>, </w:t>
      </w:r>
      <w:r w:rsidRPr="00ED72D7">
        <w:rPr>
          <w:rFonts w:asciiTheme="minorBidi" w:hAnsiTheme="minorBidi"/>
          <w:i/>
          <w:iCs/>
          <w:sz w:val="22"/>
        </w:rPr>
        <w:t>144</w:t>
      </w:r>
      <w:r w:rsidRPr="00ED72D7">
        <w:rPr>
          <w:rFonts w:asciiTheme="minorBidi" w:hAnsiTheme="minorBidi"/>
          <w:sz w:val="22"/>
        </w:rPr>
        <w:t>, 997-1006.</w:t>
      </w:r>
    </w:p>
    <w:p w14:paraId="48B4FB2F" w14:textId="4AA7FD0F" w:rsidR="003A59D5" w:rsidRPr="001419ED" w:rsidRDefault="00ED72D7" w:rsidP="00ED72D7">
      <w:pPr>
        <w:ind w:left="360" w:hanging="360"/>
        <w:rPr>
          <w:rFonts w:asciiTheme="minorBidi" w:hAnsiTheme="minorBidi"/>
          <w:sz w:val="22"/>
        </w:rPr>
      </w:pPr>
      <w:proofErr w:type="spellStart"/>
      <w:r w:rsidRPr="00ED72D7">
        <w:rPr>
          <w:rFonts w:asciiTheme="minorBidi" w:hAnsiTheme="minorBidi"/>
          <w:sz w:val="22"/>
        </w:rPr>
        <w:t>Stroumpoulis</w:t>
      </w:r>
      <w:proofErr w:type="spellEnd"/>
      <w:r w:rsidRPr="00ED72D7">
        <w:rPr>
          <w:rFonts w:asciiTheme="minorBidi" w:hAnsiTheme="minorBidi"/>
          <w:sz w:val="22"/>
        </w:rPr>
        <w:t xml:space="preserve">, A., </w:t>
      </w:r>
      <w:proofErr w:type="spellStart"/>
      <w:r w:rsidRPr="00ED72D7">
        <w:rPr>
          <w:rFonts w:asciiTheme="minorBidi" w:hAnsiTheme="minorBidi"/>
          <w:sz w:val="22"/>
        </w:rPr>
        <w:t>Kopanaki</w:t>
      </w:r>
      <w:proofErr w:type="spellEnd"/>
      <w:r w:rsidRPr="00ED72D7">
        <w:rPr>
          <w:rFonts w:asciiTheme="minorBidi" w:hAnsiTheme="minorBidi"/>
          <w:sz w:val="22"/>
        </w:rPr>
        <w:t xml:space="preserve">, E., &amp; </w:t>
      </w:r>
      <w:proofErr w:type="spellStart"/>
      <w:r w:rsidRPr="00ED72D7">
        <w:rPr>
          <w:rFonts w:asciiTheme="minorBidi" w:hAnsiTheme="minorBidi"/>
          <w:sz w:val="22"/>
        </w:rPr>
        <w:t>Chountalas</w:t>
      </w:r>
      <w:proofErr w:type="spellEnd"/>
      <w:r w:rsidRPr="00ED72D7">
        <w:rPr>
          <w:rFonts w:asciiTheme="minorBidi" w:hAnsiTheme="minorBidi"/>
          <w:sz w:val="22"/>
        </w:rPr>
        <w:t>, P. T. (2024). Enhancing sustainable supply chain management through digital transformation: a comparative case study analysis. </w:t>
      </w:r>
      <w:r w:rsidRPr="00ED72D7">
        <w:rPr>
          <w:rFonts w:asciiTheme="minorBidi" w:hAnsiTheme="minorBidi"/>
          <w:i/>
          <w:iCs/>
          <w:sz w:val="22"/>
        </w:rPr>
        <w:t>Sustainability</w:t>
      </w:r>
      <w:r w:rsidRPr="00ED72D7">
        <w:rPr>
          <w:rFonts w:asciiTheme="minorBidi" w:hAnsiTheme="minorBidi"/>
          <w:sz w:val="22"/>
        </w:rPr>
        <w:t>, </w:t>
      </w:r>
      <w:r w:rsidRPr="00ED72D7">
        <w:rPr>
          <w:rFonts w:asciiTheme="minorBidi" w:hAnsiTheme="minorBidi"/>
          <w:i/>
          <w:iCs/>
          <w:sz w:val="22"/>
        </w:rPr>
        <w:t>16</w:t>
      </w:r>
      <w:r w:rsidRPr="00ED72D7">
        <w:rPr>
          <w:rFonts w:asciiTheme="minorBidi" w:hAnsiTheme="minorBidi"/>
          <w:sz w:val="22"/>
        </w:rPr>
        <w:t>(16), 6778.</w:t>
      </w:r>
    </w:p>
    <w:sectPr w:rsidR="003A59D5" w:rsidRPr="001419ED" w:rsidSect="00034616">
      <w:footerReference w:type="default" r:id="rId12"/>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EF270" w14:textId="77777777" w:rsidR="00667F4A" w:rsidRPr="001419ED" w:rsidRDefault="00667F4A">
      <w:pPr>
        <w:spacing w:after="0" w:line="240" w:lineRule="auto"/>
      </w:pPr>
      <w:r w:rsidRPr="001419ED">
        <w:separator/>
      </w:r>
    </w:p>
  </w:endnote>
  <w:endnote w:type="continuationSeparator" w:id="0">
    <w:p w14:paraId="4DDC3861" w14:textId="77777777" w:rsidR="00667F4A" w:rsidRPr="001419ED" w:rsidRDefault="00667F4A">
      <w:pPr>
        <w:spacing w:after="0" w:line="240" w:lineRule="auto"/>
      </w:pPr>
      <w:r w:rsidRPr="001419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3917575"/>
      <w:docPartObj>
        <w:docPartGallery w:val="Page Numbers (Bottom of Page)"/>
        <w:docPartUnique/>
      </w:docPartObj>
    </w:sdtPr>
    <w:sdtEndPr>
      <w:rPr>
        <w:color w:val="7F7F7F" w:themeColor="background1" w:themeShade="7F"/>
        <w:spacing w:val="60"/>
      </w:rPr>
    </w:sdtEndPr>
    <w:sdtContent>
      <w:p w14:paraId="3B98545A" w14:textId="440920BE" w:rsidR="001419ED" w:rsidRPr="001419ED" w:rsidRDefault="001419ED">
        <w:pPr>
          <w:pStyle w:val="Footer"/>
          <w:pBdr>
            <w:top w:val="single" w:sz="4" w:space="1" w:color="D9D9D9" w:themeColor="background1" w:themeShade="D9"/>
          </w:pBdr>
          <w:rPr>
            <w:b/>
            <w:bCs/>
          </w:rPr>
        </w:pPr>
        <w:r w:rsidRPr="001419ED">
          <w:fldChar w:fldCharType="begin"/>
        </w:r>
        <w:r w:rsidRPr="001419ED">
          <w:instrText xml:space="preserve"> PAGE   \* MERGEFORMAT </w:instrText>
        </w:r>
        <w:r w:rsidRPr="001419ED">
          <w:fldChar w:fldCharType="separate"/>
        </w:r>
        <w:r w:rsidRPr="001419ED">
          <w:rPr>
            <w:b/>
            <w:bCs/>
          </w:rPr>
          <w:t>2</w:t>
        </w:r>
        <w:r w:rsidRPr="001419ED">
          <w:rPr>
            <w:b/>
            <w:bCs/>
          </w:rPr>
          <w:fldChar w:fldCharType="end"/>
        </w:r>
        <w:r w:rsidRPr="001419ED">
          <w:rPr>
            <w:b/>
            <w:bCs/>
          </w:rPr>
          <w:t xml:space="preserve"> | </w:t>
        </w:r>
        <w:r w:rsidRPr="001419ED">
          <w:rPr>
            <w:color w:val="7F7F7F" w:themeColor="background1" w:themeShade="7F"/>
            <w:spacing w:val="60"/>
          </w:rPr>
          <w:t>Page</w:t>
        </w:r>
      </w:p>
    </w:sdtContent>
  </w:sdt>
  <w:p w14:paraId="6039D654" w14:textId="35A5FAEE" w:rsidR="003A59D5" w:rsidRPr="001419ED" w:rsidRDefault="003A59D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4D955" w14:textId="77777777" w:rsidR="00667F4A" w:rsidRPr="001419ED" w:rsidRDefault="00667F4A">
      <w:pPr>
        <w:spacing w:after="0" w:line="240" w:lineRule="auto"/>
      </w:pPr>
      <w:r w:rsidRPr="001419ED">
        <w:separator/>
      </w:r>
    </w:p>
  </w:footnote>
  <w:footnote w:type="continuationSeparator" w:id="0">
    <w:p w14:paraId="4D050325" w14:textId="77777777" w:rsidR="00667F4A" w:rsidRPr="001419ED" w:rsidRDefault="00667F4A">
      <w:pPr>
        <w:spacing w:after="0" w:line="240" w:lineRule="auto"/>
      </w:pPr>
      <w:r w:rsidRPr="001419E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842744164">
    <w:abstractNumId w:val="8"/>
  </w:num>
  <w:num w:numId="2" w16cid:durableId="76949287">
    <w:abstractNumId w:val="6"/>
  </w:num>
  <w:num w:numId="3" w16cid:durableId="32778762">
    <w:abstractNumId w:val="5"/>
  </w:num>
  <w:num w:numId="4" w16cid:durableId="2111199641">
    <w:abstractNumId w:val="4"/>
  </w:num>
  <w:num w:numId="5" w16cid:durableId="924344475">
    <w:abstractNumId w:val="7"/>
  </w:num>
  <w:num w:numId="6" w16cid:durableId="952055560">
    <w:abstractNumId w:val="3"/>
  </w:num>
  <w:num w:numId="7" w16cid:durableId="1971007634">
    <w:abstractNumId w:val="2"/>
  </w:num>
  <w:num w:numId="8" w16cid:durableId="582033291">
    <w:abstractNumId w:val="1"/>
  </w:num>
  <w:num w:numId="9" w16cid:durableId="1848910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3250D"/>
    <w:rsid w:val="001419ED"/>
    <w:rsid w:val="0015074B"/>
    <w:rsid w:val="0029639D"/>
    <w:rsid w:val="00326F90"/>
    <w:rsid w:val="0038797F"/>
    <w:rsid w:val="003A59D5"/>
    <w:rsid w:val="00461AB6"/>
    <w:rsid w:val="00667F4A"/>
    <w:rsid w:val="007E5649"/>
    <w:rsid w:val="00A43C55"/>
    <w:rsid w:val="00AA1D8D"/>
    <w:rsid w:val="00B47730"/>
    <w:rsid w:val="00B8114C"/>
    <w:rsid w:val="00BD5319"/>
    <w:rsid w:val="00CB0664"/>
    <w:rsid w:val="00ED72D7"/>
    <w:rsid w:val="00F855A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43CC64"/>
  <w14:defaultImageDpi w14:val="300"/>
  <w15:docId w15:val="{943640AA-3260-4B12-9525-02F72BA62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Times New Roman" w:eastAsia="Times New Roman" w:hAnsi="Times New Roman"/>
      <w:sz w:val="24"/>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1F4E79"/>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SmallTableText">
    <w:name w:val="Small Table Text"/>
    <w:pPr>
      <w:spacing w:after="0" w:line="252" w:lineRule="auto"/>
    </w:pPr>
    <w:rPr>
      <w:rFonts w:ascii="Times New Roman" w:eastAsia="Times New Roman" w:hAnsi="Times New Roman"/>
      <w:sz w:val="19"/>
    </w:rPr>
  </w:style>
  <w:style w:type="character" w:styleId="Hyperlink">
    <w:name w:val="Hyperlink"/>
    <w:basedOn w:val="DefaultParagraphFont"/>
    <w:uiPriority w:val="99"/>
    <w:unhideWhenUsed/>
    <w:rsid w:val="00ED72D7"/>
    <w:rPr>
      <w:color w:val="0000FF" w:themeColor="hyperlink"/>
      <w:u w:val="single"/>
    </w:rPr>
  </w:style>
  <w:style w:type="character" w:styleId="UnresolvedMention">
    <w:name w:val="Unresolved Mention"/>
    <w:basedOn w:val="DefaultParagraphFont"/>
    <w:uiPriority w:val="99"/>
    <w:semiHidden/>
    <w:unhideWhenUsed/>
    <w:rsid w:val="00ED72D7"/>
    <w:rPr>
      <w:color w:val="605E5C"/>
      <w:shd w:val="clear" w:color="auto" w:fill="E1DFDD"/>
    </w:rPr>
  </w:style>
  <w:style w:type="paragraph" w:customStyle="1" w:styleId="TableParagraph">
    <w:name w:val="Table Paragraph"/>
    <w:basedOn w:val="Normal"/>
    <w:uiPriority w:val="1"/>
    <w:qFormat/>
    <w:rsid w:val="00461AB6"/>
    <w:pPr>
      <w:widowControl w:val="0"/>
      <w:autoSpaceDE w:val="0"/>
      <w:autoSpaceDN w:val="0"/>
      <w:spacing w:after="0" w:line="240" w:lineRule="auto"/>
    </w:pPr>
    <w:rPr>
      <w:rFonts w:ascii="Arial" w:eastAsia="Arial" w:hAnsi="Arial" w:cs="Arial"/>
      <w:sz w:val="22"/>
      <w:lang w:val="en-US"/>
    </w:rPr>
  </w:style>
  <w:style w:type="paragraph" w:styleId="TOC2">
    <w:name w:val="toc 2"/>
    <w:basedOn w:val="Normal"/>
    <w:next w:val="Normal"/>
    <w:autoRedefine/>
    <w:uiPriority w:val="39"/>
    <w:unhideWhenUsed/>
    <w:rsid w:val="00BD5319"/>
    <w:pPr>
      <w:spacing w:after="100"/>
      <w:ind w:left="240"/>
    </w:pPr>
  </w:style>
  <w:style w:type="paragraph" w:styleId="TOC1">
    <w:name w:val="toc 1"/>
    <w:basedOn w:val="Normal"/>
    <w:next w:val="Normal"/>
    <w:autoRedefine/>
    <w:uiPriority w:val="39"/>
    <w:unhideWhenUsed/>
    <w:rsid w:val="00BD53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ditex.com/itxcomweb/api/media/604197b9-50de-4f4f-ab84-c1e379cb3fd0/Inditex_Group_Annual_Report_2024.pdf" TargetMode="External"/><Relationship Id="rId5" Type="http://schemas.openxmlformats.org/officeDocument/2006/relationships/webSettings" Target="webSettings.xml"/><Relationship Id="rId10" Type="http://schemas.openxmlformats.org/officeDocument/2006/relationships/hyperlink" Target="https://ico.org.uk/about-the-ico/our-information/policies-and-procedures/data-protection-fining-guidance/statutory-background/the-maximum-amount-of-a-fine-under-uk-gdpr-and-dpa-2018/" TargetMode="External"/><Relationship Id="rId4" Type="http://schemas.openxmlformats.org/officeDocument/2006/relationships/settings" Target="settings.xml"/><Relationship Id="rId9" Type="http://schemas.openxmlformats.org/officeDocument/2006/relationships/hyperlink" Target="https://www.ibm.com/reports/data-brea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2808</Words>
  <Characters>16006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18777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01-134222-134</cp:lastModifiedBy>
  <cp:revision>6</cp:revision>
  <dcterms:created xsi:type="dcterms:W3CDTF">2026-07-09T09:50:00Z</dcterms:created>
  <dcterms:modified xsi:type="dcterms:W3CDTF">2026-07-09T09:51:00Z</dcterms:modified>
  <cp:category/>
</cp:coreProperties>
</file>