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8BDCD" w14:textId="50F9B575" w:rsidR="005672BA" w:rsidRDefault="005672BA" w:rsidP="005672BA">
      <w:pPr>
        <w:rPr>
          <w:b/>
          <w:bCs/>
        </w:rPr>
      </w:pPr>
      <w:r w:rsidRPr="005672BA">
        <w:rPr>
          <w:b/>
          <w:bCs/>
        </w:rPr>
        <w:t>T</w:t>
      </w:r>
      <w:r w:rsidR="00E274A0">
        <w:rPr>
          <w:b/>
          <w:bCs/>
        </w:rPr>
        <w:t>HREE</w:t>
      </w:r>
      <w:r w:rsidRPr="005672BA">
        <w:rPr>
          <w:b/>
          <w:bCs/>
        </w:rPr>
        <w:t xml:space="preserve"> T</w:t>
      </w:r>
      <w:r w:rsidR="00E274A0">
        <w:rPr>
          <w:b/>
          <w:bCs/>
        </w:rPr>
        <w:t>HEORETICAL AND METHODLOLOGICAL FRAMEWOR</w:t>
      </w:r>
      <w:r w:rsidR="009613FE">
        <w:rPr>
          <w:b/>
          <w:bCs/>
        </w:rPr>
        <w:t>K</w:t>
      </w:r>
      <w:r w:rsidR="00E274A0">
        <w:rPr>
          <w:b/>
          <w:bCs/>
        </w:rPr>
        <w:t xml:space="preserve">S FOR A STUDY OF THE FUNCTION OF THE </w:t>
      </w:r>
      <w:r w:rsidR="00E274A0" w:rsidRPr="00E274A0">
        <w:rPr>
          <w:b/>
          <w:bCs/>
          <w:i/>
          <w:iCs/>
        </w:rPr>
        <w:t>LOGOS</w:t>
      </w:r>
      <w:r w:rsidR="00E274A0">
        <w:rPr>
          <w:b/>
          <w:bCs/>
          <w:i/>
          <w:iCs/>
        </w:rPr>
        <w:t xml:space="preserve"> </w:t>
      </w:r>
      <w:r w:rsidR="00E274A0">
        <w:rPr>
          <w:b/>
          <w:bCs/>
        </w:rPr>
        <w:t>IN THE PROLOGUE TO ST JOHN’S GOSPEL</w:t>
      </w:r>
    </w:p>
    <w:p w14:paraId="715CD8C4" w14:textId="77777777" w:rsidR="009613FE" w:rsidRPr="005672BA" w:rsidRDefault="009613FE" w:rsidP="005672BA"/>
    <w:p w14:paraId="33F62728" w14:textId="153CD485" w:rsidR="005672BA" w:rsidRPr="005672BA" w:rsidRDefault="005672BA" w:rsidP="005672BA">
      <w:r w:rsidRPr="005672BA">
        <w:rPr>
          <w:b/>
          <w:bCs/>
        </w:rPr>
        <w:t xml:space="preserve"> I</w:t>
      </w:r>
      <w:r w:rsidR="00E274A0">
        <w:rPr>
          <w:b/>
          <w:bCs/>
        </w:rPr>
        <w:t>NTRODUCTION</w:t>
      </w:r>
    </w:p>
    <w:p w14:paraId="05490087" w14:textId="35943F48" w:rsidR="005672BA" w:rsidRPr="005672BA" w:rsidRDefault="005672BA" w:rsidP="00854CDE">
      <w:pPr>
        <w:spacing w:line="480" w:lineRule="auto"/>
      </w:pPr>
      <w:r w:rsidRPr="005672BA">
        <w:t>The Johannine Prologue (</w:t>
      </w:r>
      <w:r w:rsidRPr="005672BA">
        <w:rPr>
          <w:i/>
          <w:iCs/>
        </w:rPr>
        <w:t>John</w:t>
      </w:r>
      <w:r w:rsidRPr="005672BA">
        <w:t xml:space="preserve"> 1:1–18) stands as one of the most conceptually ambitious texts in early Christian literature. Its opening declaration—</w:t>
      </w:r>
      <w:r w:rsidR="008A769D">
        <w:t>'</w:t>
      </w:r>
      <w:r w:rsidRPr="005672BA">
        <w:t xml:space="preserve">In the beginning was the </w:t>
      </w:r>
      <w:r w:rsidRPr="005672BA">
        <w:rPr>
          <w:i/>
          <w:iCs/>
        </w:rPr>
        <w:t>Logos</w:t>
      </w:r>
      <w:r w:rsidR="008A769D">
        <w:t>’</w:t>
      </w:r>
      <w:r w:rsidRPr="005672BA">
        <w:t xml:space="preserve">—introduces a term whose semantic density and theological resonance have provoked centuries of interpretation. The </w:t>
      </w:r>
      <w:r w:rsidRPr="005672BA">
        <w:rPr>
          <w:i/>
          <w:iCs/>
        </w:rPr>
        <w:t>Logos</w:t>
      </w:r>
      <w:r w:rsidRPr="005672BA">
        <w:t xml:space="preserve"> functions simultaneously as a cosmological principle, a revelatory agent, and the incarnate presence of God in Jesus Christ. Because of this complexity, a scholarly investigation into the function of the </w:t>
      </w:r>
      <w:r w:rsidRPr="005672BA">
        <w:rPr>
          <w:i/>
          <w:iCs/>
        </w:rPr>
        <w:t>Logos</w:t>
      </w:r>
      <w:r w:rsidRPr="005672BA">
        <w:t xml:space="preserve"> </w:t>
      </w:r>
      <w:r w:rsidR="00435A5A">
        <w:t>should</w:t>
      </w:r>
      <w:r w:rsidRPr="005672BA">
        <w:t xml:space="preserve"> adopt a methodological framework capable of integrating linguistic, historical, and theological dimensions.</w:t>
      </w:r>
      <w:r w:rsidR="008A769D">
        <w:t xml:space="preserve"> In this </w:t>
      </w:r>
      <w:r w:rsidR="00553592">
        <w:t>endeavour</w:t>
      </w:r>
      <w:r w:rsidR="008A769D">
        <w:t>, I</w:t>
      </w:r>
      <w:r w:rsidR="00A76754">
        <w:t xml:space="preserve"> wish to</w:t>
      </w:r>
      <w:r w:rsidR="008A769D">
        <w:t xml:space="preserve"> acknowledge the debt I owe to my </w:t>
      </w:r>
      <w:r w:rsidR="00BD4A63">
        <w:t xml:space="preserve">tuition </w:t>
      </w:r>
      <w:r w:rsidR="004B2852">
        <w:t xml:space="preserve">and studies </w:t>
      </w:r>
      <w:r w:rsidR="008A769D">
        <w:t>on theolog</w:t>
      </w:r>
      <w:r w:rsidR="00A76754">
        <w:t xml:space="preserve">y </w:t>
      </w:r>
      <w:r w:rsidR="00D56F90">
        <w:t xml:space="preserve">with  Professor Catrin Williams, Professor of New Testament Studies, TSD, </w:t>
      </w:r>
      <w:r w:rsidR="00CC4C29">
        <w:t>while</w:t>
      </w:r>
      <w:r w:rsidR="008A769D">
        <w:t xml:space="preserve"> completing a M/Res in Biblical Interpretation </w:t>
      </w:r>
      <w:r w:rsidR="00A76754">
        <w:t xml:space="preserve">at TSD </w:t>
      </w:r>
      <w:r w:rsidR="00535235">
        <w:t>(</w:t>
      </w:r>
      <w:r w:rsidR="008A1EBF">
        <w:t>2021</w:t>
      </w:r>
      <w:r w:rsidR="00535235">
        <w:t>/</w:t>
      </w:r>
      <w:r w:rsidR="008A1EBF">
        <w:t>2024</w:t>
      </w:r>
      <w:r w:rsidR="00535235">
        <w:t>)</w:t>
      </w:r>
      <w:r w:rsidR="008A1EBF">
        <w:t>.</w:t>
      </w:r>
      <w:r w:rsidR="0099728E">
        <w:t xml:space="preserve"> Without this background, the foundations of this</w:t>
      </w:r>
      <w:r w:rsidR="009416B5">
        <w:t xml:space="preserve"> preliminary</w:t>
      </w:r>
      <w:r w:rsidR="0099728E">
        <w:t xml:space="preserve"> study would have been less secure.</w:t>
      </w:r>
    </w:p>
    <w:p w14:paraId="5CA5EA19" w14:textId="0CA1651E" w:rsidR="005672BA" w:rsidRPr="005672BA" w:rsidRDefault="005672BA" w:rsidP="00D80D98">
      <w:pPr>
        <w:ind w:firstLine="360"/>
      </w:pPr>
      <w:r w:rsidRPr="005672BA">
        <w:t xml:space="preserve">This study </w:t>
      </w:r>
      <w:r w:rsidR="008A769D">
        <w:t>proposes</w:t>
      </w:r>
      <w:r w:rsidRPr="005672BA">
        <w:t xml:space="preserve"> </w:t>
      </w:r>
      <w:r w:rsidRPr="00E274A0">
        <w:t xml:space="preserve">three major </w:t>
      </w:r>
      <w:r w:rsidR="008A769D">
        <w:t xml:space="preserve">theoretical </w:t>
      </w:r>
      <w:r w:rsidRPr="00E274A0">
        <w:t>frameworks</w:t>
      </w:r>
      <w:r w:rsidRPr="005672BA">
        <w:t xml:space="preserve"> for analysing the Johannine </w:t>
      </w:r>
      <w:r w:rsidRPr="005672BA">
        <w:rPr>
          <w:i/>
          <w:iCs/>
        </w:rPr>
        <w:t>Logos</w:t>
      </w:r>
      <w:r w:rsidRPr="005672BA">
        <w:t>:</w:t>
      </w:r>
    </w:p>
    <w:p w14:paraId="64129D9E" w14:textId="635E8E62" w:rsidR="005672BA" w:rsidRPr="00E274A0" w:rsidRDefault="005672BA" w:rsidP="00435A5A">
      <w:pPr>
        <w:pStyle w:val="ListParagraph"/>
        <w:numPr>
          <w:ilvl w:val="0"/>
          <w:numId w:val="1"/>
        </w:numPr>
      </w:pPr>
      <w:r w:rsidRPr="00E274A0">
        <w:t>Classical Philology and Semantic Field Analysis</w:t>
      </w:r>
      <w:r w:rsidR="00E274A0">
        <w:t>;</w:t>
      </w:r>
    </w:p>
    <w:p w14:paraId="39359CC0" w14:textId="0CF2D151" w:rsidR="005672BA" w:rsidRPr="00E274A0" w:rsidRDefault="005672BA" w:rsidP="005672BA">
      <w:pPr>
        <w:numPr>
          <w:ilvl w:val="0"/>
          <w:numId w:val="1"/>
        </w:numPr>
      </w:pPr>
      <w:r w:rsidRPr="00E274A0">
        <w:t>Second Temple Jewish Traditions and Intertextual Method</w:t>
      </w:r>
      <w:r w:rsidR="00E274A0">
        <w:t>;</w:t>
      </w:r>
    </w:p>
    <w:p w14:paraId="58CB503C" w14:textId="77777777" w:rsidR="005672BA" w:rsidRPr="00E274A0" w:rsidRDefault="005672BA" w:rsidP="005672BA">
      <w:pPr>
        <w:numPr>
          <w:ilvl w:val="0"/>
          <w:numId w:val="1"/>
        </w:numPr>
      </w:pPr>
      <w:r w:rsidRPr="00E274A0">
        <w:t>Theological Exegesis and Narrative</w:t>
      </w:r>
      <w:r w:rsidRPr="00E274A0">
        <w:noBreakHyphen/>
        <w:t>Theological Method.</w:t>
      </w:r>
    </w:p>
    <w:p w14:paraId="0AD1E983" w14:textId="3D66CE46" w:rsidR="005672BA" w:rsidRPr="005672BA" w:rsidRDefault="005672BA" w:rsidP="00854CDE">
      <w:pPr>
        <w:spacing w:line="480" w:lineRule="auto"/>
      </w:pPr>
      <w:r w:rsidRPr="005672BA">
        <w:t xml:space="preserve">Each framework is grounded in a distinct scholarly tradition, </w:t>
      </w:r>
      <w:r w:rsidR="00D00E25">
        <w:t>but</w:t>
      </w:r>
      <w:r w:rsidRPr="005672BA">
        <w:t xml:space="preserve"> all converge on the need to interpret the Prologue as a text that is </w:t>
      </w:r>
      <w:r w:rsidR="00E274A0">
        <w:t>at once</w:t>
      </w:r>
      <w:r w:rsidRPr="005672BA">
        <w:t xml:space="preserve"> literary, historical, and theological. The aim is not to </w:t>
      </w:r>
      <w:r w:rsidR="004B2852">
        <w:t>merge</w:t>
      </w:r>
      <w:r w:rsidRPr="005672BA">
        <w:t xml:space="preserve"> these frameworks into a single method</w:t>
      </w:r>
      <w:r w:rsidR="00D00E25">
        <w:t>, as no single framework sufficiently captures the multidimensional nature of the Prologue,</w:t>
      </w:r>
      <w:r w:rsidRPr="005672BA">
        <w:t xml:space="preserve"> but to show how their triangulation </w:t>
      </w:r>
      <w:r w:rsidR="00D00E25">
        <w:t>produces</w:t>
      </w:r>
      <w:r w:rsidRPr="005672BA">
        <w:t xml:space="preserve"> a more comprehensive understanding of the </w:t>
      </w:r>
      <w:r w:rsidRPr="005672BA">
        <w:rPr>
          <w:i/>
          <w:iCs/>
        </w:rPr>
        <w:t>Logos</w:t>
      </w:r>
      <w:r w:rsidRPr="005672BA">
        <w:t>.</w:t>
      </w:r>
      <w:r w:rsidR="008A769D">
        <w:t xml:space="preserve"> </w:t>
      </w:r>
    </w:p>
    <w:p w14:paraId="31F806A8" w14:textId="36288003" w:rsidR="005672BA" w:rsidRDefault="00435A5A" w:rsidP="005672BA">
      <w:pPr>
        <w:rPr>
          <w:b/>
          <w:bCs/>
        </w:rPr>
      </w:pPr>
      <w:r>
        <w:rPr>
          <w:b/>
          <w:bCs/>
        </w:rPr>
        <w:t xml:space="preserve">A. </w:t>
      </w:r>
      <w:r w:rsidR="00E274A0">
        <w:rPr>
          <w:b/>
          <w:bCs/>
        </w:rPr>
        <w:t>CLASSICAL PHILOLOGY AND SEMANTIC FIELD ANALYSIS</w:t>
      </w:r>
    </w:p>
    <w:p w14:paraId="11B0A6D5" w14:textId="77777777" w:rsidR="00DA6236" w:rsidRPr="00DA6236" w:rsidRDefault="00DA6236" w:rsidP="00DA6236">
      <w:pPr>
        <w:rPr>
          <w:i/>
          <w:iCs/>
        </w:rPr>
      </w:pPr>
      <w:r w:rsidRPr="00DA6236">
        <w:rPr>
          <w:i/>
          <w:iCs/>
        </w:rPr>
        <w:t>Theoretical Foundations</w:t>
      </w:r>
    </w:p>
    <w:p w14:paraId="40FCF5EC" w14:textId="02A2402A" w:rsidR="00DA6236" w:rsidRPr="00DA6236" w:rsidRDefault="00DA6236" w:rsidP="00DA6236">
      <w:pPr>
        <w:spacing w:line="480" w:lineRule="auto"/>
      </w:pPr>
      <w:r w:rsidRPr="00DA6236">
        <w:lastRenderedPageBreak/>
        <w:t xml:space="preserve">Classical philology provides the most fundamental starting point for any study of the </w:t>
      </w:r>
      <w:r w:rsidRPr="00DA6236">
        <w:rPr>
          <w:i/>
          <w:iCs/>
        </w:rPr>
        <w:t>Logos</w:t>
      </w:r>
      <w:r w:rsidRPr="00DA6236">
        <w:t xml:space="preserve">. The term </w:t>
      </w:r>
      <w:r w:rsidRPr="00DA6236">
        <w:rPr>
          <w:i/>
          <w:iCs/>
        </w:rPr>
        <w:t>logos</w:t>
      </w:r>
      <w:r w:rsidRPr="00DA6236">
        <w:t xml:space="preserve"> is deeply embedded in Greek linguistic, philosophical, and cultural traditions, and its semantic range is unusually broad, as demonstrated by its extensive lexical </w:t>
      </w:r>
      <w:r w:rsidR="00CC4C29">
        <w:t>treatment</w:t>
      </w:r>
      <w:r w:rsidRPr="00DA6236">
        <w:t xml:space="preserve"> in the </w:t>
      </w:r>
      <w:r w:rsidRPr="00DA6236">
        <w:rPr>
          <w:i/>
          <w:iCs/>
        </w:rPr>
        <w:t>Brill Dictionary of Ancient Greek</w:t>
      </w:r>
      <w:r w:rsidRPr="00DA6236">
        <w:t xml:space="preserve"> </w:t>
      </w:r>
      <w:r w:rsidR="00396CCA">
        <w:t>(</w:t>
      </w:r>
      <w:r w:rsidRPr="00DA6236">
        <w:t xml:space="preserve"> 2015, pp. 2151–3). Philology proceeds from the assumption that meaning is historically conditioned</w:t>
      </w:r>
      <w:r w:rsidR="005B2B5B">
        <w:t xml:space="preserve">, and that </w:t>
      </w:r>
      <w:r w:rsidRPr="00DA6236">
        <w:t xml:space="preserve">words accrue layers of significance through usage, genre, and intertextuality rather than possessing fixed, abstract definitions </w:t>
      </w:r>
      <w:r w:rsidR="005958B6">
        <w:t>(</w:t>
      </w:r>
      <w:r w:rsidR="005958B6" w:rsidRPr="005958B6">
        <w:t>Hurford, Heasley &amp; Smith, 2007, pp. 2</w:t>
      </w:r>
      <w:r w:rsidR="00F538B5">
        <w:t>2</w:t>
      </w:r>
      <w:r w:rsidR="005958B6" w:rsidRPr="005958B6">
        <w:t>–</w:t>
      </w:r>
      <w:r w:rsidR="00F538B5">
        <w:t>7</w:t>
      </w:r>
      <w:r w:rsidR="005958B6" w:rsidRPr="005958B6">
        <w:t>)</w:t>
      </w:r>
    </w:p>
    <w:p w14:paraId="34F54098" w14:textId="29E035C8" w:rsidR="00DA6236" w:rsidRPr="00DA6236" w:rsidRDefault="00DA6236" w:rsidP="00535235">
      <w:pPr>
        <w:spacing w:line="480" w:lineRule="auto"/>
        <w:ind w:firstLine="720"/>
      </w:pPr>
      <w:r w:rsidRPr="00DA6236">
        <w:t xml:space="preserve">For the Johannine Prologue, this means that </w:t>
      </w:r>
      <w:r w:rsidRPr="00DA6236">
        <w:rPr>
          <w:i/>
          <w:iCs/>
        </w:rPr>
        <w:t>logos</w:t>
      </w:r>
      <w:r w:rsidRPr="00DA6236">
        <w:t xml:space="preserve"> cannot be reduced to a single gloss such as “word,” “reason,” or “principle.” Instead, it must be understood as a semantic constellation—a network of associations shaped by centuries of Greek linguistic development. Philological work therefore draws on a wide array of resources:</w:t>
      </w:r>
    </w:p>
    <w:p w14:paraId="6C539C5A" w14:textId="77777777" w:rsidR="00535235" w:rsidRPr="005672BA" w:rsidRDefault="00535235" w:rsidP="00535235">
      <w:pPr>
        <w:pStyle w:val="ListParagraph"/>
        <w:numPr>
          <w:ilvl w:val="0"/>
          <w:numId w:val="12"/>
        </w:numPr>
        <w:spacing w:line="480" w:lineRule="auto"/>
      </w:pPr>
      <w:r w:rsidRPr="00854CDE">
        <w:t>Lexical mapping</w:t>
      </w:r>
      <w:r w:rsidRPr="005672BA">
        <w:t xml:space="preserve">: tracing </w:t>
      </w:r>
      <w:r w:rsidRPr="00854CDE">
        <w:rPr>
          <w:i/>
          <w:iCs/>
        </w:rPr>
        <w:t>logos</w:t>
      </w:r>
      <w:r w:rsidRPr="005672BA">
        <w:t xml:space="preserve"> across Classical, Hellenistic, and Koine Greek corpora</w:t>
      </w:r>
      <w:r>
        <w:t>;</w:t>
      </w:r>
    </w:p>
    <w:p w14:paraId="25039624" w14:textId="0717366B" w:rsidR="00DA6236" w:rsidRDefault="00DA6236" w:rsidP="00DA6236">
      <w:pPr>
        <w:numPr>
          <w:ilvl w:val="0"/>
          <w:numId w:val="12"/>
        </w:numPr>
        <w:spacing w:line="480" w:lineRule="auto"/>
      </w:pPr>
      <w:r w:rsidRPr="00DA6236">
        <w:t xml:space="preserve">Philosophical </w:t>
      </w:r>
      <w:r w:rsidR="00830A0A">
        <w:t>contextualisation</w:t>
      </w:r>
      <w:r w:rsidRPr="00DA6236">
        <w:t xml:space="preserve">, such as </w:t>
      </w:r>
      <w:r w:rsidR="003B51C9">
        <w:t>Dillon</w:t>
      </w:r>
      <w:r w:rsidRPr="00DA6236">
        <w:t>’s analysis of Middle Platonism (</w:t>
      </w:r>
      <w:r w:rsidR="003B51C9">
        <w:t>Dillon, 1996, pp.52-85)</w:t>
      </w:r>
      <w:r w:rsidRPr="00DA6236">
        <w:t>;</w:t>
      </w:r>
    </w:p>
    <w:p w14:paraId="31EFBEF3" w14:textId="044A27D1" w:rsidR="00830A0A" w:rsidRDefault="00830A0A" w:rsidP="00830A0A">
      <w:pPr>
        <w:numPr>
          <w:ilvl w:val="0"/>
          <w:numId w:val="12"/>
        </w:numPr>
        <w:spacing w:line="480" w:lineRule="auto"/>
      </w:pPr>
      <w:r w:rsidRPr="00854CDE">
        <w:t>Septuagintal comparison</w:t>
      </w:r>
      <w:r w:rsidRPr="005672BA">
        <w:t xml:space="preserve">: analysing how </w:t>
      </w:r>
      <w:r w:rsidRPr="005672BA">
        <w:rPr>
          <w:i/>
          <w:iCs/>
        </w:rPr>
        <w:t>logos</w:t>
      </w:r>
      <w:r w:rsidRPr="005672BA">
        <w:t xml:space="preserve"> translates Hebrew </w:t>
      </w:r>
      <w:r w:rsidRPr="005672BA">
        <w:rPr>
          <w:i/>
          <w:iCs/>
        </w:rPr>
        <w:t>dabar</w:t>
      </w:r>
      <w:r w:rsidRPr="005672BA">
        <w:t xml:space="preserve"> and how this shapes Jewish</w:t>
      </w:r>
      <w:r w:rsidRPr="005672BA">
        <w:noBreakHyphen/>
        <w:t>Greek conceptual exchange</w:t>
      </w:r>
      <w:r>
        <w:t>;</w:t>
      </w:r>
    </w:p>
    <w:p w14:paraId="39688AC1" w14:textId="59187692" w:rsidR="00830A0A" w:rsidRPr="00DA6236" w:rsidRDefault="00830A0A" w:rsidP="00830A0A">
      <w:pPr>
        <w:numPr>
          <w:ilvl w:val="0"/>
          <w:numId w:val="12"/>
        </w:numPr>
        <w:spacing w:line="480" w:lineRule="auto"/>
      </w:pPr>
      <w:r w:rsidRPr="00854CDE">
        <w:t>Syntactic analysis:</w:t>
      </w:r>
      <w:r w:rsidRPr="005672BA">
        <w:t xml:space="preserve"> studying the Prologue’s parallelism, anaphora, and chiastic structures to determine how </w:t>
      </w:r>
      <w:r w:rsidRPr="005672BA">
        <w:rPr>
          <w:i/>
          <w:iCs/>
        </w:rPr>
        <w:t>logos</w:t>
      </w:r>
      <w:r w:rsidRPr="005672BA">
        <w:t xml:space="preserve"> functions within the discourse.</w:t>
      </w:r>
    </w:p>
    <w:p w14:paraId="2B3E1F19" w14:textId="77777777" w:rsidR="00DA6236" w:rsidRPr="00DA6236" w:rsidRDefault="00DA6236" w:rsidP="00DA6236">
      <w:pPr>
        <w:spacing w:line="480" w:lineRule="auto"/>
        <w:rPr>
          <w:i/>
          <w:iCs/>
        </w:rPr>
      </w:pPr>
      <w:r w:rsidRPr="00DA6236">
        <w:rPr>
          <w:i/>
          <w:iCs/>
        </w:rPr>
        <w:t>Contribution to Understanding the Johannine Logos</w:t>
      </w:r>
    </w:p>
    <w:p w14:paraId="093BDE19" w14:textId="476AD8F2" w:rsidR="00DA6236" w:rsidRPr="00DA6236" w:rsidRDefault="00DA6236" w:rsidP="00DA6236">
      <w:pPr>
        <w:spacing w:line="480" w:lineRule="auto"/>
      </w:pPr>
      <w:r w:rsidRPr="00DA6236">
        <w:t xml:space="preserve">Philology reveals that John’s use of </w:t>
      </w:r>
      <w:r w:rsidRPr="00DA6236">
        <w:rPr>
          <w:i/>
          <w:iCs/>
        </w:rPr>
        <w:t>logos</w:t>
      </w:r>
      <w:r w:rsidRPr="00DA6236">
        <w:t xml:space="preserve"> is both strategic and innovative. The term draws on Greek philosophical resonances—particularly the idea of a rational principle ordering the cosmos—while simultaneously reconfiguring these associations within a Jewish theological framework. The Prologue’s opening line,  evokes both Genesis 1 and </w:t>
      </w:r>
      <w:r w:rsidRPr="00DA6236">
        <w:lastRenderedPageBreak/>
        <w:t>Hellenistic cosmology, creating a conceptual bridge between Jewish creation theology and Greek metaphysics.</w:t>
      </w:r>
    </w:p>
    <w:p w14:paraId="3C9CB897" w14:textId="45F008B9" w:rsidR="006D4E15" w:rsidRDefault="00DA6236" w:rsidP="007B173B">
      <w:pPr>
        <w:spacing w:line="480" w:lineRule="auto"/>
        <w:ind w:firstLine="720"/>
      </w:pPr>
      <w:r w:rsidRPr="00DA6236">
        <w:t>Major commentaries such as Barrett (1978, pp. 128–135) and Schnackenburg (Vol. 1, 1982, pp. 239–247) emphasise how the Prologue positions Jesus as the locus where divine agency, revelation, and cosmological order converge. The philological framework clarifies the semantic possibilities available to the author and the linguistic constraints within which theological meaning is constructed.</w:t>
      </w:r>
      <w:r w:rsidR="006D4E15">
        <w:t xml:space="preserve"> </w:t>
      </w:r>
      <w:r w:rsidRPr="00DA6236">
        <w:t xml:space="preserve">The result is a term capable of bearing the weight of the Gospel’s high Christology: </w:t>
      </w:r>
      <w:r w:rsidRPr="00DA6236">
        <w:rPr>
          <w:i/>
          <w:iCs/>
        </w:rPr>
        <w:t>logos</w:t>
      </w:r>
      <w:r w:rsidRPr="00DA6236">
        <w:t xml:space="preserve"> becomes not merely a philosophical abstraction but the narrative and theological centre of the Johannine proclamation.</w:t>
      </w:r>
    </w:p>
    <w:p w14:paraId="63624056" w14:textId="46C238DA" w:rsidR="006D4E15" w:rsidRPr="00334DB8" w:rsidRDefault="00435A5A" w:rsidP="006D4E15">
      <w:pPr>
        <w:spacing w:line="480" w:lineRule="auto"/>
        <w:rPr>
          <w:b/>
          <w:bCs/>
        </w:rPr>
      </w:pPr>
      <w:r>
        <w:rPr>
          <w:b/>
          <w:bCs/>
        </w:rPr>
        <w:t xml:space="preserve">B. </w:t>
      </w:r>
      <w:r w:rsidR="006D4E15" w:rsidRPr="00334DB8">
        <w:rPr>
          <w:b/>
          <w:bCs/>
        </w:rPr>
        <w:t>SECOND TEMPLE JEWISH TRADITIONS AND INTERTEXTUAL METHOD</w:t>
      </w:r>
    </w:p>
    <w:p w14:paraId="4B4B0805" w14:textId="77777777" w:rsidR="006D4E15" w:rsidRPr="00334DB8" w:rsidRDefault="006D4E15" w:rsidP="006D4E15">
      <w:pPr>
        <w:spacing w:line="480" w:lineRule="auto"/>
        <w:rPr>
          <w:i/>
          <w:iCs/>
        </w:rPr>
      </w:pPr>
      <w:r w:rsidRPr="00334DB8">
        <w:rPr>
          <w:i/>
          <w:iCs/>
        </w:rPr>
        <w:t>Theoretical Orientation</w:t>
      </w:r>
    </w:p>
    <w:p w14:paraId="187F8D6C" w14:textId="77777777" w:rsidR="006D4E15" w:rsidRDefault="006D4E15" w:rsidP="006D4E15">
      <w:pPr>
        <w:spacing w:line="480" w:lineRule="auto"/>
      </w:pPr>
      <w:r>
        <w:t xml:space="preserve">A second major framework situates the </w:t>
      </w:r>
      <w:r w:rsidRPr="00334DB8">
        <w:rPr>
          <w:i/>
          <w:iCs/>
        </w:rPr>
        <w:t>Logos</w:t>
      </w:r>
      <w:r>
        <w:t xml:space="preserve"> within the symbolic and theological world of Second Temple Judaism. This approach challenges older scholarship—particularly early 20th‑century studies influenced by Bultmann—that overemphasised Greek philosophical dependence and underplayed the richness of Jewish traditions of divine agency. More recent work foregrounds Jewish patterns of personified Wisdom, hypostatic Word, and mediating figures who embody God’s presence and activity (Boyarin 2001, pp. 133–164; Fossum 1985, pp. 15–42).</w:t>
      </w:r>
    </w:p>
    <w:p w14:paraId="5A31529D" w14:textId="77777777" w:rsidR="006D4E15" w:rsidRDefault="006D4E15" w:rsidP="00A16E04">
      <w:pPr>
        <w:spacing w:line="480" w:lineRule="auto"/>
        <w:ind w:firstLine="720"/>
      </w:pPr>
      <w:r>
        <w:t xml:space="preserve">Within this framework, several Jewish traditions emerge as especially significant parallels to the Johannine </w:t>
      </w:r>
      <w:r w:rsidRPr="00334DB8">
        <w:rPr>
          <w:i/>
          <w:iCs/>
        </w:rPr>
        <w:t>Logos</w:t>
      </w:r>
      <w:r>
        <w:t>:</w:t>
      </w:r>
    </w:p>
    <w:p w14:paraId="313B33DE" w14:textId="527605D3" w:rsidR="006D4E15" w:rsidRDefault="00334DB8" w:rsidP="00334DB8">
      <w:pPr>
        <w:spacing w:line="480" w:lineRule="auto"/>
        <w:ind w:left="720"/>
      </w:pPr>
      <w:r>
        <w:t xml:space="preserve">1. </w:t>
      </w:r>
      <w:r w:rsidR="006D4E15">
        <w:t>Wisdom traditions</w:t>
      </w:r>
      <w:r w:rsidR="00A16E04">
        <w:t xml:space="preserve"> </w:t>
      </w:r>
      <w:r w:rsidR="00A16E04" w:rsidRPr="005672BA">
        <w:t>(Prov. 8; Sirach 24; Wisdom of Solomon 7–9)</w:t>
      </w:r>
      <w:r w:rsidR="00A16E04">
        <w:t>;</w:t>
      </w:r>
    </w:p>
    <w:p w14:paraId="47419587" w14:textId="4151773A" w:rsidR="006D4E15" w:rsidRDefault="00334DB8" w:rsidP="00334DB8">
      <w:pPr>
        <w:spacing w:line="480" w:lineRule="auto"/>
        <w:ind w:left="720"/>
      </w:pPr>
      <w:r>
        <w:t xml:space="preserve">2. </w:t>
      </w:r>
      <w:r w:rsidR="006D4E15">
        <w:t>The Memra in the Targums</w:t>
      </w:r>
      <w:r w:rsidR="00A16E04">
        <w:t>;</w:t>
      </w:r>
    </w:p>
    <w:p w14:paraId="3A1239A1" w14:textId="42C3E226" w:rsidR="006D4E15" w:rsidRDefault="00334DB8" w:rsidP="00334DB8">
      <w:pPr>
        <w:spacing w:line="480" w:lineRule="auto"/>
        <w:ind w:left="720"/>
      </w:pPr>
      <w:r>
        <w:t xml:space="preserve">3. </w:t>
      </w:r>
      <w:r w:rsidR="006D4E15">
        <w:t>The Word of the Lord as a hypostatic agent in apocalyptic literature</w:t>
      </w:r>
      <w:r w:rsidR="00A16E04">
        <w:t>;</w:t>
      </w:r>
      <w:r w:rsidR="006D4E15">
        <w:t xml:space="preserve"> </w:t>
      </w:r>
    </w:p>
    <w:p w14:paraId="6839AA4E" w14:textId="5270AF87" w:rsidR="006D4E15" w:rsidRDefault="00334DB8" w:rsidP="00334DB8">
      <w:pPr>
        <w:spacing w:line="480" w:lineRule="auto"/>
        <w:ind w:left="720"/>
      </w:pPr>
      <w:r>
        <w:t xml:space="preserve">4. </w:t>
      </w:r>
      <w:r w:rsidR="006D4E15">
        <w:t>Torah personification</w:t>
      </w:r>
      <w:r w:rsidR="00A16E04">
        <w:t xml:space="preserve"> in late Second Temple texts.</w:t>
      </w:r>
    </w:p>
    <w:p w14:paraId="58CE8327" w14:textId="48065D6A" w:rsidR="006D4E15" w:rsidRDefault="006D4E15" w:rsidP="006D4E15">
      <w:pPr>
        <w:spacing w:line="480" w:lineRule="auto"/>
      </w:pPr>
      <w:r>
        <w:lastRenderedPageBreak/>
        <w:t>These traditions collectively provide a conceptual grammar for understanding how the Prologue’s Logos can be portrayed as both divine and relational—fully expressive of God’s identity while also functioning as God’s agent in creation and revelation.</w:t>
      </w:r>
    </w:p>
    <w:p w14:paraId="058A4AA9" w14:textId="77777777" w:rsidR="006D4E15" w:rsidRPr="00334DB8" w:rsidRDefault="006D4E15" w:rsidP="006D4E15">
      <w:pPr>
        <w:spacing w:line="480" w:lineRule="auto"/>
        <w:rPr>
          <w:i/>
          <w:iCs/>
        </w:rPr>
      </w:pPr>
      <w:r w:rsidRPr="00334DB8">
        <w:rPr>
          <w:i/>
          <w:iCs/>
        </w:rPr>
        <w:t>Methodological Procedure</w:t>
      </w:r>
    </w:p>
    <w:p w14:paraId="255EE08E" w14:textId="77777777" w:rsidR="006D4E15" w:rsidRDefault="006D4E15" w:rsidP="006D4E15">
      <w:pPr>
        <w:spacing w:line="480" w:lineRule="auto"/>
      </w:pPr>
      <w:r>
        <w:t>A rigorous intertextual and Second Temple–oriented analysis of the Johannine Logos employs several interlocking methodological steps:</w:t>
      </w:r>
    </w:p>
    <w:p w14:paraId="081F1D1B" w14:textId="37A4B056" w:rsidR="006D4E15" w:rsidRDefault="007F16F4" w:rsidP="006D4E15">
      <w:pPr>
        <w:pStyle w:val="ListParagraph"/>
        <w:numPr>
          <w:ilvl w:val="0"/>
          <w:numId w:val="14"/>
        </w:numPr>
        <w:spacing w:line="480" w:lineRule="auto"/>
      </w:pPr>
      <w:r w:rsidRPr="007F16F4">
        <w:t>Intertextual analysis: identifying scriptural echoes, allusions, and thematic resonances within the Prologue. Scholars such as Moyise (2001, pp. 102–118) and Beale (2012, pp. 13–20) have shown how early Christian texts often signal their interpretive horizons through subtle intertextual cues. In John 1:1–18, echoes of Genesis 1, Proverbs 8, and Exodus 33–34 are widely recognised</w:t>
      </w:r>
      <w:r w:rsidR="00A16E04">
        <w:t>;</w:t>
      </w:r>
    </w:p>
    <w:p w14:paraId="6624C3CC" w14:textId="5D6D5263" w:rsidR="006D4E15" w:rsidRDefault="006D4E15" w:rsidP="006D4E15">
      <w:pPr>
        <w:pStyle w:val="ListParagraph"/>
        <w:numPr>
          <w:ilvl w:val="0"/>
          <w:numId w:val="14"/>
        </w:numPr>
        <w:spacing w:line="480" w:lineRule="auto"/>
      </w:pPr>
      <w:r>
        <w:t>Comparative study</w:t>
      </w:r>
      <w:r w:rsidR="00A16E04">
        <w:t xml:space="preserve"> </w:t>
      </w:r>
      <w:r>
        <w:t>map</w:t>
      </w:r>
      <w:r w:rsidR="00A16E04">
        <w:t>ping</w:t>
      </w:r>
      <w:r>
        <w:t xml:space="preserve"> conceptual parallels between the Johannine </w:t>
      </w:r>
      <w:r w:rsidRPr="00A16E04">
        <w:rPr>
          <w:i/>
          <w:iCs/>
        </w:rPr>
        <w:t>Logos</w:t>
      </w:r>
      <w:r>
        <w:t xml:space="preserve"> and Jewish traditions of Wisdom, Memra, and Torah. For example, Wisdom’s role as co‑creator (Wis 7:22–27) and revealer (Sir 24:1–12) parallels the </w:t>
      </w:r>
      <w:r w:rsidRPr="00A16E04">
        <w:rPr>
          <w:i/>
          <w:iCs/>
        </w:rPr>
        <w:t>Logos</w:t>
      </w:r>
      <w:r>
        <w:t xml:space="preserve"> as life‑giver and light‑bearer (John 1:3–5)</w:t>
      </w:r>
      <w:r w:rsidR="00A16E04">
        <w:t>;</w:t>
      </w:r>
    </w:p>
    <w:p w14:paraId="4128A4E1" w14:textId="535D4927" w:rsidR="006D4E15" w:rsidRDefault="007F16F4" w:rsidP="006D4E15">
      <w:pPr>
        <w:pStyle w:val="ListParagraph"/>
        <w:numPr>
          <w:ilvl w:val="0"/>
          <w:numId w:val="14"/>
        </w:numPr>
        <w:spacing w:line="480" w:lineRule="auto"/>
      </w:pPr>
      <w:r w:rsidRPr="007F16F4">
        <w:t>Historical contextualisation: situating the Prologue within Second Temple debates about monotheism, divine agency, and intermediary figures. Scholars such as Fletcher</w:t>
      </w:r>
      <w:r w:rsidRPr="007F16F4">
        <w:noBreakHyphen/>
        <w:t>Louis (2002, pp. 83–112) and Fredriksen (2017, pp. 25–48) have shown that Jewish monotheism in this period was not rigidly unitarian but allowed for complex expressions of divine presence—Wisdom, Word, Spirit, Name, Glory—without compromising God’s uniqueness.</w:t>
      </w:r>
      <w:r w:rsidR="00A16E04">
        <w:t>;</w:t>
      </w:r>
    </w:p>
    <w:p w14:paraId="75C0E39E" w14:textId="76A5C77C" w:rsidR="006D4E15" w:rsidRDefault="0081487C" w:rsidP="0081487C">
      <w:pPr>
        <w:pStyle w:val="ListParagraph"/>
        <w:numPr>
          <w:ilvl w:val="0"/>
          <w:numId w:val="14"/>
        </w:numPr>
        <w:spacing w:line="480" w:lineRule="auto"/>
      </w:pPr>
      <w:r w:rsidRPr="0081487C">
        <w:t>Reception history: examining how early Jewish and Christian communities interpreted divine agency. Philo’s Logos theology (Kamesar, 2009, pp. 101–120) and early Christian hymnic material (e.g., Phil 2:6–11) show how the conceptual space for divine mediation was already well developed.</w:t>
      </w:r>
      <w:r>
        <w:t xml:space="preserve"> </w:t>
      </w:r>
      <w:r w:rsidR="006D4E15">
        <w:t xml:space="preserve">This method assumes that John’s Gospel emerges from a Jewish symbolic universe, even while engaging </w:t>
      </w:r>
      <w:r w:rsidR="006D4E15">
        <w:lastRenderedPageBreak/>
        <w:t xml:space="preserve">Hellenistic categories. The Prologue’s conceptual world is </w:t>
      </w:r>
      <w:r w:rsidR="006C55EF">
        <w:t>probably</w:t>
      </w:r>
      <w:r w:rsidR="006D4E15">
        <w:t xml:space="preserve"> best understood as a creative reconfiguration of Jewish theological resources rather than a departure from them.</w:t>
      </w:r>
    </w:p>
    <w:p w14:paraId="03E9165E" w14:textId="77777777" w:rsidR="006D4E15" w:rsidRPr="00334DB8" w:rsidRDefault="006D4E15" w:rsidP="006D4E15">
      <w:pPr>
        <w:spacing w:line="480" w:lineRule="auto"/>
        <w:rPr>
          <w:i/>
          <w:iCs/>
        </w:rPr>
      </w:pPr>
      <w:r w:rsidRPr="00334DB8">
        <w:rPr>
          <w:i/>
          <w:iCs/>
        </w:rPr>
        <w:t>Contribution to Understanding the Johannine Logos</w:t>
      </w:r>
    </w:p>
    <w:p w14:paraId="279B85D2" w14:textId="473DCF4F" w:rsidR="00427860" w:rsidRDefault="00DD6B44" w:rsidP="00427860">
      <w:pPr>
        <w:spacing w:line="480" w:lineRule="auto"/>
      </w:pPr>
      <w:r w:rsidRPr="005672BA">
        <w:t xml:space="preserve">This framework highlights the Prologue’s deep continuity with Jewish traditions of divine Wisdom and Word. The </w:t>
      </w:r>
      <w:r w:rsidRPr="005672BA">
        <w:rPr>
          <w:i/>
          <w:iCs/>
        </w:rPr>
        <w:t>Logos</w:t>
      </w:r>
      <w:r w:rsidRPr="005672BA">
        <w:t xml:space="preserve"> functions as the </w:t>
      </w:r>
      <w:r w:rsidRPr="00637F0E">
        <w:t>agent of creation,</w:t>
      </w:r>
      <w:r w:rsidRPr="005672BA">
        <w:t xml:space="preserve"> </w:t>
      </w:r>
      <w:r w:rsidRPr="00637F0E">
        <w:t>mediator of revelation,</w:t>
      </w:r>
      <w:r w:rsidRPr="005672BA">
        <w:t xml:space="preserve"> and </w:t>
      </w:r>
      <w:r w:rsidRPr="00637F0E">
        <w:t>source of life</w:t>
      </w:r>
      <w:r w:rsidRPr="005672BA">
        <w:t xml:space="preserve">, roles deeply rooted in Jewish sapiential and liturgical traditions (Wright 2013). </w:t>
      </w:r>
      <w:r w:rsidR="00DA1142" w:rsidRPr="00DA1142">
        <w:t>The climactic statement—“the Logos became flesh”—is thus interpreted not as a departure from Jewish monotheism but a development within it, intensifying existing patterns of divine self‑communication, and thus their radical fulfilment (Fredriksen 2018, pp. 115–132).</w:t>
      </w:r>
    </w:p>
    <w:p w14:paraId="146992A6" w14:textId="680DEC72" w:rsidR="00427860" w:rsidRPr="00427860" w:rsidRDefault="00435A5A" w:rsidP="00427860">
      <w:pPr>
        <w:spacing w:line="480" w:lineRule="auto"/>
        <w:rPr>
          <w:b/>
          <w:bCs/>
        </w:rPr>
      </w:pPr>
      <w:r>
        <w:rPr>
          <w:b/>
          <w:bCs/>
        </w:rPr>
        <w:t xml:space="preserve">C. </w:t>
      </w:r>
      <w:r w:rsidR="00427860" w:rsidRPr="00427860">
        <w:rPr>
          <w:b/>
          <w:bCs/>
        </w:rPr>
        <w:t>THEOLOGICAL EXEGESIS AND NARRATIVE‑THEOLOGICAL METHOD</w:t>
      </w:r>
    </w:p>
    <w:p w14:paraId="312B971D" w14:textId="77777777" w:rsidR="00427860" w:rsidRPr="00427860" w:rsidRDefault="00427860" w:rsidP="00427860">
      <w:pPr>
        <w:spacing w:line="480" w:lineRule="auto"/>
        <w:rPr>
          <w:i/>
          <w:iCs/>
        </w:rPr>
      </w:pPr>
      <w:r w:rsidRPr="00427860">
        <w:rPr>
          <w:i/>
          <w:iCs/>
        </w:rPr>
        <w:t>Theoretical Foundations</w:t>
      </w:r>
    </w:p>
    <w:p w14:paraId="6E4D46A2" w14:textId="0874CAF4" w:rsidR="00427860" w:rsidRDefault="00DA1142" w:rsidP="009D4367">
      <w:pPr>
        <w:spacing w:line="480" w:lineRule="auto"/>
      </w:pPr>
      <w:r w:rsidRPr="00DA1142">
        <w:t>The third framework draws on theological exegesis and narrative theology, approaches that treat the Gospel not as a loose collection of doctrinal propositions but as a coherent, theologically shaped narrative whose form and content are mutually interpretive. Scholars such as Thompson (2015, pp. 25–44) and Watson (2013, pp. 113–140) argue that the Gospel of John must be read as a unified theological testimony in which narrative structure, symbolism, and Christological claims are inseparable.</w:t>
      </w:r>
      <w:r>
        <w:t xml:space="preserve"> </w:t>
      </w:r>
      <w:r w:rsidR="00F02E24" w:rsidRPr="00F02E24">
        <w:t xml:space="preserve">Theological exegesis assumes that meaning emerges from the narrative’s internal logic, its canonical placement, and its reception within the Christian tradition (Fowl 2009, pp. 67–88). Within this framework, the Prologue (John 1:1–18) is not merely introductory but programmatic: it establishes the theological categories—creation, revelation, incarnation, glory, and divine agency—through which the entire Gospel must be interpreted. Scholars frequently describe it as a </w:t>
      </w:r>
      <w:r w:rsidR="00F02E24">
        <w:t>‘</w:t>
      </w:r>
      <w:r w:rsidR="00F02E24" w:rsidRPr="00F02E24">
        <w:t>theological overture</w:t>
      </w:r>
      <w:r w:rsidR="00F02E24">
        <w:t>’</w:t>
      </w:r>
      <w:r w:rsidR="00F02E24" w:rsidRPr="00F02E24">
        <w:t xml:space="preserve"> (Thompson 2001, pp. 17–29; Koester 2008, pp. 1–14)</w:t>
      </w:r>
      <w:r w:rsidR="00F02E24">
        <w:t xml:space="preserve">, </w:t>
      </w:r>
      <w:r w:rsidR="00427860">
        <w:lastRenderedPageBreak/>
        <w:t>analogous to the opening movement of a symphony that introduces the motifs developed throughout the narrative.</w:t>
      </w:r>
    </w:p>
    <w:p w14:paraId="4501845C" w14:textId="77777777" w:rsidR="00427860" w:rsidRPr="00427860" w:rsidRDefault="00427860" w:rsidP="00427860">
      <w:pPr>
        <w:spacing w:line="480" w:lineRule="auto"/>
        <w:rPr>
          <w:i/>
          <w:iCs/>
        </w:rPr>
      </w:pPr>
      <w:r w:rsidRPr="00427860">
        <w:rPr>
          <w:i/>
          <w:iCs/>
        </w:rPr>
        <w:t>Methodological Procedure</w:t>
      </w:r>
    </w:p>
    <w:p w14:paraId="663F8CEB" w14:textId="7680CB89" w:rsidR="00427860" w:rsidRDefault="00DD395C" w:rsidP="00427860">
      <w:pPr>
        <w:spacing w:line="480" w:lineRule="auto"/>
      </w:pPr>
      <w:r w:rsidRPr="00DD395C">
        <w:t>Narrative theology further emphasises the Prologue’s literary artistry, including its poetic parallelism, symbolic density, and thematic coherence. The method draws on the insights of narrative critics such as Lee (1994, pp. 1–22) and Anderson (2011, pp. 15–36), who argue that Johannine theology is inseparable from Johannine storytelling. The Prologue thus functions as a hermeneutical lens through which the reader perceives Jesus’ identity and mission as they unfold across the Gospel.</w:t>
      </w:r>
      <w:r>
        <w:t xml:space="preserve"> </w:t>
      </w:r>
      <w:r w:rsidR="00427860">
        <w:t xml:space="preserve">A theological‑narrative approach to the Johannine </w:t>
      </w:r>
      <w:r w:rsidR="00427860" w:rsidRPr="00DD6B44">
        <w:rPr>
          <w:i/>
          <w:iCs/>
        </w:rPr>
        <w:t>Logos</w:t>
      </w:r>
      <w:r w:rsidR="00427860">
        <w:t xml:space="preserve"> employs several interrelated methodological steps:</w:t>
      </w:r>
    </w:p>
    <w:p w14:paraId="16E6DB19" w14:textId="6ACE3F66" w:rsidR="00B12992" w:rsidRDefault="00B12992" w:rsidP="00427860">
      <w:pPr>
        <w:pStyle w:val="ListParagraph"/>
        <w:numPr>
          <w:ilvl w:val="0"/>
          <w:numId w:val="15"/>
        </w:numPr>
        <w:spacing w:line="480" w:lineRule="auto"/>
      </w:pPr>
      <w:r w:rsidRPr="00B12992">
        <w:t>Close reading of the Prologue’s literary structure includes analysis of parallelism (1:1–2), chiasm (1:10–12), and thematic progression (1:14–18). Critical editions such as the SBL Greek New Testament (Holmes</w:t>
      </w:r>
      <w:r w:rsidR="00922D84">
        <w:t>,</w:t>
      </w:r>
      <w:r w:rsidRPr="00B12992">
        <w:t xml:space="preserve"> 2010, pp. xv–xxiii) highlight the textual features that shape theological meaning</w:t>
      </w:r>
      <w:r w:rsidR="003F731C">
        <w:t>;</w:t>
      </w:r>
    </w:p>
    <w:p w14:paraId="2ADD4C74" w14:textId="77777777" w:rsidR="00922D84" w:rsidRDefault="00922D84" w:rsidP="00427860">
      <w:pPr>
        <w:pStyle w:val="ListParagraph"/>
        <w:numPr>
          <w:ilvl w:val="0"/>
          <w:numId w:val="15"/>
        </w:numPr>
        <w:spacing w:line="480" w:lineRule="auto"/>
      </w:pPr>
      <w:r w:rsidRPr="00922D84">
        <w:t xml:space="preserve">Narrative analysis of the unfolding Logos motif traces how themes introduced in the Prologue—light, life, revelation, glory—reappear and develop throughout the Gospel (e.g., John 5:19–30; 8:12; 12:44–50). Scholars such as Lee (2017, pp. 45–68) and Stibbe (1993, pp. 28–52) show how the narrative progressively discloses Jesus’ identity as the incarnate </w:t>
      </w:r>
      <w:r w:rsidRPr="00922D84">
        <w:rPr>
          <w:i/>
          <w:iCs/>
        </w:rPr>
        <w:t>Logos</w:t>
      </w:r>
      <w:r w:rsidRPr="00922D84">
        <w:t>.</w:t>
      </w:r>
    </w:p>
    <w:p w14:paraId="70257E84" w14:textId="77777777" w:rsidR="001B1BE3" w:rsidRDefault="001B1BE3" w:rsidP="00427860">
      <w:pPr>
        <w:pStyle w:val="ListParagraph"/>
        <w:numPr>
          <w:ilvl w:val="0"/>
          <w:numId w:val="15"/>
        </w:numPr>
        <w:spacing w:line="480" w:lineRule="auto"/>
      </w:pPr>
      <w:r w:rsidRPr="001B1BE3">
        <w:t>Canonical interpretation situates the Prologue within the broader Christian canon, especially in relation to Genesis 1, Exodus 33–34, and Wisdom traditions. Fowl (1998, pp. 35–56) argues that canonical context shapes theological interpretation by embedding the Gospel within the scriptural narrative of creation and redemption.</w:t>
      </w:r>
    </w:p>
    <w:p w14:paraId="10AB11D0" w14:textId="7EE2EE0C" w:rsidR="001B1BE3" w:rsidRDefault="001B1BE3" w:rsidP="001B1BE3">
      <w:pPr>
        <w:pStyle w:val="ListParagraph"/>
        <w:numPr>
          <w:ilvl w:val="0"/>
          <w:numId w:val="15"/>
        </w:numPr>
        <w:spacing w:line="480" w:lineRule="auto"/>
      </w:pPr>
      <w:r>
        <w:t xml:space="preserve">Doctrinal synthesis: explores how the Johannine </w:t>
      </w:r>
      <w:r w:rsidRPr="00DD6B44">
        <w:rPr>
          <w:i/>
          <w:iCs/>
        </w:rPr>
        <w:t>Logos</w:t>
      </w:r>
      <w:r>
        <w:t xml:space="preserve"> contributes to Christological and Trinitarian theology. The Prologue’s claims about pre‑existence, divine agency, and incarnation have been central to doctrinal formulations from the </w:t>
      </w:r>
      <w:r>
        <w:lastRenderedPageBreak/>
        <w:t>Nicene Creed to contemporary systematic theology (Anatolios, 2011, pp.41-63). This method integrates literary, theological, and canonical dimensions, allowing the Prologue to be read as both a literary masterpiece and a theological foundation.</w:t>
      </w:r>
    </w:p>
    <w:p w14:paraId="5B358366" w14:textId="77777777" w:rsidR="00427860" w:rsidRPr="00427860" w:rsidRDefault="00427860" w:rsidP="00427860">
      <w:pPr>
        <w:spacing w:line="480" w:lineRule="auto"/>
        <w:rPr>
          <w:i/>
          <w:iCs/>
        </w:rPr>
      </w:pPr>
      <w:r w:rsidRPr="00427860">
        <w:rPr>
          <w:i/>
          <w:iCs/>
        </w:rPr>
        <w:t>Contribution to Understanding the Johannine Logos</w:t>
      </w:r>
    </w:p>
    <w:p w14:paraId="53870FFC" w14:textId="77777777" w:rsidR="00DC366B" w:rsidRDefault="00DC366B" w:rsidP="00921E08">
      <w:pPr>
        <w:spacing w:line="480" w:lineRule="auto"/>
      </w:pPr>
      <w:r w:rsidRPr="00DC366B">
        <w:t>The narrative‑theological framework reveals that the Logos functions as the interpretive key to the Gospel’s Christology. The Prologue establishes Jesus as the pre‑existent divine agent through whom creation comes into being (1:3), whose incarnation reveals the Father (1:14, 18), and whose mission inaugurates a new creation (cf. John 20:22). This reading aligns with the work of Thompson (2001, pp. 31–52), who emphasises that the Logos is not an abstract metaphysical principle but a personal, relational, and salvific presence whose identity is disclosed through narrative action.</w:t>
      </w:r>
    </w:p>
    <w:p w14:paraId="18CC333A" w14:textId="2832FA67" w:rsidR="00DA6236" w:rsidRPr="00DA6236" w:rsidRDefault="00427860" w:rsidP="00921E08">
      <w:pPr>
        <w:spacing w:line="480" w:lineRule="auto"/>
        <w:ind w:firstLine="720"/>
      </w:pPr>
      <w:r>
        <w:t>The Gospel’s narrative repeatedly enacts the claims of the Prologue: Jesus gives life (John 5:21), reveals divine glory (2:11), speaks the words of God (12:49–50), and embodies the divine name (17:6). Narrative theology thus shows that the Prologue is not detachable from the Gospel but is its hermeneutical centre, shaping how every subsequent episode is to be understood.</w:t>
      </w:r>
      <w:r w:rsidR="00921E08">
        <w:t xml:space="preserve"> </w:t>
      </w:r>
      <w:r>
        <w:t xml:space="preserve">This framework integrates the Prologue’s theological claims with its literary artistry, demonstrating that Johannine Christology is inseparable from Johannine narrative. The </w:t>
      </w:r>
      <w:r w:rsidRPr="00435A5A">
        <w:rPr>
          <w:i/>
          <w:iCs/>
        </w:rPr>
        <w:t>Logos</w:t>
      </w:r>
      <w:r>
        <w:t xml:space="preserve"> is both the theological foundation and the narrative </w:t>
      </w:r>
      <w:r w:rsidR="00435A5A">
        <w:t>centre</w:t>
      </w:r>
      <w:r>
        <w:t xml:space="preserve"> of the Gospel.</w:t>
      </w:r>
    </w:p>
    <w:p w14:paraId="7CE473BE" w14:textId="38C4819C" w:rsidR="005672BA" w:rsidRPr="005672BA" w:rsidRDefault="00F80492" w:rsidP="005672BA">
      <w:r>
        <w:rPr>
          <w:b/>
          <w:bCs/>
        </w:rPr>
        <w:t xml:space="preserve">INTEGRATVE </w:t>
      </w:r>
      <w:r w:rsidR="00D80D98">
        <w:rPr>
          <w:b/>
          <w:bCs/>
        </w:rPr>
        <w:t>CONSIDERATIONS</w:t>
      </w:r>
    </w:p>
    <w:p w14:paraId="49D40F0F" w14:textId="4D0148DD" w:rsidR="00C40BA3" w:rsidRDefault="005672BA" w:rsidP="00D80D98">
      <w:pPr>
        <w:spacing w:line="480" w:lineRule="auto"/>
      </w:pPr>
      <w:r w:rsidRPr="005672BA">
        <w:t>These</w:t>
      </w:r>
      <w:r w:rsidR="00435A5A">
        <w:t xml:space="preserve"> </w:t>
      </w:r>
      <w:r w:rsidRPr="005672BA">
        <w:t xml:space="preserve">three frameworks—philological, intertextual, and theological—are not mutually exclusive. Instead, they form a </w:t>
      </w:r>
      <w:r w:rsidRPr="00F80492">
        <w:t xml:space="preserve">methodological </w:t>
      </w:r>
      <w:r w:rsidR="00F80492" w:rsidRPr="00F80492">
        <w:t>trio</w:t>
      </w:r>
      <w:r w:rsidRPr="005672BA">
        <w:t xml:space="preserve"> that enables a comprehensive study of the Johannine </w:t>
      </w:r>
      <w:r w:rsidRPr="005672BA">
        <w:rPr>
          <w:i/>
          <w:iCs/>
        </w:rPr>
        <w:t>Logos</w:t>
      </w:r>
      <w:r w:rsidRPr="005672BA">
        <w:t xml:space="preserve">. Philology clarifies the semantic possibilities of </w:t>
      </w:r>
      <w:r w:rsidRPr="005672BA">
        <w:rPr>
          <w:i/>
          <w:iCs/>
        </w:rPr>
        <w:t>logos</w:t>
      </w:r>
      <w:r w:rsidR="004723B4">
        <w:t>, what the text can mean</w:t>
      </w:r>
      <w:r w:rsidRPr="005672BA">
        <w:t>; Second Temple Jewish studies situate the concept within its native symbolic world</w:t>
      </w:r>
      <w:r w:rsidR="004723B4">
        <w:t>, what the text might intend within its historical milieu</w:t>
      </w:r>
      <w:r w:rsidRPr="005672BA">
        <w:t>; and theological exegesis interprets its narrative and doctrinal significance</w:t>
      </w:r>
      <w:r w:rsidR="004723B4">
        <w:t xml:space="preserve">, how the text functions within its narrative </w:t>
      </w:r>
      <w:r w:rsidR="004723B4">
        <w:lastRenderedPageBreak/>
        <w:t>and canonical context</w:t>
      </w:r>
      <w:r w:rsidRPr="005672BA">
        <w:t>. Together, they illuminate the Prologue as a text that is linguistically sophisticated, historically embedded, and theologically profound.</w:t>
      </w:r>
      <w:r w:rsidR="004723B4">
        <w:t xml:space="preserve"> </w:t>
      </w:r>
      <w:r w:rsidR="004723B4" w:rsidRPr="00C40BA3">
        <w:t xml:space="preserve">This </w:t>
      </w:r>
      <w:r w:rsidR="00435A5A">
        <w:t>stepped</w:t>
      </w:r>
      <w:r w:rsidR="004723B4" w:rsidRPr="00C40BA3">
        <w:t xml:space="preserve"> approach ensures methodological transparency and guards against reductionism</w:t>
      </w:r>
    </w:p>
    <w:p w14:paraId="1BB6EC1D" w14:textId="538CE635" w:rsidR="000C776D" w:rsidRDefault="000C776D" w:rsidP="00D80D98">
      <w:pPr>
        <w:spacing w:line="480" w:lineRule="auto"/>
      </w:pPr>
      <w:r>
        <w:rPr>
          <w:i/>
          <w:iCs/>
        </w:rPr>
        <w:t>Limitations and controls</w:t>
      </w:r>
    </w:p>
    <w:p w14:paraId="411D802B" w14:textId="4D295FA5" w:rsidR="000C776D" w:rsidRDefault="000C776D" w:rsidP="00D80D98">
      <w:pPr>
        <w:spacing w:line="480" w:lineRule="auto"/>
      </w:pPr>
      <w:r>
        <w:t>The three approaches outlined above provide a limiting control on each other as follows: philological discipline prevents speculative theological interpretations; historical contextualisation prevents anachronistic theological readings; theological coherence avoids fragmentation of the text into unrelated historical or lexical fragments</w:t>
      </w:r>
      <w:r w:rsidR="00AD6D5A">
        <w:t>; and explicit methodological boundaries ensure that each of the frameworks contributes without being overreaching.</w:t>
      </w:r>
    </w:p>
    <w:p w14:paraId="37AAEB20" w14:textId="77777777" w:rsidR="00AD6D5A" w:rsidRDefault="00AD6D5A" w:rsidP="00D80D98">
      <w:pPr>
        <w:spacing w:line="480" w:lineRule="auto"/>
      </w:pPr>
      <w:r>
        <w:rPr>
          <w:i/>
          <w:iCs/>
        </w:rPr>
        <w:t>Conclusion</w:t>
      </w:r>
      <w:r>
        <w:t xml:space="preserve"> </w:t>
      </w:r>
    </w:p>
    <w:p w14:paraId="7BDF7D89" w14:textId="523ACA18" w:rsidR="00AD6D5A" w:rsidRDefault="00AD6D5A" w:rsidP="00D80D98">
      <w:pPr>
        <w:spacing w:line="480" w:lineRule="auto"/>
      </w:pPr>
      <w:r>
        <w:t xml:space="preserve">The triangulated methodology and approaches outlined above provide a solid basis for analysing the function of the </w:t>
      </w:r>
      <w:r>
        <w:rPr>
          <w:i/>
          <w:iCs/>
        </w:rPr>
        <w:t>Logos</w:t>
      </w:r>
      <w:r>
        <w:t xml:space="preserve"> in John 1:1</w:t>
      </w:r>
      <w:r w:rsidRPr="00C40BA3">
        <w:t>–18</w:t>
      </w:r>
      <w:r>
        <w:t xml:space="preserve">. </w:t>
      </w:r>
      <w:r w:rsidR="00F52CCB">
        <w:t>Each of the three elements would make a dissertation</w:t>
      </w:r>
      <w:r w:rsidR="0099728E">
        <w:t xml:space="preserve">-length study </w:t>
      </w:r>
      <w:r w:rsidR="00F52CCB">
        <w:t>in its own right. But t</w:t>
      </w:r>
      <w:r>
        <w:t>he integration of philological rigour, Jewish intertextual depth, and theological-narrative coherence ensure that the study is able to offer a comprehensive and defensible interpretation of one of the most conceptually rich passages in the New Testament.</w:t>
      </w:r>
    </w:p>
    <w:p w14:paraId="09CF7D69" w14:textId="77B04FA7" w:rsidR="00435A5A" w:rsidRPr="00AD6D5A" w:rsidRDefault="00435A5A" w:rsidP="00D80D98">
      <w:pPr>
        <w:spacing w:line="480" w:lineRule="auto"/>
      </w:pPr>
      <w:r>
        <w:t>(</w:t>
      </w:r>
      <w:r w:rsidR="0099728E">
        <w:t>200</w:t>
      </w:r>
      <w:r w:rsidR="009416B5">
        <w:t>3</w:t>
      </w:r>
      <w:r w:rsidR="00F52CCB">
        <w:t xml:space="preserve"> </w:t>
      </w:r>
      <w:r>
        <w:t>words)</w:t>
      </w:r>
    </w:p>
    <w:p w14:paraId="27A3B456" w14:textId="127C4230" w:rsidR="005672BA" w:rsidRDefault="00854CDE" w:rsidP="005672BA">
      <w:pPr>
        <w:rPr>
          <w:b/>
          <w:bCs/>
        </w:rPr>
      </w:pPr>
      <w:r>
        <w:rPr>
          <w:b/>
          <w:bCs/>
        </w:rPr>
        <w:t>REFERENCES</w:t>
      </w:r>
    </w:p>
    <w:p w14:paraId="5A82C487" w14:textId="71F22D17" w:rsidR="001B1BE3" w:rsidRPr="001B1BE3" w:rsidRDefault="001B1BE3" w:rsidP="005672BA">
      <w:r w:rsidRPr="001B1BE3">
        <w:t>Anatolios, K.</w:t>
      </w:r>
      <w:r w:rsidR="00921E08">
        <w:t xml:space="preserve"> (</w:t>
      </w:r>
      <w:r w:rsidRPr="001B1BE3">
        <w:t>2011</w:t>
      </w:r>
      <w:r w:rsidR="00921E08">
        <w:rPr>
          <w:i/>
          <w:iCs/>
        </w:rPr>
        <w:t>)</w:t>
      </w:r>
      <w:r w:rsidRPr="001B1BE3">
        <w:rPr>
          <w:i/>
          <w:iCs/>
        </w:rPr>
        <w:t xml:space="preserve"> Retrieving Nicaea: The Development and Meaning of Trinitarian Doctrine</w:t>
      </w:r>
      <w:r w:rsidRPr="001B1BE3">
        <w:t>. Grand Rapids: Baker Academic.</w:t>
      </w:r>
    </w:p>
    <w:p w14:paraId="2ECD49CB" w14:textId="4CE9F40D" w:rsidR="009E18D1" w:rsidRPr="005672BA" w:rsidRDefault="009E18D1" w:rsidP="005672BA">
      <w:r w:rsidRPr="009E18D1">
        <w:t>Anderson, P.N.</w:t>
      </w:r>
      <w:r>
        <w:t xml:space="preserve"> (</w:t>
      </w:r>
      <w:r w:rsidRPr="009E18D1">
        <w:t>2011</w:t>
      </w:r>
      <w:r>
        <w:t xml:space="preserve">) </w:t>
      </w:r>
      <w:r w:rsidRPr="009E18D1">
        <w:rPr>
          <w:i/>
          <w:iCs/>
        </w:rPr>
        <w:t>The Riddles of the Fourth Gospel: An Introduction to John</w:t>
      </w:r>
      <w:r w:rsidRPr="009E18D1">
        <w:t>. Minneapolis: Fortress Press.</w:t>
      </w:r>
    </w:p>
    <w:p w14:paraId="1B87EC7B" w14:textId="77777777" w:rsidR="007F16F4" w:rsidRDefault="005672BA" w:rsidP="007F16F4">
      <w:pPr>
        <w:spacing w:line="240" w:lineRule="auto"/>
      </w:pPr>
      <w:r w:rsidRPr="005672BA">
        <w:t xml:space="preserve">Barrett, C.K. (1978) </w:t>
      </w:r>
      <w:r w:rsidRPr="005672BA">
        <w:rPr>
          <w:i/>
          <w:iCs/>
        </w:rPr>
        <w:t>The Gospel According to St John</w:t>
      </w:r>
      <w:r w:rsidRPr="005672BA">
        <w:t>. 2nd edn. London: SPCK.</w:t>
      </w:r>
      <w:r w:rsidR="007F16F4">
        <w:t xml:space="preserve"> </w:t>
      </w:r>
    </w:p>
    <w:p w14:paraId="6712F061" w14:textId="38727F3C" w:rsidR="007F16F4" w:rsidRPr="007F16F4" w:rsidRDefault="007F16F4" w:rsidP="007F16F4">
      <w:pPr>
        <w:spacing w:line="240" w:lineRule="auto"/>
      </w:pPr>
      <w:r w:rsidRPr="007F16F4">
        <w:t xml:space="preserve">Beale, G.K., 2012. </w:t>
      </w:r>
      <w:r w:rsidRPr="007F16F4">
        <w:rPr>
          <w:i/>
          <w:iCs/>
        </w:rPr>
        <w:t>Handbook on the New Testament Use of the Old Testament</w:t>
      </w:r>
      <w:r w:rsidRPr="007F16F4">
        <w:t>. Grand Rapids: Baker Academic.</w:t>
      </w:r>
    </w:p>
    <w:p w14:paraId="519A5191" w14:textId="100549C9" w:rsidR="00435A5A" w:rsidRDefault="005672BA" w:rsidP="004E0613">
      <w:pPr>
        <w:spacing w:line="240" w:lineRule="auto"/>
      </w:pPr>
      <w:r w:rsidRPr="005672BA">
        <w:t xml:space="preserve">Boyarin, D. (2001) ‘The Gospel of the Memra: Jewish Binitarianism and the Prologue to John’, </w:t>
      </w:r>
      <w:r w:rsidRPr="005672BA">
        <w:rPr>
          <w:i/>
          <w:iCs/>
        </w:rPr>
        <w:t>Harvard Theological Review</w:t>
      </w:r>
      <w:r w:rsidRPr="005672BA">
        <w:t>, 94(3), pp. 243–284.</w:t>
      </w:r>
    </w:p>
    <w:p w14:paraId="72A7CEDE" w14:textId="77777777" w:rsidR="003B51C9" w:rsidRDefault="00FB3B0D" w:rsidP="003B51C9">
      <w:pPr>
        <w:spacing w:line="240" w:lineRule="auto"/>
        <w:rPr>
          <w:rFonts w:eastAsia="Times New Roman"/>
          <w:color w:val="auto"/>
          <w:kern w:val="0"/>
          <w:szCs w:val="24"/>
          <w:lang w:eastAsia="en-GB"/>
          <w14:ligatures w14:val="none"/>
        </w:rPr>
      </w:pPr>
      <w:r>
        <w:rPr>
          <w:i/>
          <w:iCs/>
        </w:rPr>
        <w:lastRenderedPageBreak/>
        <w:t xml:space="preserve">The </w:t>
      </w:r>
      <w:r w:rsidR="00854CDE">
        <w:rPr>
          <w:i/>
          <w:iCs/>
        </w:rPr>
        <w:t>Brill Dictionary</w:t>
      </w:r>
      <w:r w:rsidR="00854CDE">
        <w:t xml:space="preserve"> </w:t>
      </w:r>
      <w:r>
        <w:rPr>
          <w:i/>
          <w:iCs/>
        </w:rPr>
        <w:t xml:space="preserve">of Ancient Greek </w:t>
      </w:r>
      <w:r w:rsidR="00854CDE">
        <w:t xml:space="preserve">(2015) ed. by </w:t>
      </w:r>
      <w:r>
        <w:t xml:space="preserve">F. </w:t>
      </w:r>
      <w:r w:rsidR="00854CDE">
        <w:t>Montanari</w:t>
      </w:r>
      <w:r>
        <w:t>, M. Goh &amp; C. Schroeder. English edition.</w:t>
      </w:r>
      <w:r w:rsidR="00854CDE">
        <w:t xml:space="preserve"> Leiden</w:t>
      </w:r>
      <w:r>
        <w:t>/Boston</w:t>
      </w:r>
      <w:r w:rsidR="00854CDE">
        <w:t>: Brill.</w:t>
      </w:r>
      <w:r w:rsidR="003B51C9" w:rsidRPr="003B51C9">
        <w:rPr>
          <w:rFonts w:eastAsia="Times New Roman"/>
          <w:color w:val="auto"/>
          <w:kern w:val="0"/>
          <w:szCs w:val="24"/>
          <w:lang w:eastAsia="en-GB"/>
          <w14:ligatures w14:val="none"/>
        </w:rPr>
        <w:t xml:space="preserve"> </w:t>
      </w:r>
    </w:p>
    <w:p w14:paraId="1E1983A9" w14:textId="77777777" w:rsidR="0081487C" w:rsidRDefault="003B51C9" w:rsidP="0081487C">
      <w:pPr>
        <w:spacing w:line="240" w:lineRule="auto"/>
      </w:pPr>
      <w:r w:rsidRPr="003B51C9">
        <w:t xml:space="preserve">Dillon, J. </w:t>
      </w:r>
      <w:r>
        <w:t>(</w:t>
      </w:r>
      <w:r w:rsidRPr="003B51C9">
        <w:t>1996</w:t>
      </w:r>
      <w:r>
        <w:t>)</w:t>
      </w:r>
      <w:r w:rsidRPr="003B51C9">
        <w:t xml:space="preserve"> </w:t>
      </w:r>
      <w:r w:rsidRPr="003B51C9">
        <w:rPr>
          <w:i/>
          <w:iCs/>
        </w:rPr>
        <w:t>The Middle Platonists: 80 BC to AD 220</w:t>
      </w:r>
      <w:r w:rsidRPr="003B51C9">
        <w:t>. 2nd ed. London: Duckworth.</w:t>
      </w:r>
      <w:r w:rsidR="0081487C" w:rsidRPr="0081487C">
        <w:t xml:space="preserve"> </w:t>
      </w:r>
    </w:p>
    <w:p w14:paraId="77C3F04A" w14:textId="127F9B98" w:rsidR="0081487C" w:rsidRDefault="0081487C" w:rsidP="0081487C">
      <w:pPr>
        <w:spacing w:line="240" w:lineRule="auto"/>
      </w:pPr>
      <w:r>
        <w:t xml:space="preserve">Fletcher‑Louis, C. (2002) </w:t>
      </w:r>
      <w:r w:rsidRPr="0081487C">
        <w:rPr>
          <w:i/>
          <w:iCs/>
        </w:rPr>
        <w:t>Luke–Acts: Angels, Christology and Soteriology</w:t>
      </w:r>
      <w:r>
        <w:t>. Tübingen: Mohr Siebeck.</w:t>
      </w:r>
    </w:p>
    <w:p w14:paraId="5BFEE542" w14:textId="4FFC9B7E" w:rsidR="003B51C9" w:rsidRDefault="0081487C" w:rsidP="0081487C">
      <w:pPr>
        <w:spacing w:line="240" w:lineRule="auto"/>
      </w:pPr>
      <w:r>
        <w:t xml:space="preserve">Fredriksen, P. (2017)  </w:t>
      </w:r>
      <w:r w:rsidRPr="00921E08">
        <w:rPr>
          <w:i/>
          <w:iCs/>
        </w:rPr>
        <w:t>Paul:</w:t>
      </w:r>
      <w:r>
        <w:t xml:space="preserve"> </w:t>
      </w:r>
      <w:r w:rsidRPr="0081487C">
        <w:rPr>
          <w:i/>
          <w:iCs/>
        </w:rPr>
        <w:t>The Pagans’ Apostle</w:t>
      </w:r>
      <w:r>
        <w:t>. New Haven: Yale University Press.</w:t>
      </w:r>
    </w:p>
    <w:p w14:paraId="20CD48B6" w14:textId="77511D70" w:rsidR="00DA1142" w:rsidRDefault="00DA1142" w:rsidP="0081487C">
      <w:pPr>
        <w:spacing w:line="240" w:lineRule="auto"/>
      </w:pPr>
      <w:r w:rsidRPr="00DA1142">
        <w:t xml:space="preserve">Fredriksen, P. </w:t>
      </w:r>
      <w:r>
        <w:t>(</w:t>
      </w:r>
      <w:r w:rsidRPr="00DA1142">
        <w:t>2018</w:t>
      </w:r>
      <w:r>
        <w:t>)</w:t>
      </w:r>
      <w:r w:rsidRPr="00DA1142">
        <w:t xml:space="preserve"> </w:t>
      </w:r>
      <w:r w:rsidRPr="00DA1142">
        <w:rPr>
          <w:i/>
          <w:iCs/>
        </w:rPr>
        <w:t>When Christians Were Jews: The First Generation</w:t>
      </w:r>
      <w:r w:rsidRPr="00DA1142">
        <w:t>. New Haven: Yale University Press.</w:t>
      </w:r>
    </w:p>
    <w:p w14:paraId="1835C21E" w14:textId="72BD1C98" w:rsidR="005672BA" w:rsidRDefault="005672BA" w:rsidP="004E0613">
      <w:pPr>
        <w:spacing w:line="240" w:lineRule="auto"/>
      </w:pPr>
      <w:r w:rsidRPr="005672BA">
        <w:t xml:space="preserve">Fossum, J. (1985) </w:t>
      </w:r>
      <w:r w:rsidRPr="005672BA">
        <w:rPr>
          <w:i/>
          <w:iCs/>
        </w:rPr>
        <w:t>The Name of God and the Angel of the Lord</w:t>
      </w:r>
      <w:r w:rsidRPr="005672BA">
        <w:t>. Tübingen: Mohr Siebeck.</w:t>
      </w:r>
    </w:p>
    <w:p w14:paraId="12019C32" w14:textId="7F7D10EF" w:rsidR="001B1BE3" w:rsidRDefault="001B1BE3" w:rsidP="004E0613">
      <w:pPr>
        <w:spacing w:line="240" w:lineRule="auto"/>
      </w:pPr>
      <w:r w:rsidRPr="001B1BE3">
        <w:t>Fowl, S.E.</w:t>
      </w:r>
      <w:r>
        <w:t xml:space="preserve"> (</w:t>
      </w:r>
      <w:r w:rsidRPr="001B1BE3">
        <w:t>1998</w:t>
      </w:r>
      <w:r>
        <w:t>)</w:t>
      </w:r>
      <w:r w:rsidRPr="001B1BE3">
        <w:t xml:space="preserve"> </w:t>
      </w:r>
      <w:r w:rsidRPr="001B1BE3">
        <w:rPr>
          <w:i/>
          <w:iCs/>
        </w:rPr>
        <w:t>Engaging Scripture: A Model for Theological Interpretation</w:t>
      </w:r>
      <w:r w:rsidRPr="001B1BE3">
        <w:t>. Louisville: Westminster John Knox Press.</w:t>
      </w:r>
    </w:p>
    <w:p w14:paraId="0FF318AB" w14:textId="31AD5D9C" w:rsidR="00F02E24" w:rsidRDefault="009B017C" w:rsidP="004E0613">
      <w:pPr>
        <w:spacing w:line="240" w:lineRule="auto"/>
      </w:pPr>
      <w:r>
        <w:t xml:space="preserve">_________(2009) </w:t>
      </w:r>
      <w:r w:rsidR="00F02E24" w:rsidRPr="00F02E24">
        <w:rPr>
          <w:i/>
          <w:iCs/>
        </w:rPr>
        <w:t>Theological Interpretation of Scripture</w:t>
      </w:r>
      <w:r w:rsidR="00F02E24" w:rsidRPr="00F02E24">
        <w:t>. Eugene: Cascade.</w:t>
      </w:r>
    </w:p>
    <w:p w14:paraId="614D0BFF" w14:textId="1CD72AF1" w:rsidR="00922D84" w:rsidRDefault="00922D84" w:rsidP="004E0613">
      <w:pPr>
        <w:spacing w:line="240" w:lineRule="auto"/>
      </w:pPr>
      <w:r w:rsidRPr="00922D84">
        <w:t xml:space="preserve">Holmes, M.W., ed. </w:t>
      </w:r>
      <w:r>
        <w:t>(</w:t>
      </w:r>
      <w:r w:rsidRPr="00922D84">
        <w:t>2010</w:t>
      </w:r>
      <w:r>
        <w:t xml:space="preserve">) </w:t>
      </w:r>
      <w:r w:rsidRPr="00922D84">
        <w:rPr>
          <w:i/>
          <w:iCs/>
        </w:rPr>
        <w:t>The Greek New Testament: SBL Edition</w:t>
      </w:r>
      <w:r w:rsidRPr="00922D84">
        <w:t>. Atlanta: Society of Biblical Literature.</w:t>
      </w:r>
    </w:p>
    <w:p w14:paraId="2679A52B" w14:textId="77777777" w:rsidR="0081487C" w:rsidRDefault="00F538B5" w:rsidP="0081487C">
      <w:pPr>
        <w:spacing w:line="240" w:lineRule="auto"/>
        <w:rPr>
          <w:rFonts w:eastAsia="Times New Roman"/>
          <w:color w:val="auto"/>
          <w:kern w:val="0"/>
          <w:szCs w:val="24"/>
          <w:lang w:eastAsia="en-GB"/>
          <w14:ligatures w14:val="none"/>
        </w:rPr>
      </w:pPr>
      <w:r>
        <w:t xml:space="preserve">Hurford, J.R., Heasley, B. &amp; Smith, M.B. (2007) </w:t>
      </w:r>
      <w:r>
        <w:rPr>
          <w:i/>
          <w:iCs/>
        </w:rPr>
        <w:t>Semantics: A Coursebook</w:t>
      </w:r>
      <w:r>
        <w:t>. Cambridge: Cambridge University Press.</w:t>
      </w:r>
      <w:r w:rsidR="0081487C" w:rsidRPr="0081487C">
        <w:rPr>
          <w:rFonts w:eastAsia="Times New Roman"/>
          <w:color w:val="auto"/>
          <w:kern w:val="0"/>
          <w:szCs w:val="24"/>
          <w:lang w:eastAsia="en-GB"/>
          <w14:ligatures w14:val="none"/>
        </w:rPr>
        <w:t xml:space="preserve"> </w:t>
      </w:r>
    </w:p>
    <w:p w14:paraId="4468AFAD" w14:textId="0B6A899D" w:rsidR="0081487C" w:rsidRPr="0081487C" w:rsidRDefault="0081487C" w:rsidP="0081487C">
      <w:pPr>
        <w:spacing w:line="240" w:lineRule="auto"/>
      </w:pPr>
      <w:r w:rsidRPr="0081487C">
        <w:t xml:space="preserve">Kamesar, A., ed. </w:t>
      </w:r>
      <w:r>
        <w:t>(</w:t>
      </w:r>
      <w:r w:rsidRPr="0081487C">
        <w:t>2009</w:t>
      </w:r>
      <w:r>
        <w:t>)</w:t>
      </w:r>
      <w:r w:rsidRPr="0081487C">
        <w:t xml:space="preserve"> </w:t>
      </w:r>
      <w:r w:rsidRPr="0081487C">
        <w:rPr>
          <w:i/>
          <w:iCs/>
        </w:rPr>
        <w:t>The Cambridge Companion to Philo</w:t>
      </w:r>
      <w:r w:rsidRPr="0081487C">
        <w:t>. Cambridge: Cambridge University Press.</w:t>
      </w:r>
    </w:p>
    <w:p w14:paraId="0CDFF619" w14:textId="1BB8DDE7" w:rsidR="00F02E24" w:rsidRDefault="00F02E24" w:rsidP="007F16F4">
      <w:pPr>
        <w:spacing w:line="240" w:lineRule="auto"/>
      </w:pPr>
      <w:r w:rsidRPr="00F02E24">
        <w:t xml:space="preserve">Koester, C.R. </w:t>
      </w:r>
      <w:r>
        <w:t>(</w:t>
      </w:r>
      <w:r w:rsidRPr="00F02E24">
        <w:t>2008</w:t>
      </w:r>
      <w:r>
        <w:t>)</w:t>
      </w:r>
      <w:r w:rsidRPr="00F02E24">
        <w:t xml:space="preserve"> </w:t>
      </w:r>
      <w:r w:rsidRPr="00F02E24">
        <w:rPr>
          <w:i/>
          <w:iCs/>
        </w:rPr>
        <w:t>The Word of Life: A Theology of John’s Gospel</w:t>
      </w:r>
      <w:r w:rsidRPr="00F02E24">
        <w:t>. Grand Rapids: Eerdmans.</w:t>
      </w:r>
    </w:p>
    <w:p w14:paraId="4BF80677" w14:textId="5B1A9C7E" w:rsidR="009E18D1" w:rsidRDefault="009E18D1" w:rsidP="009E18D1">
      <w:pPr>
        <w:spacing w:line="240" w:lineRule="auto"/>
      </w:pPr>
      <w:r>
        <w:t xml:space="preserve">Lee, D.A. (1994) </w:t>
      </w:r>
      <w:r w:rsidRPr="009E18D1">
        <w:rPr>
          <w:i/>
          <w:iCs/>
        </w:rPr>
        <w:t>The Symbolic Narratives of the Fourth Gospel: The Interplay of Form and Meaning</w:t>
      </w:r>
      <w:r>
        <w:t>. Sheffield: Sheffield Academic Press.</w:t>
      </w:r>
    </w:p>
    <w:p w14:paraId="2EDDC915" w14:textId="229E2272" w:rsidR="00922D84" w:rsidRDefault="00921E08" w:rsidP="009E18D1">
      <w:pPr>
        <w:spacing w:line="240" w:lineRule="auto"/>
      </w:pPr>
      <w:r>
        <w:t>________</w:t>
      </w:r>
      <w:r w:rsidR="00922D84" w:rsidRPr="00922D84">
        <w:t xml:space="preserve"> </w:t>
      </w:r>
      <w:r>
        <w:t>(</w:t>
      </w:r>
      <w:r w:rsidR="00922D84" w:rsidRPr="00922D84">
        <w:t>2017</w:t>
      </w:r>
      <w:r>
        <w:t>)</w:t>
      </w:r>
      <w:r w:rsidR="00922D84" w:rsidRPr="00922D84">
        <w:t xml:space="preserve"> </w:t>
      </w:r>
      <w:r w:rsidR="00922D84" w:rsidRPr="00922D84">
        <w:rPr>
          <w:i/>
          <w:iCs/>
        </w:rPr>
        <w:t>A Friendly Guide to John</w:t>
      </w:r>
      <w:r w:rsidR="00922D84" w:rsidRPr="00922D84">
        <w:t>. Mulgrave: Garratt Publishing.</w:t>
      </w:r>
    </w:p>
    <w:p w14:paraId="2DABFE42" w14:textId="039AA78C" w:rsidR="00427860" w:rsidRDefault="007F16F4" w:rsidP="004E0613">
      <w:pPr>
        <w:spacing w:line="240" w:lineRule="auto"/>
      </w:pPr>
      <w:r w:rsidRPr="007F16F4">
        <w:t xml:space="preserve">Moyise, S. </w:t>
      </w:r>
      <w:r>
        <w:t>(</w:t>
      </w:r>
      <w:r w:rsidRPr="007F16F4">
        <w:t>2001</w:t>
      </w:r>
      <w:r>
        <w:t>)</w:t>
      </w:r>
      <w:r w:rsidRPr="007F16F4">
        <w:t xml:space="preserve"> </w:t>
      </w:r>
      <w:r w:rsidRPr="007F16F4">
        <w:rPr>
          <w:i/>
          <w:iCs/>
        </w:rPr>
        <w:t>Introduction to Biblical Studies</w:t>
      </w:r>
      <w:r w:rsidRPr="007F16F4">
        <w:t>. 2nd ed. London: T&amp;T Clark.</w:t>
      </w:r>
    </w:p>
    <w:p w14:paraId="546C7687" w14:textId="77777777" w:rsidR="00427860" w:rsidRDefault="005672BA" w:rsidP="004E0613">
      <w:pPr>
        <w:spacing w:line="240" w:lineRule="auto"/>
      </w:pPr>
      <w:r w:rsidRPr="005672BA">
        <w:t xml:space="preserve">Schnackenburg, R. (1982) </w:t>
      </w:r>
      <w:r w:rsidRPr="005672BA">
        <w:rPr>
          <w:i/>
          <w:iCs/>
        </w:rPr>
        <w:t>The Gospel According to St John: Volume 1</w:t>
      </w:r>
      <w:r w:rsidRPr="005672BA">
        <w:t>. London: Burns &amp; Oates.</w:t>
      </w:r>
    </w:p>
    <w:p w14:paraId="165F6D94" w14:textId="1EDE070B" w:rsidR="00922D84" w:rsidRDefault="00922D84" w:rsidP="004E0613">
      <w:pPr>
        <w:spacing w:line="240" w:lineRule="auto"/>
      </w:pPr>
      <w:r w:rsidRPr="00922D84">
        <w:t>Stibbe, M.W.G.</w:t>
      </w:r>
      <w:r>
        <w:t xml:space="preserve"> (</w:t>
      </w:r>
      <w:r w:rsidRPr="00922D84">
        <w:t>1993</w:t>
      </w:r>
      <w:r>
        <w:t>)</w:t>
      </w:r>
      <w:r w:rsidRPr="00922D84">
        <w:t xml:space="preserve"> </w:t>
      </w:r>
      <w:r w:rsidRPr="00922D84">
        <w:rPr>
          <w:i/>
          <w:iCs/>
        </w:rPr>
        <w:t>John</w:t>
      </w:r>
      <w:r w:rsidRPr="00922D84">
        <w:t>. Sheffield: Sheffield Academic Press.</w:t>
      </w:r>
    </w:p>
    <w:p w14:paraId="4BEB574B" w14:textId="117C4B74" w:rsidR="00DD395C" w:rsidRDefault="00DD395C" w:rsidP="004E0613">
      <w:pPr>
        <w:spacing w:line="240" w:lineRule="auto"/>
      </w:pPr>
      <w:r w:rsidRPr="00DD395C">
        <w:t>Thompson, M.M.</w:t>
      </w:r>
      <w:r>
        <w:t xml:space="preserve"> (</w:t>
      </w:r>
      <w:r w:rsidRPr="00DD395C">
        <w:t>2001</w:t>
      </w:r>
      <w:r>
        <w:t>)</w:t>
      </w:r>
      <w:r w:rsidRPr="00DD395C">
        <w:t xml:space="preserve"> </w:t>
      </w:r>
      <w:r w:rsidRPr="00DD395C">
        <w:rPr>
          <w:i/>
          <w:iCs/>
        </w:rPr>
        <w:t>The God of the Gospel of John</w:t>
      </w:r>
      <w:r w:rsidRPr="00DD395C">
        <w:t>. Grand Rapids: Eerdmans.</w:t>
      </w:r>
    </w:p>
    <w:p w14:paraId="2A82D333" w14:textId="49036403" w:rsidR="00F02E24" w:rsidRDefault="00921E08" w:rsidP="00F02E24">
      <w:pPr>
        <w:spacing w:line="240" w:lineRule="auto"/>
      </w:pPr>
      <w:r>
        <w:t>____________</w:t>
      </w:r>
      <w:r w:rsidR="00F02E24">
        <w:t xml:space="preserve"> (2015) </w:t>
      </w:r>
      <w:r w:rsidR="00F02E24" w:rsidRPr="00F02E24">
        <w:rPr>
          <w:i/>
          <w:iCs/>
        </w:rPr>
        <w:t>John: A Commentar</w:t>
      </w:r>
      <w:r w:rsidR="00F02E24">
        <w:t>y. Louisville: Westminster John Knox Press.</w:t>
      </w:r>
    </w:p>
    <w:p w14:paraId="0AFAFBAA" w14:textId="495303A6" w:rsidR="00F02E24" w:rsidRDefault="00F02E24" w:rsidP="00F02E24">
      <w:pPr>
        <w:spacing w:line="240" w:lineRule="auto"/>
      </w:pPr>
      <w:r>
        <w:t xml:space="preserve">Watson, F. (2013) </w:t>
      </w:r>
      <w:r w:rsidRPr="00F02E24">
        <w:rPr>
          <w:i/>
          <w:iCs/>
        </w:rPr>
        <w:t>Gospel Writing: A Canonical Perspective</w:t>
      </w:r>
      <w:r>
        <w:t>. Grand Rapids: Eerdmans.</w:t>
      </w:r>
    </w:p>
    <w:p w14:paraId="01DA03B5" w14:textId="64D82E13" w:rsidR="00C40BA3" w:rsidRPr="00C40BA3" w:rsidRDefault="005672BA" w:rsidP="004E0613">
      <w:pPr>
        <w:spacing w:line="240" w:lineRule="auto"/>
      </w:pPr>
      <w:r w:rsidRPr="005672BA">
        <w:t xml:space="preserve">Wright, N.T. (2013) </w:t>
      </w:r>
      <w:r w:rsidRPr="005672BA">
        <w:rPr>
          <w:i/>
          <w:iCs/>
        </w:rPr>
        <w:t>Paul and the Faithfulness of God</w:t>
      </w:r>
      <w:r w:rsidRPr="005672BA">
        <w:t>. Minneapolis: Fortress Press.</w:t>
      </w:r>
    </w:p>
    <w:p w14:paraId="38D39F6C" w14:textId="77777777" w:rsidR="00C70725" w:rsidRDefault="00C70725"/>
    <w:sectPr w:rsidR="00C70725" w:rsidSect="00167A4C">
      <w:footerReference w:type="default" r:id="rId8"/>
      <w:pgSz w:w="11906" w:h="16838" w:code="9"/>
      <w:pgMar w:top="851" w:right="851" w:bottom="1134" w:left="2268" w:header="709" w:footer="709" w:gutter="0"/>
      <w:cols w:space="708"/>
      <w:vAlign w:val="both"/>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8B2C4" w14:textId="77777777" w:rsidR="000E18F6" w:rsidRDefault="000E18F6" w:rsidP="00E274A0">
      <w:pPr>
        <w:spacing w:after="0" w:line="240" w:lineRule="auto"/>
      </w:pPr>
      <w:r>
        <w:separator/>
      </w:r>
    </w:p>
  </w:endnote>
  <w:endnote w:type="continuationSeparator" w:id="0">
    <w:p w14:paraId="44AA8F51" w14:textId="77777777" w:rsidR="000E18F6" w:rsidRDefault="000E18F6" w:rsidP="00E2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7406188"/>
      <w:docPartObj>
        <w:docPartGallery w:val="Page Numbers (Bottom of Page)"/>
        <w:docPartUnique/>
      </w:docPartObj>
    </w:sdtPr>
    <w:sdtEndPr>
      <w:rPr>
        <w:noProof/>
      </w:rPr>
    </w:sdtEndPr>
    <w:sdtContent>
      <w:p w14:paraId="62D276AA" w14:textId="5E461DE2" w:rsidR="00E274A0" w:rsidRDefault="00E274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5D6B0D" w14:textId="77777777" w:rsidR="00E274A0" w:rsidRDefault="00E27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EB2CC" w14:textId="77777777" w:rsidR="000E18F6" w:rsidRDefault="000E18F6" w:rsidP="00E274A0">
      <w:pPr>
        <w:spacing w:after="0" w:line="240" w:lineRule="auto"/>
      </w:pPr>
      <w:r>
        <w:separator/>
      </w:r>
    </w:p>
  </w:footnote>
  <w:footnote w:type="continuationSeparator" w:id="0">
    <w:p w14:paraId="09B0FC0C" w14:textId="77777777" w:rsidR="000E18F6" w:rsidRDefault="000E18F6" w:rsidP="00E27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E1100"/>
    <w:multiLevelType w:val="multilevel"/>
    <w:tmpl w:val="236A238E"/>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57BCA"/>
    <w:multiLevelType w:val="multilevel"/>
    <w:tmpl w:val="8FF42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C2B21"/>
    <w:multiLevelType w:val="multilevel"/>
    <w:tmpl w:val="868C471E"/>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005EC"/>
    <w:multiLevelType w:val="multilevel"/>
    <w:tmpl w:val="53347874"/>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B6ED4"/>
    <w:multiLevelType w:val="multilevel"/>
    <w:tmpl w:val="034E0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A7A07"/>
    <w:multiLevelType w:val="multilevel"/>
    <w:tmpl w:val="3DEA9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07C41"/>
    <w:multiLevelType w:val="multilevel"/>
    <w:tmpl w:val="76808B50"/>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6F6173"/>
    <w:multiLevelType w:val="multilevel"/>
    <w:tmpl w:val="66228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3E2E6E"/>
    <w:multiLevelType w:val="multilevel"/>
    <w:tmpl w:val="5CBAC040"/>
    <w:lvl w:ilvl="0">
      <w:start w:val="1"/>
      <w:numFmt w:val="lowerLetter"/>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AE4827"/>
    <w:multiLevelType w:val="multilevel"/>
    <w:tmpl w:val="A85081C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rPr>
        <w:rFonts w:ascii="Times New Roman" w:eastAsiaTheme="minorHAnsi" w:hAnsi="Times New Roman" w:cs="Times New Roman"/>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910634"/>
    <w:multiLevelType w:val="hybridMultilevel"/>
    <w:tmpl w:val="F1222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A13750"/>
    <w:multiLevelType w:val="multilevel"/>
    <w:tmpl w:val="FBE89BE4"/>
    <w:lvl w:ilvl="0">
      <w:start w:val="1"/>
      <w:numFmt w:val="decimal"/>
      <w:lvlText w:val="%1."/>
      <w:lvlJc w:val="left"/>
      <w:pPr>
        <w:tabs>
          <w:tab w:val="num" w:pos="720"/>
        </w:tabs>
        <w:ind w:left="720" w:hanging="360"/>
      </w:pPr>
      <w:rPr>
        <w:rFonts w:ascii="Times New Roman" w:eastAsiaTheme="minorHAnsi"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3A00FE"/>
    <w:multiLevelType w:val="multilevel"/>
    <w:tmpl w:val="796EF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E3214E"/>
    <w:multiLevelType w:val="hybridMultilevel"/>
    <w:tmpl w:val="888E2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D80361"/>
    <w:multiLevelType w:val="multilevel"/>
    <w:tmpl w:val="AEFEE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4176740">
    <w:abstractNumId w:val="8"/>
  </w:num>
  <w:num w:numId="2" w16cid:durableId="159321031">
    <w:abstractNumId w:val="11"/>
  </w:num>
  <w:num w:numId="3" w16cid:durableId="1691446032">
    <w:abstractNumId w:val="2"/>
  </w:num>
  <w:num w:numId="4" w16cid:durableId="1488546790">
    <w:abstractNumId w:val="3"/>
  </w:num>
  <w:num w:numId="5" w16cid:durableId="343212807">
    <w:abstractNumId w:val="6"/>
  </w:num>
  <w:num w:numId="6" w16cid:durableId="1803451770">
    <w:abstractNumId w:val="5"/>
  </w:num>
  <w:num w:numId="7" w16cid:durableId="1374186154">
    <w:abstractNumId w:val="1"/>
  </w:num>
  <w:num w:numId="8" w16cid:durableId="50734874">
    <w:abstractNumId w:val="12"/>
  </w:num>
  <w:num w:numId="9" w16cid:durableId="556403319">
    <w:abstractNumId w:val="14"/>
  </w:num>
  <w:num w:numId="10" w16cid:durableId="976107100">
    <w:abstractNumId w:val="7"/>
  </w:num>
  <w:num w:numId="11" w16cid:durableId="1447967925">
    <w:abstractNumId w:val="4"/>
  </w:num>
  <w:num w:numId="12" w16cid:durableId="1537237269">
    <w:abstractNumId w:val="0"/>
  </w:num>
  <w:num w:numId="13" w16cid:durableId="1062482835">
    <w:abstractNumId w:val="9"/>
  </w:num>
  <w:num w:numId="14" w16cid:durableId="1801024319">
    <w:abstractNumId w:val="10"/>
  </w:num>
  <w:num w:numId="15" w16cid:durableId="10762795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2BA"/>
    <w:rsid w:val="000127D3"/>
    <w:rsid w:val="000C776D"/>
    <w:rsid w:val="000E18F6"/>
    <w:rsid w:val="00167A4C"/>
    <w:rsid w:val="00181D96"/>
    <w:rsid w:val="001B1BE3"/>
    <w:rsid w:val="001F6573"/>
    <w:rsid w:val="00237403"/>
    <w:rsid w:val="00250F95"/>
    <w:rsid w:val="00311585"/>
    <w:rsid w:val="00334DB8"/>
    <w:rsid w:val="00385FE0"/>
    <w:rsid w:val="00396CCA"/>
    <w:rsid w:val="003B51C9"/>
    <w:rsid w:val="003F731C"/>
    <w:rsid w:val="004068AB"/>
    <w:rsid w:val="00427860"/>
    <w:rsid w:val="00435A5A"/>
    <w:rsid w:val="004723B4"/>
    <w:rsid w:val="00493979"/>
    <w:rsid w:val="004A334F"/>
    <w:rsid w:val="004B2852"/>
    <w:rsid w:val="004E0613"/>
    <w:rsid w:val="004F178F"/>
    <w:rsid w:val="00531BEB"/>
    <w:rsid w:val="00535235"/>
    <w:rsid w:val="0054797F"/>
    <w:rsid w:val="00553592"/>
    <w:rsid w:val="005672BA"/>
    <w:rsid w:val="005958B6"/>
    <w:rsid w:val="005B2B5B"/>
    <w:rsid w:val="006051A0"/>
    <w:rsid w:val="00624BCF"/>
    <w:rsid w:val="00637F0E"/>
    <w:rsid w:val="006C55EF"/>
    <w:rsid w:val="006C74A1"/>
    <w:rsid w:val="006D4E15"/>
    <w:rsid w:val="00745577"/>
    <w:rsid w:val="00785F06"/>
    <w:rsid w:val="007953B5"/>
    <w:rsid w:val="007B173B"/>
    <w:rsid w:val="007E22F8"/>
    <w:rsid w:val="007F16F4"/>
    <w:rsid w:val="0081487C"/>
    <w:rsid w:val="0082725A"/>
    <w:rsid w:val="00830A0A"/>
    <w:rsid w:val="00847643"/>
    <w:rsid w:val="00854CDE"/>
    <w:rsid w:val="008A1EBF"/>
    <w:rsid w:val="008A769D"/>
    <w:rsid w:val="00921E08"/>
    <w:rsid w:val="00922D84"/>
    <w:rsid w:val="009416B5"/>
    <w:rsid w:val="009613FE"/>
    <w:rsid w:val="009621E4"/>
    <w:rsid w:val="0099728E"/>
    <w:rsid w:val="009B017C"/>
    <w:rsid w:val="009D4367"/>
    <w:rsid w:val="009E18D1"/>
    <w:rsid w:val="00A10800"/>
    <w:rsid w:val="00A16E04"/>
    <w:rsid w:val="00A700FF"/>
    <w:rsid w:val="00A76754"/>
    <w:rsid w:val="00AD6D5A"/>
    <w:rsid w:val="00B12992"/>
    <w:rsid w:val="00B80AC3"/>
    <w:rsid w:val="00BD4A63"/>
    <w:rsid w:val="00BE1537"/>
    <w:rsid w:val="00BE7647"/>
    <w:rsid w:val="00C40BA3"/>
    <w:rsid w:val="00C512F1"/>
    <w:rsid w:val="00C70725"/>
    <w:rsid w:val="00C95154"/>
    <w:rsid w:val="00CB539C"/>
    <w:rsid w:val="00CC4C29"/>
    <w:rsid w:val="00D00E25"/>
    <w:rsid w:val="00D56F90"/>
    <w:rsid w:val="00D774DA"/>
    <w:rsid w:val="00D80D98"/>
    <w:rsid w:val="00D92EF4"/>
    <w:rsid w:val="00DA1142"/>
    <w:rsid w:val="00DA6236"/>
    <w:rsid w:val="00DC366B"/>
    <w:rsid w:val="00DD395C"/>
    <w:rsid w:val="00DD5866"/>
    <w:rsid w:val="00DD6B44"/>
    <w:rsid w:val="00E274A0"/>
    <w:rsid w:val="00E74EEB"/>
    <w:rsid w:val="00F02E24"/>
    <w:rsid w:val="00F52CCB"/>
    <w:rsid w:val="00F538B5"/>
    <w:rsid w:val="00F80492"/>
    <w:rsid w:val="00FB3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A50B5"/>
  <w15:chartTrackingRefBased/>
  <w15:docId w15:val="{ED6557DF-972E-48CE-8287-6AC91F0AA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A"/>
        <w:kern w:val="2"/>
        <w:sz w:val="24"/>
        <w:szCs w:val="28"/>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2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2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2BA"/>
    <w:pPr>
      <w:keepNext/>
      <w:keepLines/>
      <w:spacing w:before="160" w:after="80"/>
      <w:outlineLvl w:val="2"/>
    </w:pPr>
    <w:rPr>
      <w:rFonts w:asciiTheme="minorHAnsi" w:eastAsiaTheme="majorEastAsia" w:hAnsiTheme="minorHAnsi" w:cstheme="majorBidi"/>
      <w:color w:val="0F4761" w:themeColor="accent1" w:themeShade="BF"/>
      <w:sz w:val="28"/>
    </w:rPr>
  </w:style>
  <w:style w:type="paragraph" w:styleId="Heading4">
    <w:name w:val="heading 4"/>
    <w:basedOn w:val="Normal"/>
    <w:next w:val="Normal"/>
    <w:link w:val="Heading4Char"/>
    <w:uiPriority w:val="9"/>
    <w:semiHidden/>
    <w:unhideWhenUsed/>
    <w:qFormat/>
    <w:rsid w:val="005672B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672B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672B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72B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72B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72B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2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2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2BA"/>
    <w:rPr>
      <w:rFonts w:asciiTheme="minorHAnsi" w:eastAsiaTheme="majorEastAsia" w:hAnsiTheme="minorHAnsi" w:cstheme="majorBidi"/>
      <w:color w:val="0F4761" w:themeColor="accent1" w:themeShade="BF"/>
      <w:sz w:val="28"/>
    </w:rPr>
  </w:style>
  <w:style w:type="character" w:customStyle="1" w:styleId="Heading4Char">
    <w:name w:val="Heading 4 Char"/>
    <w:basedOn w:val="DefaultParagraphFont"/>
    <w:link w:val="Heading4"/>
    <w:uiPriority w:val="9"/>
    <w:semiHidden/>
    <w:rsid w:val="005672B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672B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672B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672B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672B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672B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672B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672BA"/>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5672BA"/>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5672BA"/>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5672BA"/>
    <w:pPr>
      <w:spacing w:before="160"/>
      <w:jc w:val="center"/>
    </w:pPr>
    <w:rPr>
      <w:i/>
      <w:iCs/>
      <w:color w:val="404040" w:themeColor="text1" w:themeTint="BF"/>
    </w:rPr>
  </w:style>
  <w:style w:type="character" w:customStyle="1" w:styleId="QuoteChar">
    <w:name w:val="Quote Char"/>
    <w:basedOn w:val="DefaultParagraphFont"/>
    <w:link w:val="Quote"/>
    <w:uiPriority w:val="29"/>
    <w:rsid w:val="005672BA"/>
    <w:rPr>
      <w:i/>
      <w:iCs/>
      <w:color w:val="404040" w:themeColor="text1" w:themeTint="BF"/>
    </w:rPr>
  </w:style>
  <w:style w:type="paragraph" w:styleId="ListParagraph">
    <w:name w:val="List Paragraph"/>
    <w:basedOn w:val="Normal"/>
    <w:uiPriority w:val="34"/>
    <w:qFormat/>
    <w:rsid w:val="005672BA"/>
    <w:pPr>
      <w:ind w:left="720"/>
      <w:contextualSpacing/>
    </w:pPr>
  </w:style>
  <w:style w:type="character" w:styleId="IntenseEmphasis">
    <w:name w:val="Intense Emphasis"/>
    <w:basedOn w:val="DefaultParagraphFont"/>
    <w:uiPriority w:val="21"/>
    <w:qFormat/>
    <w:rsid w:val="005672BA"/>
    <w:rPr>
      <w:i/>
      <w:iCs/>
      <w:color w:val="0F4761" w:themeColor="accent1" w:themeShade="BF"/>
    </w:rPr>
  </w:style>
  <w:style w:type="paragraph" w:styleId="IntenseQuote">
    <w:name w:val="Intense Quote"/>
    <w:basedOn w:val="Normal"/>
    <w:next w:val="Normal"/>
    <w:link w:val="IntenseQuoteChar"/>
    <w:uiPriority w:val="30"/>
    <w:qFormat/>
    <w:rsid w:val="005672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2BA"/>
    <w:rPr>
      <w:i/>
      <w:iCs/>
      <w:color w:val="0F4761" w:themeColor="accent1" w:themeShade="BF"/>
    </w:rPr>
  </w:style>
  <w:style w:type="character" w:styleId="IntenseReference">
    <w:name w:val="Intense Reference"/>
    <w:basedOn w:val="DefaultParagraphFont"/>
    <w:uiPriority w:val="32"/>
    <w:qFormat/>
    <w:rsid w:val="005672BA"/>
    <w:rPr>
      <w:b/>
      <w:bCs/>
      <w:smallCaps/>
      <w:color w:val="0F4761" w:themeColor="accent1" w:themeShade="BF"/>
      <w:spacing w:val="5"/>
    </w:rPr>
  </w:style>
  <w:style w:type="paragraph" w:styleId="Header">
    <w:name w:val="header"/>
    <w:basedOn w:val="Normal"/>
    <w:link w:val="HeaderChar"/>
    <w:uiPriority w:val="99"/>
    <w:unhideWhenUsed/>
    <w:rsid w:val="00E27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4A0"/>
  </w:style>
  <w:style w:type="paragraph" w:styleId="Footer">
    <w:name w:val="footer"/>
    <w:basedOn w:val="Normal"/>
    <w:link w:val="FooterChar"/>
    <w:uiPriority w:val="99"/>
    <w:unhideWhenUsed/>
    <w:rsid w:val="00E27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4A0"/>
  </w:style>
  <w:style w:type="paragraph" w:styleId="NormalWeb">
    <w:name w:val="Normal (Web)"/>
    <w:basedOn w:val="Normal"/>
    <w:uiPriority w:val="99"/>
    <w:semiHidden/>
    <w:unhideWhenUsed/>
    <w:rsid w:val="003B51C9"/>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070F3-ADF7-43AA-A1EA-C30252E24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1503</TotalTime>
  <Pages>9</Pages>
  <Words>2390</Words>
  <Characters>14578</Characters>
  <Application>Microsoft Office Word</Application>
  <DocSecurity>0</DocSecurity>
  <Lines>239</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dc:creator>
  <cp:keywords/>
  <dc:description/>
  <cp:lastModifiedBy>Tom Norton</cp:lastModifiedBy>
  <cp:revision>21</cp:revision>
  <cp:lastPrinted>2025-12-21T22:03:00Z</cp:lastPrinted>
  <dcterms:created xsi:type="dcterms:W3CDTF">2025-12-19T09:09:00Z</dcterms:created>
  <dcterms:modified xsi:type="dcterms:W3CDTF">2025-12-29T16:44:00Z</dcterms:modified>
</cp:coreProperties>
</file>