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C42D8" w14:textId="77777777" w:rsidR="00223119" w:rsidRPr="00C95C1F" w:rsidRDefault="00223119" w:rsidP="00E70CA2">
      <w:pPr>
        <w:spacing w:line="360" w:lineRule="auto"/>
        <w:rPr>
          <w:rFonts w:ascii="Century Gothic" w:hAnsi="Century Gothic"/>
        </w:rPr>
      </w:pPr>
      <w:r w:rsidRPr="00C95C1F">
        <w:rPr>
          <w:rFonts w:ascii="Century Gothic" w:hAnsi="Century Gothic"/>
        </w:rPr>
        <w:t xml:space="preserve">                                     </w:t>
      </w:r>
      <w:r w:rsidRPr="00C95C1F">
        <w:rPr>
          <w:rFonts w:ascii="Century Gothic" w:hAnsi="Century Gothic"/>
          <w:noProof/>
        </w:rPr>
        <w:drawing>
          <wp:inline distT="0" distB="0" distL="0" distR="0" wp14:anchorId="4FC28BCA" wp14:editId="7579A869">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251D3F33" w14:textId="77777777" w:rsidR="00223119" w:rsidRPr="00C95C1F" w:rsidRDefault="00223119" w:rsidP="00E70CA2">
      <w:pPr>
        <w:spacing w:line="360" w:lineRule="auto"/>
        <w:rPr>
          <w:rFonts w:ascii="Century Gothic" w:hAnsi="Century Gothic"/>
        </w:rPr>
      </w:pPr>
    </w:p>
    <w:p w14:paraId="33258519" w14:textId="6E6D2C0C" w:rsidR="00223119" w:rsidRPr="00604925" w:rsidRDefault="00223119" w:rsidP="00E70CA2">
      <w:pPr>
        <w:spacing w:line="360" w:lineRule="auto"/>
        <w:rPr>
          <w:rFonts w:ascii="Century Gothic" w:hAnsi="Century Gothic"/>
          <w:b/>
          <w:bCs/>
          <w:sz w:val="52"/>
          <w:szCs w:val="52"/>
          <w:highlight w:val="green"/>
        </w:rPr>
      </w:pPr>
      <w:r w:rsidRPr="00604925">
        <w:rPr>
          <w:rFonts w:ascii="Century Gothic" w:hAnsi="Century Gothic"/>
          <w:b/>
          <w:bCs/>
          <w:sz w:val="52"/>
          <w:szCs w:val="52"/>
          <w:highlight w:val="yellow"/>
        </w:rPr>
        <w:t xml:space="preserve">Module Code:  ECDE7012 </w:t>
      </w:r>
      <w:r w:rsidR="001B0DEA">
        <w:rPr>
          <w:rFonts w:ascii="Century Gothic" w:hAnsi="Century Gothic"/>
          <w:b/>
          <w:bCs/>
          <w:sz w:val="52"/>
          <w:szCs w:val="52"/>
          <w:highlight w:val="yellow"/>
        </w:rPr>
        <w:br/>
      </w:r>
      <w:r w:rsidRPr="001B0DEA">
        <w:rPr>
          <w:rFonts w:ascii="Century Gothic" w:hAnsi="Century Gothic"/>
          <w:b/>
          <w:bCs/>
          <w:sz w:val="52"/>
          <w:szCs w:val="52"/>
          <w:highlight w:val="green"/>
        </w:rPr>
        <w:t>Researc</w:t>
      </w:r>
      <w:r w:rsidR="001B0DEA">
        <w:rPr>
          <w:rFonts w:ascii="Century Gothic" w:hAnsi="Century Gothic"/>
          <w:b/>
          <w:bCs/>
          <w:sz w:val="52"/>
          <w:szCs w:val="52"/>
          <w:highlight w:val="green"/>
        </w:rPr>
        <w:t xml:space="preserve">h </w:t>
      </w:r>
      <w:r w:rsidRPr="00604925">
        <w:rPr>
          <w:rFonts w:ascii="Century Gothic" w:hAnsi="Century Gothic"/>
          <w:b/>
          <w:bCs/>
          <w:sz w:val="52"/>
          <w:szCs w:val="52"/>
          <w:highlight w:val="green"/>
        </w:rPr>
        <w:t>Design and Management in Education</w:t>
      </w:r>
    </w:p>
    <w:p w14:paraId="266699AF" w14:textId="1CF94351" w:rsidR="00223119" w:rsidRPr="00C95C1F" w:rsidRDefault="00223119" w:rsidP="00E70CA2">
      <w:pPr>
        <w:spacing w:line="360" w:lineRule="auto"/>
        <w:rPr>
          <w:rFonts w:ascii="Century Gothic" w:hAnsi="Century Gothic"/>
          <w:b/>
          <w:bCs/>
          <w:sz w:val="40"/>
          <w:szCs w:val="40"/>
        </w:rPr>
      </w:pPr>
      <w:r w:rsidRPr="00604925">
        <w:rPr>
          <w:rFonts w:ascii="Century Gothic" w:hAnsi="Century Gothic"/>
          <w:b/>
          <w:bCs/>
          <w:sz w:val="40"/>
          <w:szCs w:val="40"/>
          <w:highlight w:val="green"/>
        </w:rPr>
        <w:t>Dr Julia Holloway and Mrs Nanna Ryder</w:t>
      </w:r>
    </w:p>
    <w:p w14:paraId="7E02E9F0" w14:textId="0278801B" w:rsidR="00223119" w:rsidRPr="00C95C1F" w:rsidRDefault="00223119" w:rsidP="00604925">
      <w:pPr>
        <w:spacing w:line="360" w:lineRule="auto"/>
        <w:rPr>
          <w:rFonts w:ascii="Century Gothic" w:hAnsi="Century Gothic"/>
          <w:b/>
          <w:bCs/>
          <w:sz w:val="52"/>
          <w:szCs w:val="52"/>
        </w:rPr>
      </w:pPr>
      <w:r w:rsidRPr="00604925">
        <w:rPr>
          <w:rFonts w:ascii="Century Gothic" w:hAnsi="Century Gothic"/>
          <w:b/>
          <w:bCs/>
          <w:sz w:val="52"/>
          <w:szCs w:val="52"/>
          <w:highlight w:val="cyan"/>
        </w:rPr>
        <w:t>Assignment Title: COMPONENT 1</w:t>
      </w:r>
      <w:r w:rsidR="00604925" w:rsidRPr="00604925">
        <w:rPr>
          <w:rFonts w:ascii="Century Gothic" w:hAnsi="Century Gothic"/>
          <w:b/>
          <w:bCs/>
          <w:sz w:val="52"/>
          <w:szCs w:val="52"/>
          <w:highlight w:val="cyan"/>
        </w:rPr>
        <w:br/>
      </w:r>
      <w:r w:rsidR="00604925" w:rsidRPr="00604925">
        <w:rPr>
          <w:rFonts w:ascii="Century Gothic" w:hAnsi="Century Gothic"/>
          <w:b/>
          <w:bCs/>
          <w:sz w:val="28"/>
          <w:szCs w:val="28"/>
          <w:highlight w:val="cyan"/>
        </w:rPr>
        <w:t xml:space="preserve">Select an issue in education that you wish to explore. Presenting a short literature review to justify why the issue is important to the community; establish clear research question(s), aims and objectives for the research. </w:t>
      </w:r>
      <w:r w:rsidR="00604925" w:rsidRPr="000E3A78">
        <w:rPr>
          <w:rFonts w:ascii="Century Gothic" w:hAnsi="Century Gothic"/>
          <w:b/>
          <w:bCs/>
          <w:sz w:val="32"/>
          <w:szCs w:val="32"/>
          <w:highlight w:val="cyan"/>
        </w:rPr>
        <w:t>Written Assignment: 3200 words</w:t>
      </w:r>
    </w:p>
    <w:p w14:paraId="2B8794FA" w14:textId="77777777" w:rsidR="00223119" w:rsidRPr="00604925" w:rsidRDefault="00223119" w:rsidP="00E70CA2">
      <w:pPr>
        <w:spacing w:line="360" w:lineRule="auto"/>
        <w:rPr>
          <w:rFonts w:ascii="Century Gothic" w:hAnsi="Century Gothic"/>
          <w:b/>
          <w:bCs/>
          <w:sz w:val="52"/>
          <w:szCs w:val="52"/>
          <w:highlight w:val="magenta"/>
        </w:rPr>
      </w:pPr>
      <w:r w:rsidRPr="00604925">
        <w:rPr>
          <w:rFonts w:ascii="Century Gothic" w:hAnsi="Century Gothic"/>
          <w:b/>
          <w:bCs/>
          <w:sz w:val="52"/>
          <w:szCs w:val="52"/>
          <w:highlight w:val="magenta"/>
        </w:rPr>
        <w:t>Student Name: Laura Emanuel</w:t>
      </w:r>
    </w:p>
    <w:p w14:paraId="0B6B0201" w14:textId="77777777" w:rsidR="00223119" w:rsidRPr="00C95C1F" w:rsidRDefault="00223119" w:rsidP="00E70CA2">
      <w:pPr>
        <w:spacing w:line="360" w:lineRule="auto"/>
        <w:rPr>
          <w:rFonts w:ascii="Century Gothic" w:hAnsi="Century Gothic"/>
          <w:b/>
          <w:bCs/>
          <w:sz w:val="52"/>
          <w:szCs w:val="52"/>
        </w:rPr>
      </w:pPr>
      <w:r w:rsidRPr="00604925">
        <w:rPr>
          <w:rFonts w:ascii="Century Gothic" w:hAnsi="Century Gothic"/>
          <w:b/>
          <w:bCs/>
          <w:sz w:val="52"/>
          <w:szCs w:val="52"/>
          <w:highlight w:val="magenta"/>
        </w:rPr>
        <w:t>Student Number: 2308139</w:t>
      </w:r>
    </w:p>
    <w:p w14:paraId="394FE7C4" w14:textId="1F890C28" w:rsidR="0007748C" w:rsidRPr="00C95C1F" w:rsidRDefault="0007748C" w:rsidP="00E70CA2">
      <w:pPr>
        <w:spacing w:line="360" w:lineRule="auto"/>
        <w:rPr>
          <w:rFonts w:ascii="Century Gothic" w:hAnsi="Century Gothic"/>
          <w:b/>
          <w:bCs/>
          <w:sz w:val="36"/>
          <w:szCs w:val="36"/>
        </w:rPr>
      </w:pPr>
      <w:r w:rsidRPr="00604925">
        <w:rPr>
          <w:rFonts w:ascii="Century Gothic" w:hAnsi="Century Gothic"/>
          <w:b/>
          <w:bCs/>
          <w:sz w:val="36"/>
          <w:szCs w:val="36"/>
          <w:highlight w:val="darkMagenta"/>
        </w:rPr>
        <w:t>Word Count:</w:t>
      </w:r>
      <w:r w:rsidR="00C95C1F" w:rsidRPr="00604925">
        <w:rPr>
          <w:rFonts w:ascii="Century Gothic" w:hAnsi="Century Gothic"/>
          <w:b/>
          <w:bCs/>
          <w:sz w:val="36"/>
          <w:szCs w:val="36"/>
          <w:highlight w:val="darkMagenta"/>
        </w:rPr>
        <w:t xml:space="preserve"> 3</w:t>
      </w:r>
      <w:r w:rsidR="0061184E">
        <w:rPr>
          <w:rFonts w:ascii="Century Gothic" w:hAnsi="Century Gothic"/>
          <w:b/>
          <w:bCs/>
          <w:sz w:val="36"/>
          <w:szCs w:val="36"/>
          <w:highlight w:val="darkMagenta"/>
        </w:rPr>
        <w:t>519</w:t>
      </w:r>
      <w:r w:rsidR="00C95C1F" w:rsidRPr="00604925">
        <w:rPr>
          <w:rFonts w:ascii="Century Gothic" w:hAnsi="Century Gothic"/>
          <w:b/>
          <w:bCs/>
          <w:sz w:val="36"/>
          <w:szCs w:val="36"/>
          <w:highlight w:val="darkMagenta"/>
        </w:rPr>
        <w:t xml:space="preserve"> words</w:t>
      </w:r>
    </w:p>
    <w:p w14:paraId="5A486C7A" w14:textId="12793025" w:rsidR="00223119" w:rsidRPr="00A569AB" w:rsidRDefault="0007748C" w:rsidP="00A569AB">
      <w:pPr>
        <w:pStyle w:val="Heading1"/>
      </w:pPr>
      <w:r w:rsidRPr="00A569AB">
        <w:lastRenderedPageBreak/>
        <w:t>Contents</w:t>
      </w:r>
    </w:p>
    <w:p w14:paraId="5BC59FFC" w14:textId="098DEF68" w:rsidR="0007748C" w:rsidRPr="00C95C1F" w:rsidRDefault="000919A7" w:rsidP="00E70CA2">
      <w:pPr>
        <w:spacing w:line="360" w:lineRule="auto"/>
        <w:rPr>
          <w:rFonts w:ascii="Century Gothic" w:hAnsi="Century Gothic"/>
          <w:b/>
          <w:bCs/>
          <w:sz w:val="52"/>
          <w:szCs w:val="52"/>
        </w:rPr>
      </w:pPr>
      <w:r w:rsidRPr="00C95C1F">
        <w:rPr>
          <w:rStyle w:val="Heading1Char"/>
          <w:rFonts w:ascii="Century Gothic" w:hAnsi="Century Gothic"/>
          <w:sz w:val="24"/>
          <w:szCs w:val="24"/>
        </w:rPr>
        <w:t>Aim, Focus and Purpose of the Research</w:t>
      </w:r>
      <w:r w:rsidR="00C95C1F">
        <w:rPr>
          <w:rStyle w:val="Heading1Char"/>
          <w:rFonts w:ascii="Century Gothic" w:hAnsi="Century Gothic"/>
          <w:sz w:val="24"/>
          <w:szCs w:val="24"/>
        </w:rPr>
        <w:tab/>
      </w:r>
      <w:r w:rsidR="00C95C1F">
        <w:rPr>
          <w:rStyle w:val="Heading1Char"/>
          <w:rFonts w:ascii="Century Gothic" w:hAnsi="Century Gothic"/>
          <w:sz w:val="24"/>
          <w:szCs w:val="24"/>
        </w:rPr>
        <w:tab/>
      </w:r>
      <w:r w:rsidR="00C95C1F">
        <w:rPr>
          <w:rStyle w:val="Heading1Char"/>
          <w:rFonts w:ascii="Century Gothic" w:hAnsi="Century Gothic"/>
          <w:sz w:val="24"/>
          <w:szCs w:val="24"/>
        </w:rPr>
        <w:tab/>
      </w:r>
      <w:r w:rsidR="00C95C1F">
        <w:rPr>
          <w:rStyle w:val="Heading1Char"/>
          <w:rFonts w:ascii="Century Gothic" w:hAnsi="Century Gothic"/>
          <w:sz w:val="24"/>
          <w:szCs w:val="24"/>
        </w:rPr>
        <w:tab/>
        <w:t>p3</w:t>
      </w:r>
      <w:r w:rsidR="000D4695">
        <w:rPr>
          <w:rStyle w:val="Heading1Char"/>
          <w:rFonts w:ascii="Century Gothic" w:hAnsi="Century Gothic"/>
          <w:sz w:val="24"/>
          <w:szCs w:val="24"/>
        </w:rPr>
        <w:t xml:space="preserve"> </w:t>
      </w:r>
      <w:r w:rsidR="00561E3F">
        <w:rPr>
          <w:rStyle w:val="Heading1Char"/>
          <w:rFonts w:ascii="Century Gothic" w:hAnsi="Century Gothic"/>
          <w:sz w:val="24"/>
          <w:szCs w:val="24"/>
        </w:rPr>
        <w:tab/>
      </w:r>
      <w:r w:rsidR="000D4695">
        <w:rPr>
          <w:rStyle w:val="Heading1Char"/>
          <w:rFonts w:ascii="Century Gothic" w:hAnsi="Century Gothic"/>
          <w:sz w:val="24"/>
          <w:szCs w:val="24"/>
        </w:rPr>
        <w:t xml:space="preserve"> </w:t>
      </w:r>
      <w:r w:rsidR="00EE064D">
        <w:rPr>
          <w:rStyle w:val="Heading1Char"/>
          <w:rFonts w:ascii="Century Gothic" w:hAnsi="Century Gothic"/>
          <w:sz w:val="24"/>
          <w:szCs w:val="24"/>
        </w:rPr>
        <w:tab/>
      </w:r>
    </w:p>
    <w:p w14:paraId="03040362" w14:textId="64B22EA5" w:rsidR="00B22588" w:rsidRPr="00C95C1F" w:rsidRDefault="00850D82" w:rsidP="00561E3F">
      <w:pPr>
        <w:pStyle w:val="Heading1"/>
        <w:spacing w:line="360" w:lineRule="auto"/>
        <w:rPr>
          <w:rFonts w:ascii="Century Gothic" w:hAnsi="Century Gothic"/>
          <w:sz w:val="24"/>
          <w:szCs w:val="24"/>
        </w:rPr>
      </w:pPr>
      <w:bookmarkStart w:id="0" w:name="_Overview_of_relevant"/>
      <w:bookmarkEnd w:id="0"/>
      <w:r>
        <w:rPr>
          <w:rStyle w:val="Heading1Char"/>
          <w:rFonts w:ascii="Century Gothic" w:hAnsi="Century Gothic"/>
          <w:sz w:val="24"/>
          <w:szCs w:val="24"/>
        </w:rPr>
        <w:t>L</w:t>
      </w:r>
      <w:r w:rsidR="004A4B37" w:rsidRPr="00C95C1F">
        <w:rPr>
          <w:rStyle w:val="Heading1Char"/>
          <w:rFonts w:ascii="Century Gothic" w:hAnsi="Century Gothic"/>
          <w:sz w:val="24"/>
          <w:szCs w:val="24"/>
        </w:rPr>
        <w:t>iterature</w:t>
      </w:r>
      <w:r>
        <w:rPr>
          <w:rStyle w:val="Heading1Char"/>
          <w:rFonts w:ascii="Century Gothic" w:hAnsi="Century Gothic"/>
          <w:sz w:val="24"/>
          <w:szCs w:val="24"/>
        </w:rPr>
        <w:t xml:space="preserve"> Review</w:t>
      </w:r>
      <w:r w:rsidR="004A4B37" w:rsidRPr="00C95C1F">
        <w:rPr>
          <w:rStyle w:val="Heading1Char"/>
          <w:rFonts w:ascii="Century Gothic" w:hAnsi="Century Gothic"/>
          <w:sz w:val="24"/>
          <w:szCs w:val="24"/>
        </w:rPr>
        <w:t>:</w:t>
      </w:r>
      <w:r w:rsidR="00C95C1F">
        <w:rPr>
          <w:rStyle w:val="Heading1Char"/>
          <w:rFonts w:ascii="Century Gothic" w:hAnsi="Century Gothic"/>
          <w:sz w:val="24"/>
          <w:szCs w:val="24"/>
        </w:rPr>
        <w:tab/>
      </w:r>
      <w:r w:rsidR="00C95C1F">
        <w:rPr>
          <w:rStyle w:val="Heading1Char"/>
          <w:rFonts w:ascii="Century Gothic" w:hAnsi="Century Gothic"/>
          <w:sz w:val="24"/>
          <w:szCs w:val="24"/>
        </w:rPr>
        <w:tab/>
      </w:r>
      <w:r>
        <w:rPr>
          <w:rStyle w:val="Heading1Char"/>
          <w:rFonts w:ascii="Century Gothic" w:hAnsi="Century Gothic"/>
          <w:sz w:val="24"/>
          <w:szCs w:val="24"/>
        </w:rPr>
        <w:tab/>
      </w:r>
      <w:r>
        <w:rPr>
          <w:rStyle w:val="Heading1Char"/>
          <w:rFonts w:ascii="Century Gothic" w:hAnsi="Century Gothic"/>
          <w:sz w:val="24"/>
          <w:szCs w:val="24"/>
        </w:rPr>
        <w:tab/>
      </w:r>
      <w:r w:rsidR="00C95C1F">
        <w:rPr>
          <w:rStyle w:val="Heading1Char"/>
          <w:rFonts w:ascii="Century Gothic" w:hAnsi="Century Gothic"/>
          <w:sz w:val="24"/>
          <w:szCs w:val="24"/>
        </w:rPr>
        <w:tab/>
      </w:r>
      <w:r w:rsidR="00C95C1F">
        <w:rPr>
          <w:rStyle w:val="Heading1Char"/>
          <w:rFonts w:ascii="Century Gothic" w:hAnsi="Century Gothic"/>
          <w:sz w:val="24"/>
          <w:szCs w:val="24"/>
        </w:rPr>
        <w:tab/>
      </w:r>
      <w:r w:rsidR="00C95C1F">
        <w:rPr>
          <w:rStyle w:val="Heading1Char"/>
          <w:rFonts w:ascii="Century Gothic" w:hAnsi="Century Gothic"/>
          <w:sz w:val="24"/>
          <w:szCs w:val="24"/>
        </w:rPr>
        <w:tab/>
      </w:r>
      <w:r w:rsidR="00C95C1F">
        <w:rPr>
          <w:rStyle w:val="Heading1Char"/>
          <w:rFonts w:ascii="Century Gothic" w:hAnsi="Century Gothic"/>
          <w:sz w:val="24"/>
          <w:szCs w:val="24"/>
        </w:rPr>
        <w:tab/>
      </w:r>
      <w:r w:rsidR="004A4B37" w:rsidRPr="00C95C1F">
        <w:rPr>
          <w:rStyle w:val="Heading1Char"/>
          <w:rFonts w:ascii="Century Gothic" w:hAnsi="Century Gothic"/>
          <w:sz w:val="24"/>
          <w:szCs w:val="24"/>
        </w:rPr>
        <w:br/>
        <w:t xml:space="preserve">* </w:t>
      </w:r>
      <w:r w:rsidR="004A4B37" w:rsidRPr="00C95C1F">
        <w:rPr>
          <w:rStyle w:val="Heading2Char"/>
          <w:rFonts w:ascii="Century Gothic" w:hAnsi="Century Gothic"/>
          <w:sz w:val="24"/>
          <w:szCs w:val="24"/>
        </w:rPr>
        <w:t>Theme 1: Teacher Wellbeing</w:t>
      </w:r>
      <w:r w:rsidR="00561E3F">
        <w:rPr>
          <w:rStyle w:val="Heading2Char"/>
          <w:rFonts w:ascii="Century Gothic" w:hAnsi="Century Gothic"/>
          <w:sz w:val="24"/>
          <w:szCs w:val="24"/>
        </w:rPr>
        <w:t>:</w:t>
      </w:r>
      <w:r w:rsidR="00C95C1F">
        <w:rPr>
          <w:rStyle w:val="Heading2Char"/>
          <w:rFonts w:ascii="Century Gothic" w:hAnsi="Century Gothic"/>
          <w:sz w:val="24"/>
          <w:szCs w:val="24"/>
        </w:rPr>
        <w:tab/>
      </w:r>
      <w:r w:rsidR="005E659A">
        <w:rPr>
          <w:rStyle w:val="Heading2Char"/>
          <w:rFonts w:ascii="Century Gothic" w:hAnsi="Century Gothic"/>
          <w:sz w:val="24"/>
          <w:szCs w:val="24"/>
        </w:rPr>
        <w:br/>
      </w:r>
      <w:r w:rsidR="005E659A">
        <w:rPr>
          <w:rStyle w:val="Heading2Char"/>
          <w:rFonts w:ascii="Century Gothic" w:hAnsi="Century Gothic"/>
          <w:sz w:val="24"/>
          <w:szCs w:val="24"/>
        </w:rPr>
        <w:tab/>
        <w:t xml:space="preserve">         Frameworks and </w:t>
      </w:r>
      <w:r w:rsidR="006E25EB">
        <w:rPr>
          <w:rStyle w:val="Heading2Char"/>
          <w:rFonts w:ascii="Century Gothic" w:hAnsi="Century Gothic"/>
          <w:sz w:val="24"/>
          <w:szCs w:val="24"/>
        </w:rPr>
        <w:t>M</w:t>
      </w:r>
      <w:r w:rsidR="005E659A">
        <w:rPr>
          <w:rStyle w:val="Heading2Char"/>
          <w:rFonts w:ascii="Century Gothic" w:hAnsi="Century Gothic"/>
          <w:sz w:val="24"/>
          <w:szCs w:val="24"/>
        </w:rPr>
        <w:t xml:space="preserve">odels   </w:t>
      </w:r>
      <w:r w:rsidR="00561E3F">
        <w:rPr>
          <w:rStyle w:val="Heading2Char"/>
          <w:rFonts w:ascii="Century Gothic" w:hAnsi="Century Gothic"/>
          <w:sz w:val="24"/>
          <w:szCs w:val="24"/>
        </w:rPr>
        <w:tab/>
      </w:r>
      <w:r w:rsidR="00C95C1F">
        <w:rPr>
          <w:rStyle w:val="Heading2Char"/>
          <w:rFonts w:ascii="Century Gothic" w:hAnsi="Century Gothic"/>
          <w:sz w:val="24"/>
          <w:szCs w:val="24"/>
        </w:rPr>
        <w:tab/>
      </w:r>
      <w:r w:rsidR="007616C4">
        <w:rPr>
          <w:rStyle w:val="Heading2Char"/>
          <w:rFonts w:ascii="Century Gothic" w:hAnsi="Century Gothic"/>
          <w:sz w:val="24"/>
          <w:szCs w:val="24"/>
        </w:rPr>
        <w:tab/>
      </w:r>
      <w:r w:rsidR="007616C4">
        <w:rPr>
          <w:rStyle w:val="Heading2Char"/>
          <w:rFonts w:ascii="Century Gothic" w:hAnsi="Century Gothic"/>
          <w:sz w:val="24"/>
          <w:szCs w:val="24"/>
        </w:rPr>
        <w:tab/>
      </w:r>
      <w:r w:rsidR="00C95C1F">
        <w:rPr>
          <w:rStyle w:val="Heading2Char"/>
          <w:rFonts w:ascii="Century Gothic" w:hAnsi="Century Gothic"/>
          <w:sz w:val="24"/>
          <w:szCs w:val="24"/>
        </w:rPr>
        <w:t>p5</w:t>
      </w:r>
      <w:r w:rsidR="00561E3F">
        <w:rPr>
          <w:rStyle w:val="Heading2Char"/>
          <w:rFonts w:ascii="Century Gothic" w:hAnsi="Century Gothic"/>
          <w:sz w:val="24"/>
          <w:szCs w:val="24"/>
        </w:rPr>
        <w:tab/>
      </w:r>
      <w:r w:rsidR="00561E3F">
        <w:rPr>
          <w:rStyle w:val="Heading2Char"/>
          <w:rFonts w:ascii="Century Gothic" w:hAnsi="Century Gothic"/>
          <w:sz w:val="24"/>
          <w:szCs w:val="24"/>
        </w:rPr>
        <w:tab/>
      </w:r>
      <w:r w:rsidR="00561E3F">
        <w:rPr>
          <w:rStyle w:val="Heading2Char"/>
          <w:rFonts w:ascii="Century Gothic" w:hAnsi="Century Gothic"/>
          <w:sz w:val="24"/>
          <w:szCs w:val="24"/>
        </w:rPr>
        <w:br/>
        <w:t xml:space="preserve">                    Wellbeing in Wales</w:t>
      </w:r>
      <w:r w:rsidR="00561E3F">
        <w:rPr>
          <w:rStyle w:val="Heading2Char"/>
          <w:rFonts w:ascii="Century Gothic" w:hAnsi="Century Gothic"/>
          <w:sz w:val="24"/>
          <w:szCs w:val="24"/>
        </w:rPr>
        <w:tab/>
      </w:r>
      <w:r w:rsidR="00561E3F">
        <w:rPr>
          <w:rStyle w:val="Heading2Char"/>
          <w:rFonts w:ascii="Century Gothic" w:hAnsi="Century Gothic"/>
          <w:sz w:val="24"/>
          <w:szCs w:val="24"/>
        </w:rPr>
        <w:tab/>
      </w:r>
      <w:r w:rsidR="00561E3F">
        <w:rPr>
          <w:rStyle w:val="Heading2Char"/>
          <w:rFonts w:ascii="Century Gothic" w:hAnsi="Century Gothic"/>
          <w:sz w:val="24"/>
          <w:szCs w:val="24"/>
        </w:rPr>
        <w:tab/>
      </w:r>
      <w:r w:rsidR="00561E3F">
        <w:rPr>
          <w:rStyle w:val="Heading2Char"/>
          <w:rFonts w:ascii="Century Gothic" w:hAnsi="Century Gothic"/>
          <w:sz w:val="24"/>
          <w:szCs w:val="24"/>
        </w:rPr>
        <w:tab/>
      </w:r>
      <w:r w:rsidR="00561E3F">
        <w:rPr>
          <w:rStyle w:val="Heading2Char"/>
          <w:rFonts w:ascii="Century Gothic" w:hAnsi="Century Gothic"/>
          <w:sz w:val="24"/>
          <w:szCs w:val="24"/>
        </w:rPr>
        <w:tab/>
      </w:r>
      <w:r w:rsidR="00561E3F">
        <w:rPr>
          <w:rStyle w:val="Heading2Char"/>
          <w:rFonts w:ascii="Century Gothic" w:hAnsi="Century Gothic"/>
          <w:sz w:val="24"/>
          <w:szCs w:val="24"/>
        </w:rPr>
        <w:tab/>
        <w:t>p</w:t>
      </w:r>
      <w:r w:rsidR="006E25EB">
        <w:rPr>
          <w:rStyle w:val="Heading2Char"/>
          <w:rFonts w:ascii="Century Gothic" w:hAnsi="Century Gothic"/>
          <w:sz w:val="24"/>
          <w:szCs w:val="24"/>
        </w:rPr>
        <w:t>7</w:t>
      </w:r>
      <w:r w:rsidR="0046677F">
        <w:rPr>
          <w:rStyle w:val="Heading2Char"/>
          <w:rFonts w:ascii="Century Gothic" w:hAnsi="Century Gothic"/>
          <w:sz w:val="24"/>
          <w:szCs w:val="24"/>
        </w:rPr>
        <w:tab/>
      </w:r>
      <w:r w:rsidR="0046677F">
        <w:rPr>
          <w:rStyle w:val="Heading2Char"/>
          <w:rFonts w:ascii="Century Gothic" w:hAnsi="Century Gothic"/>
          <w:sz w:val="24"/>
          <w:szCs w:val="24"/>
        </w:rPr>
        <w:tab/>
      </w:r>
      <w:r w:rsidR="004A4B37" w:rsidRPr="00C95C1F">
        <w:rPr>
          <w:rStyle w:val="Heading2Char"/>
          <w:rFonts w:ascii="Century Gothic" w:hAnsi="Century Gothic"/>
          <w:sz w:val="24"/>
          <w:szCs w:val="24"/>
        </w:rPr>
        <w:br/>
        <w:t xml:space="preserve">* </w:t>
      </w:r>
      <w:r w:rsidR="004A4B37" w:rsidRPr="00C95C1F">
        <w:rPr>
          <w:rFonts w:ascii="Century Gothic" w:hAnsi="Century Gothic"/>
          <w:sz w:val="24"/>
          <w:szCs w:val="24"/>
        </w:rPr>
        <w:t>Theme 2:</w:t>
      </w:r>
      <w:r>
        <w:rPr>
          <w:rFonts w:ascii="Century Gothic" w:hAnsi="Century Gothic"/>
          <w:sz w:val="24"/>
          <w:szCs w:val="24"/>
        </w:rPr>
        <w:t xml:space="preserve"> </w:t>
      </w:r>
      <w:r w:rsidR="004A4B37" w:rsidRPr="00C95C1F">
        <w:rPr>
          <w:rFonts w:ascii="Century Gothic" w:hAnsi="Century Gothic"/>
          <w:sz w:val="24"/>
          <w:szCs w:val="24"/>
        </w:rPr>
        <w:t>Educational Visits and Experiential Learning</w:t>
      </w:r>
      <w:r w:rsidR="00C95C1F">
        <w:rPr>
          <w:rFonts w:ascii="Century Gothic" w:hAnsi="Century Gothic"/>
          <w:sz w:val="24"/>
          <w:szCs w:val="24"/>
        </w:rPr>
        <w:tab/>
      </w:r>
      <w:r w:rsidR="00C95C1F">
        <w:rPr>
          <w:rFonts w:ascii="Century Gothic" w:hAnsi="Century Gothic"/>
          <w:sz w:val="24"/>
          <w:szCs w:val="24"/>
        </w:rPr>
        <w:tab/>
      </w:r>
      <w:r w:rsidR="007616C4">
        <w:rPr>
          <w:rFonts w:ascii="Century Gothic" w:hAnsi="Century Gothic"/>
          <w:sz w:val="24"/>
          <w:szCs w:val="24"/>
        </w:rPr>
        <w:t>p</w:t>
      </w:r>
      <w:r w:rsidR="009062BC">
        <w:rPr>
          <w:rFonts w:ascii="Century Gothic" w:hAnsi="Century Gothic"/>
          <w:sz w:val="24"/>
          <w:szCs w:val="24"/>
        </w:rPr>
        <w:t>9</w:t>
      </w:r>
      <w:r w:rsidR="00BC3530">
        <w:rPr>
          <w:rFonts w:ascii="Century Gothic" w:hAnsi="Century Gothic"/>
          <w:sz w:val="24"/>
          <w:szCs w:val="24"/>
        </w:rPr>
        <w:tab/>
      </w:r>
      <w:r w:rsidR="00BC3530">
        <w:rPr>
          <w:rFonts w:ascii="Century Gothic" w:hAnsi="Century Gothic"/>
          <w:sz w:val="24"/>
          <w:szCs w:val="24"/>
        </w:rPr>
        <w:tab/>
      </w:r>
    </w:p>
    <w:p w14:paraId="5B8178DC" w14:textId="3BDAD4DB" w:rsidR="00C62468" w:rsidRPr="00C95C1F" w:rsidRDefault="00B22588" w:rsidP="007616C4">
      <w:pPr>
        <w:pStyle w:val="Heading1"/>
        <w:spacing w:line="360" w:lineRule="auto"/>
        <w:rPr>
          <w:rFonts w:ascii="Century Gothic" w:hAnsi="Century Gothic"/>
          <w:sz w:val="24"/>
          <w:szCs w:val="24"/>
        </w:rPr>
      </w:pPr>
      <w:r w:rsidRPr="00C95C1F">
        <w:rPr>
          <w:rFonts w:ascii="Century Gothic" w:hAnsi="Century Gothic"/>
          <w:sz w:val="24"/>
          <w:szCs w:val="24"/>
        </w:rPr>
        <w:t xml:space="preserve"> </w:t>
      </w:r>
      <w:r w:rsidR="00BC3530">
        <w:rPr>
          <w:rFonts w:ascii="Century Gothic" w:hAnsi="Century Gothic"/>
          <w:sz w:val="24"/>
          <w:szCs w:val="24"/>
        </w:rPr>
        <w:t>Future Considerations</w:t>
      </w:r>
      <w:r w:rsidR="000E4661">
        <w:rPr>
          <w:rFonts w:ascii="Century Gothic" w:hAnsi="Century Gothic"/>
          <w:sz w:val="24"/>
          <w:szCs w:val="24"/>
        </w:rPr>
        <w:tab/>
      </w:r>
      <w:r w:rsidR="000E4661">
        <w:rPr>
          <w:rFonts w:ascii="Century Gothic" w:hAnsi="Century Gothic"/>
          <w:sz w:val="24"/>
          <w:szCs w:val="24"/>
        </w:rPr>
        <w:tab/>
      </w:r>
      <w:r w:rsidR="000E4661">
        <w:rPr>
          <w:rFonts w:ascii="Century Gothic" w:hAnsi="Century Gothic"/>
          <w:sz w:val="24"/>
          <w:szCs w:val="24"/>
        </w:rPr>
        <w:tab/>
      </w:r>
      <w:r w:rsidR="00C95C1F">
        <w:rPr>
          <w:rFonts w:ascii="Century Gothic" w:hAnsi="Century Gothic"/>
          <w:sz w:val="24"/>
          <w:szCs w:val="24"/>
        </w:rPr>
        <w:tab/>
      </w:r>
      <w:r w:rsidR="00C95C1F">
        <w:rPr>
          <w:rFonts w:ascii="Century Gothic" w:hAnsi="Century Gothic"/>
          <w:sz w:val="24"/>
          <w:szCs w:val="24"/>
        </w:rPr>
        <w:tab/>
      </w:r>
      <w:r w:rsidR="00BC3530">
        <w:rPr>
          <w:rFonts w:ascii="Century Gothic" w:hAnsi="Century Gothic"/>
          <w:sz w:val="24"/>
          <w:szCs w:val="24"/>
        </w:rPr>
        <w:tab/>
      </w:r>
      <w:r w:rsidR="00BC3530">
        <w:rPr>
          <w:rFonts w:ascii="Century Gothic" w:hAnsi="Century Gothic"/>
          <w:sz w:val="24"/>
          <w:szCs w:val="24"/>
        </w:rPr>
        <w:tab/>
      </w:r>
      <w:r w:rsidR="00C95C1F">
        <w:rPr>
          <w:rFonts w:ascii="Century Gothic" w:hAnsi="Century Gothic"/>
          <w:sz w:val="24"/>
          <w:szCs w:val="24"/>
        </w:rPr>
        <w:t>p</w:t>
      </w:r>
      <w:r w:rsidR="00C33777">
        <w:rPr>
          <w:rFonts w:ascii="Century Gothic" w:hAnsi="Century Gothic"/>
          <w:sz w:val="24"/>
          <w:szCs w:val="24"/>
        </w:rPr>
        <w:t>1</w:t>
      </w:r>
      <w:r w:rsidR="009062BC">
        <w:rPr>
          <w:rFonts w:ascii="Century Gothic" w:hAnsi="Century Gothic"/>
          <w:sz w:val="24"/>
          <w:szCs w:val="24"/>
        </w:rPr>
        <w:t>1</w:t>
      </w:r>
      <w:r w:rsidR="009D2D2E">
        <w:rPr>
          <w:rFonts w:ascii="Century Gothic" w:hAnsi="Century Gothic"/>
          <w:sz w:val="24"/>
          <w:szCs w:val="24"/>
        </w:rPr>
        <w:tab/>
      </w:r>
      <w:r w:rsidR="009D2D2E">
        <w:rPr>
          <w:rFonts w:ascii="Century Gothic" w:hAnsi="Century Gothic"/>
          <w:sz w:val="24"/>
          <w:szCs w:val="24"/>
        </w:rPr>
        <w:tab/>
      </w:r>
      <w:r w:rsidR="00C62468" w:rsidRPr="00C95C1F">
        <w:rPr>
          <w:rFonts w:ascii="Century Gothic" w:hAnsi="Century Gothic"/>
          <w:sz w:val="24"/>
          <w:szCs w:val="24"/>
        </w:rPr>
        <w:br/>
      </w:r>
      <w:r w:rsidR="00C62468" w:rsidRPr="00C95C1F">
        <w:rPr>
          <w:rFonts w:ascii="Century Gothic" w:hAnsi="Century Gothic"/>
          <w:sz w:val="24"/>
          <w:szCs w:val="24"/>
        </w:rPr>
        <w:br/>
        <w:t>Reference List</w:t>
      </w:r>
      <w:r w:rsidR="00C95C1F">
        <w:rPr>
          <w:rFonts w:ascii="Century Gothic" w:hAnsi="Century Gothic"/>
          <w:sz w:val="24"/>
          <w:szCs w:val="24"/>
        </w:rPr>
        <w:tab/>
      </w:r>
      <w:r w:rsidR="00C95C1F">
        <w:rPr>
          <w:rFonts w:ascii="Century Gothic" w:hAnsi="Century Gothic"/>
          <w:sz w:val="24"/>
          <w:szCs w:val="24"/>
        </w:rPr>
        <w:tab/>
      </w:r>
      <w:r w:rsidR="00C95C1F">
        <w:rPr>
          <w:rFonts w:ascii="Century Gothic" w:hAnsi="Century Gothic"/>
          <w:sz w:val="24"/>
          <w:szCs w:val="24"/>
        </w:rPr>
        <w:tab/>
      </w:r>
      <w:r w:rsidR="00C95C1F">
        <w:rPr>
          <w:rFonts w:ascii="Century Gothic" w:hAnsi="Century Gothic"/>
          <w:sz w:val="24"/>
          <w:szCs w:val="24"/>
        </w:rPr>
        <w:tab/>
      </w:r>
      <w:r w:rsidR="00C95C1F">
        <w:rPr>
          <w:rFonts w:ascii="Century Gothic" w:hAnsi="Century Gothic"/>
          <w:sz w:val="24"/>
          <w:szCs w:val="24"/>
        </w:rPr>
        <w:tab/>
      </w:r>
      <w:r w:rsidR="00C95C1F">
        <w:rPr>
          <w:rFonts w:ascii="Century Gothic" w:hAnsi="Century Gothic"/>
          <w:sz w:val="24"/>
          <w:szCs w:val="24"/>
        </w:rPr>
        <w:tab/>
      </w:r>
      <w:r w:rsidR="00C95C1F">
        <w:rPr>
          <w:rFonts w:ascii="Century Gothic" w:hAnsi="Century Gothic"/>
          <w:sz w:val="24"/>
          <w:szCs w:val="24"/>
        </w:rPr>
        <w:tab/>
      </w:r>
      <w:r w:rsidR="00C95C1F">
        <w:rPr>
          <w:rFonts w:ascii="Century Gothic" w:hAnsi="Century Gothic"/>
          <w:sz w:val="24"/>
          <w:szCs w:val="24"/>
        </w:rPr>
        <w:tab/>
        <w:t>p1</w:t>
      </w:r>
      <w:r w:rsidR="009062BC">
        <w:rPr>
          <w:rFonts w:ascii="Century Gothic" w:hAnsi="Century Gothic"/>
          <w:sz w:val="24"/>
          <w:szCs w:val="24"/>
        </w:rPr>
        <w:t>3</w:t>
      </w:r>
    </w:p>
    <w:p w14:paraId="0B7B86CB" w14:textId="77777777" w:rsidR="00C62468" w:rsidRPr="00C95C1F" w:rsidRDefault="00C62468" w:rsidP="00C62468">
      <w:pPr>
        <w:rPr>
          <w:rFonts w:ascii="Century Gothic" w:hAnsi="Century Gothic"/>
        </w:rPr>
      </w:pPr>
    </w:p>
    <w:p w14:paraId="579C2241" w14:textId="2734FAA2" w:rsidR="004A4B37" w:rsidRDefault="004A4B37" w:rsidP="004A4B37">
      <w:pPr>
        <w:pStyle w:val="Heading2"/>
        <w:spacing w:line="360" w:lineRule="auto"/>
        <w:rPr>
          <w:rFonts w:ascii="Century Gothic" w:hAnsi="Century Gothic"/>
          <w:sz w:val="24"/>
          <w:szCs w:val="24"/>
        </w:rPr>
      </w:pPr>
    </w:p>
    <w:p w14:paraId="6BD93A6A" w14:textId="77777777" w:rsidR="00467F34" w:rsidRDefault="00467F34" w:rsidP="00467F34"/>
    <w:p w14:paraId="0DDB4699" w14:textId="77777777" w:rsidR="00467F34" w:rsidRPr="00467F34" w:rsidRDefault="00467F34" w:rsidP="00467F34"/>
    <w:p w14:paraId="4DEA7ED3" w14:textId="77777777" w:rsidR="0007748C" w:rsidRPr="00C95C1F" w:rsidRDefault="0007748C" w:rsidP="00E70CA2">
      <w:pPr>
        <w:spacing w:line="360" w:lineRule="auto"/>
        <w:rPr>
          <w:rFonts w:ascii="Century Gothic" w:hAnsi="Century Gothic"/>
          <w:b/>
          <w:bCs/>
          <w:sz w:val="52"/>
          <w:szCs w:val="52"/>
        </w:rPr>
      </w:pPr>
    </w:p>
    <w:p w14:paraId="61A7A00A" w14:textId="77777777" w:rsidR="0007748C" w:rsidRPr="00C95C1F" w:rsidRDefault="0007748C" w:rsidP="00E70CA2">
      <w:pPr>
        <w:spacing w:line="360" w:lineRule="auto"/>
        <w:rPr>
          <w:rFonts w:ascii="Century Gothic" w:hAnsi="Century Gothic"/>
          <w:b/>
          <w:bCs/>
          <w:sz w:val="52"/>
          <w:szCs w:val="52"/>
        </w:rPr>
      </w:pPr>
    </w:p>
    <w:p w14:paraId="5DF9AE86" w14:textId="77777777" w:rsidR="00C62468" w:rsidRDefault="00C62468" w:rsidP="000919A7">
      <w:pPr>
        <w:spacing w:line="360" w:lineRule="auto"/>
        <w:rPr>
          <w:rStyle w:val="Heading1Char"/>
          <w:rFonts w:ascii="Century Gothic" w:hAnsi="Century Gothic"/>
          <w:sz w:val="24"/>
          <w:szCs w:val="24"/>
        </w:rPr>
      </w:pPr>
    </w:p>
    <w:p w14:paraId="542067A5" w14:textId="77777777" w:rsidR="0015489C" w:rsidRDefault="0015489C" w:rsidP="000919A7">
      <w:pPr>
        <w:spacing w:line="360" w:lineRule="auto"/>
        <w:rPr>
          <w:rStyle w:val="Heading1Char"/>
          <w:rFonts w:ascii="Century Gothic" w:hAnsi="Century Gothic"/>
          <w:sz w:val="24"/>
          <w:szCs w:val="24"/>
        </w:rPr>
      </w:pPr>
    </w:p>
    <w:p w14:paraId="13F98DE1" w14:textId="77777777" w:rsidR="0015489C" w:rsidRDefault="0015489C" w:rsidP="000919A7">
      <w:pPr>
        <w:spacing w:line="360" w:lineRule="auto"/>
        <w:rPr>
          <w:rStyle w:val="Heading1Char"/>
          <w:rFonts w:ascii="Century Gothic" w:hAnsi="Century Gothic"/>
          <w:sz w:val="24"/>
          <w:szCs w:val="24"/>
        </w:rPr>
      </w:pPr>
    </w:p>
    <w:p w14:paraId="7DC2A929" w14:textId="77777777" w:rsidR="00C33777" w:rsidRDefault="00C33777" w:rsidP="000919A7">
      <w:pPr>
        <w:spacing w:line="360" w:lineRule="auto"/>
        <w:rPr>
          <w:rStyle w:val="Heading1Char"/>
          <w:rFonts w:ascii="Century Gothic" w:hAnsi="Century Gothic"/>
          <w:sz w:val="24"/>
          <w:szCs w:val="24"/>
        </w:rPr>
      </w:pPr>
    </w:p>
    <w:p w14:paraId="5615BC45" w14:textId="77777777" w:rsidR="00C33777" w:rsidRPr="00C95C1F" w:rsidRDefault="00C33777" w:rsidP="000919A7">
      <w:pPr>
        <w:spacing w:line="360" w:lineRule="auto"/>
        <w:rPr>
          <w:rStyle w:val="Heading1Char"/>
          <w:rFonts w:ascii="Century Gothic" w:hAnsi="Century Gothic"/>
          <w:sz w:val="24"/>
          <w:szCs w:val="24"/>
        </w:rPr>
      </w:pPr>
    </w:p>
    <w:p w14:paraId="4BDEFD7C" w14:textId="77777777" w:rsidR="00C62468" w:rsidRPr="00C95C1F" w:rsidRDefault="00C62468" w:rsidP="000919A7">
      <w:pPr>
        <w:spacing w:line="360" w:lineRule="auto"/>
        <w:rPr>
          <w:rStyle w:val="Heading1Char"/>
          <w:rFonts w:ascii="Century Gothic" w:hAnsi="Century Gothic"/>
          <w:sz w:val="24"/>
          <w:szCs w:val="24"/>
        </w:rPr>
      </w:pPr>
    </w:p>
    <w:p w14:paraId="3D203604" w14:textId="78EF92CD" w:rsidR="000D42EB" w:rsidRPr="009062BC" w:rsidRDefault="00980C41" w:rsidP="009062BC">
      <w:pPr>
        <w:spacing w:line="360" w:lineRule="auto"/>
        <w:rPr>
          <w:rFonts w:ascii="Calibri" w:hAnsi="Calibri" w:cs="Calibri"/>
        </w:rPr>
      </w:pPr>
      <w:r w:rsidRPr="009062BC">
        <w:rPr>
          <w:rStyle w:val="Heading1Char"/>
          <w:rFonts w:ascii="Calibri" w:hAnsi="Calibri" w:cs="Calibri"/>
        </w:rPr>
        <w:lastRenderedPageBreak/>
        <w:t>Aim, Focus and Purpose of the Research</w:t>
      </w:r>
      <w:r w:rsidRPr="009062BC">
        <w:rPr>
          <w:rStyle w:val="Heading1Char"/>
          <w:rFonts w:ascii="Calibri" w:hAnsi="Calibri" w:cs="Calibri"/>
          <w:sz w:val="24"/>
          <w:szCs w:val="24"/>
        </w:rPr>
        <w:br/>
      </w:r>
      <w:r w:rsidR="000D42EB" w:rsidRPr="009062BC">
        <w:rPr>
          <w:rFonts w:ascii="Calibri" w:hAnsi="Calibri" w:cs="Calibri"/>
        </w:rPr>
        <w:t>Teacher wellbeing has become a growing focus in education research, particularly due to its connection to teacher retention (The Education Hub, 2023), pupil outcomes (Dreer, 2023), and whole-school effectiveness (OECD, 2021). While the term "wellbeing" is widely used, it remains conceptually complex and contested</w:t>
      </w:r>
      <w:r w:rsidR="00480C2D" w:rsidRPr="009062BC">
        <w:rPr>
          <w:rFonts w:ascii="Calibri" w:hAnsi="Calibri" w:cs="Calibri"/>
        </w:rPr>
        <w:t xml:space="preserve"> as f</w:t>
      </w:r>
      <w:r w:rsidR="000D42EB" w:rsidRPr="009062BC">
        <w:rPr>
          <w:rFonts w:ascii="Calibri" w:hAnsi="Calibri" w:cs="Calibri"/>
        </w:rPr>
        <w:t xml:space="preserve">oundational models from Ryff (1989) and Diener (1984) highlight its multidimensional nature, encompassing emotional, psychological, physical, and social aspects. This study specifically focuses on emotional wellbeing, referring to teachers’ affective states, resilience, and sense of belonging within the school community (Brackett </w:t>
      </w:r>
      <w:r w:rsidR="000D42EB" w:rsidRPr="009062BC">
        <w:rPr>
          <w:rFonts w:ascii="Calibri" w:hAnsi="Calibri" w:cs="Calibri"/>
          <w:i/>
          <w:iCs/>
        </w:rPr>
        <w:t>et al</w:t>
      </w:r>
      <w:r w:rsidR="000D42EB" w:rsidRPr="009062BC">
        <w:rPr>
          <w:rFonts w:ascii="Calibri" w:hAnsi="Calibri" w:cs="Calibri"/>
        </w:rPr>
        <w:t>., 2010; Turner &amp; Braine, 2016)</w:t>
      </w:r>
      <w:r w:rsidR="00480C2D" w:rsidRPr="009062BC">
        <w:rPr>
          <w:rFonts w:ascii="Calibri" w:hAnsi="Calibri" w:cs="Calibri"/>
        </w:rPr>
        <w:t>;</w:t>
      </w:r>
      <w:r w:rsidR="000D42EB" w:rsidRPr="009062BC">
        <w:rPr>
          <w:rFonts w:ascii="Calibri" w:hAnsi="Calibri" w:cs="Calibri"/>
        </w:rPr>
        <w:t xml:space="preserve"> an area I will need to refine further in the course of the study.</w:t>
      </w:r>
    </w:p>
    <w:p w14:paraId="17C51065" w14:textId="77777777" w:rsidR="000D42EB" w:rsidRPr="009062BC" w:rsidRDefault="000D42EB" w:rsidP="009062BC">
      <w:pPr>
        <w:spacing w:line="360" w:lineRule="auto"/>
        <w:rPr>
          <w:rFonts w:ascii="Calibri" w:hAnsi="Calibri" w:cs="Calibri"/>
        </w:rPr>
      </w:pPr>
      <w:r w:rsidRPr="009062BC">
        <w:rPr>
          <w:rFonts w:ascii="Calibri" w:hAnsi="Calibri" w:cs="Calibri"/>
        </w:rPr>
        <w:t>Acton and Glasgow’s (2015) education-specific definition is also instructive, describing teacher wellbeing as “an individual sense of personal professional fulfilment, satisfaction, purposefulness and happiness, constructed in a collaborative process with colleagues and students” (p. 102). For the purposes of this study, wellbeing is understood primarily in terms of emotional connectedness, self-worth, motivation, and relational energy. However, emotional wellbeing itself is a contested construct, and further clarification is needed regarding how it intersects with concepts such as emotional intelligence and resilience (Stewart, 2014), as well as the extent to which it can be meaningfully defined or measured within the teaching profession.</w:t>
      </w:r>
    </w:p>
    <w:p w14:paraId="6BAA37FF" w14:textId="4EA694FC" w:rsidR="00D41122" w:rsidRPr="009062BC" w:rsidRDefault="00D41122" w:rsidP="009062BC">
      <w:pPr>
        <w:spacing w:line="360" w:lineRule="auto"/>
        <w:rPr>
          <w:rFonts w:ascii="Calibri" w:hAnsi="Calibri" w:cs="Calibri"/>
        </w:rPr>
      </w:pPr>
      <w:r w:rsidRPr="009062BC">
        <w:rPr>
          <w:rFonts w:ascii="Calibri" w:hAnsi="Calibri" w:cs="Calibri"/>
        </w:rPr>
        <w:t>As a teacher educator in Wales, the aim of my proposed research has evolved from an initial interest in teacher and pupil relationships during educational visits to a more targeted focus on teachers’ emotional wellbeing</w:t>
      </w:r>
      <w:r w:rsidR="005A1EA7" w:rsidRPr="009062BC">
        <w:rPr>
          <w:rFonts w:ascii="Calibri" w:hAnsi="Calibri" w:cs="Calibri"/>
        </w:rPr>
        <w:t xml:space="preserve"> and the impact of a residential visit on this</w:t>
      </w:r>
      <w:r w:rsidRPr="009062BC">
        <w:rPr>
          <w:rFonts w:ascii="Calibri" w:hAnsi="Calibri" w:cs="Calibri"/>
        </w:rPr>
        <w:t xml:space="preserve">. In this context, </w:t>
      </w:r>
      <w:r w:rsidRPr="009062BC">
        <w:rPr>
          <w:rFonts w:ascii="Calibri" w:hAnsi="Calibri" w:cs="Calibri"/>
          <w:i/>
          <w:iCs/>
        </w:rPr>
        <w:t>residential visits</w:t>
      </w:r>
      <w:r w:rsidRPr="009062BC">
        <w:rPr>
          <w:rFonts w:ascii="Calibri" w:hAnsi="Calibri" w:cs="Calibri"/>
        </w:rPr>
        <w:t xml:space="preserve"> refer to overnight or extended off-site learning experiences that involve staff and pupils engaging in curriculum-related, cultural, or outdoor learning activities, often in immersive settings such as outdoor centres, museums, or heritage sites (Waite </w:t>
      </w:r>
      <w:r w:rsidRPr="009062BC">
        <w:rPr>
          <w:rFonts w:ascii="Calibri" w:hAnsi="Calibri" w:cs="Calibri"/>
          <w:i/>
          <w:iCs/>
        </w:rPr>
        <w:t>et al</w:t>
      </w:r>
      <w:r w:rsidRPr="009062BC">
        <w:rPr>
          <w:rFonts w:ascii="Calibri" w:hAnsi="Calibri" w:cs="Calibri"/>
        </w:rPr>
        <w:t xml:space="preserve">., 2016; </w:t>
      </w:r>
      <w:proofErr w:type="spellStart"/>
      <w:r w:rsidRPr="009062BC">
        <w:rPr>
          <w:rFonts w:ascii="Calibri" w:hAnsi="Calibri" w:cs="Calibri"/>
        </w:rPr>
        <w:t>Rickinson</w:t>
      </w:r>
      <w:proofErr w:type="spellEnd"/>
      <w:r w:rsidRPr="009062BC">
        <w:rPr>
          <w:rFonts w:ascii="Calibri" w:hAnsi="Calibri" w:cs="Calibri"/>
        </w:rPr>
        <w:t xml:space="preserve"> </w:t>
      </w:r>
      <w:r w:rsidRPr="009062BC">
        <w:rPr>
          <w:rFonts w:ascii="Calibri" w:hAnsi="Calibri" w:cs="Calibri"/>
          <w:i/>
          <w:iCs/>
        </w:rPr>
        <w:t>et al</w:t>
      </w:r>
      <w:r w:rsidRPr="009062BC">
        <w:rPr>
          <w:rFonts w:ascii="Calibri" w:hAnsi="Calibri" w:cs="Calibri"/>
        </w:rPr>
        <w:t>., 2004</w:t>
      </w:r>
      <w:r w:rsidR="0015489C" w:rsidRPr="009062BC">
        <w:rPr>
          <w:rFonts w:ascii="Calibri" w:hAnsi="Calibri" w:cs="Calibri"/>
        </w:rPr>
        <w:t>, Singh &amp; Thompson, 2024</w:t>
      </w:r>
      <w:r w:rsidRPr="009062BC">
        <w:rPr>
          <w:rFonts w:ascii="Calibri" w:hAnsi="Calibri" w:cs="Calibri"/>
        </w:rPr>
        <w:t xml:space="preserve">). While such visits are widely promoted for their positive impact on pupils’ social development, confidence, and experiential learning (Behrendt </w:t>
      </w:r>
      <w:r w:rsidR="00B03E7A" w:rsidRPr="009062BC">
        <w:rPr>
          <w:rFonts w:ascii="Calibri" w:hAnsi="Calibri" w:cs="Calibri"/>
        </w:rPr>
        <w:t>&amp;</w:t>
      </w:r>
      <w:r w:rsidRPr="009062BC">
        <w:rPr>
          <w:rFonts w:ascii="Calibri" w:hAnsi="Calibri" w:cs="Calibri"/>
        </w:rPr>
        <w:t xml:space="preserve"> Franklin, 2014; Waite, 2011), there is limited research exploring how these experiences affect teachers, particularly in terms of their emotional wellbeing.</w:t>
      </w:r>
    </w:p>
    <w:p w14:paraId="7C331690" w14:textId="3AEC4819" w:rsidR="00D41122" w:rsidRPr="009062BC" w:rsidRDefault="00D41122" w:rsidP="009062BC">
      <w:pPr>
        <w:spacing w:line="360" w:lineRule="auto"/>
        <w:rPr>
          <w:rFonts w:ascii="Calibri" w:hAnsi="Calibri" w:cs="Calibri"/>
        </w:rPr>
      </w:pPr>
      <w:r w:rsidRPr="009062BC">
        <w:rPr>
          <w:rFonts w:ascii="Calibri" w:hAnsi="Calibri" w:cs="Calibri"/>
        </w:rPr>
        <w:t>This proposed study aims to address this gap by investigating the</w:t>
      </w:r>
      <w:r w:rsidR="00033DAC" w:rsidRPr="009062BC">
        <w:rPr>
          <w:rFonts w:ascii="Calibri" w:hAnsi="Calibri" w:cs="Calibri"/>
        </w:rPr>
        <w:t xml:space="preserve"> emotionally</w:t>
      </w:r>
      <w:r w:rsidRPr="009062BC">
        <w:rPr>
          <w:rFonts w:ascii="Calibri" w:hAnsi="Calibri" w:cs="Calibri"/>
        </w:rPr>
        <w:t xml:space="preserve"> affective experiences of primary teachers before, during, and after residential trips</w:t>
      </w:r>
      <w:r w:rsidR="005A1EA7" w:rsidRPr="009062BC">
        <w:rPr>
          <w:rFonts w:ascii="Calibri" w:hAnsi="Calibri" w:cs="Calibri"/>
        </w:rPr>
        <w:t xml:space="preserve"> (specifically in museums)</w:t>
      </w:r>
      <w:r w:rsidR="00033DAC" w:rsidRPr="009062BC">
        <w:rPr>
          <w:rFonts w:ascii="Calibri" w:hAnsi="Calibri" w:cs="Calibri"/>
        </w:rPr>
        <w:t xml:space="preserve">; </w:t>
      </w:r>
      <w:r w:rsidRPr="009062BC">
        <w:rPr>
          <w:rFonts w:ascii="Calibri" w:hAnsi="Calibri" w:cs="Calibri"/>
        </w:rPr>
        <w:t>an area noted as underrepresented in the literature (</w:t>
      </w:r>
      <w:proofErr w:type="spellStart"/>
      <w:r w:rsidRPr="009062BC">
        <w:rPr>
          <w:rFonts w:ascii="Calibri" w:hAnsi="Calibri" w:cs="Calibri"/>
        </w:rPr>
        <w:t>Rickinson</w:t>
      </w:r>
      <w:proofErr w:type="spellEnd"/>
      <w:r w:rsidRPr="009062BC">
        <w:rPr>
          <w:rFonts w:ascii="Calibri" w:hAnsi="Calibri" w:cs="Calibri"/>
        </w:rPr>
        <w:t xml:space="preserve"> </w:t>
      </w:r>
      <w:r w:rsidRPr="009062BC">
        <w:rPr>
          <w:rFonts w:ascii="Calibri" w:hAnsi="Calibri" w:cs="Calibri"/>
          <w:i/>
          <w:iCs/>
        </w:rPr>
        <w:t>et al</w:t>
      </w:r>
      <w:r w:rsidRPr="009062BC">
        <w:rPr>
          <w:rFonts w:ascii="Calibri" w:hAnsi="Calibri" w:cs="Calibri"/>
        </w:rPr>
        <w:t xml:space="preserve">., 2004; </w:t>
      </w:r>
      <w:r w:rsidR="0085699D" w:rsidRPr="009062BC">
        <w:rPr>
          <w:rFonts w:ascii="Calibri" w:hAnsi="Calibri" w:cs="Calibri"/>
        </w:rPr>
        <w:t xml:space="preserve">Singh &amp; Thompson, 2024; </w:t>
      </w:r>
      <w:r w:rsidRPr="009062BC">
        <w:rPr>
          <w:rFonts w:ascii="Calibri" w:hAnsi="Calibri" w:cs="Calibri"/>
        </w:rPr>
        <w:t xml:space="preserve">Glackin, 2018; Braund </w:t>
      </w:r>
      <w:r w:rsidR="00033DAC" w:rsidRPr="009062BC">
        <w:rPr>
          <w:rFonts w:ascii="Calibri" w:hAnsi="Calibri" w:cs="Calibri"/>
        </w:rPr>
        <w:t>&amp;</w:t>
      </w:r>
      <w:r w:rsidRPr="009062BC">
        <w:rPr>
          <w:rFonts w:ascii="Calibri" w:hAnsi="Calibri" w:cs="Calibri"/>
        </w:rPr>
        <w:t xml:space="preserve"> Reiss, 2006). Most existing studies foreground pupil outcomes, with minimal consideration of the professional or emotional impact on staff who plan and lead these visits. By focusing on emotional </w:t>
      </w:r>
      <w:r w:rsidRPr="009062BC">
        <w:rPr>
          <w:rFonts w:ascii="Calibri" w:hAnsi="Calibri" w:cs="Calibri"/>
        </w:rPr>
        <w:lastRenderedPageBreak/>
        <w:t xml:space="preserve">connectedness, relational energy, and teacher motivation, the study </w:t>
      </w:r>
      <w:r w:rsidR="00B03E7A" w:rsidRPr="009062BC">
        <w:rPr>
          <w:rFonts w:ascii="Calibri" w:hAnsi="Calibri" w:cs="Calibri"/>
        </w:rPr>
        <w:t xml:space="preserve">hopes to </w:t>
      </w:r>
      <w:r w:rsidRPr="009062BC">
        <w:rPr>
          <w:rFonts w:ascii="Calibri" w:hAnsi="Calibri" w:cs="Calibri"/>
        </w:rPr>
        <w:t>contribute to a growing yet still limited discourse around teacher wellbeing in non-traditional learning environments.</w:t>
      </w:r>
    </w:p>
    <w:p w14:paraId="4EF585ED" w14:textId="42ADF556" w:rsidR="00D41122" w:rsidRPr="009062BC" w:rsidRDefault="00D41122" w:rsidP="009062BC">
      <w:pPr>
        <w:spacing w:line="360" w:lineRule="auto"/>
        <w:rPr>
          <w:rFonts w:ascii="Calibri" w:hAnsi="Calibri" w:cs="Calibri"/>
        </w:rPr>
      </w:pPr>
      <w:r w:rsidRPr="009062BC">
        <w:rPr>
          <w:rFonts w:ascii="Calibri" w:hAnsi="Calibri" w:cs="Calibri"/>
        </w:rPr>
        <w:t xml:space="preserve">This research is also shaped by my own experiences as a practitioner-researcher involved in national initiatives such as </w:t>
      </w:r>
      <w:r w:rsidRPr="009062BC">
        <w:rPr>
          <w:rFonts w:ascii="Calibri" w:hAnsi="Calibri" w:cs="Calibri"/>
          <w:i/>
          <w:iCs/>
        </w:rPr>
        <w:t>My Primary School is at the Museum</w:t>
      </w:r>
      <w:r w:rsidRPr="009062BC">
        <w:rPr>
          <w:rFonts w:ascii="Calibri" w:hAnsi="Calibri" w:cs="Calibri"/>
        </w:rPr>
        <w:t xml:space="preserve"> (King’s College London, 2015), where I observed first-hand how immersive, collaborative settings fostered deeper emotional engagement and professional fulfilment among staff. Adopting a post-positivist stance (Creswell, 2014; Phillips </w:t>
      </w:r>
      <w:r w:rsidR="000246A1" w:rsidRPr="009062BC">
        <w:rPr>
          <w:rFonts w:ascii="Calibri" w:hAnsi="Calibri" w:cs="Calibri"/>
        </w:rPr>
        <w:t>&amp;</w:t>
      </w:r>
      <w:r w:rsidRPr="009062BC">
        <w:rPr>
          <w:rFonts w:ascii="Calibri" w:hAnsi="Calibri" w:cs="Calibri"/>
        </w:rPr>
        <w:t xml:space="preserve"> </w:t>
      </w:r>
      <w:proofErr w:type="spellStart"/>
      <w:r w:rsidRPr="009062BC">
        <w:rPr>
          <w:rFonts w:ascii="Calibri" w:hAnsi="Calibri" w:cs="Calibri"/>
        </w:rPr>
        <w:t>Burbules</w:t>
      </w:r>
      <w:proofErr w:type="spellEnd"/>
      <w:r w:rsidRPr="009062BC">
        <w:rPr>
          <w:rFonts w:ascii="Calibri" w:hAnsi="Calibri" w:cs="Calibri"/>
        </w:rPr>
        <w:t>, 2000), I acknowledge the subjective nature of wellbeing but contend that meaningful patterns c</w:t>
      </w:r>
      <w:r w:rsidR="000246A1" w:rsidRPr="009062BC">
        <w:rPr>
          <w:rFonts w:ascii="Calibri" w:hAnsi="Calibri" w:cs="Calibri"/>
        </w:rPr>
        <w:t>ould</w:t>
      </w:r>
      <w:r w:rsidRPr="009062BC">
        <w:rPr>
          <w:rFonts w:ascii="Calibri" w:hAnsi="Calibri" w:cs="Calibri"/>
        </w:rPr>
        <w:t xml:space="preserve"> be observed and interpreted to inform practice.</w:t>
      </w:r>
    </w:p>
    <w:p w14:paraId="3C1FB96D" w14:textId="2C5FE900" w:rsidR="00D41122" w:rsidRDefault="00D41122" w:rsidP="009062BC">
      <w:pPr>
        <w:spacing w:line="360" w:lineRule="auto"/>
        <w:rPr>
          <w:rFonts w:ascii="Calibri" w:hAnsi="Calibri" w:cs="Calibri"/>
        </w:rPr>
      </w:pPr>
      <w:r w:rsidRPr="009062BC">
        <w:rPr>
          <w:rFonts w:ascii="Calibri" w:hAnsi="Calibri" w:cs="Calibri"/>
        </w:rPr>
        <w:t xml:space="preserve">The study </w:t>
      </w:r>
      <w:r w:rsidR="000246A1" w:rsidRPr="009062BC">
        <w:rPr>
          <w:rFonts w:ascii="Calibri" w:hAnsi="Calibri" w:cs="Calibri"/>
        </w:rPr>
        <w:t>will also be</w:t>
      </w:r>
      <w:r w:rsidRPr="009062BC">
        <w:rPr>
          <w:rFonts w:ascii="Calibri" w:hAnsi="Calibri" w:cs="Calibri"/>
        </w:rPr>
        <w:t xml:space="preserve"> situated within the Welsh educational context, which </w:t>
      </w:r>
      <w:r w:rsidR="000246A1" w:rsidRPr="009062BC">
        <w:rPr>
          <w:rFonts w:ascii="Calibri" w:hAnsi="Calibri" w:cs="Calibri"/>
        </w:rPr>
        <w:t xml:space="preserve">now </w:t>
      </w:r>
      <w:r w:rsidRPr="009062BC">
        <w:rPr>
          <w:rFonts w:ascii="Calibri" w:hAnsi="Calibri" w:cs="Calibri"/>
        </w:rPr>
        <w:t>places strong emphasis on wellbeing and relational pedagogy through the Curriculum for Wales (2022) and the Well-being of Future Generations</w:t>
      </w:r>
      <w:r w:rsidRPr="009062BC">
        <w:rPr>
          <w:rFonts w:ascii="Calibri" w:hAnsi="Calibri" w:cs="Calibri"/>
          <w:i/>
          <w:iCs/>
        </w:rPr>
        <w:t xml:space="preserve"> (Wales) Act</w:t>
      </w:r>
      <w:r w:rsidRPr="009062BC">
        <w:rPr>
          <w:rFonts w:ascii="Calibri" w:hAnsi="Calibri" w:cs="Calibri"/>
        </w:rPr>
        <w:t xml:space="preserve"> (2015)</w:t>
      </w:r>
      <w:r w:rsidR="000246A1" w:rsidRPr="009062BC">
        <w:rPr>
          <w:rFonts w:ascii="Calibri" w:hAnsi="Calibri" w:cs="Calibri"/>
        </w:rPr>
        <w:t xml:space="preserve">, </w:t>
      </w:r>
      <w:r w:rsidR="00EE064D" w:rsidRPr="009062BC">
        <w:rPr>
          <w:rFonts w:ascii="Calibri" w:hAnsi="Calibri" w:cs="Calibri"/>
        </w:rPr>
        <w:t>particularly in relation to pupils, though implications for staff are less developed in this literature</w:t>
      </w:r>
      <w:r w:rsidRPr="009062BC">
        <w:rPr>
          <w:rFonts w:ascii="Calibri" w:hAnsi="Calibri" w:cs="Calibri"/>
        </w:rPr>
        <w:t>. As such, the findings may offer insight for school leaders, Estyn</w:t>
      </w:r>
      <w:r w:rsidR="000246A1" w:rsidRPr="009062BC">
        <w:rPr>
          <w:rFonts w:ascii="Calibri" w:hAnsi="Calibri" w:cs="Calibri"/>
        </w:rPr>
        <w:t xml:space="preserve"> (Welsh school inspectorate)</w:t>
      </w:r>
      <w:r w:rsidRPr="009062BC">
        <w:rPr>
          <w:rFonts w:ascii="Calibri" w:hAnsi="Calibri" w:cs="Calibri"/>
        </w:rPr>
        <w:t>, and policymakers seeking to support teacher wellbeing in ways that are both sustainable and grounded in real-world educational practice</w:t>
      </w:r>
      <w:r w:rsidR="00F40EBD" w:rsidRPr="009062BC">
        <w:rPr>
          <w:rFonts w:ascii="Calibri" w:hAnsi="Calibri" w:cs="Calibri"/>
        </w:rPr>
        <w:t>. I</w:t>
      </w:r>
      <w:r w:rsidR="009E21D0" w:rsidRPr="009062BC">
        <w:rPr>
          <w:rFonts w:ascii="Calibri" w:hAnsi="Calibri" w:cs="Calibri"/>
        </w:rPr>
        <w:t xml:space="preserve">nterestingly </w:t>
      </w:r>
      <w:r w:rsidR="00F40EBD" w:rsidRPr="009062BC">
        <w:rPr>
          <w:rFonts w:ascii="Calibri" w:hAnsi="Calibri" w:cs="Calibri"/>
        </w:rPr>
        <w:t>the Curriculum for Wales</w:t>
      </w:r>
      <w:r w:rsidR="001D2418" w:rsidRPr="009062BC">
        <w:rPr>
          <w:rFonts w:ascii="Calibri" w:hAnsi="Calibri" w:cs="Calibri"/>
        </w:rPr>
        <w:t xml:space="preserve"> (202</w:t>
      </w:r>
      <w:r w:rsidR="00B23986" w:rsidRPr="009062BC">
        <w:rPr>
          <w:rFonts w:ascii="Calibri" w:hAnsi="Calibri" w:cs="Calibri"/>
        </w:rPr>
        <w:t>2</w:t>
      </w:r>
      <w:r w:rsidR="001D2418" w:rsidRPr="009062BC">
        <w:rPr>
          <w:rFonts w:ascii="Calibri" w:hAnsi="Calibri" w:cs="Calibri"/>
        </w:rPr>
        <w:t>)</w:t>
      </w:r>
      <w:r w:rsidR="00F40EBD" w:rsidRPr="009062BC">
        <w:rPr>
          <w:rFonts w:ascii="Calibri" w:hAnsi="Calibri" w:cs="Calibri"/>
        </w:rPr>
        <w:t xml:space="preserve"> strongly encourages schools to collaborate with museums to provide place-based, culturally rich learning experiences that connect to </w:t>
      </w:r>
      <w:proofErr w:type="spellStart"/>
      <w:r w:rsidR="00F40EBD" w:rsidRPr="009062BC">
        <w:rPr>
          <w:rFonts w:ascii="Calibri" w:hAnsi="Calibri" w:cs="Calibri"/>
          <w:i/>
          <w:iCs/>
        </w:rPr>
        <w:t>cynefin</w:t>
      </w:r>
      <w:proofErr w:type="spellEnd"/>
      <w:r w:rsidR="00F23DD3" w:rsidRPr="009062BC">
        <w:rPr>
          <w:rFonts w:ascii="Calibri" w:hAnsi="Calibri" w:cs="Calibri"/>
        </w:rPr>
        <w:t xml:space="preserve"> </w:t>
      </w:r>
      <w:r w:rsidR="006B026D" w:rsidRPr="009062BC">
        <w:rPr>
          <w:rFonts w:ascii="Calibri" w:hAnsi="Calibri" w:cs="Calibri"/>
        </w:rPr>
        <w:t>(a Welsh concept which</w:t>
      </w:r>
      <w:r w:rsidR="008242ED" w:rsidRPr="009062BC">
        <w:rPr>
          <w:rFonts w:ascii="Calibri" w:hAnsi="Calibri" w:cs="Calibri"/>
        </w:rPr>
        <w:t xml:space="preserve"> </w:t>
      </w:r>
      <w:r w:rsidR="006B026D" w:rsidRPr="009062BC">
        <w:rPr>
          <w:rFonts w:ascii="Calibri" w:hAnsi="Calibri" w:cs="Calibri"/>
        </w:rPr>
        <w:t>refers to the place or environment where one feels a sense of belonging, shaped by personal, social, and cultural experiences (Adams, 2024)</w:t>
      </w:r>
      <w:r w:rsidR="008242ED" w:rsidRPr="009062BC">
        <w:rPr>
          <w:rFonts w:ascii="Calibri" w:hAnsi="Calibri" w:cs="Calibri"/>
        </w:rPr>
        <w:t xml:space="preserve">) and a curriculum which </w:t>
      </w:r>
      <w:r w:rsidR="00F40EBD" w:rsidRPr="009062BC">
        <w:rPr>
          <w:rFonts w:ascii="Calibri" w:hAnsi="Calibri" w:cs="Calibri"/>
        </w:rPr>
        <w:t>spa</w:t>
      </w:r>
      <w:r w:rsidR="008242ED" w:rsidRPr="009062BC">
        <w:rPr>
          <w:rFonts w:ascii="Calibri" w:hAnsi="Calibri" w:cs="Calibri"/>
        </w:rPr>
        <w:t>ns</w:t>
      </w:r>
      <w:r w:rsidR="00F40EBD" w:rsidRPr="009062BC">
        <w:rPr>
          <w:rFonts w:ascii="Calibri" w:hAnsi="Calibri" w:cs="Calibri"/>
        </w:rPr>
        <w:t xml:space="preserve"> multiple learning areas, include diverse histories, and support the four overarching educational purposes</w:t>
      </w:r>
      <w:r w:rsidR="008242ED" w:rsidRPr="009062BC">
        <w:rPr>
          <w:rFonts w:ascii="Calibri" w:hAnsi="Calibri" w:cs="Calibri"/>
        </w:rPr>
        <w:t xml:space="preserve"> (Welsh Government, 2020)</w:t>
      </w:r>
      <w:r w:rsidR="00F40EBD" w:rsidRPr="009062BC">
        <w:rPr>
          <w:rFonts w:ascii="Calibri" w:hAnsi="Calibri" w:cs="Calibri"/>
        </w:rPr>
        <w:t>.</w:t>
      </w:r>
      <w:r w:rsidR="008242ED" w:rsidRPr="009062BC">
        <w:rPr>
          <w:rFonts w:ascii="Calibri" w:hAnsi="Calibri" w:cs="Calibri"/>
        </w:rPr>
        <w:t xml:space="preserve"> </w:t>
      </w:r>
      <w:r w:rsidR="008C0684" w:rsidRPr="009062BC">
        <w:rPr>
          <w:rFonts w:ascii="Calibri" w:hAnsi="Calibri" w:cs="Calibri"/>
        </w:rPr>
        <w:t>The commissioning of GEM Cymru (2023) to create a “Toolkit for Museums” supporting educators to visit museums, further promotes and enhances the importance the Welsh Government appear to place on such opportunities.</w:t>
      </w:r>
    </w:p>
    <w:p w14:paraId="1A832609" w14:textId="77777777" w:rsidR="009062BC" w:rsidRDefault="009062BC" w:rsidP="009062BC">
      <w:pPr>
        <w:spacing w:line="360" w:lineRule="auto"/>
        <w:rPr>
          <w:rFonts w:ascii="Calibri" w:hAnsi="Calibri" w:cs="Calibri"/>
        </w:rPr>
      </w:pPr>
    </w:p>
    <w:p w14:paraId="05C48406" w14:textId="77777777" w:rsidR="009062BC" w:rsidRDefault="009062BC" w:rsidP="009062BC">
      <w:pPr>
        <w:spacing w:line="360" w:lineRule="auto"/>
        <w:rPr>
          <w:rFonts w:ascii="Calibri" w:hAnsi="Calibri" w:cs="Calibri"/>
        </w:rPr>
      </w:pPr>
    </w:p>
    <w:p w14:paraId="47C32D9E" w14:textId="77777777" w:rsidR="009062BC" w:rsidRDefault="009062BC" w:rsidP="009062BC">
      <w:pPr>
        <w:spacing w:line="360" w:lineRule="auto"/>
        <w:rPr>
          <w:rFonts w:ascii="Calibri" w:hAnsi="Calibri" w:cs="Calibri"/>
        </w:rPr>
      </w:pPr>
    </w:p>
    <w:p w14:paraId="3B137043" w14:textId="77777777" w:rsidR="009062BC" w:rsidRPr="009062BC" w:rsidRDefault="009062BC" w:rsidP="009062BC">
      <w:pPr>
        <w:spacing w:line="360" w:lineRule="auto"/>
        <w:rPr>
          <w:rFonts w:ascii="Calibri" w:hAnsi="Calibri" w:cs="Calibri"/>
        </w:rPr>
      </w:pPr>
    </w:p>
    <w:p w14:paraId="062E1885" w14:textId="33628957" w:rsidR="009062BC" w:rsidRPr="009062BC" w:rsidRDefault="00A569AB" w:rsidP="009062BC">
      <w:pPr>
        <w:pStyle w:val="Heading1"/>
        <w:spacing w:line="360" w:lineRule="auto"/>
        <w:rPr>
          <w:rFonts w:ascii="Calibri" w:hAnsi="Calibri" w:cs="Calibri"/>
        </w:rPr>
      </w:pPr>
      <w:r w:rsidRPr="009062BC">
        <w:rPr>
          <w:rFonts w:ascii="Calibri" w:hAnsi="Calibri" w:cs="Calibri"/>
        </w:rPr>
        <w:lastRenderedPageBreak/>
        <w:t>Literature Review</w:t>
      </w:r>
    </w:p>
    <w:p w14:paraId="20FFC813" w14:textId="3BC920CA" w:rsidR="00D42DB0" w:rsidRPr="009062BC" w:rsidRDefault="00C34F93" w:rsidP="009062BC">
      <w:pPr>
        <w:spacing w:line="360" w:lineRule="auto"/>
        <w:rPr>
          <w:rFonts w:ascii="Calibri" w:hAnsi="Calibri" w:cs="Calibri"/>
        </w:rPr>
      </w:pPr>
      <w:r w:rsidRPr="009062BC">
        <w:rPr>
          <w:rFonts w:ascii="Calibri" w:hAnsi="Calibri" w:cs="Calibri"/>
        </w:rPr>
        <w:t xml:space="preserve">To further shape the study, </w:t>
      </w:r>
      <w:r w:rsidR="00F208BF" w:rsidRPr="009062BC">
        <w:rPr>
          <w:rFonts w:ascii="Calibri" w:hAnsi="Calibri" w:cs="Calibri"/>
        </w:rPr>
        <w:t xml:space="preserve">it is important to consider existing literature. There are two </w:t>
      </w:r>
      <w:r w:rsidR="005D742A" w:rsidRPr="009062BC">
        <w:rPr>
          <w:rFonts w:ascii="Calibri" w:hAnsi="Calibri" w:cs="Calibri"/>
        </w:rPr>
        <w:t xml:space="preserve">overarching themes to consider in their own right; teacher well-being </w:t>
      </w:r>
      <w:r w:rsidR="00704085" w:rsidRPr="009062BC">
        <w:rPr>
          <w:rFonts w:ascii="Calibri" w:hAnsi="Calibri" w:cs="Calibri"/>
        </w:rPr>
        <w:t>AND educational visits, focussing on the Welsh context.</w:t>
      </w:r>
      <w:r w:rsidR="006E25EB" w:rsidRPr="009062BC">
        <w:rPr>
          <w:rFonts w:ascii="Calibri" w:hAnsi="Calibri" w:cs="Calibri"/>
        </w:rPr>
        <w:br/>
      </w:r>
    </w:p>
    <w:p w14:paraId="492EF3BA" w14:textId="640385C3" w:rsidR="00850D82" w:rsidRPr="009062BC" w:rsidRDefault="00850D82" w:rsidP="009062BC">
      <w:pPr>
        <w:spacing w:line="360" w:lineRule="auto"/>
        <w:rPr>
          <w:rFonts w:ascii="Calibri" w:eastAsiaTheme="majorEastAsia" w:hAnsi="Calibri" w:cs="Calibri"/>
          <w:color w:val="0F4761" w:themeColor="accent1" w:themeShade="BF"/>
          <w:sz w:val="32"/>
          <w:szCs w:val="32"/>
        </w:rPr>
      </w:pPr>
      <w:r w:rsidRPr="009062BC">
        <w:rPr>
          <w:rStyle w:val="Heading2Char"/>
          <w:rFonts w:ascii="Calibri" w:hAnsi="Calibri" w:cs="Calibri"/>
        </w:rPr>
        <w:t>Theme 1: Teacher Wellbeing</w:t>
      </w:r>
      <w:r w:rsidR="00EF40E1" w:rsidRPr="009062BC">
        <w:rPr>
          <w:rStyle w:val="Heading2Char"/>
          <w:rFonts w:ascii="Calibri" w:hAnsi="Calibri" w:cs="Calibri"/>
        </w:rPr>
        <w:br/>
        <w:t>Frameworks and Models</w:t>
      </w:r>
      <w:r w:rsidRPr="009062BC">
        <w:rPr>
          <w:rFonts w:ascii="Calibri" w:hAnsi="Calibri" w:cs="Calibri"/>
        </w:rPr>
        <w:br/>
        <w:t>Teacher wellbeing is best understood as a multi-dimensional construct encompassing emotional, psychological, relational, and professional elements (</w:t>
      </w:r>
      <w:proofErr w:type="spellStart"/>
      <w:r w:rsidRPr="009062BC">
        <w:rPr>
          <w:rFonts w:ascii="Calibri" w:hAnsi="Calibri" w:cs="Calibri"/>
        </w:rPr>
        <w:t>Viac</w:t>
      </w:r>
      <w:proofErr w:type="spellEnd"/>
      <w:r w:rsidRPr="009062BC">
        <w:rPr>
          <w:rFonts w:ascii="Calibri" w:hAnsi="Calibri" w:cs="Calibri"/>
        </w:rPr>
        <w:t xml:space="preserve"> &amp; Fraser, 2020). Rather than being the absence of stress as one may assume it to mean, ‘wellbeing’ refers to a broader sense of thriving in one’s role (McCallum </w:t>
      </w:r>
      <w:r w:rsidRPr="009062BC">
        <w:rPr>
          <w:rFonts w:ascii="Calibri" w:hAnsi="Calibri" w:cs="Calibri"/>
          <w:i/>
          <w:iCs/>
        </w:rPr>
        <w:t>et al</w:t>
      </w:r>
      <w:r w:rsidRPr="009062BC">
        <w:rPr>
          <w:rFonts w:ascii="Calibri" w:hAnsi="Calibri" w:cs="Calibri"/>
        </w:rPr>
        <w:t>., 2017). To conceptualise wellbeing in this study, several well-established frameworks are relevant.</w:t>
      </w:r>
    </w:p>
    <w:p w14:paraId="5953C1E1" w14:textId="2D1CD33E" w:rsidR="00A61568" w:rsidRPr="009062BC" w:rsidRDefault="00850D82" w:rsidP="009062BC">
      <w:pPr>
        <w:spacing w:line="360" w:lineRule="auto"/>
        <w:rPr>
          <w:rFonts w:ascii="Calibri" w:hAnsi="Calibri" w:cs="Calibri"/>
        </w:rPr>
      </w:pPr>
      <w:r w:rsidRPr="009062BC">
        <w:rPr>
          <w:rFonts w:ascii="Calibri" w:hAnsi="Calibri" w:cs="Calibri"/>
        </w:rPr>
        <w:t xml:space="preserve">One of the most widely cited and commonly used in the literature has been Seligman’s PERMA model (2011), which </w:t>
      </w:r>
      <w:r w:rsidR="006E0037" w:rsidRPr="009062BC">
        <w:rPr>
          <w:rFonts w:ascii="Calibri" w:hAnsi="Calibri" w:cs="Calibri"/>
        </w:rPr>
        <w:t>identifies five key elements of wellbeing: Positive Emotion, Engagement, Relationships, Meaning, and Accomplishment. Each connects closely with emotional wellbeing in teaching</w:t>
      </w:r>
      <w:r w:rsidR="004F75C3" w:rsidRPr="009062BC">
        <w:rPr>
          <w:rFonts w:ascii="Calibri" w:hAnsi="Calibri" w:cs="Calibri"/>
        </w:rPr>
        <w:t xml:space="preserve"> </w:t>
      </w:r>
      <w:r w:rsidR="00821BCD" w:rsidRPr="009062BC">
        <w:rPr>
          <w:rFonts w:ascii="Calibri" w:hAnsi="Calibri" w:cs="Calibri"/>
        </w:rPr>
        <w:t xml:space="preserve">through </w:t>
      </w:r>
      <w:r w:rsidR="006E0037" w:rsidRPr="009062BC">
        <w:rPr>
          <w:rFonts w:ascii="Calibri" w:hAnsi="Calibri" w:cs="Calibri"/>
        </w:rPr>
        <w:t>support</w:t>
      </w:r>
      <w:r w:rsidR="004F75C3" w:rsidRPr="009062BC">
        <w:rPr>
          <w:rFonts w:ascii="Calibri" w:hAnsi="Calibri" w:cs="Calibri"/>
        </w:rPr>
        <w:t>ing</w:t>
      </w:r>
      <w:r w:rsidR="006E0037" w:rsidRPr="009062BC">
        <w:rPr>
          <w:rFonts w:ascii="Calibri" w:hAnsi="Calibri" w:cs="Calibri"/>
        </w:rPr>
        <w:t xml:space="preserve"> motivation and resilience</w:t>
      </w:r>
      <w:r w:rsidR="00821BCD" w:rsidRPr="009062BC">
        <w:rPr>
          <w:rFonts w:ascii="Calibri" w:hAnsi="Calibri" w:cs="Calibri"/>
        </w:rPr>
        <w:t>,</w:t>
      </w:r>
      <w:r w:rsidR="006E0037" w:rsidRPr="009062BC">
        <w:rPr>
          <w:rFonts w:ascii="Calibri" w:hAnsi="Calibri" w:cs="Calibri"/>
        </w:rPr>
        <w:t xml:space="preserve"> flow and satisfaction</w:t>
      </w:r>
      <w:r w:rsidR="00821BCD" w:rsidRPr="009062BC">
        <w:rPr>
          <w:rFonts w:ascii="Calibri" w:hAnsi="Calibri" w:cs="Calibri"/>
        </w:rPr>
        <w:t>,</w:t>
      </w:r>
      <w:r w:rsidR="004F75C3" w:rsidRPr="009062BC">
        <w:rPr>
          <w:rFonts w:ascii="Calibri" w:hAnsi="Calibri" w:cs="Calibri"/>
        </w:rPr>
        <w:t xml:space="preserve"> ability to </w:t>
      </w:r>
      <w:r w:rsidR="006E0037" w:rsidRPr="009062BC">
        <w:rPr>
          <w:rFonts w:ascii="Calibri" w:hAnsi="Calibri" w:cs="Calibri"/>
        </w:rPr>
        <w:t>enhance connectedness</w:t>
      </w:r>
      <w:r w:rsidR="00821BCD" w:rsidRPr="009062BC">
        <w:rPr>
          <w:rFonts w:ascii="Calibri" w:hAnsi="Calibri" w:cs="Calibri"/>
        </w:rPr>
        <w:t>,</w:t>
      </w:r>
      <w:r w:rsidR="006E0037" w:rsidRPr="009062BC">
        <w:rPr>
          <w:rFonts w:ascii="Calibri" w:hAnsi="Calibri" w:cs="Calibri"/>
        </w:rPr>
        <w:t xml:space="preserve"> provide purpose and reinforce</w:t>
      </w:r>
      <w:r w:rsidR="00821BCD" w:rsidRPr="009062BC">
        <w:rPr>
          <w:rFonts w:ascii="Calibri" w:hAnsi="Calibri" w:cs="Calibri"/>
        </w:rPr>
        <w:t xml:space="preserve"> </w:t>
      </w:r>
      <w:r w:rsidR="006E0037" w:rsidRPr="009062BC">
        <w:rPr>
          <w:rFonts w:ascii="Calibri" w:hAnsi="Calibri" w:cs="Calibri"/>
        </w:rPr>
        <w:t xml:space="preserve">self-worth. </w:t>
      </w:r>
      <w:r w:rsidR="00466750" w:rsidRPr="009062BC">
        <w:rPr>
          <w:rFonts w:ascii="Calibri" w:hAnsi="Calibri" w:cs="Calibri"/>
        </w:rPr>
        <w:t xml:space="preserve">However, the PERMA model has been criticised for focusing predominantly on individual traits and personal behaviours, underplaying the systemic and contextual influences on wellbeing such as workload, accountability pressures, and organisational culture (Noble </w:t>
      </w:r>
      <w:r w:rsidR="00605D0C" w:rsidRPr="009062BC">
        <w:rPr>
          <w:rFonts w:ascii="Calibri" w:hAnsi="Calibri" w:cs="Calibri"/>
        </w:rPr>
        <w:t>&amp;</w:t>
      </w:r>
      <w:r w:rsidR="00466750" w:rsidRPr="009062BC">
        <w:rPr>
          <w:rFonts w:ascii="Calibri" w:hAnsi="Calibri" w:cs="Calibri"/>
        </w:rPr>
        <w:t xml:space="preserve"> McGrath, 2015; Furlong, 2015). </w:t>
      </w:r>
      <w:r w:rsidR="00365ABA" w:rsidRPr="009062BC">
        <w:rPr>
          <w:rFonts w:ascii="Calibri" w:hAnsi="Calibri" w:cs="Calibri"/>
        </w:rPr>
        <w:t xml:space="preserve">This individualistic focus can overlook the realities of the teaching profession, where wellbeing is significantly shaped by structural conditions such as workload, inspection regimes, and leadership practices. A systematic review by Wahab </w:t>
      </w:r>
      <w:r w:rsidR="00365ABA" w:rsidRPr="009062BC">
        <w:rPr>
          <w:rFonts w:ascii="Calibri" w:hAnsi="Calibri" w:cs="Calibri"/>
          <w:i/>
          <w:iCs/>
        </w:rPr>
        <w:t>et al.</w:t>
      </w:r>
      <w:r w:rsidR="00365ABA" w:rsidRPr="009062BC">
        <w:rPr>
          <w:rFonts w:ascii="Calibri" w:hAnsi="Calibri" w:cs="Calibri"/>
        </w:rPr>
        <w:t xml:space="preserve"> (2024) confirmed that increasing workload encompassing longer hours, administrative demands, and burnout, has a profound negative effect on teacher wellbeing. Similarly, Tooley </w:t>
      </w:r>
      <w:r w:rsidR="00365ABA" w:rsidRPr="009062BC">
        <w:rPr>
          <w:rFonts w:ascii="Calibri" w:hAnsi="Calibri" w:cs="Calibri"/>
          <w:i/>
          <w:iCs/>
        </w:rPr>
        <w:t>et al.</w:t>
      </w:r>
      <w:r w:rsidR="00365ABA" w:rsidRPr="009062BC">
        <w:rPr>
          <w:rFonts w:ascii="Calibri" w:hAnsi="Calibri" w:cs="Calibri"/>
        </w:rPr>
        <w:t xml:space="preserve"> (2023) found that excessive workload and workload intensification are strongly linked to stress and emotional exhaustion in teachers . Similarly, leadership practices also have a measurable influence on teacher wellbeing: </w:t>
      </w:r>
      <w:proofErr w:type="spellStart"/>
      <w:r w:rsidR="00365ABA" w:rsidRPr="009062BC">
        <w:rPr>
          <w:rFonts w:ascii="Calibri" w:hAnsi="Calibri" w:cs="Calibri"/>
        </w:rPr>
        <w:t>Mearman</w:t>
      </w:r>
      <w:proofErr w:type="spellEnd"/>
      <w:r w:rsidR="00365ABA" w:rsidRPr="009062BC">
        <w:rPr>
          <w:rFonts w:ascii="Calibri" w:hAnsi="Calibri" w:cs="Calibri"/>
        </w:rPr>
        <w:t xml:space="preserve"> </w:t>
      </w:r>
      <w:r w:rsidR="00365ABA" w:rsidRPr="009062BC">
        <w:rPr>
          <w:rFonts w:ascii="Calibri" w:hAnsi="Calibri" w:cs="Calibri"/>
          <w:i/>
          <w:iCs/>
        </w:rPr>
        <w:t>et al.</w:t>
      </w:r>
      <w:r w:rsidR="00365ABA" w:rsidRPr="009062BC">
        <w:rPr>
          <w:rFonts w:ascii="Calibri" w:hAnsi="Calibri" w:cs="Calibri"/>
        </w:rPr>
        <w:t xml:space="preserve"> (2023) reported that supportive, communicative leadership significantly enhances teacher job satisfaction and psychological</w:t>
      </w:r>
      <w:r w:rsidR="003C54A4" w:rsidRPr="009062BC">
        <w:rPr>
          <w:rFonts w:ascii="Calibri" w:hAnsi="Calibri" w:cs="Calibri"/>
        </w:rPr>
        <w:t xml:space="preserve"> wellbeing</w:t>
      </w:r>
      <w:r w:rsidR="00365ABA" w:rsidRPr="009062BC">
        <w:rPr>
          <w:rFonts w:ascii="Calibri" w:hAnsi="Calibri" w:cs="Calibri"/>
        </w:rPr>
        <w:t>. These findings show that understanding teacher wellbeing requires examining beyond individual strategies to include systemic issues that impact emotional health.</w:t>
      </w:r>
      <w:r w:rsidR="00DA2C06" w:rsidRPr="009062BC">
        <w:rPr>
          <w:rFonts w:ascii="Calibri" w:hAnsi="Calibri" w:cs="Calibri"/>
        </w:rPr>
        <w:t xml:space="preserve"> </w:t>
      </w:r>
      <w:r w:rsidR="00466750" w:rsidRPr="009062BC">
        <w:rPr>
          <w:rFonts w:ascii="Calibri" w:hAnsi="Calibri" w:cs="Calibri"/>
        </w:rPr>
        <w:t xml:space="preserve">As Roffey (2012) argues, sustainable teacher wellbeing requires a “whole-school approach” that considers relational and institutional factors, not just personal mindset or emotional self-regulation. In </w:t>
      </w:r>
      <w:r w:rsidR="00466750" w:rsidRPr="009062BC">
        <w:rPr>
          <w:rFonts w:ascii="Calibri" w:hAnsi="Calibri" w:cs="Calibri"/>
        </w:rPr>
        <w:lastRenderedPageBreak/>
        <w:t>this sense, while PERMA offers a helpful lens for identifying emotional components of wellbeing, it should be applied critically and supplemented by models that account for external demands placed on teachers.</w:t>
      </w:r>
    </w:p>
    <w:p w14:paraId="21339A53" w14:textId="3F7D0E26" w:rsidR="00DB2A17" w:rsidRPr="009062BC" w:rsidRDefault="00605D0C" w:rsidP="009062BC">
      <w:pPr>
        <w:spacing w:line="360" w:lineRule="auto"/>
        <w:rPr>
          <w:rFonts w:ascii="Calibri" w:hAnsi="Calibri" w:cs="Calibri"/>
        </w:rPr>
      </w:pPr>
      <w:r w:rsidRPr="009062BC">
        <w:rPr>
          <w:rFonts w:ascii="Calibri" w:hAnsi="Calibri" w:cs="Calibri"/>
        </w:rPr>
        <w:t>Another potentially useful model to consider</w:t>
      </w:r>
      <w:r w:rsidR="00DA2C06" w:rsidRPr="009062BC">
        <w:rPr>
          <w:rFonts w:ascii="Calibri" w:hAnsi="Calibri" w:cs="Calibri"/>
        </w:rPr>
        <w:t>, possibly alongside PERMA,</w:t>
      </w:r>
      <w:r w:rsidRPr="009062BC">
        <w:rPr>
          <w:rFonts w:ascii="Calibri" w:hAnsi="Calibri" w:cs="Calibri"/>
        </w:rPr>
        <w:t xml:space="preserve"> when studying teacher wellbeing could be the Job Demands–Resources (JD-R) model (Bakker &amp; Demerouti, 2007) as it provides an approach useful in education as it posits that job demands (e.g., workload, emotional strain) can lead to burnout unless counterbalanced by sufficient resources such as autonomy, support, or meaningful work. </w:t>
      </w:r>
      <w:r w:rsidR="00365078" w:rsidRPr="009062BC">
        <w:rPr>
          <w:rFonts w:ascii="Calibri" w:hAnsi="Calibri" w:cs="Calibri"/>
        </w:rPr>
        <w:t>Relevantly</w:t>
      </w:r>
      <w:r w:rsidR="00B5169E" w:rsidRPr="009062BC">
        <w:rPr>
          <w:rFonts w:ascii="Calibri" w:hAnsi="Calibri" w:cs="Calibri"/>
        </w:rPr>
        <w:t xml:space="preserve"> to the proposed study;</w:t>
      </w:r>
      <w:r w:rsidR="00365078" w:rsidRPr="009062BC">
        <w:rPr>
          <w:rFonts w:ascii="Calibri" w:hAnsi="Calibri" w:cs="Calibri"/>
        </w:rPr>
        <w:t xml:space="preserve"> r</w:t>
      </w:r>
      <w:r w:rsidRPr="009062BC">
        <w:rPr>
          <w:rFonts w:ascii="Calibri" w:hAnsi="Calibri" w:cs="Calibri"/>
        </w:rPr>
        <w:t>esidential visits may serve as one such ‘resource’, allowing teachers temporary relief from school pressures and offering space for creativity and connection. Notably, the JD-R model has primarily been applied to regular school contexts, with limited research into how atypical teaching environments like residentials might alter the demand-resource balance.</w:t>
      </w:r>
      <w:r w:rsidR="0021775A" w:rsidRPr="009062BC">
        <w:rPr>
          <w:rFonts w:ascii="Calibri" w:hAnsi="Calibri" w:cs="Calibri"/>
        </w:rPr>
        <w:t xml:space="preserve"> Thus, t</w:t>
      </w:r>
      <w:r w:rsidR="00106E87" w:rsidRPr="009062BC">
        <w:rPr>
          <w:rFonts w:ascii="Calibri" w:hAnsi="Calibri" w:cs="Calibri"/>
        </w:rPr>
        <w:t>aken together, the PERMA and JD-R models</w:t>
      </w:r>
      <w:r w:rsidR="0021775A" w:rsidRPr="009062BC">
        <w:rPr>
          <w:rFonts w:ascii="Calibri" w:hAnsi="Calibri" w:cs="Calibri"/>
        </w:rPr>
        <w:t xml:space="preserve"> potentially</w:t>
      </w:r>
      <w:r w:rsidR="00106E87" w:rsidRPr="009062BC">
        <w:rPr>
          <w:rFonts w:ascii="Calibri" w:hAnsi="Calibri" w:cs="Calibri"/>
        </w:rPr>
        <w:t xml:space="preserve"> provide a complementary conceptual framework for this study. While PERMA highlights the positive emotional and motivational aspects of wellbeing that may be enhanced through residential experiences (Seligman, 2011), the JD-R model enables a more critical exploration of how such experiences can act as protective resources against professional demands such as stress and emotional exhaustion (Bakker </w:t>
      </w:r>
      <w:r w:rsidR="0021775A" w:rsidRPr="009062BC">
        <w:rPr>
          <w:rFonts w:ascii="Calibri" w:hAnsi="Calibri" w:cs="Calibri"/>
        </w:rPr>
        <w:t>&amp;</w:t>
      </w:r>
      <w:r w:rsidR="00106E87" w:rsidRPr="009062BC">
        <w:rPr>
          <w:rFonts w:ascii="Calibri" w:hAnsi="Calibri" w:cs="Calibri"/>
        </w:rPr>
        <w:t xml:space="preserve"> Demerouti, 2007; Schaufeli </w:t>
      </w:r>
      <w:r w:rsidR="0021775A" w:rsidRPr="009062BC">
        <w:rPr>
          <w:rFonts w:ascii="Calibri" w:hAnsi="Calibri" w:cs="Calibri"/>
        </w:rPr>
        <w:t>&amp;</w:t>
      </w:r>
      <w:r w:rsidR="00106E87" w:rsidRPr="009062BC">
        <w:rPr>
          <w:rFonts w:ascii="Calibri" w:hAnsi="Calibri" w:cs="Calibri"/>
        </w:rPr>
        <w:t xml:space="preserve"> Taris, 2014). Research has increasingly called for integrated approaches to wellbeing that account for both individual and systemic factors (</w:t>
      </w:r>
      <w:proofErr w:type="spellStart"/>
      <w:r w:rsidR="00106E87" w:rsidRPr="009062BC">
        <w:rPr>
          <w:rFonts w:ascii="Calibri" w:hAnsi="Calibri" w:cs="Calibri"/>
        </w:rPr>
        <w:t>Viac</w:t>
      </w:r>
      <w:proofErr w:type="spellEnd"/>
      <w:r w:rsidR="00106E87" w:rsidRPr="009062BC">
        <w:rPr>
          <w:rFonts w:ascii="Calibri" w:hAnsi="Calibri" w:cs="Calibri"/>
        </w:rPr>
        <w:t xml:space="preserve"> </w:t>
      </w:r>
      <w:r w:rsidR="004D2697" w:rsidRPr="009062BC">
        <w:rPr>
          <w:rFonts w:ascii="Calibri" w:hAnsi="Calibri" w:cs="Calibri"/>
        </w:rPr>
        <w:t xml:space="preserve">&amp; </w:t>
      </w:r>
      <w:r w:rsidR="00106E87" w:rsidRPr="009062BC">
        <w:rPr>
          <w:rFonts w:ascii="Calibri" w:hAnsi="Calibri" w:cs="Calibri"/>
        </w:rPr>
        <w:t xml:space="preserve">Fraser, 2020; McCallum </w:t>
      </w:r>
      <w:r w:rsidR="00106E87" w:rsidRPr="009062BC">
        <w:rPr>
          <w:rFonts w:ascii="Calibri" w:hAnsi="Calibri" w:cs="Calibri"/>
          <w:i/>
          <w:iCs/>
        </w:rPr>
        <w:t>et al</w:t>
      </w:r>
      <w:r w:rsidR="00106E87" w:rsidRPr="009062BC">
        <w:rPr>
          <w:rFonts w:ascii="Calibri" w:hAnsi="Calibri" w:cs="Calibri"/>
        </w:rPr>
        <w:t>., 2017), and applying both models allows this study to address wellbeing holistically</w:t>
      </w:r>
      <w:r w:rsidR="004D2697" w:rsidRPr="009062BC">
        <w:rPr>
          <w:rFonts w:ascii="Calibri" w:hAnsi="Calibri" w:cs="Calibri"/>
        </w:rPr>
        <w:t xml:space="preserve"> whilst </w:t>
      </w:r>
      <w:r w:rsidR="00106E87" w:rsidRPr="009062BC">
        <w:rPr>
          <w:rFonts w:ascii="Calibri" w:hAnsi="Calibri" w:cs="Calibri"/>
        </w:rPr>
        <w:t>examining how it is both challenged and supported in atypical learning contexts.</w:t>
      </w:r>
    </w:p>
    <w:p w14:paraId="3A75FC1A" w14:textId="1518F274" w:rsidR="00A621DE" w:rsidRPr="009062BC" w:rsidRDefault="00A621DE" w:rsidP="009062BC">
      <w:pPr>
        <w:spacing w:line="360" w:lineRule="auto"/>
        <w:rPr>
          <w:rFonts w:ascii="Calibri" w:hAnsi="Calibri" w:cs="Calibri"/>
        </w:rPr>
      </w:pPr>
      <w:r w:rsidRPr="009062BC">
        <w:rPr>
          <w:rFonts w:ascii="Calibri" w:hAnsi="Calibri" w:cs="Calibri"/>
        </w:rPr>
        <w:t>Self-Determination Theory (SDT) (Deci and Ryan, 2000) also offers a valuable lens for understanding teacher wellbeing. It identifies three basic psychological needs - autonomy, competence, and relatedness - as essential to psychological growth and wellbeing. These needs are highly relevant to teachers' experiences on residential visits. Autonomy can be supported through increased professional freedom in how learning is delivered outside the classroom context (Ryan and Deci, 2017). Competence may be enhanced as teachers successfully lead activities or manage unfamiliar settings, reinforcing their professional self-efficacy (Guay</w:t>
      </w:r>
      <w:r w:rsidR="00622916" w:rsidRPr="009062BC">
        <w:rPr>
          <w:rFonts w:ascii="Calibri" w:hAnsi="Calibri" w:cs="Calibri"/>
        </w:rPr>
        <w:t xml:space="preserve"> </w:t>
      </w:r>
      <w:r w:rsidR="00622916" w:rsidRPr="009062BC">
        <w:rPr>
          <w:rFonts w:ascii="Calibri" w:hAnsi="Calibri" w:cs="Calibri"/>
          <w:i/>
          <w:iCs/>
        </w:rPr>
        <w:t>et al</w:t>
      </w:r>
      <w:r w:rsidR="00622916" w:rsidRPr="009062BC">
        <w:rPr>
          <w:rFonts w:ascii="Calibri" w:hAnsi="Calibri" w:cs="Calibri"/>
        </w:rPr>
        <w:t>.</w:t>
      </w:r>
      <w:r w:rsidRPr="009062BC">
        <w:rPr>
          <w:rFonts w:ascii="Calibri" w:hAnsi="Calibri" w:cs="Calibri"/>
        </w:rPr>
        <w:t xml:space="preserve">, 2008). Relatedness </w:t>
      </w:r>
      <w:r w:rsidR="00622916" w:rsidRPr="009062BC">
        <w:rPr>
          <w:rFonts w:ascii="Calibri" w:hAnsi="Calibri" w:cs="Calibri"/>
        </w:rPr>
        <w:t>can be gaine</w:t>
      </w:r>
      <w:r w:rsidRPr="009062BC">
        <w:rPr>
          <w:rFonts w:ascii="Calibri" w:hAnsi="Calibri" w:cs="Calibri"/>
        </w:rPr>
        <w:t xml:space="preserve">d through strengthened connections with pupils and colleagues in informal, collaborative environments (Niemiec </w:t>
      </w:r>
      <w:r w:rsidR="00622916" w:rsidRPr="009062BC">
        <w:rPr>
          <w:rFonts w:ascii="Calibri" w:hAnsi="Calibri" w:cs="Calibri"/>
        </w:rPr>
        <w:t xml:space="preserve">&amp; </w:t>
      </w:r>
      <w:r w:rsidRPr="009062BC">
        <w:rPr>
          <w:rFonts w:ascii="Calibri" w:hAnsi="Calibri" w:cs="Calibri"/>
        </w:rPr>
        <w:t xml:space="preserve">Ryan, 2009). </w:t>
      </w:r>
      <w:r w:rsidR="002133A2" w:rsidRPr="009062BC">
        <w:rPr>
          <w:rFonts w:ascii="Calibri" w:hAnsi="Calibri" w:cs="Calibri"/>
        </w:rPr>
        <w:t xml:space="preserve">While SDT has informed a range of school-based wellbeing programmes for pupils; such as the Positive Education framework (Noble &amp; McGrath, 2015), Thrive (Hughes &amp; Cline, 2015), and autonomy-supportive classroom approaches (Guay </w:t>
      </w:r>
      <w:r w:rsidR="002133A2" w:rsidRPr="009062BC">
        <w:rPr>
          <w:rFonts w:ascii="Calibri" w:hAnsi="Calibri" w:cs="Calibri"/>
          <w:i/>
          <w:iCs/>
        </w:rPr>
        <w:t>et al.,</w:t>
      </w:r>
      <w:r w:rsidR="002133A2" w:rsidRPr="009062BC">
        <w:rPr>
          <w:rFonts w:ascii="Calibri" w:hAnsi="Calibri" w:cs="Calibri"/>
        </w:rPr>
        <w:t xml:space="preserve"> 2008), </w:t>
      </w:r>
      <w:r w:rsidRPr="009062BC">
        <w:rPr>
          <w:rFonts w:ascii="Calibri" w:hAnsi="Calibri" w:cs="Calibri"/>
        </w:rPr>
        <w:t xml:space="preserve">there is limited empirical research applying this framework to teacher experiences in outdoor or residential contexts (Cook </w:t>
      </w:r>
      <w:r w:rsidR="002133A2" w:rsidRPr="009062BC">
        <w:rPr>
          <w:rFonts w:ascii="Calibri" w:hAnsi="Calibri" w:cs="Calibri"/>
        </w:rPr>
        <w:t>&amp;</w:t>
      </w:r>
      <w:r w:rsidRPr="009062BC">
        <w:rPr>
          <w:rFonts w:ascii="Calibri" w:hAnsi="Calibri" w:cs="Calibri"/>
        </w:rPr>
        <w:t xml:space="preserve">Hemming, 2011). Nonetheless, the theory’s emphasis on psychological needs offers a useful foundation for exploring how residential visits may support teachers’ emotional wellbeing through deeper </w:t>
      </w:r>
      <w:r w:rsidRPr="009062BC">
        <w:rPr>
          <w:rFonts w:ascii="Calibri" w:hAnsi="Calibri" w:cs="Calibri"/>
        </w:rPr>
        <w:lastRenderedPageBreak/>
        <w:t>connection, professional growth, and autonomy.</w:t>
      </w:r>
      <w:r w:rsidR="00073BF3" w:rsidRPr="009062BC">
        <w:rPr>
          <w:rFonts w:ascii="Calibri" w:hAnsi="Calibri" w:cs="Calibri"/>
        </w:rPr>
        <w:t xml:space="preserve"> </w:t>
      </w:r>
      <w:r w:rsidRPr="009062BC">
        <w:rPr>
          <w:rFonts w:ascii="Calibri" w:hAnsi="Calibri" w:cs="Calibri"/>
        </w:rPr>
        <w:t>These three models</w:t>
      </w:r>
      <w:r w:rsidR="002133A2" w:rsidRPr="009062BC">
        <w:rPr>
          <w:rFonts w:ascii="Calibri" w:hAnsi="Calibri" w:cs="Calibri"/>
        </w:rPr>
        <w:t xml:space="preserve"> (</w:t>
      </w:r>
      <w:r w:rsidRPr="009062BC">
        <w:rPr>
          <w:rFonts w:ascii="Calibri" w:hAnsi="Calibri" w:cs="Calibri"/>
        </w:rPr>
        <w:t>PERMA, JD-R and SDT</w:t>
      </w:r>
      <w:r w:rsidR="002133A2" w:rsidRPr="009062BC">
        <w:rPr>
          <w:rFonts w:ascii="Calibri" w:hAnsi="Calibri" w:cs="Calibri"/>
        </w:rPr>
        <w:t xml:space="preserve">) </w:t>
      </w:r>
      <w:r w:rsidRPr="009062BC">
        <w:rPr>
          <w:rFonts w:ascii="Calibri" w:hAnsi="Calibri" w:cs="Calibri"/>
        </w:rPr>
        <w:t>collectively provide a robust conceptual base for this study. They frame teacher wellbeing as both internally and externally shaped, dynamic, and deeply relational</w:t>
      </w:r>
      <w:r w:rsidR="004439FA" w:rsidRPr="009062BC">
        <w:rPr>
          <w:rFonts w:ascii="Calibri" w:hAnsi="Calibri" w:cs="Calibri"/>
        </w:rPr>
        <w:t xml:space="preserve"> -</w:t>
      </w:r>
      <w:r w:rsidR="003A27FC" w:rsidRPr="009062BC">
        <w:rPr>
          <w:rFonts w:ascii="Calibri" w:hAnsi="Calibri" w:cs="Calibri"/>
        </w:rPr>
        <w:t xml:space="preserve"> </w:t>
      </w:r>
      <w:r w:rsidRPr="009062BC">
        <w:rPr>
          <w:rFonts w:ascii="Calibri" w:hAnsi="Calibri" w:cs="Calibri"/>
        </w:rPr>
        <w:t>vital considerations when examining the potential impact of residential educational visits.</w:t>
      </w:r>
    </w:p>
    <w:p w14:paraId="49220313" w14:textId="7D562DCD" w:rsidR="004439FA" w:rsidRPr="009062BC" w:rsidRDefault="006E25EB" w:rsidP="009062BC">
      <w:pPr>
        <w:pStyle w:val="Heading2"/>
        <w:spacing w:line="360" w:lineRule="auto"/>
        <w:rPr>
          <w:rFonts w:ascii="Calibri" w:hAnsi="Calibri" w:cs="Calibri"/>
        </w:rPr>
      </w:pPr>
      <w:r w:rsidRPr="009062BC">
        <w:rPr>
          <w:rFonts w:ascii="Calibri" w:hAnsi="Calibri" w:cs="Calibri"/>
        </w:rPr>
        <w:t>Wellbeing in Wales</w:t>
      </w:r>
    </w:p>
    <w:p w14:paraId="55DC8D9E" w14:textId="77777777" w:rsidR="00583B6A" w:rsidRPr="009062BC" w:rsidRDefault="00E6170B" w:rsidP="009062BC">
      <w:pPr>
        <w:spacing w:line="360" w:lineRule="auto"/>
        <w:rPr>
          <w:rFonts w:ascii="Calibri" w:hAnsi="Calibri" w:cs="Calibri"/>
        </w:rPr>
      </w:pPr>
      <w:r w:rsidRPr="009062BC">
        <w:rPr>
          <w:rFonts w:ascii="Calibri" w:hAnsi="Calibri" w:cs="Calibri"/>
        </w:rPr>
        <w:t>Critically, much of the available literature on teacher wellbeing focuses on the negative pressures within the profession</w:t>
      </w:r>
      <w:r w:rsidR="005C74A8" w:rsidRPr="009062BC">
        <w:rPr>
          <w:rFonts w:ascii="Calibri" w:hAnsi="Calibri" w:cs="Calibri"/>
        </w:rPr>
        <w:t xml:space="preserve"> </w:t>
      </w:r>
      <w:r w:rsidRPr="009062BC">
        <w:rPr>
          <w:rFonts w:ascii="Calibri" w:hAnsi="Calibri" w:cs="Calibri"/>
        </w:rPr>
        <w:t xml:space="preserve">such as excessive workload, performative accountability, pupil behaviour, and emotional labour. Recent meta-analyses confirm that heavy workload and stress remain primary predictors of reduced teacher wellbeing and increased burnout globally (Li &amp; Yao, 2022), while other studies highlight the emotional toll of managing emotional labour in class (Smith &amp; Jones, 2025). </w:t>
      </w:r>
      <w:r w:rsidR="00850D82" w:rsidRPr="009062BC">
        <w:rPr>
          <w:rFonts w:ascii="Calibri" w:hAnsi="Calibri" w:cs="Calibri"/>
        </w:rPr>
        <w:t xml:space="preserve">These pressures are especially evident in high-stakes, target-driven environments where professional autonomy is limited. Estyn (2023) continues to report that while wellbeing is prioritised in school development </w:t>
      </w:r>
    </w:p>
    <w:p w14:paraId="72B3E9C6" w14:textId="7D4F51A0" w:rsidR="00850D82" w:rsidRPr="009062BC" w:rsidRDefault="00583B6A" w:rsidP="009062BC">
      <w:pPr>
        <w:spacing w:line="360" w:lineRule="auto"/>
        <w:rPr>
          <w:rFonts w:ascii="Calibri" w:hAnsi="Calibri" w:cs="Calibri"/>
        </w:rPr>
      </w:pPr>
      <w:r w:rsidRPr="009062BC">
        <w:rPr>
          <w:rFonts w:ascii="Calibri" w:hAnsi="Calibri" w:cs="Calibri"/>
        </w:rPr>
        <w:t>Emotional labour, as theorised by Hochschild (1983) and later adapted to education by Hargreaves (1998), remains central in understanding teacher wellbeing. Teachers are through the profession</w:t>
      </w:r>
      <w:r w:rsidR="00472A23" w:rsidRPr="009062BC">
        <w:rPr>
          <w:rFonts w:ascii="Calibri" w:hAnsi="Calibri" w:cs="Calibri"/>
        </w:rPr>
        <w:t xml:space="preserve"> </w:t>
      </w:r>
      <w:r w:rsidRPr="009062BC">
        <w:rPr>
          <w:rFonts w:ascii="Calibri" w:hAnsi="Calibri" w:cs="Calibri"/>
        </w:rPr>
        <w:t xml:space="preserve">expected to regulate their emotions often concealing frustration and displaying enthusiasm, while maintaining relationships with pupils and families. This sustained emotional regulation can lead to exhaustion and erode professional identity. For instance, a recent meta-analytic review found that </w:t>
      </w:r>
      <w:r w:rsidR="00472A23" w:rsidRPr="009062BC">
        <w:rPr>
          <w:rFonts w:ascii="Calibri" w:hAnsi="Calibri" w:cs="Calibri"/>
        </w:rPr>
        <w:t>this containing emotions</w:t>
      </w:r>
      <w:r w:rsidRPr="009062BC">
        <w:rPr>
          <w:rFonts w:ascii="Calibri" w:hAnsi="Calibri" w:cs="Calibri"/>
        </w:rPr>
        <w:t xml:space="preserve"> is significantly linked to emotional exhaustion and a poorer classroom atmosphere, while expressing genuine emotions</w:t>
      </w:r>
      <w:r w:rsidR="00472A23" w:rsidRPr="009062BC">
        <w:rPr>
          <w:rFonts w:ascii="Calibri" w:hAnsi="Calibri" w:cs="Calibri"/>
        </w:rPr>
        <w:t xml:space="preserve"> can</w:t>
      </w:r>
      <w:r w:rsidRPr="009062BC">
        <w:rPr>
          <w:rFonts w:ascii="Calibri" w:hAnsi="Calibri" w:cs="Calibri"/>
        </w:rPr>
        <w:t xml:space="preserve"> support positive outcomes (Liu &amp; Wang, 2024). This builds on earlier concepts such as “identity erosion” (Day &amp; Qing, 2009), </w:t>
      </w:r>
      <w:r w:rsidR="00472A23" w:rsidRPr="009062BC">
        <w:rPr>
          <w:rFonts w:ascii="Calibri" w:hAnsi="Calibri" w:cs="Calibri"/>
        </w:rPr>
        <w:t>which</w:t>
      </w:r>
      <w:r w:rsidRPr="009062BC">
        <w:rPr>
          <w:rFonts w:ascii="Calibri" w:hAnsi="Calibri" w:cs="Calibri"/>
        </w:rPr>
        <w:t xml:space="preserve"> is now supported by evidence showing emotional labour's impact on teacher health and effectiveness (Smith &amp; Johnson, 2025). There is therefore a growing scholarly call for strengths-based approaches that highlight professional experiences bringing joy and relational depth (Acton &amp; Glasgow, 2015)</w:t>
      </w:r>
      <w:r w:rsidR="00850D82" w:rsidRPr="009062BC">
        <w:rPr>
          <w:rFonts w:ascii="Calibri" w:hAnsi="Calibri" w:cs="Calibri"/>
        </w:rPr>
        <w:t xml:space="preserve">, including exploration of professional experiences that bring joy, meaning, and relational depth. </w:t>
      </w:r>
    </w:p>
    <w:p w14:paraId="45D54B11" w14:textId="58F72EEA" w:rsidR="00400BA9" w:rsidRPr="009062BC" w:rsidRDefault="00400BA9" w:rsidP="009062BC">
      <w:pPr>
        <w:spacing w:line="360" w:lineRule="auto"/>
        <w:rPr>
          <w:rFonts w:ascii="Calibri" w:hAnsi="Calibri" w:cs="Calibri"/>
        </w:rPr>
      </w:pPr>
      <w:r w:rsidRPr="009062BC">
        <w:rPr>
          <w:rFonts w:ascii="Calibri" w:hAnsi="Calibri" w:cs="Calibri"/>
        </w:rPr>
        <w:t xml:space="preserve">As aforementioned, teacher wellbeing has become increasingly prominent in Welsh education policy, particularly through the </w:t>
      </w:r>
      <w:r w:rsidRPr="009062BC">
        <w:rPr>
          <w:rFonts w:ascii="Calibri" w:hAnsi="Calibri" w:cs="Calibri"/>
          <w:i/>
          <w:iCs/>
        </w:rPr>
        <w:t>Curriculum for Wales</w:t>
      </w:r>
      <w:r w:rsidRPr="009062BC">
        <w:rPr>
          <w:rFonts w:ascii="Calibri" w:hAnsi="Calibri" w:cs="Calibri"/>
        </w:rPr>
        <w:t xml:space="preserve"> (Welsh Government, 2022), which identifies wellbeing as one of four core purposes. While this signals a progressive shift towards whole-school approaches to health and wellbeing, there remains a notable disconnect between policy ambition and the evidence base that underpins practical support for teachers (Estyn, 2019; 2023). In particular, much of the wellbeing discourse has focused on pupils, with relatively limited attention given to how to support the emotional wellbeing of </w:t>
      </w:r>
      <w:r w:rsidRPr="009062BC">
        <w:rPr>
          <w:rFonts w:ascii="Calibri" w:hAnsi="Calibri" w:cs="Calibri"/>
        </w:rPr>
        <w:lastRenderedPageBreak/>
        <w:t>adults in schools (Education Support, 2023).</w:t>
      </w:r>
      <w:r w:rsidR="00346BB0" w:rsidRPr="009062BC">
        <w:rPr>
          <w:rFonts w:ascii="Calibri" w:hAnsi="Calibri" w:cs="Calibri"/>
        </w:rPr>
        <w:t xml:space="preserve"> Similarly, Estyn’s thematic report “Healthy and happy - school approaches to wellbeing” (2019) highlights a wide range of pupil wellbeing strategies but includes only passing references to staff welfare. This policy emphasis is mirrored in the research literature, which tends to prioritise pupil outcomes from wellbeing interventions (Noble &amp; McGrath, 2015; Acton &amp; Glasgow, 2015), leaving teacher wellbeing under-explored beyond the context of stress or burnout (McCallum </w:t>
      </w:r>
      <w:r w:rsidR="00346BB0" w:rsidRPr="009062BC">
        <w:rPr>
          <w:rFonts w:ascii="Calibri" w:hAnsi="Calibri" w:cs="Calibri"/>
          <w:i/>
          <w:iCs/>
        </w:rPr>
        <w:t>et al.,</w:t>
      </w:r>
      <w:r w:rsidR="00346BB0" w:rsidRPr="009062BC">
        <w:rPr>
          <w:rFonts w:ascii="Calibri" w:hAnsi="Calibri" w:cs="Calibri"/>
        </w:rPr>
        <w:t xml:space="preserve"> 2017).</w:t>
      </w:r>
    </w:p>
    <w:p w14:paraId="22AD93C9" w14:textId="21B8EA31" w:rsidR="00400BA9" w:rsidRPr="009062BC" w:rsidRDefault="00400BA9" w:rsidP="009062BC">
      <w:pPr>
        <w:spacing w:line="360" w:lineRule="auto"/>
        <w:rPr>
          <w:rFonts w:ascii="Calibri" w:hAnsi="Calibri" w:cs="Calibri"/>
        </w:rPr>
      </w:pPr>
      <w:r w:rsidRPr="009062BC">
        <w:rPr>
          <w:rFonts w:ascii="Calibri" w:hAnsi="Calibri" w:cs="Calibri"/>
        </w:rPr>
        <w:t xml:space="preserve">Estyn’s annual reports (2019; 2023) continue to highlight the importance of emotionally safe environments for both staff and pupils. Off-site learning, including outdoor and residential experiences, is cited </w:t>
      </w:r>
      <w:r w:rsidR="007E15E7" w:rsidRPr="009062BC">
        <w:rPr>
          <w:rFonts w:ascii="Calibri" w:hAnsi="Calibri" w:cs="Calibri"/>
        </w:rPr>
        <w:t xml:space="preserve">within these </w:t>
      </w:r>
      <w:r w:rsidRPr="009062BC">
        <w:rPr>
          <w:rFonts w:ascii="Calibri" w:hAnsi="Calibri" w:cs="Calibri"/>
        </w:rPr>
        <w:t>as having the potential to positively affect morale and relationships, though these claims are rarely examined through systematic research. Estyn’s (2021) engagement calls offer some practitioner-level evidence of residential learning being used to support both pupils and staff; however, the data was collected prior to the full implementation of the Curriculum for Wales and does not yet reflect a post-pandemic landscape. This underlines the need for updated, teacher-centred research that captures how these off-site experiences are currently being used and perceived within schools.</w:t>
      </w:r>
    </w:p>
    <w:p w14:paraId="780B39DE" w14:textId="0284708F" w:rsidR="00400BA9" w:rsidRPr="009062BC" w:rsidRDefault="00400BA9" w:rsidP="009062BC">
      <w:pPr>
        <w:spacing w:line="360" w:lineRule="auto"/>
        <w:rPr>
          <w:rFonts w:ascii="Calibri" w:hAnsi="Calibri" w:cs="Calibri"/>
        </w:rPr>
      </w:pPr>
      <w:r w:rsidRPr="009062BC">
        <w:rPr>
          <w:rFonts w:ascii="Calibri" w:hAnsi="Calibri" w:cs="Calibri"/>
        </w:rPr>
        <w:t>The accountability landscape in Wales, although distinct from England due to educational devolution, still contributes to teacher stress and professional pressures</w:t>
      </w:r>
      <w:r w:rsidR="00482B7A" w:rsidRPr="009062BC">
        <w:rPr>
          <w:rFonts w:ascii="Calibri" w:hAnsi="Calibri" w:cs="Calibri"/>
        </w:rPr>
        <w:t xml:space="preserve"> as r</w:t>
      </w:r>
      <w:r w:rsidRPr="009062BC">
        <w:rPr>
          <w:rFonts w:ascii="Calibri" w:hAnsi="Calibri" w:cs="Calibri"/>
        </w:rPr>
        <w:t xml:space="preserve">esearch suggests that performance-driven cultures and high-stakes inspection regimes can negatively impact teacher identity and emotional resilience (Li </w:t>
      </w:r>
      <w:r w:rsidR="00482B7A" w:rsidRPr="009062BC">
        <w:rPr>
          <w:rFonts w:ascii="Calibri" w:hAnsi="Calibri" w:cs="Calibri"/>
        </w:rPr>
        <w:t>&amp;</w:t>
      </w:r>
      <w:r w:rsidRPr="009062BC">
        <w:rPr>
          <w:rFonts w:ascii="Calibri" w:hAnsi="Calibri" w:cs="Calibri"/>
        </w:rPr>
        <w:t xml:space="preserve"> Yao, 2022; Tooley </w:t>
      </w:r>
      <w:r w:rsidRPr="009062BC">
        <w:rPr>
          <w:rFonts w:ascii="Calibri" w:hAnsi="Calibri" w:cs="Calibri"/>
          <w:i/>
          <w:iCs/>
        </w:rPr>
        <w:t>et al</w:t>
      </w:r>
      <w:r w:rsidRPr="009062BC">
        <w:rPr>
          <w:rFonts w:ascii="Calibri" w:hAnsi="Calibri" w:cs="Calibri"/>
        </w:rPr>
        <w:t>., 2023). While Wales has aimed to move away from punitive measures through reforms to Estyn’s inspection framework, tensions remain between professional autonomy and expectations for data-driven outcomes (Donaldson, 2015; Furlong, 2015). These competing demands can create emotional strain, particularly when wellbeing is framed as an individual responsibility rather than a systemic one (Roffey, 2012). In this context, it becomes even more important to explore how residential visits</w:t>
      </w:r>
      <w:r w:rsidR="00E754A5" w:rsidRPr="009062BC">
        <w:rPr>
          <w:rFonts w:ascii="Calibri" w:hAnsi="Calibri" w:cs="Calibri"/>
        </w:rPr>
        <w:t xml:space="preserve">, </w:t>
      </w:r>
      <w:r w:rsidRPr="009062BC">
        <w:rPr>
          <w:rFonts w:ascii="Calibri" w:hAnsi="Calibri" w:cs="Calibri"/>
        </w:rPr>
        <w:t>often seen as professionally fulfilling but logistically demanding</w:t>
      </w:r>
      <w:r w:rsidR="00E754A5" w:rsidRPr="009062BC">
        <w:rPr>
          <w:rFonts w:ascii="Calibri" w:hAnsi="Calibri" w:cs="Calibri"/>
        </w:rPr>
        <w:t xml:space="preserve"> that a</w:t>
      </w:r>
      <w:r w:rsidRPr="009062BC">
        <w:rPr>
          <w:rFonts w:ascii="Calibri" w:hAnsi="Calibri" w:cs="Calibri"/>
        </w:rPr>
        <w:t>ffect the wellbeing of those who lead them.</w:t>
      </w:r>
    </w:p>
    <w:p w14:paraId="13085D5D" w14:textId="6DD3364A" w:rsidR="007058B9" w:rsidRPr="009062BC" w:rsidRDefault="00400BA9" w:rsidP="009062BC">
      <w:pPr>
        <w:spacing w:line="360" w:lineRule="auto"/>
        <w:rPr>
          <w:rFonts w:ascii="Calibri" w:hAnsi="Calibri" w:cs="Calibri"/>
        </w:rPr>
      </w:pPr>
      <w:r w:rsidRPr="009062BC">
        <w:rPr>
          <w:rFonts w:ascii="Calibri" w:hAnsi="Calibri" w:cs="Calibri"/>
        </w:rPr>
        <w:t>There is emerging international evidence that immersive educational experiences may support teacher morale, confidence, and relational depth (</w:t>
      </w:r>
      <w:proofErr w:type="spellStart"/>
      <w:r w:rsidRPr="009062BC">
        <w:rPr>
          <w:rFonts w:ascii="Calibri" w:hAnsi="Calibri" w:cs="Calibri"/>
        </w:rPr>
        <w:t>Fagerstam</w:t>
      </w:r>
      <w:proofErr w:type="spellEnd"/>
      <w:r w:rsidRPr="009062BC">
        <w:rPr>
          <w:rFonts w:ascii="Calibri" w:hAnsi="Calibri" w:cs="Calibri"/>
        </w:rPr>
        <w:t>, 2014), but few studies have explored this in a Welsh context.</w:t>
      </w:r>
      <w:r w:rsidR="003C1B44" w:rsidRPr="009062BC">
        <w:rPr>
          <w:rFonts w:ascii="Calibri" w:hAnsi="Calibri" w:cs="Calibri"/>
        </w:rPr>
        <w:t xml:space="preserve"> </w:t>
      </w:r>
      <w:proofErr w:type="spellStart"/>
      <w:r w:rsidR="003C1B44" w:rsidRPr="009062BC">
        <w:rPr>
          <w:rFonts w:ascii="Calibri" w:hAnsi="Calibri" w:cs="Calibri"/>
        </w:rPr>
        <w:t>Fagerstam</w:t>
      </w:r>
      <w:proofErr w:type="spellEnd"/>
      <w:r w:rsidR="003C1B44" w:rsidRPr="009062BC">
        <w:rPr>
          <w:rFonts w:ascii="Calibri" w:hAnsi="Calibri" w:cs="Calibri"/>
        </w:rPr>
        <w:t xml:space="preserve"> (2014), through a qualitative study in Sweden, highlights how outdoor learning environments reduce teacher stress and enhance intrinsic motivation. The use of semi-structured interviews within this study allows for a nuanced understanding of teacher experiences, offering insight into how time spent in less formal settings enhances emotional resilience and renewed pedagogical enthusiasm – aligning to the previous experiences mentioned. However, the study’s limited sample size and international context present challenges for generalisability to the Welsh education system. </w:t>
      </w:r>
      <w:r w:rsidR="005E4824" w:rsidRPr="009062BC">
        <w:rPr>
          <w:rFonts w:ascii="Calibri" w:hAnsi="Calibri" w:cs="Calibri"/>
        </w:rPr>
        <w:t xml:space="preserve">These limitations are partially mitigated by national reports such as Estyn’s 2021 report “Engagement work: Primary sector update - Spring </w:t>
      </w:r>
      <w:r w:rsidR="005E4824" w:rsidRPr="009062BC">
        <w:rPr>
          <w:rFonts w:ascii="Calibri" w:hAnsi="Calibri" w:cs="Calibri"/>
        </w:rPr>
        <w:lastRenderedPageBreak/>
        <w:t>Term</w:t>
      </w:r>
      <w:r w:rsidR="007058B9" w:rsidRPr="009062BC">
        <w:rPr>
          <w:rFonts w:ascii="Calibri" w:hAnsi="Calibri" w:cs="Calibri"/>
        </w:rPr>
        <w:t xml:space="preserve"> 2021</w:t>
      </w:r>
      <w:r w:rsidR="005E4824" w:rsidRPr="009062BC">
        <w:rPr>
          <w:rFonts w:ascii="Calibri" w:hAnsi="Calibri" w:cs="Calibri"/>
        </w:rPr>
        <w:t xml:space="preserve">”, which offers contextually relevant practitioner insights from over five hundred Welsh primary schools. While the report primarily focuses on pupil re-engagement following lockdown, it also highlights an increased use of outdoor and residential experiences to support both staff and pupil wellbeing. </w:t>
      </w:r>
      <w:r w:rsidR="00CC521F" w:rsidRPr="009062BC">
        <w:rPr>
          <w:rFonts w:ascii="Calibri" w:hAnsi="Calibri" w:cs="Calibri"/>
        </w:rPr>
        <w:t>I</w:t>
      </w:r>
      <w:r w:rsidR="005E4824" w:rsidRPr="009062BC">
        <w:rPr>
          <w:rFonts w:ascii="Calibri" w:hAnsi="Calibri" w:cs="Calibri"/>
        </w:rPr>
        <w:t>t provides valuable qualitative evidence suggesting that shared experiences beyond the classroom can help rebuild relationships, promote emotional resilience, and enhance morale among teachers. Notably, the report predates the full implementation of the Curriculum for Wales and captures school responses in the immediate aftermath of COVID-related disruption, offering a unique snapshot of emerging wellbeing practices during a period of significant systemic change (Estyn, 2021).</w:t>
      </w:r>
    </w:p>
    <w:p w14:paraId="61B7EE29" w14:textId="141BAABF" w:rsidR="00400BA9" w:rsidRPr="009062BC" w:rsidRDefault="00400BA9" w:rsidP="009062BC">
      <w:pPr>
        <w:spacing w:line="360" w:lineRule="auto"/>
        <w:rPr>
          <w:rFonts w:ascii="Calibri" w:hAnsi="Calibri" w:cs="Calibri"/>
        </w:rPr>
      </w:pPr>
      <w:r w:rsidRPr="009062BC">
        <w:rPr>
          <w:rFonts w:ascii="Calibri" w:hAnsi="Calibri" w:cs="Calibri"/>
        </w:rPr>
        <w:t xml:space="preserve">Reports like </w:t>
      </w:r>
      <w:r w:rsidR="007058B9" w:rsidRPr="009062BC">
        <w:rPr>
          <w:rFonts w:ascii="Calibri" w:hAnsi="Calibri" w:cs="Calibri"/>
        </w:rPr>
        <w:t>“</w:t>
      </w:r>
      <w:r w:rsidRPr="009062BC">
        <w:rPr>
          <w:rFonts w:ascii="Calibri" w:hAnsi="Calibri" w:cs="Calibri"/>
        </w:rPr>
        <w:t>My Primary School is at the Museum</w:t>
      </w:r>
      <w:r w:rsidR="007058B9" w:rsidRPr="009062BC">
        <w:rPr>
          <w:rFonts w:ascii="Calibri" w:hAnsi="Calibri" w:cs="Calibri"/>
        </w:rPr>
        <w:t>”</w:t>
      </w:r>
      <w:r w:rsidRPr="009062BC">
        <w:rPr>
          <w:rFonts w:ascii="Calibri" w:hAnsi="Calibri" w:cs="Calibri"/>
        </w:rPr>
        <w:t xml:space="preserve"> (King’s College London, 2015) and the recent </w:t>
      </w:r>
      <w:r w:rsidR="007058B9" w:rsidRPr="009062BC">
        <w:rPr>
          <w:rFonts w:ascii="Calibri" w:hAnsi="Calibri" w:cs="Calibri"/>
        </w:rPr>
        <w:t>“</w:t>
      </w:r>
      <w:proofErr w:type="spellStart"/>
      <w:r w:rsidRPr="009062BC">
        <w:rPr>
          <w:rFonts w:ascii="Calibri" w:hAnsi="Calibri" w:cs="Calibri"/>
        </w:rPr>
        <w:t>Schoolseum</w:t>
      </w:r>
      <w:proofErr w:type="spellEnd"/>
      <w:r w:rsidR="007058B9" w:rsidRPr="009062BC">
        <w:rPr>
          <w:rFonts w:ascii="Calibri" w:hAnsi="Calibri" w:cs="Calibri"/>
        </w:rPr>
        <w:t>”</w:t>
      </w:r>
      <w:r w:rsidRPr="009062BC">
        <w:rPr>
          <w:rFonts w:ascii="Calibri" w:hAnsi="Calibri" w:cs="Calibri"/>
        </w:rPr>
        <w:t xml:space="preserve"> project (Jamieson, 2025) begin to make this connection</w:t>
      </w:r>
      <w:r w:rsidR="009D5E88" w:rsidRPr="009062BC">
        <w:rPr>
          <w:rFonts w:ascii="Calibri" w:hAnsi="Calibri" w:cs="Calibri"/>
        </w:rPr>
        <w:t xml:space="preserve"> by analysing practical projects where teachers partake in a museum-based residential visit</w:t>
      </w:r>
      <w:r w:rsidRPr="009062BC">
        <w:rPr>
          <w:rFonts w:ascii="Calibri" w:hAnsi="Calibri" w:cs="Calibri"/>
        </w:rPr>
        <w:t>, yet teacher wellbeing remains a secondary consideration</w:t>
      </w:r>
      <w:r w:rsidR="009D5E88" w:rsidRPr="009062BC">
        <w:rPr>
          <w:rFonts w:ascii="Calibri" w:hAnsi="Calibri" w:cs="Calibri"/>
        </w:rPr>
        <w:t>, the reports are not peer reviewed as yet</w:t>
      </w:r>
      <w:r w:rsidRPr="009062BC">
        <w:rPr>
          <w:rFonts w:ascii="Calibri" w:hAnsi="Calibri" w:cs="Calibri"/>
        </w:rPr>
        <w:t>. The commissioning of the GEM Cymru Toolkit (2023) demonstrates national support for museum-led learning, but further research is needed to establish its impact on staff, not just pupils</w:t>
      </w:r>
      <w:r w:rsidR="0002401F" w:rsidRPr="009062BC">
        <w:rPr>
          <w:rFonts w:ascii="Calibri" w:hAnsi="Calibri" w:cs="Calibri"/>
        </w:rPr>
        <w:t>, if effective then a proposed residential setting like the case studies above could be considered worthwhile</w:t>
      </w:r>
      <w:r w:rsidR="001069CC" w:rsidRPr="009062BC">
        <w:rPr>
          <w:rFonts w:ascii="Calibri" w:hAnsi="Calibri" w:cs="Calibri"/>
        </w:rPr>
        <w:t xml:space="preserve"> for all</w:t>
      </w:r>
      <w:r w:rsidRPr="009062BC">
        <w:rPr>
          <w:rFonts w:ascii="Calibri" w:hAnsi="Calibri" w:cs="Calibri"/>
        </w:rPr>
        <w:t>. By focusing on residential visits and teacher perspectives, th</w:t>
      </w:r>
      <w:r w:rsidR="00B678F7" w:rsidRPr="009062BC">
        <w:rPr>
          <w:rFonts w:ascii="Calibri" w:hAnsi="Calibri" w:cs="Calibri"/>
        </w:rPr>
        <w:t>e proposed</w:t>
      </w:r>
      <w:r w:rsidRPr="009062BC">
        <w:rPr>
          <w:rFonts w:ascii="Calibri" w:hAnsi="Calibri" w:cs="Calibri"/>
        </w:rPr>
        <w:t xml:space="preserve"> study addresses a clear gap in both literature and policy implementation, with potential implications for practice, workforce retention, and whole-school wellbeing strategies.</w:t>
      </w:r>
    </w:p>
    <w:p w14:paraId="4EF465A2" w14:textId="6838861D" w:rsidR="00850D82" w:rsidRPr="009062BC" w:rsidRDefault="00850D82" w:rsidP="009062BC">
      <w:pPr>
        <w:spacing w:line="360" w:lineRule="auto"/>
        <w:rPr>
          <w:rFonts w:ascii="Calibri" w:hAnsi="Calibri" w:cs="Calibri"/>
        </w:rPr>
      </w:pPr>
    </w:p>
    <w:p w14:paraId="1C3AA36E" w14:textId="08CB7EC6" w:rsidR="00980C41" w:rsidRPr="009062BC" w:rsidRDefault="00980C41" w:rsidP="009062BC">
      <w:pPr>
        <w:pStyle w:val="Heading2"/>
        <w:spacing w:line="360" w:lineRule="auto"/>
        <w:rPr>
          <w:rFonts w:ascii="Calibri" w:hAnsi="Calibri" w:cs="Calibri"/>
        </w:rPr>
      </w:pPr>
      <w:r w:rsidRPr="009062BC">
        <w:rPr>
          <w:rFonts w:ascii="Calibri" w:hAnsi="Calibri" w:cs="Calibri"/>
        </w:rPr>
        <w:t xml:space="preserve">Theme </w:t>
      </w:r>
      <w:r w:rsidR="0046677F" w:rsidRPr="009062BC">
        <w:rPr>
          <w:rFonts w:ascii="Calibri" w:hAnsi="Calibri" w:cs="Calibri"/>
        </w:rPr>
        <w:t>2</w:t>
      </w:r>
      <w:r w:rsidRPr="009062BC">
        <w:rPr>
          <w:rFonts w:ascii="Calibri" w:hAnsi="Calibri" w:cs="Calibri"/>
        </w:rPr>
        <w:t>: Educational Visits and Experiential Learning</w:t>
      </w:r>
    </w:p>
    <w:p w14:paraId="5089B60C" w14:textId="77777777" w:rsidR="008108D9" w:rsidRPr="009062BC" w:rsidRDefault="00E5600E" w:rsidP="009062BC">
      <w:pPr>
        <w:spacing w:line="360" w:lineRule="auto"/>
        <w:rPr>
          <w:rFonts w:ascii="Calibri" w:hAnsi="Calibri" w:cs="Calibri"/>
        </w:rPr>
      </w:pPr>
      <w:r w:rsidRPr="009062BC">
        <w:rPr>
          <w:rFonts w:ascii="Calibri" w:hAnsi="Calibri" w:cs="Calibri"/>
        </w:rPr>
        <w:t xml:space="preserve">Educational visits, particularly residential experiences involving extended stays, have long been recognised for their positive impact on pupils’ learning, confidence, and social development. Behrendt and Franklin (2014) highlight that such experiences offer enriched learning opportunities and </w:t>
      </w:r>
      <w:r w:rsidR="00CF437A" w:rsidRPr="009062BC">
        <w:rPr>
          <w:rFonts w:ascii="Calibri" w:hAnsi="Calibri" w:cs="Calibri"/>
        </w:rPr>
        <w:t>embed</w:t>
      </w:r>
      <w:r w:rsidRPr="009062BC">
        <w:rPr>
          <w:rFonts w:ascii="Calibri" w:hAnsi="Calibri" w:cs="Calibri"/>
        </w:rPr>
        <w:t xml:space="preserve"> deeper engagement with content. Similarly, Singh and Thompson (2024) found that residential settings support the development of resilience, independence, and interpersonal skills in young learners. These findings are echoed by Waite (2011), who argues that learning beyond the classroom promotes confidence and personal growth, and by Braund and Reiss (2006), who advocate for out-of-school learning as a means to make curricula more authentic and socially meaningful</w:t>
      </w:r>
      <w:r w:rsidR="008108D9" w:rsidRPr="009062BC">
        <w:rPr>
          <w:rFonts w:ascii="Calibri" w:hAnsi="Calibri" w:cs="Calibri"/>
        </w:rPr>
        <w:t>.</w:t>
      </w:r>
    </w:p>
    <w:p w14:paraId="74CC5400" w14:textId="77777777" w:rsidR="008108D9" w:rsidRPr="009062BC" w:rsidRDefault="008108D9" w:rsidP="009062BC">
      <w:pPr>
        <w:spacing w:line="360" w:lineRule="auto"/>
        <w:rPr>
          <w:rFonts w:ascii="Calibri" w:hAnsi="Calibri" w:cs="Calibri"/>
        </w:rPr>
      </w:pPr>
      <w:r w:rsidRPr="009062BC">
        <w:rPr>
          <w:rFonts w:ascii="Calibri" w:hAnsi="Calibri" w:cs="Calibri"/>
        </w:rPr>
        <w:t xml:space="preserve">In Wales, residential visits are strongly endorsed through the </w:t>
      </w:r>
      <w:r w:rsidRPr="009062BC">
        <w:rPr>
          <w:rFonts w:ascii="Calibri" w:hAnsi="Calibri" w:cs="Calibri"/>
          <w:i/>
          <w:iCs/>
        </w:rPr>
        <w:t>Curriculum for Wales</w:t>
      </w:r>
      <w:r w:rsidRPr="009062BC">
        <w:rPr>
          <w:rFonts w:ascii="Calibri" w:hAnsi="Calibri" w:cs="Calibri"/>
        </w:rPr>
        <w:t xml:space="preserve"> (Welsh Government, 2022), which encourages real-life, integrated learning experiences that promote wellbeing, engagement, and learner voice, underpinned by the four purposes of the curriculum. These include supporting learners to </w:t>
      </w:r>
      <w:r w:rsidRPr="009062BC">
        <w:rPr>
          <w:rFonts w:ascii="Calibri" w:hAnsi="Calibri" w:cs="Calibri"/>
        </w:rPr>
        <w:lastRenderedPageBreak/>
        <w:t>become healthy, confident individuals and ethically informed citizens, these are aims closely aligned with the relational and emotional dimensions of both pupil and teacher wellbeing. The Well-being of Future Generations (Wales) Act (2015) further strengthens this by positioning wellbeing by including social, emotional, and environmental aspects as a national priority across public services, including education. Additionally, the Framework on Embedding a Whole-School Approach to Emotional and Mental Well-being (Welsh Government, 2021) explicitly recognises that staff wellbeing is integral to whole-school health, advocating for systems that support emotional resilience and a positive working environment for educators. Together, these policy frameworks provide a strong foundation for research exploring how emotionally enriching experiences like residential visits might contribute to teacher wellbeing in sustainable and meaningful ways.</w:t>
      </w:r>
    </w:p>
    <w:p w14:paraId="5B0728E0" w14:textId="1053FA4A" w:rsidR="00980C41" w:rsidRPr="009062BC" w:rsidRDefault="00B721DE" w:rsidP="009062BC">
      <w:pPr>
        <w:spacing w:line="360" w:lineRule="auto"/>
        <w:rPr>
          <w:rFonts w:ascii="Calibri" w:hAnsi="Calibri" w:cs="Calibri"/>
        </w:rPr>
      </w:pPr>
      <w:r w:rsidRPr="009062BC">
        <w:rPr>
          <w:rFonts w:ascii="Calibri" w:hAnsi="Calibri" w:cs="Calibri"/>
        </w:rPr>
        <w:t>Contrastingly</w:t>
      </w:r>
      <w:r w:rsidR="00980C41" w:rsidRPr="009062BC">
        <w:rPr>
          <w:rFonts w:ascii="Calibri" w:hAnsi="Calibri" w:cs="Calibri"/>
        </w:rPr>
        <w:t xml:space="preserve">, while the benefits for pupils are widely documented, far less attention has been paid to how such experiences affect teachers. Residential visits remove both pupils and staff from the traditional structures of the school day, creating opportunities for new dynamics to emerge. Informal conversations, shared challenges, and co-participation in activities may </w:t>
      </w:r>
      <w:r w:rsidR="008108D9" w:rsidRPr="009062BC">
        <w:rPr>
          <w:rFonts w:ascii="Calibri" w:hAnsi="Calibri" w:cs="Calibri"/>
        </w:rPr>
        <w:t>build</w:t>
      </w:r>
      <w:r w:rsidR="00980C41" w:rsidRPr="009062BC">
        <w:rPr>
          <w:rFonts w:ascii="Calibri" w:hAnsi="Calibri" w:cs="Calibri"/>
        </w:rPr>
        <w:t xml:space="preserve"> mutual respect, understanding, and joy</w:t>
      </w:r>
      <w:r w:rsidR="008108D9" w:rsidRPr="009062BC">
        <w:rPr>
          <w:rFonts w:ascii="Calibri" w:hAnsi="Calibri" w:cs="Calibri"/>
        </w:rPr>
        <w:t xml:space="preserve"> -</w:t>
      </w:r>
      <w:r w:rsidR="00980C41" w:rsidRPr="009062BC">
        <w:rPr>
          <w:rFonts w:ascii="Calibri" w:hAnsi="Calibri" w:cs="Calibri"/>
        </w:rPr>
        <w:t xml:space="preserve"> all of which contribute to professional fulfilment and wellbeing (Waite &amp; Rea, 2018).</w:t>
      </w:r>
    </w:p>
    <w:p w14:paraId="4D26650B" w14:textId="4AFDAE10" w:rsidR="000D2B5A" w:rsidRPr="009062BC" w:rsidRDefault="000D2B5A" w:rsidP="009062BC">
      <w:pPr>
        <w:spacing w:line="360" w:lineRule="auto"/>
        <w:rPr>
          <w:rFonts w:ascii="Calibri" w:hAnsi="Calibri" w:cs="Calibri"/>
        </w:rPr>
      </w:pPr>
      <w:r w:rsidRPr="009062BC">
        <w:rPr>
          <w:rFonts w:ascii="Calibri" w:hAnsi="Calibri" w:cs="Calibri"/>
        </w:rPr>
        <w:t xml:space="preserve">Leather </w:t>
      </w:r>
      <w:r w:rsidRPr="009062BC">
        <w:rPr>
          <w:rFonts w:ascii="Calibri" w:hAnsi="Calibri" w:cs="Calibri"/>
          <w:i/>
          <w:iCs/>
        </w:rPr>
        <w:t>et al.</w:t>
      </w:r>
      <w:r w:rsidRPr="009062BC">
        <w:rPr>
          <w:rFonts w:ascii="Calibri" w:hAnsi="Calibri" w:cs="Calibri"/>
        </w:rPr>
        <w:t xml:space="preserve"> (2015) describe residential learning experiences as “dislocating” in a positive sense, meaning they disrupt the usual routines and expectations of classroom life, allowing space for more authentic, informal interactions. This relational shift can support elements of Seligman’s (2011) PERMA model, for instance, enhanced </w:t>
      </w:r>
      <w:r w:rsidR="003B25ED" w:rsidRPr="009062BC">
        <w:rPr>
          <w:rFonts w:ascii="Calibri" w:hAnsi="Calibri" w:cs="Calibri"/>
        </w:rPr>
        <w:t>r</w:t>
      </w:r>
      <w:r w:rsidRPr="009062BC">
        <w:rPr>
          <w:rFonts w:ascii="Calibri" w:hAnsi="Calibri" w:cs="Calibri"/>
        </w:rPr>
        <w:t xml:space="preserve">elationships through shared challenges and teamwork, increased </w:t>
      </w:r>
      <w:r w:rsidR="003B25ED" w:rsidRPr="009062BC">
        <w:rPr>
          <w:rFonts w:ascii="Calibri" w:hAnsi="Calibri" w:cs="Calibri"/>
        </w:rPr>
        <w:t>e</w:t>
      </w:r>
      <w:r w:rsidRPr="009062BC">
        <w:rPr>
          <w:rFonts w:ascii="Calibri" w:hAnsi="Calibri" w:cs="Calibri"/>
        </w:rPr>
        <w:t xml:space="preserve">ngagement via novel teaching approaches, and a sense of </w:t>
      </w:r>
      <w:r w:rsidR="003B25ED" w:rsidRPr="009062BC">
        <w:rPr>
          <w:rFonts w:ascii="Calibri" w:hAnsi="Calibri" w:cs="Calibri"/>
        </w:rPr>
        <w:t>m</w:t>
      </w:r>
      <w:r w:rsidRPr="009062BC">
        <w:rPr>
          <w:rFonts w:ascii="Calibri" w:hAnsi="Calibri" w:cs="Calibri"/>
        </w:rPr>
        <w:t>eaning</w:t>
      </w:r>
      <w:r w:rsidR="009827BB" w:rsidRPr="009062BC">
        <w:rPr>
          <w:rFonts w:ascii="Calibri" w:hAnsi="Calibri" w:cs="Calibri"/>
        </w:rPr>
        <w:t xml:space="preserve"> and belonging (</w:t>
      </w:r>
      <w:proofErr w:type="spellStart"/>
      <w:r w:rsidR="009827BB" w:rsidRPr="009062BC">
        <w:rPr>
          <w:rFonts w:ascii="Calibri" w:hAnsi="Calibri" w:cs="Calibri"/>
        </w:rPr>
        <w:t>Cynefin</w:t>
      </w:r>
      <w:proofErr w:type="spellEnd"/>
      <w:r w:rsidR="009827BB" w:rsidRPr="009062BC">
        <w:rPr>
          <w:rFonts w:ascii="Calibri" w:hAnsi="Calibri" w:cs="Calibri"/>
        </w:rPr>
        <w:t>)</w:t>
      </w:r>
      <w:r w:rsidRPr="009062BC">
        <w:rPr>
          <w:rFonts w:ascii="Calibri" w:hAnsi="Calibri" w:cs="Calibri"/>
        </w:rPr>
        <w:t xml:space="preserve"> derived from stepping outside conventional roles to lead learning in dynamic environments. However, existing evidence for these benefits is typically drawn from small-scale qualitative studies (e.g., Leather </w:t>
      </w:r>
      <w:r w:rsidRPr="009062BC">
        <w:rPr>
          <w:rFonts w:ascii="Calibri" w:hAnsi="Calibri" w:cs="Calibri"/>
          <w:i/>
          <w:iCs/>
        </w:rPr>
        <w:t>et al.,</w:t>
      </w:r>
      <w:r w:rsidRPr="009062BC">
        <w:rPr>
          <w:rFonts w:ascii="Calibri" w:hAnsi="Calibri" w:cs="Calibri"/>
        </w:rPr>
        <w:t xml:space="preserve"> 2015) or pupil-focused evaluations (Behrendt &amp; Franklin, 2014), with limited research centred on how these experiences influence teachers’ emotional wellbeing.</w:t>
      </w:r>
    </w:p>
    <w:p w14:paraId="613B21F6" w14:textId="3577DB82" w:rsidR="001069CC" w:rsidRPr="009062BC" w:rsidRDefault="00914944" w:rsidP="009062BC">
      <w:pPr>
        <w:spacing w:line="360" w:lineRule="auto"/>
        <w:rPr>
          <w:rFonts w:ascii="Calibri" w:hAnsi="Calibri" w:cs="Calibri"/>
        </w:rPr>
      </w:pPr>
      <w:r w:rsidRPr="009062BC">
        <w:rPr>
          <w:rFonts w:ascii="Calibri" w:hAnsi="Calibri" w:cs="Calibri"/>
        </w:rPr>
        <w:t xml:space="preserve">The Learning Away Initiative (2015), one of the most comprehensive UK-based campaigns promoting residential learning, reported that 84% of teachers believed such experiences positively impacted their relationships with pupils, with many describing feelings of reinvigoration and renewed teaching purpose. However, as an advocacy-led project rather than an independent academic study, teacher wellbeing was not a formal outcome measure, and the findings were based primarily on self-reported reflections from mixed participants. </w:t>
      </w:r>
      <w:r w:rsidR="00230CB6" w:rsidRPr="009062BC">
        <w:rPr>
          <w:rFonts w:ascii="Calibri" w:hAnsi="Calibri" w:cs="Calibri"/>
        </w:rPr>
        <w:t xml:space="preserve">Critically, we should consider the project sought to showcase the benefits of residentials (as part of a campaign to increase access), there is also a risk of confirmation bias. </w:t>
      </w:r>
      <w:r w:rsidRPr="009062BC">
        <w:rPr>
          <w:rFonts w:ascii="Calibri" w:hAnsi="Calibri" w:cs="Calibri"/>
        </w:rPr>
        <w:t xml:space="preserve">This limits their reliability for </w:t>
      </w:r>
      <w:r w:rsidRPr="009062BC">
        <w:rPr>
          <w:rFonts w:ascii="Calibri" w:hAnsi="Calibri" w:cs="Calibri"/>
        </w:rPr>
        <w:lastRenderedPageBreak/>
        <w:t xml:space="preserve">evaluating teachers’ emotional or professional experiences in a systematic way; a gap the proposed study aims to address through a more focused and research-driven approach. </w:t>
      </w:r>
      <w:r w:rsidR="00980C41" w:rsidRPr="009062BC">
        <w:rPr>
          <w:rFonts w:ascii="Calibri" w:hAnsi="Calibri" w:cs="Calibri"/>
        </w:rPr>
        <w:t xml:space="preserve">Estyn has highlighted similar patterns. In its report </w:t>
      </w:r>
      <w:r w:rsidR="0008549F" w:rsidRPr="009062BC">
        <w:rPr>
          <w:rFonts w:ascii="Calibri" w:hAnsi="Calibri" w:cs="Calibri"/>
        </w:rPr>
        <w:t>“</w:t>
      </w:r>
      <w:r w:rsidR="00980C41" w:rsidRPr="009062BC">
        <w:rPr>
          <w:rFonts w:ascii="Calibri" w:hAnsi="Calibri" w:cs="Calibri"/>
        </w:rPr>
        <w:t>Healthy and Happy: School Strategies to Promote Staff Wellbeing (2019)</w:t>
      </w:r>
      <w:r w:rsidR="0008549F" w:rsidRPr="009062BC">
        <w:rPr>
          <w:rFonts w:ascii="Calibri" w:hAnsi="Calibri" w:cs="Calibri"/>
        </w:rPr>
        <w:t>”</w:t>
      </w:r>
      <w:r w:rsidR="00980C41" w:rsidRPr="009062BC">
        <w:rPr>
          <w:rFonts w:ascii="Calibri" w:hAnsi="Calibri" w:cs="Calibri"/>
        </w:rPr>
        <w:t xml:space="preserve">, Estyn noted that outdoor learning and off-site visits were valued by teachers as morale-boosting and motivating, particularly when part of a supportive whole-school approach. </w:t>
      </w:r>
      <w:r w:rsidR="00B65685" w:rsidRPr="009062BC">
        <w:rPr>
          <w:rFonts w:ascii="Calibri" w:hAnsi="Calibri" w:cs="Calibri"/>
        </w:rPr>
        <w:t>Again</w:t>
      </w:r>
      <w:r w:rsidR="00980C41" w:rsidRPr="009062BC">
        <w:rPr>
          <w:rFonts w:ascii="Calibri" w:hAnsi="Calibri" w:cs="Calibri"/>
        </w:rPr>
        <w:t xml:space="preserve">, the report </w:t>
      </w:r>
      <w:r w:rsidR="005E591C" w:rsidRPr="009062BC">
        <w:rPr>
          <w:rFonts w:ascii="Calibri" w:hAnsi="Calibri" w:cs="Calibri"/>
        </w:rPr>
        <w:t xml:space="preserve">does not </w:t>
      </w:r>
      <w:r w:rsidR="00980C41" w:rsidRPr="009062BC">
        <w:rPr>
          <w:rFonts w:ascii="Calibri" w:hAnsi="Calibri" w:cs="Calibri"/>
        </w:rPr>
        <w:t>explor</w:t>
      </w:r>
      <w:r w:rsidR="005E591C" w:rsidRPr="009062BC">
        <w:rPr>
          <w:rFonts w:ascii="Calibri" w:hAnsi="Calibri" w:cs="Calibri"/>
        </w:rPr>
        <w:t>e</w:t>
      </w:r>
      <w:r w:rsidR="00980C41" w:rsidRPr="009062BC">
        <w:rPr>
          <w:rFonts w:ascii="Calibri" w:hAnsi="Calibri" w:cs="Calibri"/>
        </w:rPr>
        <w:t xml:space="preserve"> residential visits specifically or analys</w:t>
      </w:r>
      <w:r w:rsidR="005E591C" w:rsidRPr="009062BC">
        <w:rPr>
          <w:rFonts w:ascii="Calibri" w:hAnsi="Calibri" w:cs="Calibri"/>
        </w:rPr>
        <w:t xml:space="preserve">e </w:t>
      </w:r>
      <w:r w:rsidR="00980C41" w:rsidRPr="009062BC">
        <w:rPr>
          <w:rFonts w:ascii="Calibri" w:hAnsi="Calibri" w:cs="Calibri"/>
        </w:rPr>
        <w:t>their sustained impact on teachers’ wellbeing beyond the visit itself.</w:t>
      </w:r>
      <w:r w:rsidR="00E75B0C" w:rsidRPr="009062BC">
        <w:rPr>
          <w:rFonts w:ascii="Calibri" w:hAnsi="Calibri" w:cs="Calibri"/>
        </w:rPr>
        <w:t xml:space="preserve"> Additionally, Estyn has documented several case studies highlighting the positive impact of residential visits on pupil wellbeing and engagement, but repeatedly nothing on teacher perspectives. Two case studies that highlight the importance of residential visits by Estyn are “Greenhill School – Fully Funded Residential Experiences” (ESTYN, 2022) who claim the impact has been significant, with reductions in negative incidents and exclusions, and improvements in pupil focus and emotional regulation. Also,  “Swansea University Schools' Partnership – Student Teacher Involvement in Residential Visits” (ESTYN, 2024) which is a report documenting how the university encourages student teachers to participate in residential visits as part of their training, helping them develop practical teaching skills and understand the importance of experiential learning in fostering pupil engagement and wellbeing</w:t>
      </w:r>
      <w:r w:rsidR="002C1838" w:rsidRPr="009062BC">
        <w:rPr>
          <w:rFonts w:ascii="Calibri" w:hAnsi="Calibri" w:cs="Calibri"/>
        </w:rPr>
        <w:t>. This</w:t>
      </w:r>
      <w:r w:rsidR="00E75B0C" w:rsidRPr="009062BC">
        <w:rPr>
          <w:rFonts w:ascii="Calibri" w:hAnsi="Calibri" w:cs="Calibri"/>
        </w:rPr>
        <w:t xml:space="preserve"> report</w:t>
      </w:r>
      <w:r w:rsidR="002C1838" w:rsidRPr="009062BC">
        <w:rPr>
          <w:rFonts w:ascii="Calibri" w:hAnsi="Calibri" w:cs="Calibri"/>
        </w:rPr>
        <w:t xml:space="preserve"> also</w:t>
      </w:r>
      <w:r w:rsidR="00E75B0C" w:rsidRPr="009062BC">
        <w:rPr>
          <w:rFonts w:ascii="Calibri" w:hAnsi="Calibri" w:cs="Calibri"/>
        </w:rPr>
        <w:t xml:space="preserve"> does not specifically look at the impact on teachers’ wellbeing.</w:t>
      </w:r>
    </w:p>
    <w:p w14:paraId="7B2F25E3" w14:textId="77777777" w:rsidR="001069CC" w:rsidRPr="009062BC" w:rsidRDefault="001069CC" w:rsidP="009062BC">
      <w:pPr>
        <w:spacing w:line="360" w:lineRule="auto"/>
        <w:rPr>
          <w:rFonts w:ascii="Calibri" w:hAnsi="Calibri" w:cs="Calibri"/>
        </w:rPr>
      </w:pPr>
    </w:p>
    <w:p w14:paraId="51F7FC99" w14:textId="10CA2AB4" w:rsidR="00FA1BEA" w:rsidRPr="009062BC" w:rsidRDefault="00A0759B" w:rsidP="009062BC">
      <w:pPr>
        <w:spacing w:line="360" w:lineRule="auto"/>
        <w:rPr>
          <w:rFonts w:ascii="Calibri" w:hAnsi="Calibri" w:cs="Calibri"/>
        </w:rPr>
      </w:pPr>
      <w:r w:rsidRPr="009062BC">
        <w:rPr>
          <w:rStyle w:val="Heading1Char"/>
          <w:rFonts w:ascii="Calibri" w:hAnsi="Calibri" w:cs="Calibri"/>
        </w:rPr>
        <w:t>Future Considerations</w:t>
      </w:r>
      <w:r w:rsidR="00700312" w:rsidRPr="009062BC">
        <w:rPr>
          <w:rStyle w:val="Heading1Char"/>
          <w:rFonts w:ascii="Calibri" w:hAnsi="Calibri" w:cs="Calibri"/>
        </w:rPr>
        <w:t xml:space="preserve"> and Limitations</w:t>
      </w:r>
      <w:r w:rsidRPr="009062BC">
        <w:rPr>
          <w:rFonts w:ascii="Calibri" w:hAnsi="Calibri" w:cs="Calibri"/>
        </w:rPr>
        <w:br/>
      </w:r>
      <w:r w:rsidR="00FA1BEA" w:rsidRPr="009062BC">
        <w:rPr>
          <w:rFonts w:ascii="Calibri" w:hAnsi="Calibri" w:cs="Calibri"/>
        </w:rPr>
        <w:t>The study could address a significant gap in the literature: while teacher wellbeing is commonly explored through the lens of stress and burnout (Day &amp; Gu, 2010; Acton &amp; Glasgow, 2015), and residential visits are widely studied for their impact on pupils (</w:t>
      </w:r>
      <w:proofErr w:type="spellStart"/>
      <w:r w:rsidR="00FA1BEA" w:rsidRPr="009062BC">
        <w:rPr>
          <w:rFonts w:ascii="Calibri" w:hAnsi="Calibri" w:cs="Calibri"/>
        </w:rPr>
        <w:t>Rickinson</w:t>
      </w:r>
      <w:proofErr w:type="spellEnd"/>
      <w:r w:rsidR="00FA1BEA" w:rsidRPr="009062BC">
        <w:rPr>
          <w:rFonts w:ascii="Calibri" w:hAnsi="Calibri" w:cs="Calibri"/>
        </w:rPr>
        <w:t xml:space="preserve"> </w:t>
      </w:r>
      <w:r w:rsidR="00FA1BEA" w:rsidRPr="009062BC">
        <w:rPr>
          <w:rFonts w:ascii="Calibri" w:hAnsi="Calibri" w:cs="Calibri"/>
          <w:i/>
          <w:iCs/>
        </w:rPr>
        <w:t>et al.,</w:t>
      </w:r>
      <w:r w:rsidR="00FA1BEA" w:rsidRPr="009062BC">
        <w:rPr>
          <w:rFonts w:ascii="Calibri" w:hAnsi="Calibri" w:cs="Calibri"/>
        </w:rPr>
        <w:t xml:space="preserve"> 2004; Behrendt &amp; Franklin, 2014), there is limited research into how such experiences support teacher wellbeing.</w:t>
      </w:r>
    </w:p>
    <w:p w14:paraId="31A25944" w14:textId="77777777" w:rsidR="00FA1BEA" w:rsidRPr="009062BC" w:rsidRDefault="00FA1BEA" w:rsidP="009062BC">
      <w:pPr>
        <w:spacing w:line="360" w:lineRule="auto"/>
        <w:rPr>
          <w:rFonts w:ascii="Calibri" w:hAnsi="Calibri" w:cs="Calibri"/>
        </w:rPr>
      </w:pPr>
      <w:r w:rsidRPr="009062BC">
        <w:rPr>
          <w:rFonts w:ascii="Calibri" w:hAnsi="Calibri" w:cs="Calibri"/>
        </w:rPr>
        <w:t xml:space="preserve">The central research question asks: </w:t>
      </w:r>
      <w:r w:rsidRPr="009062BC">
        <w:rPr>
          <w:rFonts w:ascii="Calibri" w:hAnsi="Calibri" w:cs="Calibri"/>
          <w:i/>
          <w:iCs/>
        </w:rPr>
        <w:t>How do primary teachers perceive the impact of residential educational visits on their wellbeing?</w:t>
      </w:r>
      <w:r w:rsidRPr="009062BC">
        <w:rPr>
          <w:rFonts w:ascii="Calibri" w:hAnsi="Calibri" w:cs="Calibri"/>
        </w:rPr>
        <w:t xml:space="preserve"> Sub-questions explore how teachers describe emotional, relational, and professional experiences before, during, and after such visits, and whether they report lasting effects on their motivation, energy, or sense of purpose.</w:t>
      </w:r>
    </w:p>
    <w:p w14:paraId="3C475DD2" w14:textId="77777777" w:rsidR="00FA1BEA" w:rsidRPr="009062BC" w:rsidRDefault="00FA1BEA" w:rsidP="009062BC">
      <w:pPr>
        <w:spacing w:line="360" w:lineRule="auto"/>
        <w:rPr>
          <w:rFonts w:ascii="Calibri" w:hAnsi="Calibri" w:cs="Calibri"/>
        </w:rPr>
      </w:pPr>
      <w:r w:rsidRPr="009062BC">
        <w:rPr>
          <w:rFonts w:ascii="Calibri" w:hAnsi="Calibri" w:cs="Calibri"/>
        </w:rPr>
        <w:t xml:space="preserve">A post-positivist stance will support the identification of patterns in subjective teacher accounts, aiming to generate insights relevant to Welsh education policy. Recent frameworks in Wales (Welsh Government, 2022; </w:t>
      </w:r>
      <w:r w:rsidRPr="009062BC">
        <w:rPr>
          <w:rFonts w:ascii="Calibri" w:hAnsi="Calibri" w:cs="Calibri"/>
        </w:rPr>
        <w:lastRenderedPageBreak/>
        <w:t>2021) emphasise whole-school approaches to wellbeing, yet practical strategies for supporting teacher wellbeing remain underdeveloped.</w:t>
      </w:r>
    </w:p>
    <w:p w14:paraId="18E70C25" w14:textId="77777777" w:rsidR="00FA1BEA" w:rsidRPr="009062BC" w:rsidRDefault="00FA1BEA" w:rsidP="009062BC">
      <w:pPr>
        <w:spacing w:line="360" w:lineRule="auto"/>
        <w:rPr>
          <w:rFonts w:ascii="Calibri" w:hAnsi="Calibri" w:cs="Calibri"/>
        </w:rPr>
      </w:pPr>
      <w:r w:rsidRPr="009062BC">
        <w:rPr>
          <w:rFonts w:ascii="Calibri" w:hAnsi="Calibri" w:cs="Calibri"/>
        </w:rPr>
        <w:t xml:space="preserve">At a time when workload, staffing, and accountability pressures limit access to enrichment activities (DfE, 2019; Waite </w:t>
      </w:r>
      <w:r w:rsidRPr="009062BC">
        <w:rPr>
          <w:rFonts w:ascii="Calibri" w:hAnsi="Calibri" w:cs="Calibri"/>
          <w:i/>
          <w:iCs/>
        </w:rPr>
        <w:t>et al.</w:t>
      </w:r>
      <w:r w:rsidRPr="009062BC">
        <w:rPr>
          <w:rFonts w:ascii="Calibri" w:hAnsi="Calibri" w:cs="Calibri"/>
        </w:rPr>
        <w:t>, 2016), this study offers timely evidence of how residential visits may contribute to sustainable professional wellbeing.</w:t>
      </w:r>
    </w:p>
    <w:p w14:paraId="7542138D" w14:textId="72C9AC86" w:rsidR="00011C30" w:rsidRPr="009062BC" w:rsidRDefault="00011C30" w:rsidP="009062BC">
      <w:pPr>
        <w:spacing w:line="360" w:lineRule="auto"/>
        <w:rPr>
          <w:rFonts w:ascii="Calibri" w:hAnsi="Calibri" w:cs="Calibri"/>
        </w:rPr>
      </w:pPr>
    </w:p>
    <w:p w14:paraId="41822B82" w14:textId="77777777" w:rsidR="00A82F5D" w:rsidRPr="009062BC" w:rsidRDefault="00A82F5D" w:rsidP="009062BC">
      <w:pPr>
        <w:spacing w:line="360" w:lineRule="auto"/>
        <w:rPr>
          <w:rFonts w:ascii="Calibri" w:hAnsi="Calibri" w:cs="Calibri"/>
        </w:rPr>
      </w:pPr>
    </w:p>
    <w:p w14:paraId="5FD5080E" w14:textId="77777777" w:rsidR="00A82F5D" w:rsidRPr="009062BC" w:rsidRDefault="00A82F5D" w:rsidP="009062BC">
      <w:pPr>
        <w:spacing w:line="360" w:lineRule="auto"/>
        <w:rPr>
          <w:rFonts w:ascii="Calibri" w:hAnsi="Calibri" w:cs="Calibri"/>
        </w:rPr>
      </w:pPr>
    </w:p>
    <w:p w14:paraId="258A3E34" w14:textId="77777777" w:rsidR="00A82F5D" w:rsidRDefault="00A82F5D" w:rsidP="000919A7">
      <w:pPr>
        <w:spacing w:line="360" w:lineRule="auto"/>
        <w:rPr>
          <w:rFonts w:ascii="Century Gothic" w:hAnsi="Century Gothic"/>
        </w:rPr>
      </w:pPr>
    </w:p>
    <w:p w14:paraId="47CAD93C" w14:textId="77777777" w:rsidR="00A82F5D" w:rsidRDefault="00A82F5D" w:rsidP="000919A7">
      <w:pPr>
        <w:spacing w:line="360" w:lineRule="auto"/>
        <w:rPr>
          <w:rFonts w:ascii="Century Gothic" w:hAnsi="Century Gothic"/>
        </w:rPr>
      </w:pPr>
    </w:p>
    <w:p w14:paraId="368C057E" w14:textId="77777777" w:rsidR="00A82F5D" w:rsidRDefault="00A82F5D" w:rsidP="000919A7">
      <w:pPr>
        <w:spacing w:line="360" w:lineRule="auto"/>
        <w:rPr>
          <w:rFonts w:ascii="Century Gothic" w:hAnsi="Century Gothic"/>
        </w:rPr>
      </w:pPr>
    </w:p>
    <w:p w14:paraId="18E34229" w14:textId="77777777" w:rsidR="00A82F5D" w:rsidRDefault="00A82F5D" w:rsidP="000919A7">
      <w:pPr>
        <w:spacing w:line="360" w:lineRule="auto"/>
        <w:rPr>
          <w:rFonts w:ascii="Century Gothic" w:hAnsi="Century Gothic"/>
        </w:rPr>
      </w:pPr>
    </w:p>
    <w:p w14:paraId="4E180D94" w14:textId="77777777" w:rsidR="00A82F5D" w:rsidRPr="00C95C1F" w:rsidRDefault="00A82F5D" w:rsidP="000919A7">
      <w:pPr>
        <w:spacing w:line="360" w:lineRule="auto"/>
        <w:rPr>
          <w:rFonts w:ascii="Century Gothic" w:hAnsi="Century Gothic"/>
        </w:rPr>
      </w:pPr>
    </w:p>
    <w:p w14:paraId="030A986B" w14:textId="77777777" w:rsidR="00980C41" w:rsidRDefault="00980C41" w:rsidP="000919A7">
      <w:pPr>
        <w:spacing w:line="360" w:lineRule="auto"/>
        <w:rPr>
          <w:rFonts w:ascii="Century Gothic" w:hAnsi="Century Gothic"/>
        </w:rPr>
      </w:pPr>
    </w:p>
    <w:p w14:paraId="01301E24" w14:textId="77777777" w:rsidR="000E4661" w:rsidRDefault="000E4661" w:rsidP="000919A7">
      <w:pPr>
        <w:spacing w:line="360" w:lineRule="auto"/>
        <w:rPr>
          <w:rFonts w:ascii="Century Gothic" w:hAnsi="Century Gothic"/>
        </w:rPr>
      </w:pPr>
    </w:p>
    <w:p w14:paraId="78B38DED" w14:textId="77777777" w:rsidR="000E4661" w:rsidRDefault="000E4661" w:rsidP="000919A7">
      <w:pPr>
        <w:spacing w:line="360" w:lineRule="auto"/>
        <w:rPr>
          <w:rFonts w:ascii="Century Gothic" w:hAnsi="Century Gothic"/>
        </w:rPr>
      </w:pPr>
    </w:p>
    <w:p w14:paraId="35C65BCE" w14:textId="77777777" w:rsidR="000E4661" w:rsidRDefault="000E4661" w:rsidP="000919A7">
      <w:pPr>
        <w:spacing w:line="360" w:lineRule="auto"/>
        <w:rPr>
          <w:rFonts w:ascii="Century Gothic" w:hAnsi="Century Gothic"/>
        </w:rPr>
      </w:pPr>
    </w:p>
    <w:p w14:paraId="06EEA1E5" w14:textId="77777777" w:rsidR="000E4661" w:rsidRDefault="000E4661" w:rsidP="000919A7">
      <w:pPr>
        <w:spacing w:line="360" w:lineRule="auto"/>
        <w:rPr>
          <w:rFonts w:ascii="Century Gothic" w:hAnsi="Century Gothic"/>
        </w:rPr>
      </w:pPr>
    </w:p>
    <w:p w14:paraId="0D568897" w14:textId="77777777" w:rsidR="00F53F59" w:rsidRDefault="00F53F59" w:rsidP="000919A7">
      <w:pPr>
        <w:spacing w:line="360" w:lineRule="auto"/>
        <w:rPr>
          <w:rFonts w:ascii="Century Gothic" w:hAnsi="Century Gothic"/>
        </w:rPr>
      </w:pPr>
    </w:p>
    <w:p w14:paraId="24C11FB6" w14:textId="77777777" w:rsidR="009062BC" w:rsidRDefault="009062BC" w:rsidP="000919A7">
      <w:pPr>
        <w:spacing w:line="360" w:lineRule="auto"/>
        <w:rPr>
          <w:rFonts w:ascii="Century Gothic" w:hAnsi="Century Gothic"/>
        </w:rPr>
      </w:pPr>
    </w:p>
    <w:p w14:paraId="5DAD091B" w14:textId="77777777" w:rsidR="009062BC" w:rsidRDefault="009062BC" w:rsidP="000919A7">
      <w:pPr>
        <w:spacing w:line="360" w:lineRule="auto"/>
        <w:rPr>
          <w:rFonts w:ascii="Century Gothic" w:hAnsi="Century Gothic"/>
        </w:rPr>
      </w:pPr>
    </w:p>
    <w:p w14:paraId="3109C5F2" w14:textId="77777777" w:rsidR="000E4661" w:rsidRDefault="000E4661" w:rsidP="000919A7">
      <w:pPr>
        <w:spacing w:line="360" w:lineRule="auto"/>
        <w:rPr>
          <w:rFonts w:ascii="Century Gothic" w:hAnsi="Century Gothic"/>
        </w:rPr>
      </w:pPr>
    </w:p>
    <w:p w14:paraId="3C27CC10" w14:textId="77777777" w:rsidR="000E4661" w:rsidRPr="00C95C1F" w:rsidRDefault="000E4661" w:rsidP="000919A7">
      <w:pPr>
        <w:spacing w:line="360" w:lineRule="auto"/>
        <w:rPr>
          <w:rFonts w:ascii="Century Gothic" w:hAnsi="Century Gothic"/>
        </w:rPr>
      </w:pPr>
    </w:p>
    <w:p w14:paraId="1EBB633F" w14:textId="34D7FC9C" w:rsidR="004A79E5" w:rsidRDefault="004A79E5" w:rsidP="005045B4">
      <w:pPr>
        <w:pStyle w:val="Heading2"/>
        <w:rPr>
          <w:rFonts w:ascii="Century Gothic" w:hAnsi="Century Gothic"/>
        </w:rPr>
      </w:pPr>
      <w:r w:rsidRPr="00C95C1F">
        <w:rPr>
          <w:rFonts w:ascii="Century Gothic" w:hAnsi="Century Gothic"/>
        </w:rPr>
        <w:lastRenderedPageBreak/>
        <w:t>Reference List</w:t>
      </w:r>
    </w:p>
    <w:p w14:paraId="47DF7669"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Acton, R. and Glasgow, P. (2015) </w:t>
      </w:r>
      <w:r w:rsidRPr="009062BC">
        <w:rPr>
          <w:rFonts w:ascii="Calibri" w:hAnsi="Calibri" w:cs="Calibri"/>
          <w:i/>
          <w:iCs/>
        </w:rPr>
        <w:t>Teacher wellbeing in neoliberal contexts: A review of the literature</w:t>
      </w:r>
      <w:r w:rsidRPr="009062BC">
        <w:rPr>
          <w:rFonts w:ascii="Calibri" w:hAnsi="Calibri" w:cs="Calibri"/>
        </w:rPr>
        <w:t>. Australian Journal of Teacher Education, 40(8), pp. 99–114.</w:t>
      </w:r>
    </w:p>
    <w:p w14:paraId="62CE78DA"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Adams, D. (2024) ‘Exploring the curriculum potential of the Welsh word </w:t>
      </w:r>
      <w:proofErr w:type="spellStart"/>
      <w:r w:rsidRPr="009062BC">
        <w:rPr>
          <w:rFonts w:ascii="Calibri" w:hAnsi="Calibri" w:cs="Calibri"/>
        </w:rPr>
        <w:t>cynefin</w:t>
      </w:r>
      <w:proofErr w:type="spellEnd"/>
      <w:r w:rsidRPr="009062BC">
        <w:rPr>
          <w:rFonts w:ascii="Calibri" w:hAnsi="Calibri" w:cs="Calibri"/>
        </w:rPr>
        <w:t xml:space="preserve"> by examining its new materialist and contemplative pedagogical resonances’, </w:t>
      </w:r>
      <w:r w:rsidRPr="009062BC">
        <w:rPr>
          <w:rFonts w:ascii="Calibri" w:hAnsi="Calibri" w:cs="Calibri"/>
          <w:i/>
          <w:iCs/>
        </w:rPr>
        <w:t>Journal of Contemplative and Holistic Education</w:t>
      </w:r>
      <w:r w:rsidRPr="009062BC">
        <w:rPr>
          <w:rFonts w:ascii="Calibri" w:hAnsi="Calibri" w:cs="Calibri"/>
        </w:rPr>
        <w:t>, 2(2), Article 1. [Accessed 10 Jul. 2025].</w:t>
      </w:r>
    </w:p>
    <w:p w14:paraId="25FF33D0"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Bakker, A.B. and Demerouti, E. (2007) ‘The Job Demands–Resources model: State of the art’, </w:t>
      </w:r>
      <w:r w:rsidRPr="009062BC">
        <w:rPr>
          <w:rFonts w:ascii="Calibri" w:hAnsi="Calibri" w:cs="Calibri"/>
          <w:i/>
          <w:iCs/>
        </w:rPr>
        <w:t>Journal of Managerial Psychology</w:t>
      </w:r>
      <w:r w:rsidRPr="009062BC">
        <w:rPr>
          <w:rFonts w:ascii="Calibri" w:hAnsi="Calibri" w:cs="Calibri"/>
        </w:rPr>
        <w:t>, 22(3), pp. 309–328.</w:t>
      </w:r>
    </w:p>
    <w:p w14:paraId="4A738CA0"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Behrendt, M. and Franklin, T. (2014) ‘A review of research on school field trips and their value in education’, </w:t>
      </w:r>
      <w:r w:rsidRPr="009062BC">
        <w:rPr>
          <w:rFonts w:ascii="Calibri" w:hAnsi="Calibri" w:cs="Calibri"/>
          <w:i/>
          <w:iCs/>
        </w:rPr>
        <w:t>International Journal of Environmental and Science Education</w:t>
      </w:r>
      <w:r w:rsidRPr="009062BC">
        <w:rPr>
          <w:rFonts w:ascii="Calibri" w:hAnsi="Calibri" w:cs="Calibri"/>
        </w:rPr>
        <w:t>, 9(3), pp. 235–245.</w:t>
      </w:r>
    </w:p>
    <w:p w14:paraId="4DE6BCB4"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Braund, M. and Reiss, M. (2006) ‘Towards a more authentic science curriculum: The contribution of out-of-school learning’, </w:t>
      </w:r>
      <w:r w:rsidRPr="009062BC">
        <w:rPr>
          <w:rFonts w:ascii="Calibri" w:hAnsi="Calibri" w:cs="Calibri"/>
          <w:i/>
          <w:iCs/>
        </w:rPr>
        <w:t>International Journal of Science Education</w:t>
      </w:r>
      <w:r w:rsidRPr="009062BC">
        <w:rPr>
          <w:rFonts w:ascii="Calibri" w:hAnsi="Calibri" w:cs="Calibri"/>
        </w:rPr>
        <w:t>, 28(12), pp. 1373–1388.</w:t>
      </w:r>
    </w:p>
    <w:p w14:paraId="27E2126B"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Brackett, M.A., Reyes, M.R., Rivers, S.E., Elbertson, N.A. and Salovey, P. (2010) ‘Assessing teachers’ beliefs about social and emotional learning’, </w:t>
      </w:r>
      <w:r w:rsidRPr="009062BC">
        <w:rPr>
          <w:rFonts w:ascii="Calibri" w:hAnsi="Calibri" w:cs="Calibri"/>
          <w:i/>
          <w:iCs/>
        </w:rPr>
        <w:t>Journal of Psychoeducational Assessment</w:t>
      </w:r>
      <w:r w:rsidRPr="009062BC">
        <w:rPr>
          <w:rFonts w:ascii="Calibri" w:hAnsi="Calibri" w:cs="Calibri"/>
        </w:rPr>
        <w:t>, 28(2), pp. 139–152.</w:t>
      </w:r>
    </w:p>
    <w:p w14:paraId="26E96239"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Christie, B., Higgins, P. and McLaughlin, P. (2014) </w:t>
      </w:r>
      <w:r w:rsidRPr="009062BC">
        <w:rPr>
          <w:rFonts w:ascii="Calibri" w:hAnsi="Calibri" w:cs="Calibri"/>
          <w:i/>
          <w:iCs/>
        </w:rPr>
        <w:t>Learning Away Final Evaluation</w:t>
      </w:r>
      <w:r w:rsidRPr="009062BC">
        <w:rPr>
          <w:rFonts w:ascii="Calibri" w:hAnsi="Calibri" w:cs="Calibri"/>
        </w:rPr>
        <w:t>. London: Paul Hamlyn Foundation.</w:t>
      </w:r>
    </w:p>
    <w:p w14:paraId="6269E5E5"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Cohen, L., Manion, L. and Morrison, K. (2018) </w:t>
      </w:r>
      <w:r w:rsidRPr="009062BC">
        <w:rPr>
          <w:rFonts w:ascii="Calibri" w:hAnsi="Calibri" w:cs="Calibri"/>
          <w:i/>
          <w:iCs/>
        </w:rPr>
        <w:t>Research Methods in Education</w:t>
      </w:r>
      <w:r w:rsidRPr="009062BC">
        <w:rPr>
          <w:rFonts w:ascii="Calibri" w:hAnsi="Calibri" w:cs="Calibri"/>
        </w:rPr>
        <w:t>. 8th ed. London: Routledge.</w:t>
      </w:r>
    </w:p>
    <w:p w14:paraId="13A55D15"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Cook, V. and Hemming, P.J. (2011) ‘Education spaces: Embodied dimensions and dynamics’, </w:t>
      </w:r>
      <w:r w:rsidRPr="009062BC">
        <w:rPr>
          <w:rFonts w:ascii="Calibri" w:hAnsi="Calibri" w:cs="Calibri"/>
          <w:i/>
          <w:iCs/>
        </w:rPr>
        <w:t>Social &amp; Cultural Geography</w:t>
      </w:r>
      <w:r w:rsidRPr="009062BC">
        <w:rPr>
          <w:rFonts w:ascii="Calibri" w:hAnsi="Calibri" w:cs="Calibri"/>
        </w:rPr>
        <w:t>, 12(1), pp. 35–48.</w:t>
      </w:r>
    </w:p>
    <w:p w14:paraId="49F0AEC4" w14:textId="123B5812" w:rsidR="00371BEA" w:rsidRPr="009062BC" w:rsidRDefault="00371BEA" w:rsidP="009062BC">
      <w:pPr>
        <w:spacing w:line="240" w:lineRule="auto"/>
        <w:rPr>
          <w:rFonts w:ascii="Calibri" w:hAnsi="Calibri" w:cs="Calibri"/>
        </w:rPr>
      </w:pPr>
      <w:r w:rsidRPr="009062BC">
        <w:rPr>
          <w:rFonts w:ascii="Calibri" w:hAnsi="Calibri" w:cs="Calibri"/>
        </w:rPr>
        <w:t xml:space="preserve">Curriculum for Wales (2022) </w:t>
      </w:r>
      <w:r w:rsidRPr="009062BC">
        <w:rPr>
          <w:rFonts w:ascii="Calibri" w:hAnsi="Calibri" w:cs="Calibri"/>
          <w:i/>
          <w:iCs/>
        </w:rPr>
        <w:t>Curriculum for Wales Guidance</w:t>
      </w:r>
      <w:r w:rsidRPr="009062BC">
        <w:rPr>
          <w:rFonts w:ascii="Calibri" w:hAnsi="Calibri" w:cs="Calibri"/>
        </w:rPr>
        <w:t xml:space="preserve">. Cardiff: Welsh Government. [Accessed </w:t>
      </w:r>
      <w:r w:rsidR="0026083B" w:rsidRPr="009062BC">
        <w:rPr>
          <w:rFonts w:ascii="Calibri" w:hAnsi="Calibri" w:cs="Calibri"/>
        </w:rPr>
        <w:t>30 Mar</w:t>
      </w:r>
      <w:r w:rsidRPr="009062BC">
        <w:rPr>
          <w:rFonts w:ascii="Calibri" w:hAnsi="Calibri" w:cs="Calibri"/>
        </w:rPr>
        <w:t>l. 2025].</w:t>
      </w:r>
    </w:p>
    <w:p w14:paraId="316D81A0"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Day, C. and Gu, Q. (2010) </w:t>
      </w:r>
      <w:r w:rsidRPr="009062BC">
        <w:rPr>
          <w:rFonts w:ascii="Calibri" w:hAnsi="Calibri" w:cs="Calibri"/>
          <w:i/>
          <w:iCs/>
        </w:rPr>
        <w:t>The new lives of teachers</w:t>
      </w:r>
      <w:r w:rsidRPr="009062BC">
        <w:rPr>
          <w:rFonts w:ascii="Calibri" w:hAnsi="Calibri" w:cs="Calibri"/>
        </w:rPr>
        <w:t>. London: Routledge.</w:t>
      </w:r>
    </w:p>
    <w:p w14:paraId="5112AA98"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Day, C. and Qing, G. (2009) ‘Teacher emotions: Wellbeing and effectiveness’, </w:t>
      </w:r>
      <w:r w:rsidRPr="009062BC">
        <w:rPr>
          <w:rFonts w:ascii="Calibri" w:hAnsi="Calibri" w:cs="Calibri"/>
          <w:i/>
          <w:iCs/>
        </w:rPr>
        <w:t>British Educational Research Journal</w:t>
      </w:r>
      <w:r w:rsidRPr="009062BC">
        <w:rPr>
          <w:rFonts w:ascii="Calibri" w:hAnsi="Calibri" w:cs="Calibri"/>
        </w:rPr>
        <w:t>, 35(4), pp. 527–551.</w:t>
      </w:r>
    </w:p>
    <w:p w14:paraId="54277065"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Deci, E.L. and Ryan, R.M. (2000) ‘The “what” and “why” of goal pursuits: Human needs and the self-determination of </w:t>
      </w:r>
      <w:proofErr w:type="spellStart"/>
      <w:r w:rsidRPr="009062BC">
        <w:rPr>
          <w:rFonts w:ascii="Calibri" w:hAnsi="Calibri" w:cs="Calibri"/>
        </w:rPr>
        <w:t>behavior</w:t>
      </w:r>
      <w:proofErr w:type="spellEnd"/>
      <w:r w:rsidRPr="009062BC">
        <w:rPr>
          <w:rFonts w:ascii="Calibri" w:hAnsi="Calibri" w:cs="Calibri"/>
        </w:rPr>
        <w:t xml:space="preserve">’, </w:t>
      </w:r>
      <w:r w:rsidRPr="009062BC">
        <w:rPr>
          <w:rFonts w:ascii="Calibri" w:hAnsi="Calibri" w:cs="Calibri"/>
          <w:i/>
          <w:iCs/>
        </w:rPr>
        <w:t>Psychological Inquiry</w:t>
      </w:r>
      <w:r w:rsidRPr="009062BC">
        <w:rPr>
          <w:rFonts w:ascii="Calibri" w:hAnsi="Calibri" w:cs="Calibri"/>
        </w:rPr>
        <w:t>, 11(4), pp. 227–268.</w:t>
      </w:r>
    </w:p>
    <w:p w14:paraId="080FB11B"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Department for Education (DfE) (2019) </w:t>
      </w:r>
      <w:r w:rsidRPr="009062BC">
        <w:rPr>
          <w:rFonts w:ascii="Calibri" w:hAnsi="Calibri" w:cs="Calibri"/>
          <w:i/>
          <w:iCs/>
        </w:rPr>
        <w:t>Realising the potential of technology in education: A strategy for education providers and the technology industry</w:t>
      </w:r>
      <w:r w:rsidRPr="009062BC">
        <w:rPr>
          <w:rFonts w:ascii="Calibri" w:hAnsi="Calibri" w:cs="Calibri"/>
        </w:rPr>
        <w:t>. London: DfE.</w:t>
      </w:r>
    </w:p>
    <w:p w14:paraId="5D0A0730"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Donaldson, G. (2015) </w:t>
      </w:r>
      <w:r w:rsidRPr="009062BC">
        <w:rPr>
          <w:rFonts w:ascii="Calibri" w:hAnsi="Calibri" w:cs="Calibri"/>
          <w:i/>
          <w:iCs/>
        </w:rPr>
        <w:t>Successful Futures: Independent review of curriculum and assessment arrangements in Wales</w:t>
      </w:r>
      <w:r w:rsidRPr="009062BC">
        <w:rPr>
          <w:rFonts w:ascii="Calibri" w:hAnsi="Calibri" w:cs="Calibri"/>
        </w:rPr>
        <w:t>. Cardiff: Welsh Government.</w:t>
      </w:r>
    </w:p>
    <w:p w14:paraId="64C2A6FC" w14:textId="37AB8B0B" w:rsidR="00371BEA" w:rsidRPr="009062BC" w:rsidRDefault="00371BEA" w:rsidP="009062BC">
      <w:pPr>
        <w:spacing w:line="240" w:lineRule="auto"/>
        <w:rPr>
          <w:rFonts w:ascii="Calibri" w:hAnsi="Calibri" w:cs="Calibri"/>
        </w:rPr>
      </w:pPr>
      <w:r w:rsidRPr="009062BC">
        <w:rPr>
          <w:rFonts w:ascii="Calibri" w:hAnsi="Calibri" w:cs="Calibri"/>
        </w:rPr>
        <w:t xml:space="preserve">Education Support (2023) </w:t>
      </w:r>
      <w:r w:rsidRPr="009062BC">
        <w:rPr>
          <w:rFonts w:ascii="Calibri" w:hAnsi="Calibri" w:cs="Calibri"/>
          <w:i/>
          <w:iCs/>
        </w:rPr>
        <w:t>Teacher Wellbeing Index 2023</w:t>
      </w:r>
      <w:r w:rsidRPr="009062BC">
        <w:rPr>
          <w:rFonts w:ascii="Calibri" w:hAnsi="Calibri" w:cs="Calibri"/>
        </w:rPr>
        <w:t xml:space="preserve">. [Accessed </w:t>
      </w:r>
      <w:r w:rsidR="0040023F" w:rsidRPr="009062BC">
        <w:rPr>
          <w:rFonts w:ascii="Calibri" w:hAnsi="Calibri" w:cs="Calibri"/>
        </w:rPr>
        <w:t>27 Mar</w:t>
      </w:r>
      <w:r w:rsidRPr="009062BC">
        <w:rPr>
          <w:rFonts w:ascii="Calibri" w:hAnsi="Calibri" w:cs="Calibri"/>
        </w:rPr>
        <w:t>. 2025].</w:t>
      </w:r>
    </w:p>
    <w:p w14:paraId="1A8CF6A1"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Estyn (2019) </w:t>
      </w:r>
      <w:r w:rsidRPr="009062BC">
        <w:rPr>
          <w:rFonts w:ascii="Calibri" w:hAnsi="Calibri" w:cs="Calibri"/>
          <w:i/>
          <w:iCs/>
        </w:rPr>
        <w:t>Healthy and Happy: School strategies to promote staff wellbeing</w:t>
      </w:r>
      <w:r w:rsidRPr="009062BC">
        <w:rPr>
          <w:rFonts w:ascii="Calibri" w:hAnsi="Calibri" w:cs="Calibri"/>
        </w:rPr>
        <w:t>. Cardiff: Estyn.</w:t>
      </w:r>
    </w:p>
    <w:p w14:paraId="2CDE333D"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Estyn (2021) </w:t>
      </w:r>
      <w:r w:rsidRPr="009062BC">
        <w:rPr>
          <w:rFonts w:ascii="Calibri" w:hAnsi="Calibri" w:cs="Calibri"/>
          <w:i/>
          <w:iCs/>
        </w:rPr>
        <w:t>Engagement work: Primary sector update – Spring Term 2021</w:t>
      </w:r>
      <w:r w:rsidRPr="009062BC">
        <w:rPr>
          <w:rFonts w:ascii="Calibri" w:hAnsi="Calibri" w:cs="Calibri"/>
        </w:rPr>
        <w:t>. Cardiff: Estyn. [Accessed 10 Jul. 2025].</w:t>
      </w:r>
    </w:p>
    <w:p w14:paraId="63608034" w14:textId="5A0D9783" w:rsidR="00371BEA" w:rsidRPr="009062BC" w:rsidRDefault="00371BEA" w:rsidP="009062BC">
      <w:pPr>
        <w:spacing w:line="240" w:lineRule="auto"/>
        <w:rPr>
          <w:rFonts w:ascii="Calibri" w:hAnsi="Calibri" w:cs="Calibri"/>
        </w:rPr>
      </w:pPr>
      <w:r w:rsidRPr="009062BC">
        <w:rPr>
          <w:rFonts w:ascii="Calibri" w:hAnsi="Calibri" w:cs="Calibri"/>
        </w:rPr>
        <w:t xml:space="preserve">Estyn (2022) </w:t>
      </w:r>
      <w:r w:rsidRPr="009062BC">
        <w:rPr>
          <w:rFonts w:ascii="Calibri" w:hAnsi="Calibri" w:cs="Calibri"/>
          <w:i/>
          <w:iCs/>
        </w:rPr>
        <w:t>Greenhill School – Fully Funded Residential Experiences</w:t>
      </w:r>
      <w:r w:rsidRPr="009062BC">
        <w:rPr>
          <w:rFonts w:ascii="Calibri" w:hAnsi="Calibri" w:cs="Calibri"/>
        </w:rPr>
        <w:t xml:space="preserve">. Cardiff: Estyn. [Accessed </w:t>
      </w:r>
      <w:r w:rsidR="0040023F" w:rsidRPr="009062BC">
        <w:rPr>
          <w:rFonts w:ascii="Calibri" w:hAnsi="Calibri" w:cs="Calibri"/>
        </w:rPr>
        <w:t>12 Apr</w:t>
      </w:r>
      <w:r w:rsidRPr="009062BC">
        <w:rPr>
          <w:rFonts w:ascii="Calibri" w:hAnsi="Calibri" w:cs="Calibri"/>
        </w:rPr>
        <w:t>. 2025].</w:t>
      </w:r>
    </w:p>
    <w:p w14:paraId="08232AF4"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Estyn (2023) </w:t>
      </w:r>
      <w:r w:rsidRPr="009062BC">
        <w:rPr>
          <w:rFonts w:ascii="Calibri" w:hAnsi="Calibri" w:cs="Calibri"/>
          <w:i/>
          <w:iCs/>
        </w:rPr>
        <w:t>Annual Report 2022–2023</w:t>
      </w:r>
      <w:r w:rsidRPr="009062BC">
        <w:rPr>
          <w:rFonts w:ascii="Calibri" w:hAnsi="Calibri" w:cs="Calibri"/>
        </w:rPr>
        <w:t>. Cardiff: Estyn.</w:t>
      </w:r>
    </w:p>
    <w:p w14:paraId="483380DF" w14:textId="76BF460A" w:rsidR="00371BEA" w:rsidRPr="009062BC" w:rsidRDefault="00371BEA" w:rsidP="009062BC">
      <w:pPr>
        <w:spacing w:line="240" w:lineRule="auto"/>
        <w:rPr>
          <w:rFonts w:ascii="Calibri" w:hAnsi="Calibri" w:cs="Calibri"/>
        </w:rPr>
      </w:pPr>
      <w:r w:rsidRPr="009062BC">
        <w:rPr>
          <w:rFonts w:ascii="Calibri" w:hAnsi="Calibri" w:cs="Calibri"/>
        </w:rPr>
        <w:lastRenderedPageBreak/>
        <w:t xml:space="preserve">Estyn (2024) </w:t>
      </w:r>
      <w:r w:rsidRPr="009062BC">
        <w:rPr>
          <w:rFonts w:ascii="Calibri" w:hAnsi="Calibri" w:cs="Calibri"/>
          <w:i/>
          <w:iCs/>
        </w:rPr>
        <w:t>Swansea University Schools’ Partnership – Student Teacher Involvement in Residential Visits</w:t>
      </w:r>
      <w:r w:rsidRPr="009062BC">
        <w:rPr>
          <w:rFonts w:ascii="Calibri" w:hAnsi="Calibri" w:cs="Calibri"/>
        </w:rPr>
        <w:t>. Cardiff: Estyn. [Accessed 1</w:t>
      </w:r>
      <w:r w:rsidR="0040023F" w:rsidRPr="009062BC">
        <w:rPr>
          <w:rFonts w:ascii="Calibri" w:hAnsi="Calibri" w:cs="Calibri"/>
        </w:rPr>
        <w:t>2</w:t>
      </w:r>
      <w:r w:rsidRPr="009062BC">
        <w:rPr>
          <w:rFonts w:ascii="Calibri" w:hAnsi="Calibri" w:cs="Calibri"/>
        </w:rPr>
        <w:t xml:space="preserve"> </w:t>
      </w:r>
      <w:r w:rsidR="0040023F" w:rsidRPr="009062BC">
        <w:rPr>
          <w:rFonts w:ascii="Calibri" w:hAnsi="Calibri" w:cs="Calibri"/>
        </w:rPr>
        <w:t>Apr</w:t>
      </w:r>
      <w:r w:rsidRPr="009062BC">
        <w:rPr>
          <w:rFonts w:ascii="Calibri" w:hAnsi="Calibri" w:cs="Calibri"/>
        </w:rPr>
        <w:t>. 2025].</w:t>
      </w:r>
    </w:p>
    <w:p w14:paraId="7AE3C79F" w14:textId="77777777" w:rsidR="00371BEA" w:rsidRPr="009062BC" w:rsidRDefault="00371BEA" w:rsidP="009062BC">
      <w:pPr>
        <w:spacing w:line="240" w:lineRule="auto"/>
        <w:rPr>
          <w:rFonts w:ascii="Calibri" w:hAnsi="Calibri" w:cs="Calibri"/>
        </w:rPr>
      </w:pPr>
      <w:proofErr w:type="spellStart"/>
      <w:r w:rsidRPr="009062BC">
        <w:rPr>
          <w:rFonts w:ascii="Calibri" w:hAnsi="Calibri" w:cs="Calibri"/>
        </w:rPr>
        <w:t>Fagerstam</w:t>
      </w:r>
      <w:proofErr w:type="spellEnd"/>
      <w:r w:rsidRPr="009062BC">
        <w:rPr>
          <w:rFonts w:ascii="Calibri" w:hAnsi="Calibri" w:cs="Calibri"/>
        </w:rPr>
        <w:t xml:space="preserve">, E. (2014) ‘High school teachers’ experiences of the educational potential of outdoor teaching and learning’, </w:t>
      </w:r>
      <w:r w:rsidRPr="009062BC">
        <w:rPr>
          <w:rFonts w:ascii="Calibri" w:hAnsi="Calibri" w:cs="Calibri"/>
          <w:i/>
          <w:iCs/>
        </w:rPr>
        <w:t>Journal of Adventure Education and Outdoor Learning</w:t>
      </w:r>
      <w:r w:rsidRPr="009062BC">
        <w:rPr>
          <w:rFonts w:ascii="Calibri" w:hAnsi="Calibri" w:cs="Calibri"/>
        </w:rPr>
        <w:t>, 14(1), pp. 56–81.</w:t>
      </w:r>
    </w:p>
    <w:p w14:paraId="0F6E0C16"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Furlong, J. (2015) </w:t>
      </w:r>
      <w:r w:rsidRPr="009062BC">
        <w:rPr>
          <w:rFonts w:ascii="Calibri" w:hAnsi="Calibri" w:cs="Calibri"/>
          <w:i/>
          <w:iCs/>
        </w:rPr>
        <w:t>Teaching Tomorrow’s Teachers: Options for the future of initial teacher education in Wales</w:t>
      </w:r>
      <w:r w:rsidRPr="009062BC">
        <w:rPr>
          <w:rFonts w:ascii="Calibri" w:hAnsi="Calibri" w:cs="Calibri"/>
        </w:rPr>
        <w:t>. Cardiff: Welsh Government.</w:t>
      </w:r>
    </w:p>
    <w:p w14:paraId="0BD25C12"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Guay, F., Ratelle, C.F. and Chanal, J. (2008) ‘Optimal learning in optimal contexts: The role of self-determination in education’, </w:t>
      </w:r>
      <w:r w:rsidRPr="009062BC">
        <w:rPr>
          <w:rFonts w:ascii="Calibri" w:hAnsi="Calibri" w:cs="Calibri"/>
          <w:i/>
          <w:iCs/>
        </w:rPr>
        <w:t>Canadian Psychology</w:t>
      </w:r>
      <w:r w:rsidRPr="009062BC">
        <w:rPr>
          <w:rFonts w:ascii="Calibri" w:hAnsi="Calibri" w:cs="Calibri"/>
        </w:rPr>
        <w:t>, 49(3), pp. 233–240.</w:t>
      </w:r>
    </w:p>
    <w:p w14:paraId="2022DB3C"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Hargreaves, A. (1998) ‘The emotional practice of teaching’, </w:t>
      </w:r>
      <w:r w:rsidRPr="009062BC">
        <w:rPr>
          <w:rFonts w:ascii="Calibri" w:hAnsi="Calibri" w:cs="Calibri"/>
          <w:i/>
          <w:iCs/>
        </w:rPr>
        <w:t>Teaching and Teacher Education</w:t>
      </w:r>
      <w:r w:rsidRPr="009062BC">
        <w:rPr>
          <w:rFonts w:ascii="Calibri" w:hAnsi="Calibri" w:cs="Calibri"/>
        </w:rPr>
        <w:t>, 14(8), pp. 835–854.</w:t>
      </w:r>
    </w:p>
    <w:p w14:paraId="74414537"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Hochschild, A.R. (1983) </w:t>
      </w:r>
      <w:r w:rsidRPr="009062BC">
        <w:rPr>
          <w:rFonts w:ascii="Calibri" w:hAnsi="Calibri" w:cs="Calibri"/>
          <w:i/>
          <w:iCs/>
        </w:rPr>
        <w:t>The Managed Heart: Commercialization of Human Feeling</w:t>
      </w:r>
      <w:r w:rsidRPr="009062BC">
        <w:rPr>
          <w:rFonts w:ascii="Calibri" w:hAnsi="Calibri" w:cs="Calibri"/>
        </w:rPr>
        <w:t>. Berkeley: University of California Press.</w:t>
      </w:r>
    </w:p>
    <w:p w14:paraId="07094692"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Jamieson, S. (2025) </w:t>
      </w:r>
      <w:proofErr w:type="spellStart"/>
      <w:r w:rsidRPr="009062BC">
        <w:rPr>
          <w:rFonts w:ascii="Calibri" w:hAnsi="Calibri" w:cs="Calibri"/>
          <w:i/>
          <w:iCs/>
        </w:rPr>
        <w:t>Schoolseum</w:t>
      </w:r>
      <w:proofErr w:type="spellEnd"/>
      <w:r w:rsidRPr="009062BC">
        <w:rPr>
          <w:rFonts w:ascii="Calibri" w:hAnsi="Calibri" w:cs="Calibri"/>
          <w:i/>
          <w:iCs/>
        </w:rPr>
        <w:t>: Final Evaluation Report</w:t>
      </w:r>
      <w:r w:rsidRPr="009062BC">
        <w:rPr>
          <w:rFonts w:ascii="Calibri" w:hAnsi="Calibri" w:cs="Calibri"/>
        </w:rPr>
        <w:t>. Cardiff: Arts Council Wales.</w:t>
      </w:r>
    </w:p>
    <w:p w14:paraId="09E4FE9F"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King’s College London (2015) </w:t>
      </w:r>
      <w:r w:rsidRPr="009062BC">
        <w:rPr>
          <w:rFonts w:ascii="Calibri" w:hAnsi="Calibri" w:cs="Calibri"/>
          <w:i/>
          <w:iCs/>
        </w:rPr>
        <w:t>My Primary School is at the Museum</w:t>
      </w:r>
      <w:r w:rsidRPr="009062BC">
        <w:rPr>
          <w:rFonts w:ascii="Calibri" w:hAnsi="Calibri" w:cs="Calibri"/>
        </w:rPr>
        <w:t>. [Accessed 10 Jul. 2025].</w:t>
      </w:r>
    </w:p>
    <w:p w14:paraId="3108DA5A"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Learning Away (2015) </w:t>
      </w:r>
      <w:r w:rsidRPr="009062BC">
        <w:rPr>
          <w:rFonts w:ascii="Calibri" w:hAnsi="Calibri" w:cs="Calibri"/>
          <w:i/>
          <w:iCs/>
        </w:rPr>
        <w:t>Final Evaluation Report: A brilliant residential learning experience for every child</w:t>
      </w:r>
      <w:r w:rsidRPr="009062BC">
        <w:rPr>
          <w:rFonts w:ascii="Calibri" w:hAnsi="Calibri" w:cs="Calibri"/>
        </w:rPr>
        <w:t>. York: Paul Hamlyn Foundation.</w:t>
      </w:r>
    </w:p>
    <w:p w14:paraId="3BAD7833"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Leather, M., Nicholls, F. and Brady, M. (2015) ‘Disruptive learning, community building and the journey metaphor: A positive dislocation of classroom norms through residential experiences’, </w:t>
      </w:r>
      <w:r w:rsidRPr="009062BC">
        <w:rPr>
          <w:rFonts w:ascii="Calibri" w:hAnsi="Calibri" w:cs="Calibri"/>
          <w:i/>
          <w:iCs/>
        </w:rPr>
        <w:t>Journal of Adventure Education and Outdoor Learning</w:t>
      </w:r>
      <w:r w:rsidRPr="009062BC">
        <w:rPr>
          <w:rFonts w:ascii="Calibri" w:hAnsi="Calibri" w:cs="Calibri"/>
        </w:rPr>
        <w:t>, 15(4), pp. 351–365.</w:t>
      </w:r>
    </w:p>
    <w:p w14:paraId="08E91DA3"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Li, Y. and Yao, M. (2022) ‘A meta-analysis of the association between teacher stress and wellbeing: Global trends and implications’, </w:t>
      </w:r>
      <w:r w:rsidRPr="009062BC">
        <w:rPr>
          <w:rFonts w:ascii="Calibri" w:hAnsi="Calibri" w:cs="Calibri"/>
          <w:i/>
          <w:iCs/>
        </w:rPr>
        <w:t>Educational Psychology Review</w:t>
      </w:r>
      <w:r w:rsidRPr="009062BC">
        <w:rPr>
          <w:rFonts w:ascii="Calibri" w:hAnsi="Calibri" w:cs="Calibri"/>
        </w:rPr>
        <w:t>, 34(3), pp. 985–1008.</w:t>
      </w:r>
    </w:p>
    <w:p w14:paraId="7222B946"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Liu, J. and Wang, C. (2024) ‘Emotional labour and classroom climate: A meta-analytic review’, </w:t>
      </w:r>
      <w:r w:rsidRPr="009062BC">
        <w:rPr>
          <w:rFonts w:ascii="Calibri" w:hAnsi="Calibri" w:cs="Calibri"/>
          <w:i/>
          <w:iCs/>
        </w:rPr>
        <w:t>Teaching and Teacher Education</w:t>
      </w:r>
      <w:r w:rsidRPr="009062BC">
        <w:rPr>
          <w:rFonts w:ascii="Calibri" w:hAnsi="Calibri" w:cs="Calibri"/>
        </w:rPr>
        <w:t>, 135, 104389.</w:t>
      </w:r>
    </w:p>
    <w:p w14:paraId="392AA213"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McCallum, F., Price, D., Graham, A. and Morrison, A. (2017) </w:t>
      </w:r>
      <w:r w:rsidRPr="009062BC">
        <w:rPr>
          <w:rFonts w:ascii="Calibri" w:hAnsi="Calibri" w:cs="Calibri"/>
          <w:i/>
          <w:iCs/>
        </w:rPr>
        <w:t>Teacher Wellbeing: A review of the literature</w:t>
      </w:r>
      <w:r w:rsidRPr="009062BC">
        <w:rPr>
          <w:rFonts w:ascii="Calibri" w:hAnsi="Calibri" w:cs="Calibri"/>
        </w:rPr>
        <w:t>. Sydney: Association of Independent Schools of NSW.</w:t>
      </w:r>
    </w:p>
    <w:p w14:paraId="33987F41" w14:textId="77777777" w:rsidR="00371BEA" w:rsidRPr="009062BC" w:rsidRDefault="00371BEA" w:rsidP="009062BC">
      <w:pPr>
        <w:spacing w:line="240" w:lineRule="auto"/>
        <w:rPr>
          <w:rFonts w:ascii="Calibri" w:hAnsi="Calibri" w:cs="Calibri"/>
        </w:rPr>
      </w:pPr>
      <w:proofErr w:type="spellStart"/>
      <w:r w:rsidRPr="009062BC">
        <w:rPr>
          <w:rFonts w:ascii="Calibri" w:hAnsi="Calibri" w:cs="Calibri"/>
        </w:rPr>
        <w:t>Mearman</w:t>
      </w:r>
      <w:proofErr w:type="spellEnd"/>
      <w:r w:rsidRPr="009062BC">
        <w:rPr>
          <w:rFonts w:ascii="Calibri" w:hAnsi="Calibri" w:cs="Calibri"/>
        </w:rPr>
        <w:t>, A., Collins, A. and Smith, L. (2023) ‘Effective leadership practices and teacher wellbeing: A review of international evidence’. Chartered College of Teaching. [Accessed 10 Jul. 2025].</w:t>
      </w:r>
    </w:p>
    <w:p w14:paraId="7C56BDF8"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Niemiec, C.P. and Ryan, R.M. (2009) ‘Autonomy, competence, and relatedness in the classroom: Applying self-determination theory to educational practice’, </w:t>
      </w:r>
      <w:r w:rsidRPr="009062BC">
        <w:rPr>
          <w:rFonts w:ascii="Calibri" w:hAnsi="Calibri" w:cs="Calibri"/>
          <w:i/>
          <w:iCs/>
        </w:rPr>
        <w:t>Theory and Research in Education</w:t>
      </w:r>
      <w:r w:rsidRPr="009062BC">
        <w:rPr>
          <w:rFonts w:ascii="Calibri" w:hAnsi="Calibri" w:cs="Calibri"/>
        </w:rPr>
        <w:t>, 7(2), pp. 133–144.</w:t>
      </w:r>
    </w:p>
    <w:p w14:paraId="26C2DFBC"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Noble, T. and McGrath, H. (2015) ‘PROSPER: A new framework for positive education’, </w:t>
      </w:r>
      <w:r w:rsidRPr="009062BC">
        <w:rPr>
          <w:rFonts w:ascii="Calibri" w:hAnsi="Calibri" w:cs="Calibri"/>
          <w:i/>
          <w:iCs/>
        </w:rPr>
        <w:t>Psychology of Well-Being</w:t>
      </w:r>
      <w:r w:rsidRPr="009062BC">
        <w:rPr>
          <w:rFonts w:ascii="Calibri" w:hAnsi="Calibri" w:cs="Calibri"/>
        </w:rPr>
        <w:t>, 5(2), pp. 1–17.</w:t>
      </w:r>
    </w:p>
    <w:p w14:paraId="1D0E06E4" w14:textId="07FD466E" w:rsidR="00371BEA" w:rsidRPr="009062BC" w:rsidRDefault="00371BEA" w:rsidP="009062BC">
      <w:pPr>
        <w:spacing w:line="240" w:lineRule="auto"/>
        <w:rPr>
          <w:rFonts w:ascii="Calibri" w:hAnsi="Calibri" w:cs="Calibri"/>
        </w:rPr>
      </w:pPr>
      <w:r w:rsidRPr="009062BC">
        <w:rPr>
          <w:rFonts w:ascii="Calibri" w:hAnsi="Calibri" w:cs="Calibri"/>
        </w:rPr>
        <w:t xml:space="preserve">OECD (2021) </w:t>
      </w:r>
      <w:r w:rsidRPr="009062BC">
        <w:rPr>
          <w:rFonts w:ascii="Calibri" w:hAnsi="Calibri" w:cs="Calibri"/>
          <w:i/>
          <w:iCs/>
        </w:rPr>
        <w:t>Teachers and Leaders in Vocational Education and Training</w:t>
      </w:r>
      <w:r w:rsidRPr="009062BC">
        <w:rPr>
          <w:rFonts w:ascii="Calibri" w:hAnsi="Calibri" w:cs="Calibri"/>
        </w:rPr>
        <w:t>. Paris: OECD Publishing. [Accessed 1</w:t>
      </w:r>
      <w:r w:rsidR="00A36B76" w:rsidRPr="009062BC">
        <w:rPr>
          <w:rFonts w:ascii="Calibri" w:hAnsi="Calibri" w:cs="Calibri"/>
        </w:rPr>
        <w:t>2 Mar</w:t>
      </w:r>
      <w:r w:rsidRPr="009062BC">
        <w:rPr>
          <w:rFonts w:ascii="Calibri" w:hAnsi="Calibri" w:cs="Calibri"/>
        </w:rPr>
        <w:t>. 2025].</w:t>
      </w:r>
    </w:p>
    <w:p w14:paraId="3E2B1944"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Phillips, D.C. and </w:t>
      </w:r>
      <w:proofErr w:type="spellStart"/>
      <w:r w:rsidRPr="009062BC">
        <w:rPr>
          <w:rFonts w:ascii="Calibri" w:hAnsi="Calibri" w:cs="Calibri"/>
        </w:rPr>
        <w:t>Burbules</w:t>
      </w:r>
      <w:proofErr w:type="spellEnd"/>
      <w:r w:rsidRPr="009062BC">
        <w:rPr>
          <w:rFonts w:ascii="Calibri" w:hAnsi="Calibri" w:cs="Calibri"/>
        </w:rPr>
        <w:t xml:space="preserve">, N.C. (2000) </w:t>
      </w:r>
      <w:proofErr w:type="spellStart"/>
      <w:r w:rsidRPr="009062BC">
        <w:rPr>
          <w:rFonts w:ascii="Calibri" w:hAnsi="Calibri" w:cs="Calibri"/>
          <w:i/>
          <w:iCs/>
        </w:rPr>
        <w:t>Postpositivism</w:t>
      </w:r>
      <w:proofErr w:type="spellEnd"/>
      <w:r w:rsidRPr="009062BC">
        <w:rPr>
          <w:rFonts w:ascii="Calibri" w:hAnsi="Calibri" w:cs="Calibri"/>
          <w:i/>
          <w:iCs/>
        </w:rPr>
        <w:t xml:space="preserve"> and Educational Research</w:t>
      </w:r>
      <w:r w:rsidRPr="009062BC">
        <w:rPr>
          <w:rFonts w:ascii="Calibri" w:hAnsi="Calibri" w:cs="Calibri"/>
        </w:rPr>
        <w:t>. Lanham, MD: Rowman &amp; Littlefield.</w:t>
      </w:r>
    </w:p>
    <w:p w14:paraId="167527A3" w14:textId="77777777" w:rsidR="00371BEA" w:rsidRPr="009062BC" w:rsidRDefault="00371BEA" w:rsidP="009062BC">
      <w:pPr>
        <w:spacing w:line="240" w:lineRule="auto"/>
        <w:rPr>
          <w:rFonts w:ascii="Calibri" w:hAnsi="Calibri" w:cs="Calibri"/>
        </w:rPr>
      </w:pPr>
      <w:proofErr w:type="spellStart"/>
      <w:r w:rsidRPr="009062BC">
        <w:rPr>
          <w:rFonts w:ascii="Calibri" w:hAnsi="Calibri" w:cs="Calibri"/>
        </w:rPr>
        <w:t>Rickinson</w:t>
      </w:r>
      <w:proofErr w:type="spellEnd"/>
      <w:r w:rsidRPr="009062BC">
        <w:rPr>
          <w:rFonts w:ascii="Calibri" w:hAnsi="Calibri" w:cs="Calibri"/>
        </w:rPr>
        <w:t xml:space="preserve">, M., Dillon, J., </w:t>
      </w:r>
      <w:proofErr w:type="spellStart"/>
      <w:r w:rsidRPr="009062BC">
        <w:rPr>
          <w:rFonts w:ascii="Calibri" w:hAnsi="Calibri" w:cs="Calibri"/>
        </w:rPr>
        <w:t>Teamey</w:t>
      </w:r>
      <w:proofErr w:type="spellEnd"/>
      <w:r w:rsidRPr="009062BC">
        <w:rPr>
          <w:rFonts w:ascii="Calibri" w:hAnsi="Calibri" w:cs="Calibri"/>
        </w:rPr>
        <w:t xml:space="preserve">, K., Morris, M., Choi, M.Y., Sanders, D. and Benefield, P. (2004) </w:t>
      </w:r>
      <w:r w:rsidRPr="009062BC">
        <w:rPr>
          <w:rFonts w:ascii="Calibri" w:hAnsi="Calibri" w:cs="Calibri"/>
          <w:i/>
          <w:iCs/>
        </w:rPr>
        <w:t>A Review of Research on Outdoor Learning</w:t>
      </w:r>
      <w:r w:rsidRPr="009062BC">
        <w:rPr>
          <w:rFonts w:ascii="Calibri" w:hAnsi="Calibri" w:cs="Calibri"/>
        </w:rPr>
        <w:t>. Slough: NFER.</w:t>
      </w:r>
    </w:p>
    <w:p w14:paraId="277E5B34" w14:textId="77777777" w:rsidR="00371BEA" w:rsidRPr="009062BC" w:rsidRDefault="00371BEA" w:rsidP="009062BC">
      <w:pPr>
        <w:spacing w:line="240" w:lineRule="auto"/>
        <w:rPr>
          <w:rFonts w:ascii="Calibri" w:hAnsi="Calibri" w:cs="Calibri"/>
        </w:rPr>
      </w:pPr>
      <w:r w:rsidRPr="009062BC">
        <w:rPr>
          <w:rFonts w:ascii="Calibri" w:hAnsi="Calibri" w:cs="Calibri"/>
        </w:rPr>
        <w:lastRenderedPageBreak/>
        <w:t xml:space="preserve">Roffey, S. (2012) ‘Pupil wellbeing—Teacher wellbeing: Two sides of the same coin?’, </w:t>
      </w:r>
      <w:r w:rsidRPr="009062BC">
        <w:rPr>
          <w:rFonts w:ascii="Calibri" w:hAnsi="Calibri" w:cs="Calibri"/>
          <w:i/>
          <w:iCs/>
        </w:rPr>
        <w:t>Educational &amp; Child Psychology</w:t>
      </w:r>
      <w:r w:rsidRPr="009062BC">
        <w:rPr>
          <w:rFonts w:ascii="Calibri" w:hAnsi="Calibri" w:cs="Calibri"/>
        </w:rPr>
        <w:t>, 29(4), pp. 8–17.</w:t>
      </w:r>
    </w:p>
    <w:p w14:paraId="357D9C34"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Ryan, R.M. and Deci, E.L. (2017) </w:t>
      </w:r>
      <w:r w:rsidRPr="009062BC">
        <w:rPr>
          <w:rFonts w:ascii="Calibri" w:hAnsi="Calibri" w:cs="Calibri"/>
          <w:i/>
          <w:iCs/>
        </w:rPr>
        <w:t>Self-Determination Theory: Basic psychological needs in motivation, development, and wellness</w:t>
      </w:r>
      <w:r w:rsidRPr="009062BC">
        <w:rPr>
          <w:rFonts w:ascii="Calibri" w:hAnsi="Calibri" w:cs="Calibri"/>
        </w:rPr>
        <w:t>. New York: Guilford Press.</w:t>
      </w:r>
    </w:p>
    <w:p w14:paraId="2EDE4737"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Schaufeli, W.B. and Taris, T.W. (2014) ‘A critical review of the Job Demands-Resources model: Implications for improving work and health’, in Bauer, G.F. and </w:t>
      </w:r>
      <w:proofErr w:type="spellStart"/>
      <w:r w:rsidRPr="009062BC">
        <w:rPr>
          <w:rFonts w:ascii="Calibri" w:hAnsi="Calibri" w:cs="Calibri"/>
        </w:rPr>
        <w:t>Hämmig</w:t>
      </w:r>
      <w:proofErr w:type="spellEnd"/>
      <w:r w:rsidRPr="009062BC">
        <w:rPr>
          <w:rFonts w:ascii="Calibri" w:hAnsi="Calibri" w:cs="Calibri"/>
        </w:rPr>
        <w:t xml:space="preserve">, O. (eds.) </w:t>
      </w:r>
      <w:r w:rsidRPr="009062BC">
        <w:rPr>
          <w:rFonts w:ascii="Calibri" w:hAnsi="Calibri" w:cs="Calibri"/>
          <w:i/>
          <w:iCs/>
        </w:rPr>
        <w:t>Bridging Occupational, Organizational and Public Health</w:t>
      </w:r>
      <w:r w:rsidRPr="009062BC">
        <w:rPr>
          <w:rFonts w:ascii="Calibri" w:hAnsi="Calibri" w:cs="Calibri"/>
        </w:rPr>
        <w:t>. Dordrecht: Springer, pp. 43–68.</w:t>
      </w:r>
    </w:p>
    <w:p w14:paraId="205ED808"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Seligman, M.E.P. (2011) </w:t>
      </w:r>
      <w:r w:rsidRPr="009062BC">
        <w:rPr>
          <w:rFonts w:ascii="Calibri" w:hAnsi="Calibri" w:cs="Calibri"/>
          <w:i/>
          <w:iCs/>
        </w:rPr>
        <w:t>Flourish: A Visionary New Understanding of Happiness and Well-being</w:t>
      </w:r>
      <w:r w:rsidRPr="009062BC">
        <w:rPr>
          <w:rFonts w:ascii="Calibri" w:hAnsi="Calibri" w:cs="Calibri"/>
        </w:rPr>
        <w:t>. New York: Free Press.</w:t>
      </w:r>
    </w:p>
    <w:p w14:paraId="71927695"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Singh, P. and Thompson, S. (2024) ‘“It was a whole other world”: The impact of residential outdoor trips on teacher wellbeing and confidence’, </w:t>
      </w:r>
      <w:r w:rsidRPr="009062BC">
        <w:rPr>
          <w:rFonts w:ascii="Calibri" w:hAnsi="Calibri" w:cs="Calibri"/>
          <w:i/>
          <w:iCs/>
        </w:rPr>
        <w:t>Journal of Outdoor and Environmental Education</w:t>
      </w:r>
      <w:r w:rsidRPr="009062BC">
        <w:rPr>
          <w:rFonts w:ascii="Calibri" w:hAnsi="Calibri" w:cs="Calibri"/>
        </w:rPr>
        <w:t>, 27(1), pp. 45–61.</w:t>
      </w:r>
    </w:p>
    <w:p w14:paraId="1ADC1D81" w14:textId="77777777" w:rsidR="00371BEA" w:rsidRPr="009062BC" w:rsidRDefault="00371BEA" w:rsidP="009062BC">
      <w:pPr>
        <w:spacing w:line="240" w:lineRule="auto"/>
        <w:rPr>
          <w:rFonts w:ascii="Calibri" w:hAnsi="Calibri" w:cs="Calibri"/>
        </w:rPr>
      </w:pPr>
      <w:proofErr w:type="spellStart"/>
      <w:r w:rsidRPr="009062BC">
        <w:rPr>
          <w:rFonts w:ascii="Calibri" w:hAnsi="Calibri" w:cs="Calibri"/>
        </w:rPr>
        <w:t>Skaalvik</w:t>
      </w:r>
      <w:proofErr w:type="spellEnd"/>
      <w:r w:rsidRPr="009062BC">
        <w:rPr>
          <w:rFonts w:ascii="Calibri" w:hAnsi="Calibri" w:cs="Calibri"/>
        </w:rPr>
        <w:t xml:space="preserve">, E.M. and </w:t>
      </w:r>
      <w:proofErr w:type="spellStart"/>
      <w:r w:rsidRPr="009062BC">
        <w:rPr>
          <w:rFonts w:ascii="Calibri" w:hAnsi="Calibri" w:cs="Calibri"/>
        </w:rPr>
        <w:t>Skaalvik</w:t>
      </w:r>
      <w:proofErr w:type="spellEnd"/>
      <w:r w:rsidRPr="009062BC">
        <w:rPr>
          <w:rFonts w:ascii="Calibri" w:hAnsi="Calibri" w:cs="Calibri"/>
        </w:rPr>
        <w:t xml:space="preserve">, S. (2017) ‘Still motivated to teach? A study of school context variables, stress and job satisfaction among teachers in senior high school’, </w:t>
      </w:r>
      <w:r w:rsidRPr="009062BC">
        <w:rPr>
          <w:rFonts w:ascii="Calibri" w:hAnsi="Calibri" w:cs="Calibri"/>
          <w:i/>
          <w:iCs/>
        </w:rPr>
        <w:t>Social Psychology of Education</w:t>
      </w:r>
      <w:r w:rsidRPr="009062BC">
        <w:rPr>
          <w:rFonts w:ascii="Calibri" w:hAnsi="Calibri" w:cs="Calibri"/>
        </w:rPr>
        <w:t>, 20(1), pp. 15–37.</w:t>
      </w:r>
    </w:p>
    <w:p w14:paraId="09649C95"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Smith, K. and Johnson, P. (2025) ‘Hidden costs: Emotional labour and identity in early career teachers’, </w:t>
      </w:r>
      <w:r w:rsidRPr="009062BC">
        <w:rPr>
          <w:rFonts w:ascii="Calibri" w:hAnsi="Calibri" w:cs="Calibri"/>
          <w:i/>
          <w:iCs/>
        </w:rPr>
        <w:t>British Educational Research Journal</w:t>
      </w:r>
      <w:r w:rsidRPr="009062BC">
        <w:rPr>
          <w:rFonts w:ascii="Calibri" w:hAnsi="Calibri" w:cs="Calibri"/>
        </w:rPr>
        <w:t>, 51(1), pp. 45–63.</w:t>
      </w:r>
    </w:p>
    <w:p w14:paraId="73D7B4E0"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Smith, T. and Jones, R. (2025) ‘Balancing act: Emotional regulation and the teaching profession’, </w:t>
      </w:r>
      <w:r w:rsidRPr="009062BC">
        <w:rPr>
          <w:rFonts w:ascii="Calibri" w:hAnsi="Calibri" w:cs="Calibri"/>
          <w:i/>
          <w:iCs/>
        </w:rPr>
        <w:t>Educational Review</w:t>
      </w:r>
      <w:r w:rsidRPr="009062BC">
        <w:rPr>
          <w:rFonts w:ascii="Calibri" w:hAnsi="Calibri" w:cs="Calibri"/>
        </w:rPr>
        <w:t>, 77(2), pp. 231–248.</w:t>
      </w:r>
    </w:p>
    <w:p w14:paraId="3542F0C8"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Tooley, M., Hood, M. and Poston, L. (2023) </w:t>
      </w:r>
      <w:r w:rsidRPr="009062BC">
        <w:rPr>
          <w:rFonts w:ascii="Calibri" w:hAnsi="Calibri" w:cs="Calibri"/>
          <w:i/>
          <w:iCs/>
        </w:rPr>
        <w:t>The Working Lives of Teachers and Leaders: Wave 1</w:t>
      </w:r>
      <w:r w:rsidRPr="009062BC">
        <w:rPr>
          <w:rFonts w:ascii="Calibri" w:hAnsi="Calibri" w:cs="Calibri"/>
        </w:rPr>
        <w:t>. London: Department for Education.</w:t>
      </w:r>
    </w:p>
    <w:p w14:paraId="641C08CA" w14:textId="77777777" w:rsidR="00371BEA" w:rsidRPr="009062BC" w:rsidRDefault="00371BEA" w:rsidP="009062BC">
      <w:pPr>
        <w:spacing w:line="240" w:lineRule="auto"/>
        <w:rPr>
          <w:rFonts w:ascii="Calibri" w:hAnsi="Calibri" w:cs="Calibri"/>
        </w:rPr>
      </w:pPr>
      <w:proofErr w:type="spellStart"/>
      <w:r w:rsidRPr="009062BC">
        <w:rPr>
          <w:rFonts w:ascii="Calibri" w:hAnsi="Calibri" w:cs="Calibri"/>
        </w:rPr>
        <w:t>Viac</w:t>
      </w:r>
      <w:proofErr w:type="spellEnd"/>
      <w:r w:rsidRPr="009062BC">
        <w:rPr>
          <w:rFonts w:ascii="Calibri" w:hAnsi="Calibri" w:cs="Calibri"/>
        </w:rPr>
        <w:t xml:space="preserve">, C. and Fraser, P. (2020) </w:t>
      </w:r>
      <w:r w:rsidRPr="009062BC">
        <w:rPr>
          <w:rFonts w:ascii="Calibri" w:hAnsi="Calibri" w:cs="Calibri"/>
          <w:i/>
          <w:iCs/>
        </w:rPr>
        <w:t>Teachers’ Wellbeing: A framework for data collection and analysis</w:t>
      </w:r>
      <w:r w:rsidRPr="009062BC">
        <w:rPr>
          <w:rFonts w:ascii="Calibri" w:hAnsi="Calibri" w:cs="Calibri"/>
        </w:rPr>
        <w:t>. OECD Education Working Papers, No. 213. Paris: OECD Publishing.</w:t>
      </w:r>
    </w:p>
    <w:p w14:paraId="228A08F3"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Waite, S. (2011) ‘Teaching and learning outside the classroom: personal values, alternative pedagogies and standards’, </w:t>
      </w:r>
      <w:r w:rsidRPr="009062BC">
        <w:rPr>
          <w:rFonts w:ascii="Calibri" w:hAnsi="Calibri" w:cs="Calibri"/>
          <w:i/>
          <w:iCs/>
        </w:rPr>
        <w:t>Education 3–13</w:t>
      </w:r>
      <w:r w:rsidRPr="009062BC">
        <w:rPr>
          <w:rFonts w:ascii="Calibri" w:hAnsi="Calibri" w:cs="Calibri"/>
        </w:rPr>
        <w:t>, 39(1), pp. 65–82.</w:t>
      </w:r>
    </w:p>
    <w:p w14:paraId="24860468" w14:textId="77777777" w:rsidR="00371BEA" w:rsidRPr="009062BC" w:rsidRDefault="00371BEA" w:rsidP="009062BC">
      <w:pPr>
        <w:spacing w:line="240" w:lineRule="auto"/>
        <w:rPr>
          <w:rFonts w:ascii="Calibri" w:hAnsi="Calibri" w:cs="Calibri"/>
        </w:rPr>
      </w:pPr>
      <w:r w:rsidRPr="009062BC">
        <w:rPr>
          <w:rFonts w:ascii="Calibri" w:hAnsi="Calibri" w:cs="Calibri"/>
        </w:rPr>
        <w:t xml:space="preserve">Waite, S., Passy, R., Gilchrist, M., Hunt, A. and Blackwell, I. (2016) </w:t>
      </w:r>
      <w:r w:rsidRPr="009062BC">
        <w:rPr>
          <w:rFonts w:ascii="Calibri" w:hAnsi="Calibri" w:cs="Calibri"/>
          <w:i/>
          <w:iCs/>
        </w:rPr>
        <w:t>Natural Connections Demonstration Project, 2012–2016: Final Report</w:t>
      </w:r>
      <w:r w:rsidRPr="009062BC">
        <w:rPr>
          <w:rFonts w:ascii="Calibri" w:hAnsi="Calibri" w:cs="Calibri"/>
        </w:rPr>
        <w:t>. Natural England Commissioned Reports, Number 215.</w:t>
      </w:r>
    </w:p>
    <w:p w14:paraId="4463D11D" w14:textId="11FE2319" w:rsidR="00371BEA" w:rsidRPr="009062BC" w:rsidRDefault="00371BEA" w:rsidP="009062BC">
      <w:pPr>
        <w:spacing w:line="240" w:lineRule="auto"/>
        <w:rPr>
          <w:rFonts w:ascii="Calibri" w:hAnsi="Calibri" w:cs="Calibri"/>
        </w:rPr>
      </w:pPr>
      <w:r w:rsidRPr="009062BC">
        <w:rPr>
          <w:rFonts w:ascii="Calibri" w:hAnsi="Calibri" w:cs="Calibri"/>
        </w:rPr>
        <w:t xml:space="preserve">Welsh Government (2015) </w:t>
      </w:r>
      <w:r w:rsidRPr="009062BC">
        <w:rPr>
          <w:rFonts w:ascii="Calibri" w:hAnsi="Calibri" w:cs="Calibri"/>
          <w:i/>
          <w:iCs/>
        </w:rPr>
        <w:t>Well-being of Future Generations (Wales) Act 2015</w:t>
      </w:r>
      <w:r w:rsidRPr="009062BC">
        <w:rPr>
          <w:rFonts w:ascii="Calibri" w:hAnsi="Calibri" w:cs="Calibri"/>
        </w:rPr>
        <w:t xml:space="preserve">. Cardiff: Welsh Government. [Accessed  </w:t>
      </w:r>
      <w:r w:rsidR="00D306AD" w:rsidRPr="009062BC">
        <w:rPr>
          <w:rFonts w:ascii="Calibri" w:hAnsi="Calibri" w:cs="Calibri"/>
        </w:rPr>
        <w:t>17 Mar</w:t>
      </w:r>
      <w:r w:rsidRPr="009062BC">
        <w:rPr>
          <w:rFonts w:ascii="Calibri" w:hAnsi="Calibri" w:cs="Calibri"/>
        </w:rPr>
        <w:t>. 2025].</w:t>
      </w:r>
    </w:p>
    <w:p w14:paraId="445A1C61" w14:textId="639F87D6" w:rsidR="00371BEA" w:rsidRPr="009062BC" w:rsidRDefault="00371BEA" w:rsidP="009062BC">
      <w:pPr>
        <w:spacing w:line="240" w:lineRule="auto"/>
        <w:rPr>
          <w:rFonts w:ascii="Calibri" w:hAnsi="Calibri" w:cs="Calibri"/>
        </w:rPr>
      </w:pPr>
      <w:r w:rsidRPr="009062BC">
        <w:rPr>
          <w:rFonts w:ascii="Calibri" w:hAnsi="Calibri" w:cs="Calibri"/>
        </w:rPr>
        <w:t xml:space="preserve">Welsh Government (2021) </w:t>
      </w:r>
      <w:r w:rsidRPr="009062BC">
        <w:rPr>
          <w:rFonts w:ascii="Calibri" w:hAnsi="Calibri" w:cs="Calibri"/>
          <w:i/>
          <w:iCs/>
        </w:rPr>
        <w:t>Framework on Embedding a Whole-School Approach to Emotional and Mental Well-being</w:t>
      </w:r>
      <w:r w:rsidRPr="009062BC">
        <w:rPr>
          <w:rFonts w:ascii="Calibri" w:hAnsi="Calibri" w:cs="Calibri"/>
        </w:rPr>
        <w:t>. Cardiff: Welsh Government. [Accessed 8 Jul. 2025].</w:t>
      </w:r>
    </w:p>
    <w:p w14:paraId="4FFF7CB8" w14:textId="3A402326" w:rsidR="00371BEA" w:rsidRPr="009062BC" w:rsidRDefault="00371BEA" w:rsidP="009062BC">
      <w:pPr>
        <w:spacing w:line="240" w:lineRule="auto"/>
        <w:rPr>
          <w:rFonts w:ascii="Calibri" w:hAnsi="Calibri" w:cs="Calibri"/>
        </w:rPr>
      </w:pPr>
      <w:r w:rsidRPr="009062BC">
        <w:rPr>
          <w:rFonts w:ascii="Calibri" w:hAnsi="Calibri" w:cs="Calibri"/>
        </w:rPr>
        <w:t xml:space="preserve">Welsh Government (2022) </w:t>
      </w:r>
      <w:r w:rsidRPr="009062BC">
        <w:rPr>
          <w:rFonts w:ascii="Calibri" w:hAnsi="Calibri" w:cs="Calibri"/>
          <w:i/>
          <w:iCs/>
        </w:rPr>
        <w:t>Curriculum for Wales Guidance</w:t>
      </w:r>
      <w:r w:rsidRPr="009062BC">
        <w:rPr>
          <w:rFonts w:ascii="Calibri" w:hAnsi="Calibri" w:cs="Calibri"/>
        </w:rPr>
        <w:t>. Cardiff: Welsh Government. [Accessed 8 Jul. 2025].</w:t>
      </w:r>
    </w:p>
    <w:p w14:paraId="53BFAE8A" w14:textId="77777777" w:rsidR="00A82F5D" w:rsidRPr="00A82F5D" w:rsidRDefault="00A82F5D" w:rsidP="00A82F5D">
      <w:pPr>
        <w:rPr>
          <w:rFonts w:ascii="Century Gothic" w:hAnsi="Century Gothic"/>
        </w:rPr>
      </w:pPr>
    </w:p>
    <w:sectPr w:rsidR="00A82F5D" w:rsidRPr="00A82F5D" w:rsidSect="00C95C1F">
      <w:footerReference w:type="default" r:id="rId8"/>
      <w:pgSz w:w="11906" w:h="16838"/>
      <w:pgMar w:top="1440" w:right="566" w:bottom="1440" w:left="709"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B8064" w14:textId="77777777" w:rsidR="00426B48" w:rsidRDefault="00426B48" w:rsidP="00A90C63">
      <w:pPr>
        <w:spacing w:after="0" w:line="240" w:lineRule="auto"/>
      </w:pPr>
      <w:r>
        <w:separator/>
      </w:r>
    </w:p>
  </w:endnote>
  <w:endnote w:type="continuationSeparator" w:id="0">
    <w:p w14:paraId="60E0060F" w14:textId="77777777" w:rsidR="00426B48" w:rsidRDefault="00426B48" w:rsidP="00A90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8213689"/>
      <w:docPartObj>
        <w:docPartGallery w:val="Page Numbers (Bottom of Page)"/>
        <w:docPartUnique/>
      </w:docPartObj>
    </w:sdtPr>
    <w:sdtContent>
      <w:p w14:paraId="3AEA0725" w14:textId="1CB790BC" w:rsidR="00C95C1F" w:rsidRDefault="00C95C1F">
        <w:pPr>
          <w:pStyle w:val="Footer"/>
          <w:jc w:val="right"/>
        </w:pPr>
        <w:r>
          <w:fldChar w:fldCharType="begin"/>
        </w:r>
        <w:r>
          <w:instrText>PAGE   \* MERGEFORMAT</w:instrText>
        </w:r>
        <w:r>
          <w:fldChar w:fldCharType="separate"/>
        </w:r>
        <w:r>
          <w:t>2</w:t>
        </w:r>
        <w:r>
          <w:fldChar w:fldCharType="end"/>
        </w:r>
      </w:p>
    </w:sdtContent>
  </w:sdt>
  <w:p w14:paraId="392EB2A8" w14:textId="77777777" w:rsidR="00C95C1F" w:rsidRDefault="00C95C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4AFF2" w14:textId="77777777" w:rsidR="00426B48" w:rsidRDefault="00426B48" w:rsidP="00A90C63">
      <w:pPr>
        <w:spacing w:after="0" w:line="240" w:lineRule="auto"/>
      </w:pPr>
      <w:r>
        <w:separator/>
      </w:r>
    </w:p>
  </w:footnote>
  <w:footnote w:type="continuationSeparator" w:id="0">
    <w:p w14:paraId="35808583" w14:textId="77777777" w:rsidR="00426B48" w:rsidRDefault="00426B48" w:rsidP="00A90C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987212"/>
    <w:multiLevelType w:val="multilevel"/>
    <w:tmpl w:val="E378F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383CD7"/>
    <w:multiLevelType w:val="multilevel"/>
    <w:tmpl w:val="78BA0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990FD9"/>
    <w:multiLevelType w:val="hybridMultilevel"/>
    <w:tmpl w:val="97B6AAB0"/>
    <w:lvl w:ilvl="0" w:tplc="F2E864FC">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094564"/>
    <w:multiLevelType w:val="multilevel"/>
    <w:tmpl w:val="BB540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6E22D2"/>
    <w:multiLevelType w:val="multilevel"/>
    <w:tmpl w:val="0CE2B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7407E2"/>
    <w:multiLevelType w:val="multilevel"/>
    <w:tmpl w:val="1CC40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016C61"/>
    <w:multiLevelType w:val="multilevel"/>
    <w:tmpl w:val="4300C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4325667">
    <w:abstractNumId w:val="3"/>
  </w:num>
  <w:num w:numId="2" w16cid:durableId="492379610">
    <w:abstractNumId w:val="2"/>
  </w:num>
  <w:num w:numId="3" w16cid:durableId="1007903568">
    <w:abstractNumId w:val="6"/>
  </w:num>
  <w:num w:numId="4" w16cid:durableId="1487428940">
    <w:abstractNumId w:val="0"/>
  </w:num>
  <w:num w:numId="5" w16cid:durableId="1706633648">
    <w:abstractNumId w:val="1"/>
  </w:num>
  <w:num w:numId="6" w16cid:durableId="1063337715">
    <w:abstractNumId w:val="5"/>
  </w:num>
  <w:num w:numId="7" w16cid:durableId="12132751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E33"/>
    <w:rsid w:val="00011C30"/>
    <w:rsid w:val="0002401F"/>
    <w:rsid w:val="000246A1"/>
    <w:rsid w:val="00033DAC"/>
    <w:rsid w:val="00040EDC"/>
    <w:rsid w:val="00071D9E"/>
    <w:rsid w:val="00073BF3"/>
    <w:rsid w:val="0007748C"/>
    <w:rsid w:val="0008549F"/>
    <w:rsid w:val="000919A7"/>
    <w:rsid w:val="00097F4D"/>
    <w:rsid w:val="000A47E0"/>
    <w:rsid w:val="000B6D73"/>
    <w:rsid w:val="000B6F6D"/>
    <w:rsid w:val="000D2B5A"/>
    <w:rsid w:val="000D42EB"/>
    <w:rsid w:val="000D4695"/>
    <w:rsid w:val="000E3A78"/>
    <w:rsid w:val="000E4661"/>
    <w:rsid w:val="0010063C"/>
    <w:rsid w:val="001036E4"/>
    <w:rsid w:val="001069CC"/>
    <w:rsid w:val="00106E87"/>
    <w:rsid w:val="00113EFC"/>
    <w:rsid w:val="0015489C"/>
    <w:rsid w:val="001856FE"/>
    <w:rsid w:val="00187FF8"/>
    <w:rsid w:val="001B0DEA"/>
    <w:rsid w:val="001B5BB1"/>
    <w:rsid w:val="001C08E8"/>
    <w:rsid w:val="001C3EBC"/>
    <w:rsid w:val="001D2418"/>
    <w:rsid w:val="001D40B5"/>
    <w:rsid w:val="001E1A63"/>
    <w:rsid w:val="001E473E"/>
    <w:rsid w:val="00202EA1"/>
    <w:rsid w:val="0020492E"/>
    <w:rsid w:val="002133A2"/>
    <w:rsid w:val="002167CE"/>
    <w:rsid w:val="0021775A"/>
    <w:rsid w:val="00223119"/>
    <w:rsid w:val="00230CB6"/>
    <w:rsid w:val="0024325F"/>
    <w:rsid w:val="00256498"/>
    <w:rsid w:val="002571B8"/>
    <w:rsid w:val="0026083B"/>
    <w:rsid w:val="00285C33"/>
    <w:rsid w:val="002A06F4"/>
    <w:rsid w:val="002A7C8E"/>
    <w:rsid w:val="002C1831"/>
    <w:rsid w:val="002C1838"/>
    <w:rsid w:val="002F75DA"/>
    <w:rsid w:val="0030470C"/>
    <w:rsid w:val="00334E46"/>
    <w:rsid w:val="00346BB0"/>
    <w:rsid w:val="00362C01"/>
    <w:rsid w:val="00365078"/>
    <w:rsid w:val="00365ABA"/>
    <w:rsid w:val="00366D9C"/>
    <w:rsid w:val="00371BEA"/>
    <w:rsid w:val="00380650"/>
    <w:rsid w:val="00385D87"/>
    <w:rsid w:val="003A27FC"/>
    <w:rsid w:val="003B25ED"/>
    <w:rsid w:val="003C0A15"/>
    <w:rsid w:val="003C1B44"/>
    <w:rsid w:val="003C54A4"/>
    <w:rsid w:val="0040023F"/>
    <w:rsid w:val="004004DC"/>
    <w:rsid w:val="00400BA9"/>
    <w:rsid w:val="00426B48"/>
    <w:rsid w:val="004439FA"/>
    <w:rsid w:val="0046544B"/>
    <w:rsid w:val="00466750"/>
    <w:rsid w:val="0046677F"/>
    <w:rsid w:val="00467F34"/>
    <w:rsid w:val="00472A23"/>
    <w:rsid w:val="00480C2D"/>
    <w:rsid w:val="00481306"/>
    <w:rsid w:val="00482B7A"/>
    <w:rsid w:val="00485D4B"/>
    <w:rsid w:val="004949EA"/>
    <w:rsid w:val="004A32CB"/>
    <w:rsid w:val="004A39AC"/>
    <w:rsid w:val="004A4B37"/>
    <w:rsid w:val="004A79E5"/>
    <w:rsid w:val="004C122F"/>
    <w:rsid w:val="004D2276"/>
    <w:rsid w:val="004D2697"/>
    <w:rsid w:val="004E590C"/>
    <w:rsid w:val="004F75C3"/>
    <w:rsid w:val="00500599"/>
    <w:rsid w:val="005045B4"/>
    <w:rsid w:val="005052CD"/>
    <w:rsid w:val="00512B8E"/>
    <w:rsid w:val="00546731"/>
    <w:rsid w:val="00547A3E"/>
    <w:rsid w:val="00554B1B"/>
    <w:rsid w:val="00561E3F"/>
    <w:rsid w:val="00562233"/>
    <w:rsid w:val="00572FEA"/>
    <w:rsid w:val="00583B6A"/>
    <w:rsid w:val="005918C0"/>
    <w:rsid w:val="00594E33"/>
    <w:rsid w:val="0059523F"/>
    <w:rsid w:val="005A1EA7"/>
    <w:rsid w:val="005B6435"/>
    <w:rsid w:val="005C74A8"/>
    <w:rsid w:val="005D742A"/>
    <w:rsid w:val="005E4824"/>
    <w:rsid w:val="005E591C"/>
    <w:rsid w:val="005E659A"/>
    <w:rsid w:val="005F0F0B"/>
    <w:rsid w:val="005F7342"/>
    <w:rsid w:val="00604925"/>
    <w:rsid w:val="00605D0C"/>
    <w:rsid w:val="0061184E"/>
    <w:rsid w:val="0062078B"/>
    <w:rsid w:val="00622916"/>
    <w:rsid w:val="006500A0"/>
    <w:rsid w:val="00650849"/>
    <w:rsid w:val="00661F4E"/>
    <w:rsid w:val="006627D5"/>
    <w:rsid w:val="00672C57"/>
    <w:rsid w:val="0067354D"/>
    <w:rsid w:val="006746FD"/>
    <w:rsid w:val="0068247D"/>
    <w:rsid w:val="006A7B66"/>
    <w:rsid w:val="006B026D"/>
    <w:rsid w:val="006B33AA"/>
    <w:rsid w:val="006B69CF"/>
    <w:rsid w:val="006B7503"/>
    <w:rsid w:val="006E0037"/>
    <w:rsid w:val="006E25EB"/>
    <w:rsid w:val="00700312"/>
    <w:rsid w:val="00704085"/>
    <w:rsid w:val="007058B9"/>
    <w:rsid w:val="00751E07"/>
    <w:rsid w:val="007610F9"/>
    <w:rsid w:val="007616C4"/>
    <w:rsid w:val="00761E3C"/>
    <w:rsid w:val="00774013"/>
    <w:rsid w:val="007756EC"/>
    <w:rsid w:val="00776EB1"/>
    <w:rsid w:val="007809CC"/>
    <w:rsid w:val="007851E4"/>
    <w:rsid w:val="00790441"/>
    <w:rsid w:val="007A525A"/>
    <w:rsid w:val="007B1628"/>
    <w:rsid w:val="007B16A9"/>
    <w:rsid w:val="007E15E7"/>
    <w:rsid w:val="008108D9"/>
    <w:rsid w:val="00810A04"/>
    <w:rsid w:val="00821BCD"/>
    <w:rsid w:val="008242ED"/>
    <w:rsid w:val="00832BCF"/>
    <w:rsid w:val="008470ED"/>
    <w:rsid w:val="00847A78"/>
    <w:rsid w:val="00850D82"/>
    <w:rsid w:val="0085529D"/>
    <w:rsid w:val="0085699D"/>
    <w:rsid w:val="00860ABE"/>
    <w:rsid w:val="00863505"/>
    <w:rsid w:val="0089376D"/>
    <w:rsid w:val="008C0684"/>
    <w:rsid w:val="008C1C7D"/>
    <w:rsid w:val="008D1A3B"/>
    <w:rsid w:val="008D4668"/>
    <w:rsid w:val="008E3D05"/>
    <w:rsid w:val="008E6603"/>
    <w:rsid w:val="008E698D"/>
    <w:rsid w:val="008E7625"/>
    <w:rsid w:val="00904D00"/>
    <w:rsid w:val="009062BC"/>
    <w:rsid w:val="00914944"/>
    <w:rsid w:val="00937807"/>
    <w:rsid w:val="00944E16"/>
    <w:rsid w:val="009539A9"/>
    <w:rsid w:val="00973669"/>
    <w:rsid w:val="00980C41"/>
    <w:rsid w:val="00980EED"/>
    <w:rsid w:val="009827BB"/>
    <w:rsid w:val="00991983"/>
    <w:rsid w:val="0099791E"/>
    <w:rsid w:val="009A2A68"/>
    <w:rsid w:val="009C43F3"/>
    <w:rsid w:val="009D0B18"/>
    <w:rsid w:val="009D2D2E"/>
    <w:rsid w:val="009D5E88"/>
    <w:rsid w:val="009E21D0"/>
    <w:rsid w:val="009F3F1A"/>
    <w:rsid w:val="00A005A1"/>
    <w:rsid w:val="00A023BF"/>
    <w:rsid w:val="00A0759B"/>
    <w:rsid w:val="00A15239"/>
    <w:rsid w:val="00A36B76"/>
    <w:rsid w:val="00A55DA2"/>
    <w:rsid w:val="00A569AB"/>
    <w:rsid w:val="00A61568"/>
    <w:rsid w:val="00A621DE"/>
    <w:rsid w:val="00A76309"/>
    <w:rsid w:val="00A80D05"/>
    <w:rsid w:val="00A811D6"/>
    <w:rsid w:val="00A82F5D"/>
    <w:rsid w:val="00A85F87"/>
    <w:rsid w:val="00A90C63"/>
    <w:rsid w:val="00AA5F1F"/>
    <w:rsid w:val="00AA69F5"/>
    <w:rsid w:val="00AC670B"/>
    <w:rsid w:val="00B03E7A"/>
    <w:rsid w:val="00B125BF"/>
    <w:rsid w:val="00B12FC3"/>
    <w:rsid w:val="00B22588"/>
    <w:rsid w:val="00B23986"/>
    <w:rsid w:val="00B37065"/>
    <w:rsid w:val="00B5169E"/>
    <w:rsid w:val="00B55E7E"/>
    <w:rsid w:val="00B65685"/>
    <w:rsid w:val="00B678F7"/>
    <w:rsid w:val="00B7009D"/>
    <w:rsid w:val="00B710D3"/>
    <w:rsid w:val="00B721DE"/>
    <w:rsid w:val="00B86C64"/>
    <w:rsid w:val="00BB0EA4"/>
    <w:rsid w:val="00BC1DEB"/>
    <w:rsid w:val="00BC3530"/>
    <w:rsid w:val="00BC3A1C"/>
    <w:rsid w:val="00BC6454"/>
    <w:rsid w:val="00C00574"/>
    <w:rsid w:val="00C239FB"/>
    <w:rsid w:val="00C27D37"/>
    <w:rsid w:val="00C3020E"/>
    <w:rsid w:val="00C33777"/>
    <w:rsid w:val="00C34F93"/>
    <w:rsid w:val="00C409CA"/>
    <w:rsid w:val="00C52375"/>
    <w:rsid w:val="00C53B4E"/>
    <w:rsid w:val="00C53F8C"/>
    <w:rsid w:val="00C55D9C"/>
    <w:rsid w:val="00C62468"/>
    <w:rsid w:val="00C8622B"/>
    <w:rsid w:val="00C95C1F"/>
    <w:rsid w:val="00CA1B69"/>
    <w:rsid w:val="00CC28B9"/>
    <w:rsid w:val="00CC521F"/>
    <w:rsid w:val="00CD7325"/>
    <w:rsid w:val="00CD7389"/>
    <w:rsid w:val="00CE2337"/>
    <w:rsid w:val="00CE3CA1"/>
    <w:rsid w:val="00CF33AD"/>
    <w:rsid w:val="00CF437A"/>
    <w:rsid w:val="00D04632"/>
    <w:rsid w:val="00D21A20"/>
    <w:rsid w:val="00D238C5"/>
    <w:rsid w:val="00D306AD"/>
    <w:rsid w:val="00D41122"/>
    <w:rsid w:val="00D42DB0"/>
    <w:rsid w:val="00D472FE"/>
    <w:rsid w:val="00D6707F"/>
    <w:rsid w:val="00D676E5"/>
    <w:rsid w:val="00D74C91"/>
    <w:rsid w:val="00D84BDF"/>
    <w:rsid w:val="00D90CAA"/>
    <w:rsid w:val="00DA2C06"/>
    <w:rsid w:val="00DB2A17"/>
    <w:rsid w:val="00DB6446"/>
    <w:rsid w:val="00DC02FF"/>
    <w:rsid w:val="00DD39BA"/>
    <w:rsid w:val="00E157D4"/>
    <w:rsid w:val="00E45AFC"/>
    <w:rsid w:val="00E5600E"/>
    <w:rsid w:val="00E6170B"/>
    <w:rsid w:val="00E6450C"/>
    <w:rsid w:val="00E70CA2"/>
    <w:rsid w:val="00E754A5"/>
    <w:rsid w:val="00E75B0C"/>
    <w:rsid w:val="00E80C7B"/>
    <w:rsid w:val="00EB7DB5"/>
    <w:rsid w:val="00EC5487"/>
    <w:rsid w:val="00EE064D"/>
    <w:rsid w:val="00EE27B6"/>
    <w:rsid w:val="00EF40E1"/>
    <w:rsid w:val="00F05E52"/>
    <w:rsid w:val="00F06670"/>
    <w:rsid w:val="00F16233"/>
    <w:rsid w:val="00F208BF"/>
    <w:rsid w:val="00F23DD3"/>
    <w:rsid w:val="00F33D22"/>
    <w:rsid w:val="00F40EBD"/>
    <w:rsid w:val="00F4216E"/>
    <w:rsid w:val="00F43371"/>
    <w:rsid w:val="00F457AC"/>
    <w:rsid w:val="00F469D3"/>
    <w:rsid w:val="00F53F59"/>
    <w:rsid w:val="00F61A5F"/>
    <w:rsid w:val="00F75096"/>
    <w:rsid w:val="00FA1BEA"/>
    <w:rsid w:val="00FC06F1"/>
    <w:rsid w:val="00FC6925"/>
    <w:rsid w:val="00FF7E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3DA70"/>
  <w15:chartTrackingRefBased/>
  <w15:docId w15:val="{4B5D0D88-0EC9-4874-8413-07B5215D0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4E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94E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4E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4E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4E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4E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4E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4E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4E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4E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94E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4E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4E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4E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4E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4E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4E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4E33"/>
    <w:rPr>
      <w:rFonts w:eastAsiaTheme="majorEastAsia" w:cstheme="majorBidi"/>
      <w:color w:val="272727" w:themeColor="text1" w:themeTint="D8"/>
    </w:rPr>
  </w:style>
  <w:style w:type="paragraph" w:styleId="Title">
    <w:name w:val="Title"/>
    <w:basedOn w:val="Normal"/>
    <w:next w:val="Normal"/>
    <w:link w:val="TitleChar"/>
    <w:uiPriority w:val="10"/>
    <w:qFormat/>
    <w:rsid w:val="00594E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4E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4E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4E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4E33"/>
    <w:pPr>
      <w:spacing w:before="160"/>
      <w:jc w:val="center"/>
    </w:pPr>
    <w:rPr>
      <w:i/>
      <w:iCs/>
      <w:color w:val="404040" w:themeColor="text1" w:themeTint="BF"/>
    </w:rPr>
  </w:style>
  <w:style w:type="character" w:customStyle="1" w:styleId="QuoteChar">
    <w:name w:val="Quote Char"/>
    <w:basedOn w:val="DefaultParagraphFont"/>
    <w:link w:val="Quote"/>
    <w:uiPriority w:val="29"/>
    <w:rsid w:val="00594E33"/>
    <w:rPr>
      <w:i/>
      <w:iCs/>
      <w:color w:val="404040" w:themeColor="text1" w:themeTint="BF"/>
    </w:rPr>
  </w:style>
  <w:style w:type="paragraph" w:styleId="ListParagraph">
    <w:name w:val="List Paragraph"/>
    <w:basedOn w:val="Normal"/>
    <w:uiPriority w:val="34"/>
    <w:qFormat/>
    <w:rsid w:val="00594E33"/>
    <w:pPr>
      <w:ind w:left="720"/>
      <w:contextualSpacing/>
    </w:pPr>
  </w:style>
  <w:style w:type="character" w:styleId="IntenseEmphasis">
    <w:name w:val="Intense Emphasis"/>
    <w:basedOn w:val="DefaultParagraphFont"/>
    <w:uiPriority w:val="21"/>
    <w:qFormat/>
    <w:rsid w:val="00594E33"/>
    <w:rPr>
      <w:i/>
      <w:iCs/>
      <w:color w:val="0F4761" w:themeColor="accent1" w:themeShade="BF"/>
    </w:rPr>
  </w:style>
  <w:style w:type="paragraph" w:styleId="IntenseQuote">
    <w:name w:val="Intense Quote"/>
    <w:basedOn w:val="Normal"/>
    <w:next w:val="Normal"/>
    <w:link w:val="IntenseQuoteChar"/>
    <w:uiPriority w:val="30"/>
    <w:qFormat/>
    <w:rsid w:val="00594E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4E33"/>
    <w:rPr>
      <w:i/>
      <w:iCs/>
      <w:color w:val="0F4761" w:themeColor="accent1" w:themeShade="BF"/>
    </w:rPr>
  </w:style>
  <w:style w:type="character" w:styleId="IntenseReference">
    <w:name w:val="Intense Reference"/>
    <w:basedOn w:val="DefaultParagraphFont"/>
    <w:uiPriority w:val="32"/>
    <w:qFormat/>
    <w:rsid w:val="00594E33"/>
    <w:rPr>
      <w:b/>
      <w:bCs/>
      <w:smallCaps/>
      <w:color w:val="0F4761" w:themeColor="accent1" w:themeShade="BF"/>
      <w:spacing w:val="5"/>
    </w:rPr>
  </w:style>
  <w:style w:type="character" w:styleId="Hyperlink">
    <w:name w:val="Hyperlink"/>
    <w:basedOn w:val="DefaultParagraphFont"/>
    <w:uiPriority w:val="99"/>
    <w:unhideWhenUsed/>
    <w:rsid w:val="004A79E5"/>
    <w:rPr>
      <w:color w:val="467886" w:themeColor="hyperlink"/>
      <w:u w:val="single"/>
    </w:rPr>
  </w:style>
  <w:style w:type="character" w:styleId="UnresolvedMention">
    <w:name w:val="Unresolved Mention"/>
    <w:basedOn w:val="DefaultParagraphFont"/>
    <w:uiPriority w:val="99"/>
    <w:semiHidden/>
    <w:unhideWhenUsed/>
    <w:rsid w:val="004A79E5"/>
    <w:rPr>
      <w:color w:val="605E5C"/>
      <w:shd w:val="clear" w:color="auto" w:fill="E1DFDD"/>
    </w:rPr>
  </w:style>
  <w:style w:type="paragraph" w:styleId="Header">
    <w:name w:val="header"/>
    <w:basedOn w:val="Normal"/>
    <w:link w:val="HeaderChar"/>
    <w:uiPriority w:val="99"/>
    <w:unhideWhenUsed/>
    <w:rsid w:val="00A90C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0C63"/>
  </w:style>
  <w:style w:type="paragraph" w:styleId="Footer">
    <w:name w:val="footer"/>
    <w:basedOn w:val="Normal"/>
    <w:link w:val="FooterChar"/>
    <w:uiPriority w:val="99"/>
    <w:unhideWhenUsed/>
    <w:rsid w:val="00A90C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0C63"/>
  </w:style>
  <w:style w:type="paragraph" w:styleId="NormalWeb">
    <w:name w:val="Normal (Web)"/>
    <w:basedOn w:val="Normal"/>
    <w:uiPriority w:val="99"/>
    <w:semiHidden/>
    <w:unhideWhenUsed/>
    <w:rsid w:val="00CD7389"/>
    <w:rPr>
      <w:rFonts w:ascii="Times New Roman" w:hAnsi="Times New Roman" w:cs="Times New Roman"/>
    </w:rPr>
  </w:style>
  <w:style w:type="character" w:styleId="FollowedHyperlink">
    <w:name w:val="FollowedHyperlink"/>
    <w:basedOn w:val="DefaultParagraphFont"/>
    <w:uiPriority w:val="99"/>
    <w:semiHidden/>
    <w:unhideWhenUsed/>
    <w:rsid w:val="005045B4"/>
    <w:rPr>
      <w:color w:val="96607D" w:themeColor="followedHyperlink"/>
      <w:u w:val="single"/>
    </w:rPr>
  </w:style>
  <w:style w:type="character" w:styleId="Emphasis">
    <w:name w:val="Emphasis"/>
    <w:basedOn w:val="DefaultParagraphFont"/>
    <w:uiPriority w:val="20"/>
    <w:qFormat/>
    <w:rsid w:val="00CE3CA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7107">
      <w:bodyDiv w:val="1"/>
      <w:marLeft w:val="0"/>
      <w:marRight w:val="0"/>
      <w:marTop w:val="0"/>
      <w:marBottom w:val="0"/>
      <w:divBdr>
        <w:top w:val="none" w:sz="0" w:space="0" w:color="auto"/>
        <w:left w:val="none" w:sz="0" w:space="0" w:color="auto"/>
        <w:bottom w:val="none" w:sz="0" w:space="0" w:color="auto"/>
        <w:right w:val="none" w:sz="0" w:space="0" w:color="auto"/>
      </w:divBdr>
    </w:div>
    <w:div w:id="3091977">
      <w:bodyDiv w:val="1"/>
      <w:marLeft w:val="0"/>
      <w:marRight w:val="0"/>
      <w:marTop w:val="0"/>
      <w:marBottom w:val="0"/>
      <w:divBdr>
        <w:top w:val="none" w:sz="0" w:space="0" w:color="auto"/>
        <w:left w:val="none" w:sz="0" w:space="0" w:color="auto"/>
        <w:bottom w:val="none" w:sz="0" w:space="0" w:color="auto"/>
        <w:right w:val="none" w:sz="0" w:space="0" w:color="auto"/>
      </w:divBdr>
    </w:div>
    <w:div w:id="48844346">
      <w:bodyDiv w:val="1"/>
      <w:marLeft w:val="0"/>
      <w:marRight w:val="0"/>
      <w:marTop w:val="0"/>
      <w:marBottom w:val="0"/>
      <w:divBdr>
        <w:top w:val="none" w:sz="0" w:space="0" w:color="auto"/>
        <w:left w:val="none" w:sz="0" w:space="0" w:color="auto"/>
        <w:bottom w:val="none" w:sz="0" w:space="0" w:color="auto"/>
        <w:right w:val="none" w:sz="0" w:space="0" w:color="auto"/>
      </w:divBdr>
    </w:div>
    <w:div w:id="55902554">
      <w:bodyDiv w:val="1"/>
      <w:marLeft w:val="0"/>
      <w:marRight w:val="0"/>
      <w:marTop w:val="0"/>
      <w:marBottom w:val="0"/>
      <w:divBdr>
        <w:top w:val="none" w:sz="0" w:space="0" w:color="auto"/>
        <w:left w:val="none" w:sz="0" w:space="0" w:color="auto"/>
        <w:bottom w:val="none" w:sz="0" w:space="0" w:color="auto"/>
        <w:right w:val="none" w:sz="0" w:space="0" w:color="auto"/>
      </w:divBdr>
    </w:div>
    <w:div w:id="60713601">
      <w:bodyDiv w:val="1"/>
      <w:marLeft w:val="0"/>
      <w:marRight w:val="0"/>
      <w:marTop w:val="0"/>
      <w:marBottom w:val="0"/>
      <w:divBdr>
        <w:top w:val="none" w:sz="0" w:space="0" w:color="auto"/>
        <w:left w:val="none" w:sz="0" w:space="0" w:color="auto"/>
        <w:bottom w:val="none" w:sz="0" w:space="0" w:color="auto"/>
        <w:right w:val="none" w:sz="0" w:space="0" w:color="auto"/>
      </w:divBdr>
    </w:div>
    <w:div w:id="84693550">
      <w:bodyDiv w:val="1"/>
      <w:marLeft w:val="0"/>
      <w:marRight w:val="0"/>
      <w:marTop w:val="0"/>
      <w:marBottom w:val="0"/>
      <w:divBdr>
        <w:top w:val="none" w:sz="0" w:space="0" w:color="auto"/>
        <w:left w:val="none" w:sz="0" w:space="0" w:color="auto"/>
        <w:bottom w:val="none" w:sz="0" w:space="0" w:color="auto"/>
        <w:right w:val="none" w:sz="0" w:space="0" w:color="auto"/>
      </w:divBdr>
    </w:div>
    <w:div w:id="88235578">
      <w:bodyDiv w:val="1"/>
      <w:marLeft w:val="0"/>
      <w:marRight w:val="0"/>
      <w:marTop w:val="0"/>
      <w:marBottom w:val="0"/>
      <w:divBdr>
        <w:top w:val="none" w:sz="0" w:space="0" w:color="auto"/>
        <w:left w:val="none" w:sz="0" w:space="0" w:color="auto"/>
        <w:bottom w:val="none" w:sz="0" w:space="0" w:color="auto"/>
        <w:right w:val="none" w:sz="0" w:space="0" w:color="auto"/>
      </w:divBdr>
    </w:div>
    <w:div w:id="116606011">
      <w:bodyDiv w:val="1"/>
      <w:marLeft w:val="0"/>
      <w:marRight w:val="0"/>
      <w:marTop w:val="0"/>
      <w:marBottom w:val="0"/>
      <w:divBdr>
        <w:top w:val="none" w:sz="0" w:space="0" w:color="auto"/>
        <w:left w:val="none" w:sz="0" w:space="0" w:color="auto"/>
        <w:bottom w:val="none" w:sz="0" w:space="0" w:color="auto"/>
        <w:right w:val="none" w:sz="0" w:space="0" w:color="auto"/>
      </w:divBdr>
    </w:div>
    <w:div w:id="189799165">
      <w:bodyDiv w:val="1"/>
      <w:marLeft w:val="0"/>
      <w:marRight w:val="0"/>
      <w:marTop w:val="0"/>
      <w:marBottom w:val="0"/>
      <w:divBdr>
        <w:top w:val="none" w:sz="0" w:space="0" w:color="auto"/>
        <w:left w:val="none" w:sz="0" w:space="0" w:color="auto"/>
        <w:bottom w:val="none" w:sz="0" w:space="0" w:color="auto"/>
        <w:right w:val="none" w:sz="0" w:space="0" w:color="auto"/>
      </w:divBdr>
    </w:div>
    <w:div w:id="201287674">
      <w:bodyDiv w:val="1"/>
      <w:marLeft w:val="0"/>
      <w:marRight w:val="0"/>
      <w:marTop w:val="0"/>
      <w:marBottom w:val="0"/>
      <w:divBdr>
        <w:top w:val="none" w:sz="0" w:space="0" w:color="auto"/>
        <w:left w:val="none" w:sz="0" w:space="0" w:color="auto"/>
        <w:bottom w:val="none" w:sz="0" w:space="0" w:color="auto"/>
        <w:right w:val="none" w:sz="0" w:space="0" w:color="auto"/>
      </w:divBdr>
      <w:divsChild>
        <w:div w:id="1567303950">
          <w:marLeft w:val="1200"/>
          <w:marRight w:val="0"/>
          <w:marTop w:val="240"/>
          <w:marBottom w:val="240"/>
          <w:divBdr>
            <w:top w:val="none" w:sz="0" w:space="0" w:color="auto"/>
            <w:left w:val="none" w:sz="0" w:space="0" w:color="auto"/>
            <w:bottom w:val="none" w:sz="0" w:space="0" w:color="auto"/>
            <w:right w:val="none" w:sz="0" w:space="0" w:color="auto"/>
          </w:divBdr>
        </w:div>
      </w:divsChild>
    </w:div>
    <w:div w:id="297613460">
      <w:bodyDiv w:val="1"/>
      <w:marLeft w:val="0"/>
      <w:marRight w:val="0"/>
      <w:marTop w:val="0"/>
      <w:marBottom w:val="0"/>
      <w:divBdr>
        <w:top w:val="none" w:sz="0" w:space="0" w:color="auto"/>
        <w:left w:val="none" w:sz="0" w:space="0" w:color="auto"/>
        <w:bottom w:val="none" w:sz="0" w:space="0" w:color="auto"/>
        <w:right w:val="none" w:sz="0" w:space="0" w:color="auto"/>
      </w:divBdr>
    </w:div>
    <w:div w:id="300765669">
      <w:bodyDiv w:val="1"/>
      <w:marLeft w:val="0"/>
      <w:marRight w:val="0"/>
      <w:marTop w:val="0"/>
      <w:marBottom w:val="0"/>
      <w:divBdr>
        <w:top w:val="none" w:sz="0" w:space="0" w:color="auto"/>
        <w:left w:val="none" w:sz="0" w:space="0" w:color="auto"/>
        <w:bottom w:val="none" w:sz="0" w:space="0" w:color="auto"/>
        <w:right w:val="none" w:sz="0" w:space="0" w:color="auto"/>
      </w:divBdr>
    </w:div>
    <w:div w:id="318576686">
      <w:bodyDiv w:val="1"/>
      <w:marLeft w:val="0"/>
      <w:marRight w:val="0"/>
      <w:marTop w:val="0"/>
      <w:marBottom w:val="0"/>
      <w:divBdr>
        <w:top w:val="none" w:sz="0" w:space="0" w:color="auto"/>
        <w:left w:val="none" w:sz="0" w:space="0" w:color="auto"/>
        <w:bottom w:val="none" w:sz="0" w:space="0" w:color="auto"/>
        <w:right w:val="none" w:sz="0" w:space="0" w:color="auto"/>
      </w:divBdr>
    </w:div>
    <w:div w:id="345863842">
      <w:bodyDiv w:val="1"/>
      <w:marLeft w:val="0"/>
      <w:marRight w:val="0"/>
      <w:marTop w:val="0"/>
      <w:marBottom w:val="0"/>
      <w:divBdr>
        <w:top w:val="none" w:sz="0" w:space="0" w:color="auto"/>
        <w:left w:val="none" w:sz="0" w:space="0" w:color="auto"/>
        <w:bottom w:val="none" w:sz="0" w:space="0" w:color="auto"/>
        <w:right w:val="none" w:sz="0" w:space="0" w:color="auto"/>
      </w:divBdr>
    </w:div>
    <w:div w:id="354312803">
      <w:bodyDiv w:val="1"/>
      <w:marLeft w:val="0"/>
      <w:marRight w:val="0"/>
      <w:marTop w:val="0"/>
      <w:marBottom w:val="0"/>
      <w:divBdr>
        <w:top w:val="none" w:sz="0" w:space="0" w:color="auto"/>
        <w:left w:val="none" w:sz="0" w:space="0" w:color="auto"/>
        <w:bottom w:val="none" w:sz="0" w:space="0" w:color="auto"/>
        <w:right w:val="none" w:sz="0" w:space="0" w:color="auto"/>
      </w:divBdr>
    </w:div>
    <w:div w:id="394939256">
      <w:bodyDiv w:val="1"/>
      <w:marLeft w:val="0"/>
      <w:marRight w:val="0"/>
      <w:marTop w:val="0"/>
      <w:marBottom w:val="0"/>
      <w:divBdr>
        <w:top w:val="none" w:sz="0" w:space="0" w:color="auto"/>
        <w:left w:val="none" w:sz="0" w:space="0" w:color="auto"/>
        <w:bottom w:val="none" w:sz="0" w:space="0" w:color="auto"/>
        <w:right w:val="none" w:sz="0" w:space="0" w:color="auto"/>
      </w:divBdr>
    </w:div>
    <w:div w:id="417406294">
      <w:bodyDiv w:val="1"/>
      <w:marLeft w:val="0"/>
      <w:marRight w:val="0"/>
      <w:marTop w:val="0"/>
      <w:marBottom w:val="0"/>
      <w:divBdr>
        <w:top w:val="none" w:sz="0" w:space="0" w:color="auto"/>
        <w:left w:val="none" w:sz="0" w:space="0" w:color="auto"/>
        <w:bottom w:val="none" w:sz="0" w:space="0" w:color="auto"/>
        <w:right w:val="none" w:sz="0" w:space="0" w:color="auto"/>
      </w:divBdr>
    </w:div>
    <w:div w:id="423495027">
      <w:bodyDiv w:val="1"/>
      <w:marLeft w:val="0"/>
      <w:marRight w:val="0"/>
      <w:marTop w:val="0"/>
      <w:marBottom w:val="0"/>
      <w:divBdr>
        <w:top w:val="none" w:sz="0" w:space="0" w:color="auto"/>
        <w:left w:val="none" w:sz="0" w:space="0" w:color="auto"/>
        <w:bottom w:val="none" w:sz="0" w:space="0" w:color="auto"/>
        <w:right w:val="none" w:sz="0" w:space="0" w:color="auto"/>
      </w:divBdr>
    </w:div>
    <w:div w:id="490876695">
      <w:bodyDiv w:val="1"/>
      <w:marLeft w:val="0"/>
      <w:marRight w:val="0"/>
      <w:marTop w:val="0"/>
      <w:marBottom w:val="0"/>
      <w:divBdr>
        <w:top w:val="none" w:sz="0" w:space="0" w:color="auto"/>
        <w:left w:val="none" w:sz="0" w:space="0" w:color="auto"/>
        <w:bottom w:val="none" w:sz="0" w:space="0" w:color="auto"/>
        <w:right w:val="none" w:sz="0" w:space="0" w:color="auto"/>
      </w:divBdr>
      <w:divsChild>
        <w:div w:id="741756851">
          <w:marLeft w:val="1200"/>
          <w:marRight w:val="0"/>
          <w:marTop w:val="240"/>
          <w:marBottom w:val="240"/>
          <w:divBdr>
            <w:top w:val="none" w:sz="0" w:space="0" w:color="auto"/>
            <w:left w:val="none" w:sz="0" w:space="0" w:color="auto"/>
            <w:bottom w:val="none" w:sz="0" w:space="0" w:color="auto"/>
            <w:right w:val="none" w:sz="0" w:space="0" w:color="auto"/>
          </w:divBdr>
        </w:div>
      </w:divsChild>
    </w:div>
    <w:div w:id="522984364">
      <w:bodyDiv w:val="1"/>
      <w:marLeft w:val="0"/>
      <w:marRight w:val="0"/>
      <w:marTop w:val="0"/>
      <w:marBottom w:val="0"/>
      <w:divBdr>
        <w:top w:val="none" w:sz="0" w:space="0" w:color="auto"/>
        <w:left w:val="none" w:sz="0" w:space="0" w:color="auto"/>
        <w:bottom w:val="none" w:sz="0" w:space="0" w:color="auto"/>
        <w:right w:val="none" w:sz="0" w:space="0" w:color="auto"/>
      </w:divBdr>
    </w:div>
    <w:div w:id="606618563">
      <w:bodyDiv w:val="1"/>
      <w:marLeft w:val="0"/>
      <w:marRight w:val="0"/>
      <w:marTop w:val="0"/>
      <w:marBottom w:val="0"/>
      <w:divBdr>
        <w:top w:val="none" w:sz="0" w:space="0" w:color="auto"/>
        <w:left w:val="none" w:sz="0" w:space="0" w:color="auto"/>
        <w:bottom w:val="none" w:sz="0" w:space="0" w:color="auto"/>
        <w:right w:val="none" w:sz="0" w:space="0" w:color="auto"/>
      </w:divBdr>
    </w:div>
    <w:div w:id="640813801">
      <w:bodyDiv w:val="1"/>
      <w:marLeft w:val="0"/>
      <w:marRight w:val="0"/>
      <w:marTop w:val="0"/>
      <w:marBottom w:val="0"/>
      <w:divBdr>
        <w:top w:val="none" w:sz="0" w:space="0" w:color="auto"/>
        <w:left w:val="none" w:sz="0" w:space="0" w:color="auto"/>
        <w:bottom w:val="none" w:sz="0" w:space="0" w:color="auto"/>
        <w:right w:val="none" w:sz="0" w:space="0" w:color="auto"/>
      </w:divBdr>
      <w:divsChild>
        <w:div w:id="422723027">
          <w:blockQuote w:val="1"/>
          <w:marLeft w:val="720"/>
          <w:marRight w:val="720"/>
          <w:marTop w:val="100"/>
          <w:marBottom w:val="100"/>
          <w:divBdr>
            <w:top w:val="none" w:sz="0" w:space="0" w:color="auto"/>
            <w:left w:val="none" w:sz="0" w:space="0" w:color="auto"/>
            <w:bottom w:val="none" w:sz="0" w:space="0" w:color="auto"/>
            <w:right w:val="none" w:sz="0" w:space="0" w:color="auto"/>
          </w:divBdr>
        </w:div>
        <w:div w:id="17506114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5356771">
      <w:bodyDiv w:val="1"/>
      <w:marLeft w:val="0"/>
      <w:marRight w:val="0"/>
      <w:marTop w:val="0"/>
      <w:marBottom w:val="0"/>
      <w:divBdr>
        <w:top w:val="none" w:sz="0" w:space="0" w:color="auto"/>
        <w:left w:val="none" w:sz="0" w:space="0" w:color="auto"/>
        <w:bottom w:val="none" w:sz="0" w:space="0" w:color="auto"/>
        <w:right w:val="none" w:sz="0" w:space="0" w:color="auto"/>
      </w:divBdr>
    </w:div>
    <w:div w:id="669797309">
      <w:bodyDiv w:val="1"/>
      <w:marLeft w:val="0"/>
      <w:marRight w:val="0"/>
      <w:marTop w:val="0"/>
      <w:marBottom w:val="0"/>
      <w:divBdr>
        <w:top w:val="none" w:sz="0" w:space="0" w:color="auto"/>
        <w:left w:val="none" w:sz="0" w:space="0" w:color="auto"/>
        <w:bottom w:val="none" w:sz="0" w:space="0" w:color="auto"/>
        <w:right w:val="none" w:sz="0" w:space="0" w:color="auto"/>
      </w:divBdr>
    </w:div>
    <w:div w:id="722095969">
      <w:bodyDiv w:val="1"/>
      <w:marLeft w:val="0"/>
      <w:marRight w:val="0"/>
      <w:marTop w:val="0"/>
      <w:marBottom w:val="0"/>
      <w:divBdr>
        <w:top w:val="none" w:sz="0" w:space="0" w:color="auto"/>
        <w:left w:val="none" w:sz="0" w:space="0" w:color="auto"/>
        <w:bottom w:val="none" w:sz="0" w:space="0" w:color="auto"/>
        <w:right w:val="none" w:sz="0" w:space="0" w:color="auto"/>
      </w:divBdr>
    </w:div>
    <w:div w:id="760682335">
      <w:bodyDiv w:val="1"/>
      <w:marLeft w:val="0"/>
      <w:marRight w:val="0"/>
      <w:marTop w:val="0"/>
      <w:marBottom w:val="0"/>
      <w:divBdr>
        <w:top w:val="none" w:sz="0" w:space="0" w:color="auto"/>
        <w:left w:val="none" w:sz="0" w:space="0" w:color="auto"/>
        <w:bottom w:val="none" w:sz="0" w:space="0" w:color="auto"/>
        <w:right w:val="none" w:sz="0" w:space="0" w:color="auto"/>
      </w:divBdr>
    </w:div>
    <w:div w:id="773019158">
      <w:bodyDiv w:val="1"/>
      <w:marLeft w:val="0"/>
      <w:marRight w:val="0"/>
      <w:marTop w:val="0"/>
      <w:marBottom w:val="0"/>
      <w:divBdr>
        <w:top w:val="none" w:sz="0" w:space="0" w:color="auto"/>
        <w:left w:val="none" w:sz="0" w:space="0" w:color="auto"/>
        <w:bottom w:val="none" w:sz="0" w:space="0" w:color="auto"/>
        <w:right w:val="none" w:sz="0" w:space="0" w:color="auto"/>
      </w:divBdr>
    </w:div>
    <w:div w:id="777721159">
      <w:bodyDiv w:val="1"/>
      <w:marLeft w:val="0"/>
      <w:marRight w:val="0"/>
      <w:marTop w:val="0"/>
      <w:marBottom w:val="0"/>
      <w:divBdr>
        <w:top w:val="none" w:sz="0" w:space="0" w:color="auto"/>
        <w:left w:val="none" w:sz="0" w:space="0" w:color="auto"/>
        <w:bottom w:val="none" w:sz="0" w:space="0" w:color="auto"/>
        <w:right w:val="none" w:sz="0" w:space="0" w:color="auto"/>
      </w:divBdr>
    </w:div>
    <w:div w:id="810169188">
      <w:bodyDiv w:val="1"/>
      <w:marLeft w:val="0"/>
      <w:marRight w:val="0"/>
      <w:marTop w:val="0"/>
      <w:marBottom w:val="0"/>
      <w:divBdr>
        <w:top w:val="none" w:sz="0" w:space="0" w:color="auto"/>
        <w:left w:val="none" w:sz="0" w:space="0" w:color="auto"/>
        <w:bottom w:val="none" w:sz="0" w:space="0" w:color="auto"/>
        <w:right w:val="none" w:sz="0" w:space="0" w:color="auto"/>
      </w:divBdr>
    </w:div>
    <w:div w:id="817767268">
      <w:bodyDiv w:val="1"/>
      <w:marLeft w:val="0"/>
      <w:marRight w:val="0"/>
      <w:marTop w:val="0"/>
      <w:marBottom w:val="0"/>
      <w:divBdr>
        <w:top w:val="none" w:sz="0" w:space="0" w:color="auto"/>
        <w:left w:val="none" w:sz="0" w:space="0" w:color="auto"/>
        <w:bottom w:val="none" w:sz="0" w:space="0" w:color="auto"/>
        <w:right w:val="none" w:sz="0" w:space="0" w:color="auto"/>
      </w:divBdr>
    </w:div>
    <w:div w:id="833686913">
      <w:bodyDiv w:val="1"/>
      <w:marLeft w:val="0"/>
      <w:marRight w:val="0"/>
      <w:marTop w:val="0"/>
      <w:marBottom w:val="0"/>
      <w:divBdr>
        <w:top w:val="none" w:sz="0" w:space="0" w:color="auto"/>
        <w:left w:val="none" w:sz="0" w:space="0" w:color="auto"/>
        <w:bottom w:val="none" w:sz="0" w:space="0" w:color="auto"/>
        <w:right w:val="none" w:sz="0" w:space="0" w:color="auto"/>
      </w:divBdr>
    </w:div>
    <w:div w:id="840389692">
      <w:bodyDiv w:val="1"/>
      <w:marLeft w:val="0"/>
      <w:marRight w:val="0"/>
      <w:marTop w:val="0"/>
      <w:marBottom w:val="0"/>
      <w:divBdr>
        <w:top w:val="none" w:sz="0" w:space="0" w:color="auto"/>
        <w:left w:val="none" w:sz="0" w:space="0" w:color="auto"/>
        <w:bottom w:val="none" w:sz="0" w:space="0" w:color="auto"/>
        <w:right w:val="none" w:sz="0" w:space="0" w:color="auto"/>
      </w:divBdr>
    </w:div>
    <w:div w:id="938414691">
      <w:bodyDiv w:val="1"/>
      <w:marLeft w:val="0"/>
      <w:marRight w:val="0"/>
      <w:marTop w:val="0"/>
      <w:marBottom w:val="0"/>
      <w:divBdr>
        <w:top w:val="none" w:sz="0" w:space="0" w:color="auto"/>
        <w:left w:val="none" w:sz="0" w:space="0" w:color="auto"/>
        <w:bottom w:val="none" w:sz="0" w:space="0" w:color="auto"/>
        <w:right w:val="none" w:sz="0" w:space="0" w:color="auto"/>
      </w:divBdr>
    </w:div>
    <w:div w:id="975180175">
      <w:bodyDiv w:val="1"/>
      <w:marLeft w:val="0"/>
      <w:marRight w:val="0"/>
      <w:marTop w:val="0"/>
      <w:marBottom w:val="0"/>
      <w:divBdr>
        <w:top w:val="none" w:sz="0" w:space="0" w:color="auto"/>
        <w:left w:val="none" w:sz="0" w:space="0" w:color="auto"/>
        <w:bottom w:val="none" w:sz="0" w:space="0" w:color="auto"/>
        <w:right w:val="none" w:sz="0" w:space="0" w:color="auto"/>
      </w:divBdr>
    </w:div>
    <w:div w:id="990447275">
      <w:bodyDiv w:val="1"/>
      <w:marLeft w:val="0"/>
      <w:marRight w:val="0"/>
      <w:marTop w:val="0"/>
      <w:marBottom w:val="0"/>
      <w:divBdr>
        <w:top w:val="none" w:sz="0" w:space="0" w:color="auto"/>
        <w:left w:val="none" w:sz="0" w:space="0" w:color="auto"/>
        <w:bottom w:val="none" w:sz="0" w:space="0" w:color="auto"/>
        <w:right w:val="none" w:sz="0" w:space="0" w:color="auto"/>
      </w:divBdr>
    </w:div>
    <w:div w:id="1015963628">
      <w:bodyDiv w:val="1"/>
      <w:marLeft w:val="0"/>
      <w:marRight w:val="0"/>
      <w:marTop w:val="0"/>
      <w:marBottom w:val="0"/>
      <w:divBdr>
        <w:top w:val="none" w:sz="0" w:space="0" w:color="auto"/>
        <w:left w:val="none" w:sz="0" w:space="0" w:color="auto"/>
        <w:bottom w:val="none" w:sz="0" w:space="0" w:color="auto"/>
        <w:right w:val="none" w:sz="0" w:space="0" w:color="auto"/>
      </w:divBdr>
    </w:div>
    <w:div w:id="1026519383">
      <w:bodyDiv w:val="1"/>
      <w:marLeft w:val="0"/>
      <w:marRight w:val="0"/>
      <w:marTop w:val="0"/>
      <w:marBottom w:val="0"/>
      <w:divBdr>
        <w:top w:val="none" w:sz="0" w:space="0" w:color="auto"/>
        <w:left w:val="none" w:sz="0" w:space="0" w:color="auto"/>
        <w:bottom w:val="none" w:sz="0" w:space="0" w:color="auto"/>
        <w:right w:val="none" w:sz="0" w:space="0" w:color="auto"/>
      </w:divBdr>
    </w:div>
    <w:div w:id="1039890063">
      <w:bodyDiv w:val="1"/>
      <w:marLeft w:val="0"/>
      <w:marRight w:val="0"/>
      <w:marTop w:val="0"/>
      <w:marBottom w:val="0"/>
      <w:divBdr>
        <w:top w:val="none" w:sz="0" w:space="0" w:color="auto"/>
        <w:left w:val="none" w:sz="0" w:space="0" w:color="auto"/>
        <w:bottom w:val="none" w:sz="0" w:space="0" w:color="auto"/>
        <w:right w:val="none" w:sz="0" w:space="0" w:color="auto"/>
      </w:divBdr>
    </w:div>
    <w:div w:id="1052005240">
      <w:bodyDiv w:val="1"/>
      <w:marLeft w:val="0"/>
      <w:marRight w:val="0"/>
      <w:marTop w:val="0"/>
      <w:marBottom w:val="0"/>
      <w:divBdr>
        <w:top w:val="none" w:sz="0" w:space="0" w:color="auto"/>
        <w:left w:val="none" w:sz="0" w:space="0" w:color="auto"/>
        <w:bottom w:val="none" w:sz="0" w:space="0" w:color="auto"/>
        <w:right w:val="none" w:sz="0" w:space="0" w:color="auto"/>
      </w:divBdr>
    </w:div>
    <w:div w:id="1158497471">
      <w:bodyDiv w:val="1"/>
      <w:marLeft w:val="0"/>
      <w:marRight w:val="0"/>
      <w:marTop w:val="0"/>
      <w:marBottom w:val="0"/>
      <w:divBdr>
        <w:top w:val="none" w:sz="0" w:space="0" w:color="auto"/>
        <w:left w:val="none" w:sz="0" w:space="0" w:color="auto"/>
        <w:bottom w:val="none" w:sz="0" w:space="0" w:color="auto"/>
        <w:right w:val="none" w:sz="0" w:space="0" w:color="auto"/>
      </w:divBdr>
    </w:div>
    <w:div w:id="1166748364">
      <w:bodyDiv w:val="1"/>
      <w:marLeft w:val="0"/>
      <w:marRight w:val="0"/>
      <w:marTop w:val="0"/>
      <w:marBottom w:val="0"/>
      <w:divBdr>
        <w:top w:val="none" w:sz="0" w:space="0" w:color="auto"/>
        <w:left w:val="none" w:sz="0" w:space="0" w:color="auto"/>
        <w:bottom w:val="none" w:sz="0" w:space="0" w:color="auto"/>
        <w:right w:val="none" w:sz="0" w:space="0" w:color="auto"/>
      </w:divBdr>
    </w:div>
    <w:div w:id="1181700801">
      <w:bodyDiv w:val="1"/>
      <w:marLeft w:val="0"/>
      <w:marRight w:val="0"/>
      <w:marTop w:val="0"/>
      <w:marBottom w:val="0"/>
      <w:divBdr>
        <w:top w:val="none" w:sz="0" w:space="0" w:color="auto"/>
        <w:left w:val="none" w:sz="0" w:space="0" w:color="auto"/>
        <w:bottom w:val="none" w:sz="0" w:space="0" w:color="auto"/>
        <w:right w:val="none" w:sz="0" w:space="0" w:color="auto"/>
      </w:divBdr>
    </w:div>
    <w:div w:id="1184787911">
      <w:bodyDiv w:val="1"/>
      <w:marLeft w:val="0"/>
      <w:marRight w:val="0"/>
      <w:marTop w:val="0"/>
      <w:marBottom w:val="0"/>
      <w:divBdr>
        <w:top w:val="none" w:sz="0" w:space="0" w:color="auto"/>
        <w:left w:val="none" w:sz="0" w:space="0" w:color="auto"/>
        <w:bottom w:val="none" w:sz="0" w:space="0" w:color="auto"/>
        <w:right w:val="none" w:sz="0" w:space="0" w:color="auto"/>
      </w:divBdr>
    </w:div>
    <w:div w:id="1189486091">
      <w:bodyDiv w:val="1"/>
      <w:marLeft w:val="0"/>
      <w:marRight w:val="0"/>
      <w:marTop w:val="0"/>
      <w:marBottom w:val="0"/>
      <w:divBdr>
        <w:top w:val="none" w:sz="0" w:space="0" w:color="auto"/>
        <w:left w:val="none" w:sz="0" w:space="0" w:color="auto"/>
        <w:bottom w:val="none" w:sz="0" w:space="0" w:color="auto"/>
        <w:right w:val="none" w:sz="0" w:space="0" w:color="auto"/>
      </w:divBdr>
    </w:div>
    <w:div w:id="1191065852">
      <w:bodyDiv w:val="1"/>
      <w:marLeft w:val="0"/>
      <w:marRight w:val="0"/>
      <w:marTop w:val="0"/>
      <w:marBottom w:val="0"/>
      <w:divBdr>
        <w:top w:val="none" w:sz="0" w:space="0" w:color="auto"/>
        <w:left w:val="none" w:sz="0" w:space="0" w:color="auto"/>
        <w:bottom w:val="none" w:sz="0" w:space="0" w:color="auto"/>
        <w:right w:val="none" w:sz="0" w:space="0" w:color="auto"/>
      </w:divBdr>
    </w:div>
    <w:div w:id="1192650150">
      <w:bodyDiv w:val="1"/>
      <w:marLeft w:val="0"/>
      <w:marRight w:val="0"/>
      <w:marTop w:val="0"/>
      <w:marBottom w:val="0"/>
      <w:divBdr>
        <w:top w:val="none" w:sz="0" w:space="0" w:color="auto"/>
        <w:left w:val="none" w:sz="0" w:space="0" w:color="auto"/>
        <w:bottom w:val="none" w:sz="0" w:space="0" w:color="auto"/>
        <w:right w:val="none" w:sz="0" w:space="0" w:color="auto"/>
      </w:divBdr>
    </w:div>
    <w:div w:id="1208294306">
      <w:bodyDiv w:val="1"/>
      <w:marLeft w:val="0"/>
      <w:marRight w:val="0"/>
      <w:marTop w:val="0"/>
      <w:marBottom w:val="0"/>
      <w:divBdr>
        <w:top w:val="none" w:sz="0" w:space="0" w:color="auto"/>
        <w:left w:val="none" w:sz="0" w:space="0" w:color="auto"/>
        <w:bottom w:val="none" w:sz="0" w:space="0" w:color="auto"/>
        <w:right w:val="none" w:sz="0" w:space="0" w:color="auto"/>
      </w:divBdr>
    </w:div>
    <w:div w:id="1211726455">
      <w:bodyDiv w:val="1"/>
      <w:marLeft w:val="0"/>
      <w:marRight w:val="0"/>
      <w:marTop w:val="0"/>
      <w:marBottom w:val="0"/>
      <w:divBdr>
        <w:top w:val="none" w:sz="0" w:space="0" w:color="auto"/>
        <w:left w:val="none" w:sz="0" w:space="0" w:color="auto"/>
        <w:bottom w:val="none" w:sz="0" w:space="0" w:color="auto"/>
        <w:right w:val="none" w:sz="0" w:space="0" w:color="auto"/>
      </w:divBdr>
    </w:div>
    <w:div w:id="1216967013">
      <w:bodyDiv w:val="1"/>
      <w:marLeft w:val="0"/>
      <w:marRight w:val="0"/>
      <w:marTop w:val="0"/>
      <w:marBottom w:val="0"/>
      <w:divBdr>
        <w:top w:val="none" w:sz="0" w:space="0" w:color="auto"/>
        <w:left w:val="none" w:sz="0" w:space="0" w:color="auto"/>
        <w:bottom w:val="none" w:sz="0" w:space="0" w:color="auto"/>
        <w:right w:val="none" w:sz="0" w:space="0" w:color="auto"/>
      </w:divBdr>
    </w:div>
    <w:div w:id="1219364578">
      <w:bodyDiv w:val="1"/>
      <w:marLeft w:val="0"/>
      <w:marRight w:val="0"/>
      <w:marTop w:val="0"/>
      <w:marBottom w:val="0"/>
      <w:divBdr>
        <w:top w:val="none" w:sz="0" w:space="0" w:color="auto"/>
        <w:left w:val="none" w:sz="0" w:space="0" w:color="auto"/>
        <w:bottom w:val="none" w:sz="0" w:space="0" w:color="auto"/>
        <w:right w:val="none" w:sz="0" w:space="0" w:color="auto"/>
      </w:divBdr>
    </w:div>
    <w:div w:id="1219585125">
      <w:bodyDiv w:val="1"/>
      <w:marLeft w:val="0"/>
      <w:marRight w:val="0"/>
      <w:marTop w:val="0"/>
      <w:marBottom w:val="0"/>
      <w:divBdr>
        <w:top w:val="none" w:sz="0" w:space="0" w:color="auto"/>
        <w:left w:val="none" w:sz="0" w:space="0" w:color="auto"/>
        <w:bottom w:val="none" w:sz="0" w:space="0" w:color="auto"/>
        <w:right w:val="none" w:sz="0" w:space="0" w:color="auto"/>
      </w:divBdr>
    </w:div>
    <w:div w:id="1233007881">
      <w:bodyDiv w:val="1"/>
      <w:marLeft w:val="0"/>
      <w:marRight w:val="0"/>
      <w:marTop w:val="0"/>
      <w:marBottom w:val="0"/>
      <w:divBdr>
        <w:top w:val="none" w:sz="0" w:space="0" w:color="auto"/>
        <w:left w:val="none" w:sz="0" w:space="0" w:color="auto"/>
        <w:bottom w:val="none" w:sz="0" w:space="0" w:color="auto"/>
        <w:right w:val="none" w:sz="0" w:space="0" w:color="auto"/>
      </w:divBdr>
    </w:div>
    <w:div w:id="1234778862">
      <w:bodyDiv w:val="1"/>
      <w:marLeft w:val="0"/>
      <w:marRight w:val="0"/>
      <w:marTop w:val="0"/>
      <w:marBottom w:val="0"/>
      <w:divBdr>
        <w:top w:val="none" w:sz="0" w:space="0" w:color="auto"/>
        <w:left w:val="none" w:sz="0" w:space="0" w:color="auto"/>
        <w:bottom w:val="none" w:sz="0" w:space="0" w:color="auto"/>
        <w:right w:val="none" w:sz="0" w:space="0" w:color="auto"/>
      </w:divBdr>
      <w:divsChild>
        <w:div w:id="1587375265">
          <w:blockQuote w:val="1"/>
          <w:marLeft w:val="720"/>
          <w:marRight w:val="720"/>
          <w:marTop w:val="100"/>
          <w:marBottom w:val="100"/>
          <w:divBdr>
            <w:top w:val="none" w:sz="0" w:space="0" w:color="auto"/>
            <w:left w:val="none" w:sz="0" w:space="0" w:color="auto"/>
            <w:bottom w:val="none" w:sz="0" w:space="0" w:color="auto"/>
            <w:right w:val="none" w:sz="0" w:space="0" w:color="auto"/>
          </w:divBdr>
        </w:div>
        <w:div w:id="2066563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1721864">
      <w:bodyDiv w:val="1"/>
      <w:marLeft w:val="0"/>
      <w:marRight w:val="0"/>
      <w:marTop w:val="0"/>
      <w:marBottom w:val="0"/>
      <w:divBdr>
        <w:top w:val="none" w:sz="0" w:space="0" w:color="auto"/>
        <w:left w:val="none" w:sz="0" w:space="0" w:color="auto"/>
        <w:bottom w:val="none" w:sz="0" w:space="0" w:color="auto"/>
        <w:right w:val="none" w:sz="0" w:space="0" w:color="auto"/>
      </w:divBdr>
    </w:div>
    <w:div w:id="1249080419">
      <w:bodyDiv w:val="1"/>
      <w:marLeft w:val="0"/>
      <w:marRight w:val="0"/>
      <w:marTop w:val="0"/>
      <w:marBottom w:val="0"/>
      <w:divBdr>
        <w:top w:val="none" w:sz="0" w:space="0" w:color="auto"/>
        <w:left w:val="none" w:sz="0" w:space="0" w:color="auto"/>
        <w:bottom w:val="none" w:sz="0" w:space="0" w:color="auto"/>
        <w:right w:val="none" w:sz="0" w:space="0" w:color="auto"/>
      </w:divBdr>
    </w:div>
    <w:div w:id="1285847903">
      <w:bodyDiv w:val="1"/>
      <w:marLeft w:val="0"/>
      <w:marRight w:val="0"/>
      <w:marTop w:val="0"/>
      <w:marBottom w:val="0"/>
      <w:divBdr>
        <w:top w:val="none" w:sz="0" w:space="0" w:color="auto"/>
        <w:left w:val="none" w:sz="0" w:space="0" w:color="auto"/>
        <w:bottom w:val="none" w:sz="0" w:space="0" w:color="auto"/>
        <w:right w:val="none" w:sz="0" w:space="0" w:color="auto"/>
      </w:divBdr>
    </w:div>
    <w:div w:id="1301226133">
      <w:bodyDiv w:val="1"/>
      <w:marLeft w:val="0"/>
      <w:marRight w:val="0"/>
      <w:marTop w:val="0"/>
      <w:marBottom w:val="0"/>
      <w:divBdr>
        <w:top w:val="none" w:sz="0" w:space="0" w:color="auto"/>
        <w:left w:val="none" w:sz="0" w:space="0" w:color="auto"/>
        <w:bottom w:val="none" w:sz="0" w:space="0" w:color="auto"/>
        <w:right w:val="none" w:sz="0" w:space="0" w:color="auto"/>
      </w:divBdr>
    </w:div>
    <w:div w:id="1322462691">
      <w:bodyDiv w:val="1"/>
      <w:marLeft w:val="0"/>
      <w:marRight w:val="0"/>
      <w:marTop w:val="0"/>
      <w:marBottom w:val="0"/>
      <w:divBdr>
        <w:top w:val="none" w:sz="0" w:space="0" w:color="auto"/>
        <w:left w:val="none" w:sz="0" w:space="0" w:color="auto"/>
        <w:bottom w:val="none" w:sz="0" w:space="0" w:color="auto"/>
        <w:right w:val="none" w:sz="0" w:space="0" w:color="auto"/>
      </w:divBdr>
    </w:div>
    <w:div w:id="1343315054">
      <w:bodyDiv w:val="1"/>
      <w:marLeft w:val="0"/>
      <w:marRight w:val="0"/>
      <w:marTop w:val="0"/>
      <w:marBottom w:val="0"/>
      <w:divBdr>
        <w:top w:val="none" w:sz="0" w:space="0" w:color="auto"/>
        <w:left w:val="none" w:sz="0" w:space="0" w:color="auto"/>
        <w:bottom w:val="none" w:sz="0" w:space="0" w:color="auto"/>
        <w:right w:val="none" w:sz="0" w:space="0" w:color="auto"/>
      </w:divBdr>
    </w:div>
    <w:div w:id="1351176842">
      <w:bodyDiv w:val="1"/>
      <w:marLeft w:val="0"/>
      <w:marRight w:val="0"/>
      <w:marTop w:val="0"/>
      <w:marBottom w:val="0"/>
      <w:divBdr>
        <w:top w:val="none" w:sz="0" w:space="0" w:color="auto"/>
        <w:left w:val="none" w:sz="0" w:space="0" w:color="auto"/>
        <w:bottom w:val="none" w:sz="0" w:space="0" w:color="auto"/>
        <w:right w:val="none" w:sz="0" w:space="0" w:color="auto"/>
      </w:divBdr>
    </w:div>
    <w:div w:id="1352949558">
      <w:bodyDiv w:val="1"/>
      <w:marLeft w:val="0"/>
      <w:marRight w:val="0"/>
      <w:marTop w:val="0"/>
      <w:marBottom w:val="0"/>
      <w:divBdr>
        <w:top w:val="none" w:sz="0" w:space="0" w:color="auto"/>
        <w:left w:val="none" w:sz="0" w:space="0" w:color="auto"/>
        <w:bottom w:val="none" w:sz="0" w:space="0" w:color="auto"/>
        <w:right w:val="none" w:sz="0" w:space="0" w:color="auto"/>
      </w:divBdr>
    </w:div>
    <w:div w:id="1378774244">
      <w:bodyDiv w:val="1"/>
      <w:marLeft w:val="0"/>
      <w:marRight w:val="0"/>
      <w:marTop w:val="0"/>
      <w:marBottom w:val="0"/>
      <w:divBdr>
        <w:top w:val="none" w:sz="0" w:space="0" w:color="auto"/>
        <w:left w:val="none" w:sz="0" w:space="0" w:color="auto"/>
        <w:bottom w:val="none" w:sz="0" w:space="0" w:color="auto"/>
        <w:right w:val="none" w:sz="0" w:space="0" w:color="auto"/>
      </w:divBdr>
    </w:div>
    <w:div w:id="1426262937">
      <w:bodyDiv w:val="1"/>
      <w:marLeft w:val="0"/>
      <w:marRight w:val="0"/>
      <w:marTop w:val="0"/>
      <w:marBottom w:val="0"/>
      <w:divBdr>
        <w:top w:val="none" w:sz="0" w:space="0" w:color="auto"/>
        <w:left w:val="none" w:sz="0" w:space="0" w:color="auto"/>
        <w:bottom w:val="none" w:sz="0" w:space="0" w:color="auto"/>
        <w:right w:val="none" w:sz="0" w:space="0" w:color="auto"/>
      </w:divBdr>
    </w:div>
    <w:div w:id="1520312846">
      <w:bodyDiv w:val="1"/>
      <w:marLeft w:val="0"/>
      <w:marRight w:val="0"/>
      <w:marTop w:val="0"/>
      <w:marBottom w:val="0"/>
      <w:divBdr>
        <w:top w:val="none" w:sz="0" w:space="0" w:color="auto"/>
        <w:left w:val="none" w:sz="0" w:space="0" w:color="auto"/>
        <w:bottom w:val="none" w:sz="0" w:space="0" w:color="auto"/>
        <w:right w:val="none" w:sz="0" w:space="0" w:color="auto"/>
      </w:divBdr>
    </w:div>
    <w:div w:id="1527984795">
      <w:bodyDiv w:val="1"/>
      <w:marLeft w:val="0"/>
      <w:marRight w:val="0"/>
      <w:marTop w:val="0"/>
      <w:marBottom w:val="0"/>
      <w:divBdr>
        <w:top w:val="none" w:sz="0" w:space="0" w:color="auto"/>
        <w:left w:val="none" w:sz="0" w:space="0" w:color="auto"/>
        <w:bottom w:val="none" w:sz="0" w:space="0" w:color="auto"/>
        <w:right w:val="none" w:sz="0" w:space="0" w:color="auto"/>
      </w:divBdr>
    </w:div>
    <w:div w:id="1564678075">
      <w:bodyDiv w:val="1"/>
      <w:marLeft w:val="0"/>
      <w:marRight w:val="0"/>
      <w:marTop w:val="0"/>
      <w:marBottom w:val="0"/>
      <w:divBdr>
        <w:top w:val="none" w:sz="0" w:space="0" w:color="auto"/>
        <w:left w:val="none" w:sz="0" w:space="0" w:color="auto"/>
        <w:bottom w:val="none" w:sz="0" w:space="0" w:color="auto"/>
        <w:right w:val="none" w:sz="0" w:space="0" w:color="auto"/>
      </w:divBdr>
    </w:div>
    <w:div w:id="1593704756">
      <w:bodyDiv w:val="1"/>
      <w:marLeft w:val="0"/>
      <w:marRight w:val="0"/>
      <w:marTop w:val="0"/>
      <w:marBottom w:val="0"/>
      <w:divBdr>
        <w:top w:val="none" w:sz="0" w:space="0" w:color="auto"/>
        <w:left w:val="none" w:sz="0" w:space="0" w:color="auto"/>
        <w:bottom w:val="none" w:sz="0" w:space="0" w:color="auto"/>
        <w:right w:val="none" w:sz="0" w:space="0" w:color="auto"/>
      </w:divBdr>
    </w:div>
    <w:div w:id="1616324440">
      <w:bodyDiv w:val="1"/>
      <w:marLeft w:val="0"/>
      <w:marRight w:val="0"/>
      <w:marTop w:val="0"/>
      <w:marBottom w:val="0"/>
      <w:divBdr>
        <w:top w:val="none" w:sz="0" w:space="0" w:color="auto"/>
        <w:left w:val="none" w:sz="0" w:space="0" w:color="auto"/>
        <w:bottom w:val="none" w:sz="0" w:space="0" w:color="auto"/>
        <w:right w:val="none" w:sz="0" w:space="0" w:color="auto"/>
      </w:divBdr>
    </w:div>
    <w:div w:id="1628077965">
      <w:bodyDiv w:val="1"/>
      <w:marLeft w:val="0"/>
      <w:marRight w:val="0"/>
      <w:marTop w:val="0"/>
      <w:marBottom w:val="0"/>
      <w:divBdr>
        <w:top w:val="none" w:sz="0" w:space="0" w:color="auto"/>
        <w:left w:val="none" w:sz="0" w:space="0" w:color="auto"/>
        <w:bottom w:val="none" w:sz="0" w:space="0" w:color="auto"/>
        <w:right w:val="none" w:sz="0" w:space="0" w:color="auto"/>
      </w:divBdr>
    </w:div>
    <w:div w:id="1671371082">
      <w:bodyDiv w:val="1"/>
      <w:marLeft w:val="0"/>
      <w:marRight w:val="0"/>
      <w:marTop w:val="0"/>
      <w:marBottom w:val="0"/>
      <w:divBdr>
        <w:top w:val="none" w:sz="0" w:space="0" w:color="auto"/>
        <w:left w:val="none" w:sz="0" w:space="0" w:color="auto"/>
        <w:bottom w:val="none" w:sz="0" w:space="0" w:color="auto"/>
        <w:right w:val="none" w:sz="0" w:space="0" w:color="auto"/>
      </w:divBdr>
    </w:div>
    <w:div w:id="1674139475">
      <w:bodyDiv w:val="1"/>
      <w:marLeft w:val="0"/>
      <w:marRight w:val="0"/>
      <w:marTop w:val="0"/>
      <w:marBottom w:val="0"/>
      <w:divBdr>
        <w:top w:val="none" w:sz="0" w:space="0" w:color="auto"/>
        <w:left w:val="none" w:sz="0" w:space="0" w:color="auto"/>
        <w:bottom w:val="none" w:sz="0" w:space="0" w:color="auto"/>
        <w:right w:val="none" w:sz="0" w:space="0" w:color="auto"/>
      </w:divBdr>
    </w:div>
    <w:div w:id="1686403183">
      <w:bodyDiv w:val="1"/>
      <w:marLeft w:val="0"/>
      <w:marRight w:val="0"/>
      <w:marTop w:val="0"/>
      <w:marBottom w:val="0"/>
      <w:divBdr>
        <w:top w:val="none" w:sz="0" w:space="0" w:color="auto"/>
        <w:left w:val="none" w:sz="0" w:space="0" w:color="auto"/>
        <w:bottom w:val="none" w:sz="0" w:space="0" w:color="auto"/>
        <w:right w:val="none" w:sz="0" w:space="0" w:color="auto"/>
      </w:divBdr>
    </w:div>
    <w:div w:id="1750232669">
      <w:bodyDiv w:val="1"/>
      <w:marLeft w:val="0"/>
      <w:marRight w:val="0"/>
      <w:marTop w:val="0"/>
      <w:marBottom w:val="0"/>
      <w:divBdr>
        <w:top w:val="none" w:sz="0" w:space="0" w:color="auto"/>
        <w:left w:val="none" w:sz="0" w:space="0" w:color="auto"/>
        <w:bottom w:val="none" w:sz="0" w:space="0" w:color="auto"/>
        <w:right w:val="none" w:sz="0" w:space="0" w:color="auto"/>
      </w:divBdr>
    </w:div>
    <w:div w:id="1759017807">
      <w:bodyDiv w:val="1"/>
      <w:marLeft w:val="0"/>
      <w:marRight w:val="0"/>
      <w:marTop w:val="0"/>
      <w:marBottom w:val="0"/>
      <w:divBdr>
        <w:top w:val="none" w:sz="0" w:space="0" w:color="auto"/>
        <w:left w:val="none" w:sz="0" w:space="0" w:color="auto"/>
        <w:bottom w:val="none" w:sz="0" w:space="0" w:color="auto"/>
        <w:right w:val="none" w:sz="0" w:space="0" w:color="auto"/>
      </w:divBdr>
    </w:div>
    <w:div w:id="1805614162">
      <w:bodyDiv w:val="1"/>
      <w:marLeft w:val="0"/>
      <w:marRight w:val="0"/>
      <w:marTop w:val="0"/>
      <w:marBottom w:val="0"/>
      <w:divBdr>
        <w:top w:val="none" w:sz="0" w:space="0" w:color="auto"/>
        <w:left w:val="none" w:sz="0" w:space="0" w:color="auto"/>
        <w:bottom w:val="none" w:sz="0" w:space="0" w:color="auto"/>
        <w:right w:val="none" w:sz="0" w:space="0" w:color="auto"/>
      </w:divBdr>
    </w:div>
    <w:div w:id="1810398838">
      <w:bodyDiv w:val="1"/>
      <w:marLeft w:val="0"/>
      <w:marRight w:val="0"/>
      <w:marTop w:val="0"/>
      <w:marBottom w:val="0"/>
      <w:divBdr>
        <w:top w:val="none" w:sz="0" w:space="0" w:color="auto"/>
        <w:left w:val="none" w:sz="0" w:space="0" w:color="auto"/>
        <w:bottom w:val="none" w:sz="0" w:space="0" w:color="auto"/>
        <w:right w:val="none" w:sz="0" w:space="0" w:color="auto"/>
      </w:divBdr>
    </w:div>
    <w:div w:id="1815634444">
      <w:bodyDiv w:val="1"/>
      <w:marLeft w:val="0"/>
      <w:marRight w:val="0"/>
      <w:marTop w:val="0"/>
      <w:marBottom w:val="0"/>
      <w:divBdr>
        <w:top w:val="none" w:sz="0" w:space="0" w:color="auto"/>
        <w:left w:val="none" w:sz="0" w:space="0" w:color="auto"/>
        <w:bottom w:val="none" w:sz="0" w:space="0" w:color="auto"/>
        <w:right w:val="none" w:sz="0" w:space="0" w:color="auto"/>
      </w:divBdr>
    </w:div>
    <w:div w:id="1852404667">
      <w:bodyDiv w:val="1"/>
      <w:marLeft w:val="0"/>
      <w:marRight w:val="0"/>
      <w:marTop w:val="0"/>
      <w:marBottom w:val="0"/>
      <w:divBdr>
        <w:top w:val="none" w:sz="0" w:space="0" w:color="auto"/>
        <w:left w:val="none" w:sz="0" w:space="0" w:color="auto"/>
        <w:bottom w:val="none" w:sz="0" w:space="0" w:color="auto"/>
        <w:right w:val="none" w:sz="0" w:space="0" w:color="auto"/>
      </w:divBdr>
    </w:div>
    <w:div w:id="1912615077">
      <w:bodyDiv w:val="1"/>
      <w:marLeft w:val="0"/>
      <w:marRight w:val="0"/>
      <w:marTop w:val="0"/>
      <w:marBottom w:val="0"/>
      <w:divBdr>
        <w:top w:val="none" w:sz="0" w:space="0" w:color="auto"/>
        <w:left w:val="none" w:sz="0" w:space="0" w:color="auto"/>
        <w:bottom w:val="none" w:sz="0" w:space="0" w:color="auto"/>
        <w:right w:val="none" w:sz="0" w:space="0" w:color="auto"/>
      </w:divBdr>
    </w:div>
    <w:div w:id="1920019877">
      <w:bodyDiv w:val="1"/>
      <w:marLeft w:val="0"/>
      <w:marRight w:val="0"/>
      <w:marTop w:val="0"/>
      <w:marBottom w:val="0"/>
      <w:divBdr>
        <w:top w:val="none" w:sz="0" w:space="0" w:color="auto"/>
        <w:left w:val="none" w:sz="0" w:space="0" w:color="auto"/>
        <w:bottom w:val="none" w:sz="0" w:space="0" w:color="auto"/>
        <w:right w:val="none" w:sz="0" w:space="0" w:color="auto"/>
      </w:divBdr>
    </w:div>
    <w:div w:id="1928809250">
      <w:bodyDiv w:val="1"/>
      <w:marLeft w:val="0"/>
      <w:marRight w:val="0"/>
      <w:marTop w:val="0"/>
      <w:marBottom w:val="0"/>
      <w:divBdr>
        <w:top w:val="none" w:sz="0" w:space="0" w:color="auto"/>
        <w:left w:val="none" w:sz="0" w:space="0" w:color="auto"/>
        <w:bottom w:val="none" w:sz="0" w:space="0" w:color="auto"/>
        <w:right w:val="none" w:sz="0" w:space="0" w:color="auto"/>
      </w:divBdr>
    </w:div>
    <w:div w:id="1937133641">
      <w:bodyDiv w:val="1"/>
      <w:marLeft w:val="0"/>
      <w:marRight w:val="0"/>
      <w:marTop w:val="0"/>
      <w:marBottom w:val="0"/>
      <w:divBdr>
        <w:top w:val="none" w:sz="0" w:space="0" w:color="auto"/>
        <w:left w:val="none" w:sz="0" w:space="0" w:color="auto"/>
        <w:bottom w:val="none" w:sz="0" w:space="0" w:color="auto"/>
        <w:right w:val="none" w:sz="0" w:space="0" w:color="auto"/>
      </w:divBdr>
    </w:div>
    <w:div w:id="1968386048">
      <w:bodyDiv w:val="1"/>
      <w:marLeft w:val="0"/>
      <w:marRight w:val="0"/>
      <w:marTop w:val="0"/>
      <w:marBottom w:val="0"/>
      <w:divBdr>
        <w:top w:val="none" w:sz="0" w:space="0" w:color="auto"/>
        <w:left w:val="none" w:sz="0" w:space="0" w:color="auto"/>
        <w:bottom w:val="none" w:sz="0" w:space="0" w:color="auto"/>
        <w:right w:val="none" w:sz="0" w:space="0" w:color="auto"/>
      </w:divBdr>
    </w:div>
    <w:div w:id="1973897713">
      <w:bodyDiv w:val="1"/>
      <w:marLeft w:val="0"/>
      <w:marRight w:val="0"/>
      <w:marTop w:val="0"/>
      <w:marBottom w:val="0"/>
      <w:divBdr>
        <w:top w:val="none" w:sz="0" w:space="0" w:color="auto"/>
        <w:left w:val="none" w:sz="0" w:space="0" w:color="auto"/>
        <w:bottom w:val="none" w:sz="0" w:space="0" w:color="auto"/>
        <w:right w:val="none" w:sz="0" w:space="0" w:color="auto"/>
      </w:divBdr>
    </w:div>
    <w:div w:id="1976107428">
      <w:bodyDiv w:val="1"/>
      <w:marLeft w:val="0"/>
      <w:marRight w:val="0"/>
      <w:marTop w:val="0"/>
      <w:marBottom w:val="0"/>
      <w:divBdr>
        <w:top w:val="none" w:sz="0" w:space="0" w:color="auto"/>
        <w:left w:val="none" w:sz="0" w:space="0" w:color="auto"/>
        <w:bottom w:val="none" w:sz="0" w:space="0" w:color="auto"/>
        <w:right w:val="none" w:sz="0" w:space="0" w:color="auto"/>
      </w:divBdr>
    </w:div>
    <w:div w:id="2012561708">
      <w:bodyDiv w:val="1"/>
      <w:marLeft w:val="0"/>
      <w:marRight w:val="0"/>
      <w:marTop w:val="0"/>
      <w:marBottom w:val="0"/>
      <w:divBdr>
        <w:top w:val="none" w:sz="0" w:space="0" w:color="auto"/>
        <w:left w:val="none" w:sz="0" w:space="0" w:color="auto"/>
        <w:bottom w:val="none" w:sz="0" w:space="0" w:color="auto"/>
        <w:right w:val="none" w:sz="0" w:space="0" w:color="auto"/>
      </w:divBdr>
    </w:div>
    <w:div w:id="2040275331">
      <w:bodyDiv w:val="1"/>
      <w:marLeft w:val="0"/>
      <w:marRight w:val="0"/>
      <w:marTop w:val="0"/>
      <w:marBottom w:val="0"/>
      <w:divBdr>
        <w:top w:val="none" w:sz="0" w:space="0" w:color="auto"/>
        <w:left w:val="none" w:sz="0" w:space="0" w:color="auto"/>
        <w:bottom w:val="none" w:sz="0" w:space="0" w:color="auto"/>
        <w:right w:val="none" w:sz="0" w:space="0" w:color="auto"/>
      </w:divBdr>
    </w:div>
    <w:div w:id="2046520698">
      <w:bodyDiv w:val="1"/>
      <w:marLeft w:val="0"/>
      <w:marRight w:val="0"/>
      <w:marTop w:val="0"/>
      <w:marBottom w:val="0"/>
      <w:divBdr>
        <w:top w:val="none" w:sz="0" w:space="0" w:color="auto"/>
        <w:left w:val="none" w:sz="0" w:space="0" w:color="auto"/>
        <w:bottom w:val="none" w:sz="0" w:space="0" w:color="auto"/>
        <w:right w:val="none" w:sz="0" w:space="0" w:color="auto"/>
      </w:divBdr>
    </w:div>
    <w:div w:id="2073456567">
      <w:bodyDiv w:val="1"/>
      <w:marLeft w:val="0"/>
      <w:marRight w:val="0"/>
      <w:marTop w:val="0"/>
      <w:marBottom w:val="0"/>
      <w:divBdr>
        <w:top w:val="none" w:sz="0" w:space="0" w:color="auto"/>
        <w:left w:val="none" w:sz="0" w:space="0" w:color="auto"/>
        <w:bottom w:val="none" w:sz="0" w:space="0" w:color="auto"/>
        <w:right w:val="none" w:sz="0" w:space="0" w:color="auto"/>
      </w:divBdr>
    </w:div>
    <w:div w:id="2087652795">
      <w:bodyDiv w:val="1"/>
      <w:marLeft w:val="0"/>
      <w:marRight w:val="0"/>
      <w:marTop w:val="0"/>
      <w:marBottom w:val="0"/>
      <w:divBdr>
        <w:top w:val="none" w:sz="0" w:space="0" w:color="auto"/>
        <w:left w:val="none" w:sz="0" w:space="0" w:color="auto"/>
        <w:bottom w:val="none" w:sz="0" w:space="0" w:color="auto"/>
        <w:right w:val="none" w:sz="0" w:space="0" w:color="auto"/>
      </w:divBdr>
    </w:div>
    <w:div w:id="2106798923">
      <w:bodyDiv w:val="1"/>
      <w:marLeft w:val="0"/>
      <w:marRight w:val="0"/>
      <w:marTop w:val="0"/>
      <w:marBottom w:val="0"/>
      <w:divBdr>
        <w:top w:val="none" w:sz="0" w:space="0" w:color="auto"/>
        <w:left w:val="none" w:sz="0" w:space="0" w:color="auto"/>
        <w:bottom w:val="none" w:sz="0" w:space="0" w:color="auto"/>
        <w:right w:val="none" w:sz="0" w:space="0" w:color="auto"/>
      </w:divBdr>
    </w:div>
    <w:div w:id="2125146125">
      <w:bodyDiv w:val="1"/>
      <w:marLeft w:val="0"/>
      <w:marRight w:val="0"/>
      <w:marTop w:val="0"/>
      <w:marBottom w:val="0"/>
      <w:divBdr>
        <w:top w:val="none" w:sz="0" w:space="0" w:color="auto"/>
        <w:left w:val="none" w:sz="0" w:space="0" w:color="auto"/>
        <w:bottom w:val="none" w:sz="0" w:space="0" w:color="auto"/>
        <w:right w:val="none" w:sz="0" w:space="0" w:color="auto"/>
      </w:divBdr>
    </w:div>
    <w:div w:id="2128355905">
      <w:bodyDiv w:val="1"/>
      <w:marLeft w:val="0"/>
      <w:marRight w:val="0"/>
      <w:marTop w:val="0"/>
      <w:marBottom w:val="0"/>
      <w:divBdr>
        <w:top w:val="none" w:sz="0" w:space="0" w:color="auto"/>
        <w:left w:val="none" w:sz="0" w:space="0" w:color="auto"/>
        <w:bottom w:val="none" w:sz="0" w:space="0" w:color="auto"/>
        <w:right w:val="none" w:sz="0" w:space="0" w:color="auto"/>
      </w:divBdr>
    </w:div>
    <w:div w:id="213228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5186</Words>
  <Characters>29564</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Emanuel</dc:creator>
  <cp:keywords/>
  <dc:description/>
  <cp:lastModifiedBy>Laura Emanuel</cp:lastModifiedBy>
  <cp:revision>3</cp:revision>
  <dcterms:created xsi:type="dcterms:W3CDTF">2025-07-13T16:11:00Z</dcterms:created>
  <dcterms:modified xsi:type="dcterms:W3CDTF">2025-07-13T16:19:00Z</dcterms:modified>
</cp:coreProperties>
</file>