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F45AE" w14:textId="77777777" w:rsidR="009D5C14" w:rsidRDefault="009D5C14">
      <w:pPr>
        <w:spacing w:line="360" w:lineRule="auto"/>
        <w:jc w:val="both"/>
        <w:rPr>
          <w:b/>
          <w:sz w:val="40"/>
          <w:szCs w:val="40"/>
        </w:rPr>
      </w:pPr>
    </w:p>
    <w:p w14:paraId="5C9F45AF" w14:textId="77777777" w:rsidR="009D5C14" w:rsidRPr="007B14CC" w:rsidRDefault="007669F9">
      <w:pPr>
        <w:spacing w:line="360" w:lineRule="auto"/>
        <w:jc w:val="center"/>
        <w:rPr>
          <w:b/>
          <w:sz w:val="40"/>
          <w:szCs w:val="40"/>
        </w:rPr>
      </w:pPr>
      <w:r w:rsidRPr="007B14CC">
        <w:rPr>
          <w:noProof/>
        </w:rPr>
        <w:drawing>
          <wp:inline distT="0" distB="0" distL="0" distR="0" wp14:anchorId="5C9F4652" wp14:editId="5C9F4653">
            <wp:extent cx="4754880" cy="1897380"/>
            <wp:effectExtent l="0" t="0" r="0" b="0"/>
            <wp:docPr id="22" name="image1.png" descr="University of Wales Trinity Saint David - University Transcription Services"/>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University Transcription Services"/>
                    <pic:cNvPicPr preferRelativeResize="0"/>
                  </pic:nvPicPr>
                  <pic:blipFill>
                    <a:blip r:embed="rId8"/>
                    <a:srcRect/>
                    <a:stretch>
                      <a:fillRect/>
                    </a:stretch>
                  </pic:blipFill>
                  <pic:spPr>
                    <a:xfrm>
                      <a:off x="0" y="0"/>
                      <a:ext cx="4754880" cy="1897380"/>
                    </a:xfrm>
                    <a:prstGeom prst="rect">
                      <a:avLst/>
                    </a:prstGeom>
                    <a:ln/>
                  </pic:spPr>
                </pic:pic>
              </a:graphicData>
            </a:graphic>
          </wp:inline>
        </w:drawing>
      </w:r>
    </w:p>
    <w:p w14:paraId="5C9F45B0" w14:textId="77777777" w:rsidR="009D5C14" w:rsidRPr="007B14CC" w:rsidRDefault="009D5C14">
      <w:pPr>
        <w:spacing w:line="360" w:lineRule="auto"/>
        <w:jc w:val="both"/>
        <w:rPr>
          <w:b/>
          <w:sz w:val="40"/>
          <w:szCs w:val="40"/>
        </w:rPr>
      </w:pPr>
    </w:p>
    <w:p w14:paraId="5C9F45B1" w14:textId="77777777" w:rsidR="009D5C14" w:rsidRPr="007B14CC" w:rsidRDefault="007669F9">
      <w:pPr>
        <w:spacing w:line="360" w:lineRule="auto"/>
        <w:jc w:val="center"/>
        <w:rPr>
          <w:b/>
          <w:sz w:val="40"/>
          <w:szCs w:val="40"/>
        </w:rPr>
      </w:pPr>
      <w:r w:rsidRPr="007B14CC">
        <w:rPr>
          <w:b/>
          <w:sz w:val="40"/>
          <w:szCs w:val="40"/>
        </w:rPr>
        <w:t xml:space="preserve">‘The factors that influence eating </w:t>
      </w:r>
      <w:proofErr w:type="spellStart"/>
      <w:r w:rsidRPr="007B14CC">
        <w:rPr>
          <w:b/>
          <w:sz w:val="40"/>
          <w:szCs w:val="40"/>
        </w:rPr>
        <w:t>behaviour</w:t>
      </w:r>
      <w:proofErr w:type="spellEnd"/>
      <w:r w:rsidRPr="007B14CC">
        <w:rPr>
          <w:b/>
          <w:sz w:val="40"/>
          <w:szCs w:val="40"/>
        </w:rPr>
        <w:t xml:space="preserve"> among postgraduate</w:t>
      </w:r>
    </w:p>
    <w:p w14:paraId="5C9F45B2" w14:textId="77777777" w:rsidR="009D5C14" w:rsidRPr="007B14CC" w:rsidRDefault="007669F9">
      <w:pPr>
        <w:spacing w:line="360" w:lineRule="auto"/>
        <w:jc w:val="center"/>
        <w:rPr>
          <w:b/>
          <w:sz w:val="40"/>
          <w:szCs w:val="40"/>
        </w:rPr>
      </w:pPr>
      <w:r w:rsidRPr="007B14CC">
        <w:rPr>
          <w:b/>
          <w:sz w:val="40"/>
          <w:szCs w:val="40"/>
        </w:rPr>
        <w:t>Students in a public university’ Research report</w:t>
      </w:r>
    </w:p>
    <w:p w14:paraId="5C9F45B3" w14:textId="77777777" w:rsidR="009D5C14" w:rsidRPr="007B14CC" w:rsidRDefault="009D5C14">
      <w:pPr>
        <w:spacing w:line="360" w:lineRule="auto"/>
        <w:jc w:val="center"/>
        <w:rPr>
          <w:b/>
          <w:sz w:val="40"/>
          <w:szCs w:val="40"/>
        </w:rPr>
      </w:pPr>
    </w:p>
    <w:p w14:paraId="27A645C4" w14:textId="043FDC82" w:rsidR="00350745" w:rsidRPr="007B14CC" w:rsidRDefault="007669F9" w:rsidP="00350745">
      <w:pPr>
        <w:spacing w:line="360" w:lineRule="auto"/>
        <w:jc w:val="center"/>
        <w:rPr>
          <w:b/>
          <w:sz w:val="28"/>
          <w:szCs w:val="28"/>
        </w:rPr>
      </w:pPr>
      <w:r w:rsidRPr="007B14CC">
        <w:rPr>
          <w:b/>
          <w:sz w:val="28"/>
          <w:szCs w:val="28"/>
        </w:rPr>
        <w:t xml:space="preserve">Student Name: </w:t>
      </w:r>
      <w:proofErr w:type="spellStart"/>
      <w:r w:rsidR="00350745">
        <w:rPr>
          <w:b/>
          <w:sz w:val="28"/>
          <w:szCs w:val="28"/>
        </w:rPr>
        <w:t>Ajmal</w:t>
      </w:r>
      <w:proofErr w:type="spellEnd"/>
      <w:r w:rsidR="00350745">
        <w:rPr>
          <w:b/>
          <w:sz w:val="28"/>
          <w:szCs w:val="28"/>
        </w:rPr>
        <w:t xml:space="preserve"> </w:t>
      </w:r>
      <w:proofErr w:type="spellStart"/>
      <w:r w:rsidR="00350745">
        <w:rPr>
          <w:b/>
          <w:sz w:val="28"/>
          <w:szCs w:val="28"/>
        </w:rPr>
        <w:t>shaji</w:t>
      </w:r>
      <w:proofErr w:type="spellEnd"/>
    </w:p>
    <w:p w14:paraId="5C9F45B5" w14:textId="7B59F3DF" w:rsidR="009D5C14" w:rsidRPr="007B14CC" w:rsidRDefault="007669F9">
      <w:pPr>
        <w:spacing w:line="360" w:lineRule="auto"/>
        <w:jc w:val="center"/>
        <w:rPr>
          <w:b/>
          <w:sz w:val="28"/>
          <w:szCs w:val="28"/>
        </w:rPr>
      </w:pPr>
      <w:r w:rsidRPr="007B14CC">
        <w:rPr>
          <w:b/>
          <w:sz w:val="28"/>
          <w:szCs w:val="28"/>
        </w:rPr>
        <w:t>Student ID:</w:t>
      </w:r>
      <w:r w:rsidR="00350745">
        <w:rPr>
          <w:b/>
          <w:sz w:val="28"/>
          <w:szCs w:val="28"/>
        </w:rPr>
        <w:t>22</w:t>
      </w:r>
      <w:r w:rsidR="0064297E">
        <w:rPr>
          <w:b/>
          <w:sz w:val="28"/>
          <w:szCs w:val="28"/>
        </w:rPr>
        <w:t>10</w:t>
      </w:r>
      <w:r>
        <w:rPr>
          <w:b/>
          <w:sz w:val="28"/>
          <w:szCs w:val="28"/>
        </w:rPr>
        <w:t>940</w:t>
      </w:r>
    </w:p>
    <w:p w14:paraId="5C9F45B6" w14:textId="77777777" w:rsidR="009D5C14" w:rsidRPr="007B14CC" w:rsidRDefault="007669F9">
      <w:pPr>
        <w:spacing w:line="360" w:lineRule="auto"/>
        <w:jc w:val="both"/>
        <w:rPr>
          <w:b/>
        </w:rPr>
      </w:pPr>
      <w:bookmarkStart w:id="0" w:name="_heading=h.gjdgxs" w:colFirst="0" w:colLast="0"/>
      <w:bookmarkEnd w:id="0"/>
      <w:r w:rsidRPr="007B14CC">
        <w:br w:type="page"/>
      </w:r>
    </w:p>
    <w:p w14:paraId="5C9F45B7" w14:textId="77777777" w:rsidR="009D5C14" w:rsidRPr="007B14CC" w:rsidRDefault="009D5C14">
      <w:pPr>
        <w:spacing w:line="360" w:lineRule="auto"/>
        <w:jc w:val="both"/>
        <w:rPr>
          <w:b/>
        </w:rPr>
      </w:pPr>
    </w:p>
    <w:p w14:paraId="5C9F45B8" w14:textId="77777777" w:rsidR="009D5C14" w:rsidRPr="007B14CC" w:rsidRDefault="007669F9">
      <w:pPr>
        <w:spacing w:line="360" w:lineRule="auto"/>
        <w:jc w:val="center"/>
        <w:rPr>
          <w:b/>
          <w:sz w:val="28"/>
          <w:szCs w:val="28"/>
        </w:rPr>
      </w:pPr>
      <w:r w:rsidRPr="007B14CC">
        <w:rPr>
          <w:b/>
          <w:sz w:val="28"/>
          <w:szCs w:val="28"/>
        </w:rPr>
        <w:t>Table of Contents</w:t>
      </w:r>
    </w:p>
    <w:bookmarkStart w:id="1" w:name="_heading=h.35nkun2" w:colFirst="0" w:colLast="0" w:displacedByCustomXml="next"/>
    <w:bookmarkEnd w:id="1" w:displacedByCustomXml="next"/>
    <w:sdt>
      <w:sdtPr>
        <w:id w:val="-2037026885"/>
        <w:docPartObj>
          <w:docPartGallery w:val="Table of Contents"/>
          <w:docPartUnique/>
        </w:docPartObj>
      </w:sdtPr>
      <w:sdtEndPr/>
      <w:sdtContent>
        <w:p w14:paraId="5C9F45B9" w14:textId="77777777" w:rsidR="009D5C14" w:rsidRPr="007B14CC" w:rsidRDefault="007669F9">
          <w:pPr>
            <w:pBdr>
              <w:top w:val="nil"/>
              <w:left w:val="nil"/>
              <w:bottom w:val="nil"/>
              <w:right w:val="nil"/>
              <w:between w:val="nil"/>
            </w:pBdr>
            <w:tabs>
              <w:tab w:val="right" w:pos="9350"/>
            </w:tabs>
            <w:spacing w:after="100"/>
            <w:rPr>
              <w:rFonts w:ascii="Cambria" w:eastAsia="Cambria" w:hAnsi="Cambria" w:cs="Cambria"/>
              <w:color w:val="000000"/>
            </w:rPr>
          </w:pPr>
          <w:r w:rsidRPr="007B14CC">
            <w:fldChar w:fldCharType="begin"/>
          </w:r>
          <w:r w:rsidRPr="007B14CC">
            <w:instrText xml:space="preserve"> TOC \h \u \z \t "Heading 1,1,Heading 2,2,Heading 3,3,Heading 4,4,Heading 5,5,Heading 6,6,"</w:instrText>
          </w:r>
          <w:r w:rsidRPr="007B14CC">
            <w:fldChar w:fldCharType="separate"/>
          </w:r>
          <w:hyperlink w:anchor="_heading=h.1fob9te">
            <w:r w:rsidRPr="007B14CC">
              <w:rPr>
                <w:color w:val="000000"/>
              </w:rPr>
              <w:t>Introduction</w:t>
            </w:r>
            <w:r w:rsidRPr="007B14CC">
              <w:rPr>
                <w:color w:val="000000"/>
              </w:rPr>
              <w:tab/>
              <w:t>3</w:t>
            </w:r>
          </w:hyperlink>
        </w:p>
        <w:p w14:paraId="5C9F45BA"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3znysh7">
            <w:r w:rsidR="007669F9" w:rsidRPr="007B14CC">
              <w:rPr>
                <w:color w:val="000000"/>
              </w:rPr>
              <w:t>Rationale &amp; Research Question</w:t>
            </w:r>
            <w:r w:rsidR="007669F9" w:rsidRPr="007B14CC">
              <w:rPr>
                <w:color w:val="000000"/>
              </w:rPr>
              <w:tab/>
              <w:t>3</w:t>
            </w:r>
          </w:hyperlink>
        </w:p>
        <w:p w14:paraId="5C9F45BB"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2et92p0">
            <w:r w:rsidR="007669F9" w:rsidRPr="007B14CC">
              <w:rPr>
                <w:color w:val="000000"/>
              </w:rPr>
              <w:t>Research Methodology</w:t>
            </w:r>
            <w:r w:rsidR="007669F9" w:rsidRPr="007B14CC">
              <w:rPr>
                <w:color w:val="000000"/>
              </w:rPr>
              <w:tab/>
              <w:t>5</w:t>
            </w:r>
          </w:hyperlink>
        </w:p>
        <w:p w14:paraId="5C9F45BC"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tyjcwt">
            <w:r w:rsidR="007669F9" w:rsidRPr="007B14CC">
              <w:rPr>
                <w:color w:val="000000"/>
              </w:rPr>
              <w:t>Research Design</w:t>
            </w:r>
            <w:r w:rsidR="007669F9" w:rsidRPr="007B14CC">
              <w:rPr>
                <w:color w:val="000000"/>
              </w:rPr>
              <w:tab/>
              <w:t>6</w:t>
            </w:r>
          </w:hyperlink>
        </w:p>
        <w:p w14:paraId="5C9F45BD"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3dy6vkm">
            <w:r w:rsidR="007669F9" w:rsidRPr="007B14CC">
              <w:rPr>
                <w:color w:val="000000"/>
              </w:rPr>
              <w:t>Recruitment, Sampling &amp; Study Participants</w:t>
            </w:r>
            <w:r w:rsidR="007669F9" w:rsidRPr="007B14CC">
              <w:rPr>
                <w:color w:val="000000"/>
              </w:rPr>
              <w:tab/>
              <w:t>6</w:t>
            </w:r>
          </w:hyperlink>
        </w:p>
        <w:p w14:paraId="5C9F45BE"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1t3h5sf">
            <w:r w:rsidR="007669F9" w:rsidRPr="007B14CC">
              <w:rPr>
                <w:color w:val="000000"/>
              </w:rPr>
              <w:t>Data Collection Method</w:t>
            </w:r>
            <w:r w:rsidR="007669F9" w:rsidRPr="007B14CC">
              <w:rPr>
                <w:color w:val="000000"/>
              </w:rPr>
              <w:tab/>
              <w:t>7</w:t>
            </w:r>
          </w:hyperlink>
        </w:p>
        <w:p w14:paraId="5C9F45BF"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4d34og8">
            <w:r w:rsidR="007669F9" w:rsidRPr="007B14CC">
              <w:rPr>
                <w:color w:val="000000"/>
              </w:rPr>
              <w:t>Data analysis technique</w:t>
            </w:r>
            <w:r w:rsidR="007669F9" w:rsidRPr="007B14CC">
              <w:rPr>
                <w:color w:val="000000"/>
              </w:rPr>
              <w:tab/>
              <w:t>7</w:t>
            </w:r>
          </w:hyperlink>
        </w:p>
        <w:p w14:paraId="5C9F45C0"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2s8eyo1">
            <w:r w:rsidR="007669F9" w:rsidRPr="007B14CC">
              <w:rPr>
                <w:color w:val="000000"/>
              </w:rPr>
              <w:t>Ethical considerations</w:t>
            </w:r>
            <w:r w:rsidR="007669F9" w:rsidRPr="007B14CC">
              <w:rPr>
                <w:color w:val="000000"/>
              </w:rPr>
              <w:tab/>
              <w:t>8</w:t>
            </w:r>
          </w:hyperlink>
        </w:p>
        <w:p w14:paraId="5C9F45C1"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17dp8vu">
            <w:r w:rsidR="007669F9" w:rsidRPr="007B14CC">
              <w:rPr>
                <w:color w:val="000000"/>
              </w:rPr>
              <w:t>Results</w:t>
            </w:r>
            <w:r w:rsidR="007669F9" w:rsidRPr="007B14CC">
              <w:rPr>
                <w:color w:val="000000"/>
              </w:rPr>
              <w:tab/>
              <w:t>9</w:t>
            </w:r>
          </w:hyperlink>
        </w:p>
        <w:p w14:paraId="5C9F45C2"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3rdcrjn">
            <w:r w:rsidR="007669F9" w:rsidRPr="007B14CC">
              <w:rPr>
                <w:color w:val="000000"/>
              </w:rPr>
              <w:t>Discussion</w:t>
            </w:r>
            <w:r w:rsidR="007669F9" w:rsidRPr="007B14CC">
              <w:rPr>
                <w:color w:val="000000"/>
              </w:rPr>
              <w:tab/>
              <w:t>10</w:t>
            </w:r>
          </w:hyperlink>
        </w:p>
        <w:p w14:paraId="5C9F45C3"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26in1rg">
            <w:r w:rsidR="007669F9" w:rsidRPr="007B14CC">
              <w:rPr>
                <w:color w:val="000000"/>
              </w:rPr>
              <w:t>Conclusion</w:t>
            </w:r>
            <w:r w:rsidR="007669F9" w:rsidRPr="007B14CC">
              <w:rPr>
                <w:color w:val="000000"/>
              </w:rPr>
              <w:tab/>
              <w:t>11</w:t>
            </w:r>
          </w:hyperlink>
        </w:p>
        <w:p w14:paraId="5C9F45C4"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lnxbz9">
            <w:r w:rsidR="007669F9" w:rsidRPr="007B14CC">
              <w:rPr>
                <w:color w:val="000000"/>
              </w:rPr>
              <w:t>References</w:t>
            </w:r>
            <w:r w:rsidR="007669F9" w:rsidRPr="007B14CC">
              <w:rPr>
                <w:color w:val="000000"/>
              </w:rPr>
              <w:tab/>
              <w:t>12</w:t>
            </w:r>
          </w:hyperlink>
        </w:p>
        <w:p w14:paraId="5C9F45C5" w14:textId="77777777" w:rsidR="009D5C14" w:rsidRPr="007B14CC" w:rsidRDefault="00F436AD">
          <w:pPr>
            <w:pBdr>
              <w:top w:val="nil"/>
              <w:left w:val="nil"/>
              <w:bottom w:val="nil"/>
              <w:right w:val="nil"/>
              <w:between w:val="nil"/>
            </w:pBdr>
            <w:tabs>
              <w:tab w:val="right" w:pos="9350"/>
            </w:tabs>
            <w:spacing w:after="100"/>
            <w:rPr>
              <w:rFonts w:ascii="Cambria" w:eastAsia="Cambria" w:hAnsi="Cambria" w:cs="Cambria"/>
              <w:color w:val="000000"/>
            </w:rPr>
          </w:pPr>
          <w:hyperlink w:anchor="_heading=h.1pxezwc">
            <w:r w:rsidR="007669F9" w:rsidRPr="007B14CC">
              <w:rPr>
                <w:color w:val="000000"/>
              </w:rPr>
              <w:t>Appendix</w:t>
            </w:r>
          </w:hyperlink>
          <w:hyperlink w:anchor="_heading=h.1pxezwc">
            <w:r w:rsidR="007669F9" w:rsidRPr="007B14CC">
              <w:rPr>
                <w:color w:val="000000"/>
              </w:rPr>
              <w:tab/>
              <w:t>15</w:t>
            </w:r>
          </w:hyperlink>
        </w:p>
        <w:p w14:paraId="5C9F45C6" w14:textId="77777777" w:rsidR="009D5C14" w:rsidRPr="007B14CC" w:rsidRDefault="007669F9">
          <w:pPr>
            <w:widowControl w:val="0"/>
            <w:tabs>
              <w:tab w:val="right" w:pos="9360"/>
            </w:tabs>
            <w:spacing w:before="60" w:line="360" w:lineRule="auto"/>
            <w:jc w:val="both"/>
            <w:rPr>
              <w:color w:val="000000"/>
            </w:rPr>
          </w:pPr>
          <w:r w:rsidRPr="007B14CC">
            <w:fldChar w:fldCharType="end"/>
          </w:r>
        </w:p>
      </w:sdtContent>
    </w:sdt>
    <w:p w14:paraId="5C9F45C7" w14:textId="77777777" w:rsidR="009D5C14" w:rsidRPr="007B14CC" w:rsidRDefault="007669F9">
      <w:pPr>
        <w:spacing w:line="360" w:lineRule="auto"/>
        <w:jc w:val="both"/>
        <w:rPr>
          <w:b/>
        </w:rPr>
      </w:pPr>
      <w:bookmarkStart w:id="2" w:name="_heading=h.30j0zll" w:colFirst="0" w:colLast="0"/>
      <w:bookmarkEnd w:id="2"/>
      <w:r w:rsidRPr="007B14CC">
        <w:br w:type="page"/>
      </w:r>
    </w:p>
    <w:p w14:paraId="5C9F45C8" w14:textId="77777777" w:rsidR="009D5C14" w:rsidRPr="007B14CC" w:rsidRDefault="007669F9">
      <w:pPr>
        <w:pStyle w:val="Heading1"/>
        <w:jc w:val="both"/>
      </w:pPr>
      <w:bookmarkStart w:id="3" w:name="_heading=h.1fob9te" w:colFirst="0" w:colLast="0"/>
      <w:bookmarkEnd w:id="3"/>
      <w:r w:rsidRPr="007B14CC">
        <w:t xml:space="preserve">Introduction </w:t>
      </w:r>
    </w:p>
    <w:p w14:paraId="5C9F45C9" w14:textId="77777777" w:rsidR="009D5C14" w:rsidRPr="007B14CC" w:rsidRDefault="007669F9">
      <w:pPr>
        <w:spacing w:line="360" w:lineRule="auto"/>
        <w:jc w:val="both"/>
      </w:pPr>
      <w:r w:rsidRPr="007B14CC">
        <w:t xml:space="preserve">This research evaluation of eating </w:t>
      </w:r>
      <w:proofErr w:type="spellStart"/>
      <w:r w:rsidRPr="007B14CC">
        <w:t>behaviour</w:t>
      </w:r>
      <w:proofErr w:type="spellEnd"/>
      <w:r w:rsidRPr="007B14CC">
        <w:t xml:space="preserve"> among postgraduate students in a public university in a group discussion. The discussion is mainly carried out with research questions with research methodology based on research methods. The research report has a specific emphasis to individually </w:t>
      </w:r>
      <w:proofErr w:type="spellStart"/>
      <w:r w:rsidRPr="007B14CC">
        <w:t>analyse</w:t>
      </w:r>
      <w:proofErr w:type="spellEnd"/>
      <w:r w:rsidRPr="007B14CC">
        <w:t xml:space="preserve"> the data gathered as a group and create a written research report using the "Research Report" template. </w:t>
      </w:r>
    </w:p>
    <w:p w14:paraId="5C9F45CA" w14:textId="77777777" w:rsidR="009D5C14" w:rsidRPr="007B14CC" w:rsidRDefault="007669F9">
      <w:pPr>
        <w:spacing w:line="360" w:lineRule="auto"/>
        <w:jc w:val="both"/>
      </w:pPr>
      <w:r w:rsidRPr="007B14CC">
        <w:t xml:space="preserve">An essential research topic is examining the variables that affect eating </w:t>
      </w:r>
      <w:proofErr w:type="spellStart"/>
      <w:r w:rsidRPr="007B14CC">
        <w:t>behaviour</w:t>
      </w:r>
      <w:proofErr w:type="spellEnd"/>
      <w:r w:rsidRPr="007B14CC">
        <w:t xml:space="preserve"> among postgraduate students at a public university because it can provide insight into the dietary practices of this group and the variables that influence their food preferences. Individual factors like preferences and beliefs, as well as environmental factors like social standards and access to healthy food choices, all have an impact on how people choose to eat. Postgraduate students are a unique group as they may face additional challenges that can impact their eating </w:t>
      </w:r>
      <w:proofErr w:type="spellStart"/>
      <w:r w:rsidRPr="007B14CC">
        <w:t>behaviour</w:t>
      </w:r>
      <w:proofErr w:type="spellEnd"/>
      <w:r w:rsidRPr="007B14CC">
        <w:t xml:space="preserve">, such as high-stress levels and time limitations due to academic demands. As the findings can guide the creation of strategies to encourage healthy eating habits among young adults in higher education settings, this study may also have broader implications for public health policy and nutrition education. </w:t>
      </w:r>
    </w:p>
    <w:p w14:paraId="5C9F45CB" w14:textId="77777777" w:rsidR="009D5C14" w:rsidRPr="007B14CC" w:rsidRDefault="009D5C14">
      <w:pPr>
        <w:spacing w:line="360" w:lineRule="auto"/>
        <w:jc w:val="both"/>
      </w:pPr>
    </w:p>
    <w:p w14:paraId="5C9F45CC" w14:textId="77777777" w:rsidR="009D5C14" w:rsidRPr="007B14CC" w:rsidRDefault="007669F9">
      <w:pPr>
        <w:pStyle w:val="Heading1"/>
        <w:jc w:val="both"/>
      </w:pPr>
      <w:bookmarkStart w:id="4" w:name="_heading=h.3znysh7" w:colFirst="0" w:colLast="0"/>
      <w:bookmarkEnd w:id="4"/>
      <w:r w:rsidRPr="007B14CC">
        <w:t xml:space="preserve">Rationale &amp; Research Question </w:t>
      </w:r>
    </w:p>
    <w:p w14:paraId="5C9F45CD" w14:textId="77777777" w:rsidR="009D5C14" w:rsidRPr="007B14CC" w:rsidRDefault="007669F9">
      <w:pPr>
        <w:spacing w:line="360" w:lineRule="auto"/>
        <w:jc w:val="both"/>
        <w:rPr>
          <w:b/>
        </w:rPr>
      </w:pPr>
      <w:r w:rsidRPr="007B14CC">
        <w:rPr>
          <w:b/>
        </w:rPr>
        <w:t>Rationale</w:t>
      </w:r>
    </w:p>
    <w:p w14:paraId="5C9F45CE" w14:textId="77777777" w:rsidR="009D5C14" w:rsidRPr="007B14CC" w:rsidRDefault="007669F9">
      <w:pPr>
        <w:spacing w:line="360" w:lineRule="auto"/>
        <w:jc w:val="both"/>
      </w:pPr>
      <w:r w:rsidRPr="007B14CC">
        <w:t xml:space="preserve">Postgraduate students at a public institution may exhibit different eating habits depending on a variety of social, cultural, psychological, and environmental factors (Chen, and Antonelli, 2020). Understanding these elements is crucial for creating strategies that will encourage healthy eating among this group. The busy lifestyle of postgraduate students is one of the main factors that affect their dietary habits. Due to their busy schedules, postgraduate students rarely have time to prepare and eat nutritious meals. They frequently choose quick, convenient foods that are easily accessible on campus because they are preoccupied with academic work and study. According to </w:t>
      </w:r>
      <w:r w:rsidRPr="007B14CC">
        <w:rPr>
          <w:color w:val="222222"/>
        </w:rPr>
        <w:t xml:space="preserve">Anis </w:t>
      </w:r>
      <w:r w:rsidRPr="007B14CC">
        <w:rPr>
          <w:i/>
          <w:color w:val="222222"/>
        </w:rPr>
        <w:t>et al</w:t>
      </w:r>
      <w:r w:rsidRPr="007B14CC">
        <w:rPr>
          <w:color w:val="222222"/>
        </w:rPr>
        <w:t>. (2021),</w:t>
      </w:r>
      <w:r w:rsidRPr="007B14CC">
        <w:t xml:space="preserve"> Social factors are very important in deciding how postgraduate students behave when it comes to eating. Students' adoption of unhealthy eating </w:t>
      </w:r>
      <w:proofErr w:type="spellStart"/>
      <w:r w:rsidRPr="007B14CC">
        <w:t>behaviours</w:t>
      </w:r>
      <w:proofErr w:type="spellEnd"/>
      <w:r w:rsidRPr="007B14CC">
        <w:t xml:space="preserve">, such as binge eating or eating junk food while working, may be influenced by the social norms of the academic setting. Additionally, peer pressure from those who may have different eating habits can influence what students decide to consume. Cultural influences also influence postgraduate students. </w:t>
      </w:r>
    </w:p>
    <w:p w14:paraId="5C9F45CF" w14:textId="77777777" w:rsidR="009D5C14" w:rsidRPr="007B14CC" w:rsidRDefault="007669F9">
      <w:pPr>
        <w:spacing w:line="360" w:lineRule="auto"/>
        <w:jc w:val="center"/>
      </w:pPr>
      <w:r w:rsidRPr="007B14CC">
        <w:rPr>
          <w:noProof/>
        </w:rPr>
        <w:drawing>
          <wp:inline distT="114300" distB="114300" distL="114300" distR="114300" wp14:anchorId="5C9F4654" wp14:editId="5C9F4655">
            <wp:extent cx="5943600" cy="38354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835400"/>
                    </a:xfrm>
                    <a:prstGeom prst="rect">
                      <a:avLst/>
                    </a:prstGeom>
                    <a:ln/>
                  </pic:spPr>
                </pic:pic>
              </a:graphicData>
            </a:graphic>
          </wp:inline>
        </w:drawing>
      </w:r>
    </w:p>
    <w:p w14:paraId="5C9F45D0" w14:textId="77777777" w:rsidR="009D5C14" w:rsidRPr="007B14CC" w:rsidRDefault="007669F9">
      <w:pPr>
        <w:spacing w:line="360" w:lineRule="auto"/>
        <w:jc w:val="center"/>
        <w:rPr>
          <w:b/>
        </w:rPr>
      </w:pPr>
      <w:r w:rsidRPr="007B14CC">
        <w:rPr>
          <w:b/>
        </w:rPr>
        <w:t>Figure 1: Eating habits and health among University students</w:t>
      </w:r>
    </w:p>
    <w:p w14:paraId="5C9F45D1" w14:textId="77777777" w:rsidR="009D5C14" w:rsidRPr="007B14CC" w:rsidRDefault="007669F9">
      <w:pPr>
        <w:spacing w:line="360" w:lineRule="auto"/>
        <w:jc w:val="center"/>
        <w:rPr>
          <w:b/>
        </w:rPr>
      </w:pPr>
      <w:r w:rsidRPr="007B14CC">
        <w:rPr>
          <w:b/>
        </w:rPr>
        <w:t>Source: (Nutrients, 2022)</w:t>
      </w:r>
    </w:p>
    <w:p w14:paraId="5C9F45D2" w14:textId="77777777" w:rsidR="009D5C14" w:rsidRPr="007B14CC" w:rsidRDefault="007669F9">
      <w:pPr>
        <w:spacing w:line="360" w:lineRule="auto"/>
        <w:jc w:val="both"/>
      </w:pPr>
      <w:r w:rsidRPr="007B14CC">
        <w:t>International students might have different food preferences, and the accessibility of those foods might have an impact on how they consume them. The decisions that students make when it comes to their meals can also be influenced by cultural practices and views regarding food. Postgraduate students' eating habits can also be impacted by psychological variables like stress, anxiety, and depression (</w:t>
      </w:r>
      <w:r w:rsidRPr="007B14CC">
        <w:rPr>
          <w:color w:val="222222"/>
        </w:rPr>
        <w:t xml:space="preserve">Birmingham </w:t>
      </w:r>
      <w:r w:rsidRPr="007B14CC">
        <w:rPr>
          <w:i/>
          <w:color w:val="222222"/>
        </w:rPr>
        <w:t>et al.</w:t>
      </w:r>
      <w:r w:rsidRPr="007B14CC">
        <w:rPr>
          <w:color w:val="222222"/>
        </w:rPr>
        <w:t>, 2021</w:t>
      </w:r>
      <w:r w:rsidRPr="007B14CC">
        <w:t>). These students may use food as a coping mechanism for stress related to schoolwork or other circumstances, which can result in unhealthy eating patterns. Last but not least, environmental aspects like the accessibility of healthy food choices, food costs, and the proximity of food establishments can also have an effect on how postgraduate students consume. High food costs and a lack of readily available healthy food options may discourage students from making healthy food choices.</w:t>
      </w:r>
    </w:p>
    <w:p w14:paraId="5C9F45D3" w14:textId="77777777" w:rsidR="009D5C14" w:rsidRPr="007B14CC" w:rsidRDefault="009D5C14">
      <w:pPr>
        <w:spacing w:line="360" w:lineRule="auto"/>
        <w:jc w:val="both"/>
      </w:pPr>
    </w:p>
    <w:p w14:paraId="5C9F45D4" w14:textId="77777777" w:rsidR="009D5C14" w:rsidRPr="007B14CC" w:rsidRDefault="007669F9">
      <w:pPr>
        <w:spacing w:line="360" w:lineRule="auto"/>
        <w:jc w:val="both"/>
      </w:pPr>
      <w:r w:rsidRPr="007B14CC">
        <w:rPr>
          <w:b/>
        </w:rPr>
        <w:t>Aim</w:t>
      </w:r>
      <w:r w:rsidRPr="007B14CC">
        <w:t xml:space="preserve"> </w:t>
      </w:r>
    </w:p>
    <w:p w14:paraId="5C9F45D5" w14:textId="77777777" w:rsidR="009D5C14" w:rsidRPr="007B14CC" w:rsidRDefault="007669F9">
      <w:pPr>
        <w:spacing w:line="360" w:lineRule="auto"/>
        <w:jc w:val="both"/>
      </w:pPr>
      <w:r w:rsidRPr="007B14CC">
        <w:t xml:space="preserve">The purpose of the research is to determine how eating habits are influenced in postgraduate students at a public university.  The study seeks to provide a better understanding of the factors that influence postgraduate students' food choices and eating </w:t>
      </w:r>
      <w:proofErr w:type="spellStart"/>
      <w:r w:rsidRPr="007B14CC">
        <w:t>behaviour</w:t>
      </w:r>
      <w:proofErr w:type="spellEnd"/>
      <w:r w:rsidRPr="007B14CC">
        <w:t xml:space="preserve"> by looking at their eating preferences and habits. </w:t>
      </w:r>
    </w:p>
    <w:p w14:paraId="5C9F45D6" w14:textId="77777777" w:rsidR="009D5C14" w:rsidRPr="007B14CC" w:rsidRDefault="009D5C14">
      <w:pPr>
        <w:spacing w:line="360" w:lineRule="auto"/>
        <w:jc w:val="both"/>
      </w:pPr>
    </w:p>
    <w:p w14:paraId="5C9F45D7" w14:textId="77777777" w:rsidR="009D5C14" w:rsidRPr="007B14CC" w:rsidRDefault="007669F9">
      <w:pPr>
        <w:spacing w:line="360" w:lineRule="auto"/>
        <w:jc w:val="both"/>
        <w:rPr>
          <w:b/>
        </w:rPr>
      </w:pPr>
      <w:r w:rsidRPr="007B14CC">
        <w:rPr>
          <w:b/>
        </w:rPr>
        <w:t>Objectives</w:t>
      </w:r>
    </w:p>
    <w:p w14:paraId="5C9F45D8" w14:textId="77777777" w:rsidR="009D5C14" w:rsidRPr="007B14CC" w:rsidRDefault="007669F9">
      <w:pPr>
        <w:numPr>
          <w:ilvl w:val="0"/>
          <w:numId w:val="2"/>
        </w:numPr>
        <w:spacing w:line="360" w:lineRule="auto"/>
        <w:jc w:val="both"/>
      </w:pPr>
      <w:r w:rsidRPr="007B14CC">
        <w:t xml:space="preserve">To determine the factors that affect the post graduate students eating habits and alter their food preferences. </w:t>
      </w:r>
    </w:p>
    <w:p w14:paraId="5C9F45D9" w14:textId="77777777" w:rsidR="009D5C14" w:rsidRPr="007B14CC" w:rsidRDefault="007669F9">
      <w:pPr>
        <w:numPr>
          <w:ilvl w:val="0"/>
          <w:numId w:val="2"/>
        </w:numPr>
        <w:spacing w:line="360" w:lineRule="auto"/>
        <w:jc w:val="both"/>
      </w:pPr>
      <w:r w:rsidRPr="007B14CC">
        <w:t>To examine the impact of university campus food on the eating habits of the postgraduate students.</w:t>
      </w:r>
    </w:p>
    <w:p w14:paraId="5C9F45DA" w14:textId="77777777" w:rsidR="009D5C14" w:rsidRPr="007B14CC" w:rsidRDefault="009D5C14">
      <w:pPr>
        <w:spacing w:line="360" w:lineRule="auto"/>
        <w:jc w:val="both"/>
      </w:pPr>
    </w:p>
    <w:p w14:paraId="5C9F45DB" w14:textId="77777777" w:rsidR="009D5C14" w:rsidRPr="007B14CC" w:rsidRDefault="007669F9">
      <w:pPr>
        <w:spacing w:line="360" w:lineRule="auto"/>
        <w:jc w:val="both"/>
        <w:rPr>
          <w:b/>
        </w:rPr>
      </w:pPr>
      <w:r w:rsidRPr="007B14CC">
        <w:rPr>
          <w:b/>
        </w:rPr>
        <w:t>Research Question</w:t>
      </w:r>
    </w:p>
    <w:p w14:paraId="5C9F45DC" w14:textId="77777777" w:rsidR="009D5C14" w:rsidRPr="007B14CC" w:rsidRDefault="007669F9">
      <w:pPr>
        <w:numPr>
          <w:ilvl w:val="0"/>
          <w:numId w:val="3"/>
        </w:numPr>
        <w:spacing w:line="360" w:lineRule="auto"/>
        <w:jc w:val="both"/>
      </w:pPr>
      <w:r w:rsidRPr="007B14CC">
        <w:t>What factors affect postgraduate students' eating habits at a public university, and how do these factors affect their food preferences?</w:t>
      </w:r>
    </w:p>
    <w:p w14:paraId="5C9F45DD" w14:textId="77777777" w:rsidR="009D5C14" w:rsidRPr="007B14CC" w:rsidRDefault="007669F9">
      <w:pPr>
        <w:numPr>
          <w:ilvl w:val="0"/>
          <w:numId w:val="3"/>
        </w:numPr>
        <w:spacing w:line="360" w:lineRule="auto"/>
        <w:jc w:val="both"/>
      </w:pPr>
      <w:r w:rsidRPr="007B14CC">
        <w:t>How does the campus food on a public university campus affect the eating habits of postgraduate students?</w:t>
      </w:r>
    </w:p>
    <w:p w14:paraId="5C9F45DE" w14:textId="77777777" w:rsidR="009D5C14" w:rsidRPr="007B14CC" w:rsidRDefault="009D5C14">
      <w:pPr>
        <w:spacing w:line="360" w:lineRule="auto"/>
        <w:jc w:val="both"/>
        <w:rPr>
          <w:b/>
        </w:rPr>
      </w:pPr>
    </w:p>
    <w:p w14:paraId="5C9F45DF" w14:textId="77777777" w:rsidR="009D5C14" w:rsidRPr="007B14CC" w:rsidRDefault="009D5C14">
      <w:pPr>
        <w:spacing w:line="360" w:lineRule="auto"/>
        <w:jc w:val="both"/>
      </w:pPr>
    </w:p>
    <w:p w14:paraId="5C9F45E0" w14:textId="77777777" w:rsidR="009D5C14" w:rsidRPr="007B14CC" w:rsidRDefault="007669F9">
      <w:pPr>
        <w:pStyle w:val="Heading1"/>
        <w:jc w:val="both"/>
      </w:pPr>
      <w:bookmarkStart w:id="5" w:name="_heading=h.2et92p0" w:colFirst="0" w:colLast="0"/>
      <w:bookmarkEnd w:id="5"/>
      <w:r w:rsidRPr="007B14CC">
        <w:t xml:space="preserve">Research Methodology </w:t>
      </w:r>
    </w:p>
    <w:p w14:paraId="5C9F45E1" w14:textId="77777777" w:rsidR="009D5C14" w:rsidRPr="007B14CC" w:rsidRDefault="007669F9">
      <w:pPr>
        <w:spacing w:line="360" w:lineRule="auto"/>
        <w:jc w:val="both"/>
      </w:pPr>
      <w:r w:rsidRPr="007B14CC">
        <w:t xml:space="preserve">The systematic procedure that researchers use to gather, </w:t>
      </w:r>
      <w:proofErr w:type="spellStart"/>
      <w:r w:rsidRPr="007B14CC">
        <w:t>analyse</w:t>
      </w:r>
      <w:proofErr w:type="spellEnd"/>
      <w:r w:rsidRPr="007B14CC">
        <w:t xml:space="preserve">, and interpret data in order to address research questions or test hypotheses is referred to as research methodology. There are two major types of research methodology, i.e. quantitative and qualitative research methodology. Using statistical techniques, the quantitative research process entails gathering and evaluating numerical data. Structured surveys, tests, and observational studies are frequently used. The primary goal of qualitative research methodology is to gather and examine non-numerical data, including text, photographs, or videos. Focus groups, unstructured interviews, and ethnographic research are frequently used.  A form of research methodology called qualitative research aims to comprehend and investigate the </w:t>
      </w:r>
      <w:proofErr w:type="spellStart"/>
      <w:r w:rsidRPr="007B14CC">
        <w:t>individualised</w:t>
      </w:r>
      <w:proofErr w:type="spellEnd"/>
      <w:r w:rsidRPr="007B14CC">
        <w:t xml:space="preserve"> experiences, attitudes, and actions of people or groups. In this particular study the qualitative method was taken into use.  A qualitative research strategy was used to look into the variables that affect the eating habits of postgraduate students in a public university and pinpoint areas that need to be improved in terms of physical as well as mental health (</w:t>
      </w:r>
      <w:proofErr w:type="spellStart"/>
      <w:r w:rsidRPr="007B14CC">
        <w:t>Jilisha</w:t>
      </w:r>
      <w:proofErr w:type="spellEnd"/>
      <w:r w:rsidRPr="007B14CC">
        <w:t xml:space="preserve"> </w:t>
      </w:r>
      <w:r w:rsidRPr="007B14CC">
        <w:rPr>
          <w:i/>
        </w:rPr>
        <w:t xml:space="preserve">et al. </w:t>
      </w:r>
      <w:r w:rsidRPr="007B14CC">
        <w:t xml:space="preserve">2019). Rich data on the social, cultural, and psychological factors affecting postgraduate students' eating habits were gathered using qualitative study techniques. Focus group talks or semi-structured interviews with a sample of postgraduate students was used to accomplish this. It is important to find important motifs and patterns in the eating habits of postgraduate students; the data was then </w:t>
      </w:r>
      <w:proofErr w:type="spellStart"/>
      <w:r w:rsidRPr="007B14CC">
        <w:t>analysed</w:t>
      </w:r>
      <w:proofErr w:type="spellEnd"/>
      <w:r w:rsidRPr="007B14CC">
        <w:t xml:space="preserve"> using a thematic approach.</w:t>
      </w:r>
    </w:p>
    <w:p w14:paraId="5C9F45E2" w14:textId="77777777" w:rsidR="009D5C14" w:rsidRPr="007B14CC" w:rsidRDefault="009D5C14">
      <w:pPr>
        <w:spacing w:line="360" w:lineRule="auto"/>
        <w:rPr>
          <w:b/>
        </w:rPr>
      </w:pPr>
    </w:p>
    <w:p w14:paraId="5C9F45E3" w14:textId="77777777" w:rsidR="009D5C14" w:rsidRPr="007B14CC" w:rsidRDefault="007669F9">
      <w:pPr>
        <w:spacing w:line="360" w:lineRule="auto"/>
        <w:jc w:val="both"/>
      </w:pPr>
      <w:r w:rsidRPr="007B14CC">
        <w:t xml:space="preserve">A thorough knowledge of the eating habits of graduate students at a public university was identified using the qualitative approach, which can also point out areas for development in terms of physical and/or mental health. </w:t>
      </w:r>
    </w:p>
    <w:p w14:paraId="5C9F45E4" w14:textId="77777777" w:rsidR="009D5C14" w:rsidRPr="007B14CC" w:rsidRDefault="009D5C14">
      <w:pPr>
        <w:spacing w:line="360" w:lineRule="auto"/>
        <w:jc w:val="both"/>
      </w:pPr>
    </w:p>
    <w:p w14:paraId="5C9F45E5" w14:textId="77777777" w:rsidR="009D5C14" w:rsidRPr="007B14CC" w:rsidRDefault="007669F9">
      <w:pPr>
        <w:pStyle w:val="Heading1"/>
        <w:jc w:val="both"/>
      </w:pPr>
      <w:bookmarkStart w:id="6" w:name="_heading=h.tyjcwt" w:colFirst="0" w:colLast="0"/>
      <w:bookmarkEnd w:id="6"/>
      <w:r w:rsidRPr="007B14CC">
        <w:t xml:space="preserve">Research Design </w:t>
      </w:r>
    </w:p>
    <w:p w14:paraId="5C9F45E6" w14:textId="77777777" w:rsidR="009D5C14" w:rsidRPr="007B14CC" w:rsidRDefault="007669F9">
      <w:pPr>
        <w:spacing w:line="360" w:lineRule="auto"/>
        <w:jc w:val="both"/>
      </w:pPr>
      <w:r w:rsidRPr="007B14CC">
        <w:t xml:space="preserve">The broad approach or plan </w:t>
      </w:r>
      <w:proofErr w:type="spellStart"/>
      <w:r w:rsidRPr="007B14CC">
        <w:t>utilised</w:t>
      </w:r>
      <w:proofErr w:type="spellEnd"/>
      <w:r w:rsidRPr="007B14CC">
        <w:t xml:space="preserve"> to carry out a research study is referred to as the research design. It encompasses the methodological and operational stages that scientists use to address the research questions or hypotheses, gather and </w:t>
      </w:r>
      <w:proofErr w:type="spellStart"/>
      <w:r w:rsidRPr="007B14CC">
        <w:t>analyse</w:t>
      </w:r>
      <w:proofErr w:type="spellEnd"/>
      <w:r w:rsidRPr="007B14CC">
        <w:t xml:space="preserve"> data, and come to conclusions. In this case, a focus group discussion research design was taken into use. A focus group discussion is a type of qualitative research design which is primarily focused on gathering information from people from similar experience and background related to a particular research topic (</w:t>
      </w:r>
      <w:r w:rsidRPr="007B14CC">
        <w:rPr>
          <w:color w:val="222222"/>
        </w:rPr>
        <w:t xml:space="preserve">Adler, </w:t>
      </w:r>
      <w:proofErr w:type="spellStart"/>
      <w:r w:rsidRPr="007B14CC">
        <w:rPr>
          <w:color w:val="222222"/>
        </w:rPr>
        <w:t>Salanterä</w:t>
      </w:r>
      <w:proofErr w:type="spellEnd"/>
      <w:r w:rsidRPr="007B14CC">
        <w:rPr>
          <w:color w:val="222222"/>
        </w:rPr>
        <w:t xml:space="preserve">, and </w:t>
      </w:r>
      <w:proofErr w:type="spellStart"/>
      <w:r w:rsidRPr="007B14CC">
        <w:rPr>
          <w:color w:val="222222"/>
        </w:rPr>
        <w:t>Zumstein-Shaha</w:t>
      </w:r>
      <w:proofErr w:type="spellEnd"/>
      <w:r w:rsidRPr="007B14CC">
        <w:rPr>
          <w:color w:val="222222"/>
        </w:rPr>
        <w:t>,  2019)</w:t>
      </w:r>
      <w:r w:rsidRPr="007B14CC">
        <w:t xml:space="preserve">. The major advantage or strength of using a focus group discussion for a research work is that the data collection process is quick and easy to conduct. However the major limitation of this type of research method is that it is difficult to ensure the willingness of the participants to disclose their opinion. A focus group discussion was used in the present research, as it entailed gathering information via questionnaires to comprehend postgraduate students' eating preferences and habits. In an experimental study, different variables are changed to see how they affect how people eat. In this case, the study examined whether providing postgraduate students with healthy food choices in a university cafeteria increases their propensity to select those options. </w:t>
      </w:r>
    </w:p>
    <w:p w14:paraId="5C9F45E7" w14:textId="77777777" w:rsidR="009D5C14" w:rsidRPr="007B14CC" w:rsidRDefault="007669F9">
      <w:pPr>
        <w:pStyle w:val="Heading1"/>
        <w:jc w:val="both"/>
      </w:pPr>
      <w:bookmarkStart w:id="7" w:name="_heading=h.3dy6vkm" w:colFirst="0" w:colLast="0"/>
      <w:bookmarkEnd w:id="7"/>
      <w:r w:rsidRPr="007B14CC">
        <w:t>Recruitment, Sampling &amp; Study Participants</w:t>
      </w:r>
    </w:p>
    <w:p w14:paraId="5C9F45E8" w14:textId="77777777" w:rsidR="009D5C14" w:rsidRPr="007B14CC" w:rsidRDefault="007669F9">
      <w:pPr>
        <w:spacing w:line="360" w:lineRule="auto"/>
        <w:jc w:val="both"/>
        <w:rPr>
          <w:b/>
        </w:rPr>
      </w:pPr>
      <w:r w:rsidRPr="007B14CC">
        <w:rPr>
          <w:b/>
        </w:rPr>
        <w:t xml:space="preserve">Recruitment </w:t>
      </w:r>
    </w:p>
    <w:p w14:paraId="5C9F45E9" w14:textId="77777777" w:rsidR="009D5C14" w:rsidRPr="007B14CC" w:rsidRDefault="007669F9">
      <w:pPr>
        <w:spacing w:line="360" w:lineRule="auto"/>
        <w:jc w:val="both"/>
      </w:pPr>
      <w:r w:rsidRPr="007B14CC">
        <w:t xml:space="preserve">Recruitment is the process of identifying and selecting the candidates or respondents for particular research. The participants were selected from public university who are international students from the university. This happened by collaborating with university representatives to find prospective participants and </w:t>
      </w:r>
      <w:proofErr w:type="spellStart"/>
      <w:r w:rsidRPr="007B14CC">
        <w:t>publicising</w:t>
      </w:r>
      <w:proofErr w:type="spellEnd"/>
      <w:r w:rsidRPr="007B14CC">
        <w:t xml:space="preserve"> the study through </w:t>
      </w:r>
      <w:proofErr w:type="spellStart"/>
      <w:r w:rsidRPr="007B14CC">
        <w:t>authorised</w:t>
      </w:r>
      <w:proofErr w:type="spellEnd"/>
      <w:r w:rsidRPr="007B14CC">
        <w:t xml:space="preserve"> channels, like student newsletters and university websites.</w:t>
      </w:r>
    </w:p>
    <w:p w14:paraId="5C9F45EA" w14:textId="77777777" w:rsidR="009D5C14" w:rsidRPr="007B14CC" w:rsidRDefault="007669F9">
      <w:pPr>
        <w:spacing w:line="360" w:lineRule="auto"/>
        <w:jc w:val="both"/>
        <w:rPr>
          <w:b/>
        </w:rPr>
      </w:pPr>
      <w:r w:rsidRPr="007B14CC">
        <w:rPr>
          <w:b/>
        </w:rPr>
        <w:t>Sampling</w:t>
      </w:r>
    </w:p>
    <w:p w14:paraId="5C9F45EB" w14:textId="77777777" w:rsidR="009D5C14" w:rsidRPr="007B14CC" w:rsidRDefault="007669F9">
      <w:pPr>
        <w:spacing w:line="360" w:lineRule="auto"/>
        <w:jc w:val="both"/>
      </w:pPr>
      <w:r w:rsidRPr="007B14CC">
        <w:t xml:space="preserve">Sampling is the practice of picking a portion of people or cases from a broader group that the researcher is interested in. According to research done by Reis, </w:t>
      </w:r>
      <w:proofErr w:type="spellStart"/>
      <w:r w:rsidRPr="007B14CC">
        <w:t>Amorim</w:t>
      </w:r>
      <w:proofErr w:type="spellEnd"/>
      <w:r w:rsidRPr="007B14CC">
        <w:t xml:space="preserve">, and </w:t>
      </w:r>
      <w:proofErr w:type="spellStart"/>
      <w:r w:rsidRPr="007B14CC">
        <w:t>Melão</w:t>
      </w:r>
      <w:proofErr w:type="spellEnd"/>
      <w:r w:rsidRPr="007B14CC">
        <w:t xml:space="preserve"> (2018, July), researchers, when choosing their participants using the non-probability sampling technique known as "purposeful sampling," is based on a predetermined goal or a set of criteria. In this particular research, purposive sampling was used to identify the sample. It refers to the purposeful selection of participants who have traits thought to be relevant to the research issue or who are believed to be representative of the population.</w:t>
      </w:r>
    </w:p>
    <w:p w14:paraId="5C9F45EC" w14:textId="77777777" w:rsidR="009D5C14" w:rsidRPr="007B14CC" w:rsidRDefault="007669F9">
      <w:pPr>
        <w:spacing w:line="360" w:lineRule="auto"/>
        <w:jc w:val="both"/>
        <w:rPr>
          <w:b/>
        </w:rPr>
      </w:pPr>
      <w:r w:rsidRPr="007B14CC">
        <w:rPr>
          <w:b/>
        </w:rPr>
        <w:t>Study Participants</w:t>
      </w:r>
    </w:p>
    <w:p w14:paraId="5C9F45ED" w14:textId="77777777" w:rsidR="009D5C14" w:rsidRPr="007B14CC" w:rsidRDefault="007669F9">
      <w:pPr>
        <w:spacing w:line="360" w:lineRule="auto"/>
        <w:jc w:val="both"/>
      </w:pPr>
      <w:r w:rsidRPr="007B14CC">
        <w:t>In the case of this particular research, 6 participants were selected from the batch of M.Sc. Public health and social care in practice.  There were 3 boys and 3 girls between the age of 25 to 30  from the University of Birmingham in order to get equal representation and diverse data. Participants for this study aimed to be representative of the target population and participants for a study that seeks to examine eating habits among postgraduate students at a public university. The participants came from a variety of academic programs to guarantee that the study is representative of the complete postgraduate student population. The participants were from a variety of socioeconomic backgrounds to ensure that the study is representative of the complete postgraduate student population.</w:t>
      </w:r>
    </w:p>
    <w:p w14:paraId="5C9F45EE" w14:textId="77777777" w:rsidR="009D5C14" w:rsidRPr="007B14CC" w:rsidRDefault="007669F9">
      <w:pPr>
        <w:pStyle w:val="Heading1"/>
        <w:jc w:val="both"/>
      </w:pPr>
      <w:bookmarkStart w:id="8" w:name="_heading=h.1t3h5sf" w:colFirst="0" w:colLast="0"/>
      <w:bookmarkEnd w:id="8"/>
      <w:r w:rsidRPr="007B14CC">
        <w:t xml:space="preserve">Data Collection Method </w:t>
      </w:r>
    </w:p>
    <w:p w14:paraId="5C9F45EF" w14:textId="77777777" w:rsidR="009D5C14" w:rsidRPr="007B14CC" w:rsidRDefault="007669F9">
      <w:pPr>
        <w:spacing w:line="360" w:lineRule="auto"/>
        <w:jc w:val="both"/>
      </w:pPr>
      <w:r w:rsidRPr="007B14CC">
        <w:t xml:space="preserve">The data collection method is a crucial part of any research as it forms the basis for information which then is </w:t>
      </w:r>
      <w:proofErr w:type="spellStart"/>
      <w:r w:rsidRPr="007B14CC">
        <w:t>analysed</w:t>
      </w:r>
      <w:proofErr w:type="spellEnd"/>
      <w:r w:rsidRPr="007B14CC">
        <w:t xml:space="preserve"> to reach the final conclusion, which is answering the research question (</w:t>
      </w:r>
      <w:proofErr w:type="spellStart"/>
      <w:r w:rsidRPr="007B14CC">
        <w:t>Basias</w:t>
      </w:r>
      <w:proofErr w:type="spellEnd"/>
      <w:r w:rsidRPr="007B14CC">
        <w:t xml:space="preserve"> and </w:t>
      </w:r>
      <w:proofErr w:type="spellStart"/>
      <w:r w:rsidRPr="007B14CC">
        <w:t>Pollalis</w:t>
      </w:r>
      <w:proofErr w:type="spellEnd"/>
      <w:r w:rsidRPr="007B14CC">
        <w:t xml:space="preserve">, 2018). In this case, a focus group discussion has been opted as the main method of data collection. These people have certain traits or life experiences that are pertinent to the research subject. The moderator was in charge of guiding the conversation and making sure everyone has a chance to voice their opinions. The meeting was held in a welcoming and confidential setting with the proper recording technology. Although the discussion guide was thoroughly followed, the moderator guided the conversation to get details that would help get better insights into the problem. The researchers had the entire record of the conversation in the group discussion which gave them an insightful understanding of the reasons behind the deterioration of eating habits. The participants gave their consent before recording the conversation on audio or video. A group discussion was conducted with PG students from the public university with a moderator, and the answers received from them were used as the core data for this report. </w:t>
      </w:r>
    </w:p>
    <w:p w14:paraId="5C9F45F0" w14:textId="77777777" w:rsidR="009D5C14" w:rsidRPr="007B14CC" w:rsidRDefault="009D5C14">
      <w:pPr>
        <w:spacing w:line="360" w:lineRule="auto"/>
        <w:jc w:val="both"/>
        <w:rPr>
          <w:b/>
        </w:rPr>
      </w:pPr>
    </w:p>
    <w:p w14:paraId="5C9F45F1" w14:textId="77777777" w:rsidR="009D5C14" w:rsidRPr="007B14CC" w:rsidRDefault="007669F9">
      <w:pPr>
        <w:pStyle w:val="Heading1"/>
        <w:jc w:val="both"/>
      </w:pPr>
      <w:bookmarkStart w:id="9" w:name="_heading=h.4d34og8" w:colFirst="0" w:colLast="0"/>
      <w:bookmarkEnd w:id="9"/>
      <w:r w:rsidRPr="007B14CC">
        <w:t xml:space="preserve">Data analysis technique </w:t>
      </w:r>
    </w:p>
    <w:p w14:paraId="5C9F45F2" w14:textId="77777777" w:rsidR="009D5C14" w:rsidRPr="007B14CC" w:rsidRDefault="007669F9">
      <w:pPr>
        <w:spacing w:line="360" w:lineRule="auto"/>
        <w:jc w:val="both"/>
      </w:pPr>
      <w:r w:rsidRPr="007B14CC">
        <w:t xml:space="preserve">Data analysis in research is the act of going through and analyzing the data gathered during a study in order to draw insightful findings. It involves the analysis and interpretation of data using a variety of statistical methodologies and techniques. The types of data that are gathered during research might be quantitative or qualitative, and different data analysis techniques may be used for each. The technique followed to analyze the data collected from the focus group discussion was thematic analysis. The questions asked were broadly segmented into the following themes, and responses shall be reflected upon in those themes. </w:t>
      </w:r>
    </w:p>
    <w:p w14:paraId="5C9F45F3" w14:textId="77777777" w:rsidR="009D5C14" w:rsidRPr="007B14CC" w:rsidRDefault="009D5C14">
      <w:pPr>
        <w:spacing w:line="360" w:lineRule="auto"/>
        <w:jc w:val="both"/>
      </w:pPr>
    </w:p>
    <w:p w14:paraId="5C9F45F4" w14:textId="77777777" w:rsidR="009D5C14" w:rsidRPr="007B14CC" w:rsidRDefault="007669F9">
      <w:pPr>
        <w:spacing w:line="360" w:lineRule="auto"/>
        <w:jc w:val="both"/>
      </w:pPr>
      <w:r w:rsidRPr="007B14CC">
        <w:t xml:space="preserve">In order to grasp the underlying concepts and ideas that are most important to the participants, the researcher used thematic analysis to find patterns and themes from the focus group data. </w:t>
      </w:r>
    </w:p>
    <w:p w14:paraId="5C9F45F5" w14:textId="77777777" w:rsidR="009D5C14" w:rsidRPr="007B14CC" w:rsidRDefault="007669F9">
      <w:pPr>
        <w:spacing w:line="360" w:lineRule="auto"/>
        <w:jc w:val="both"/>
      </w:pPr>
      <w:r w:rsidRPr="007B14CC">
        <w:t xml:space="preserve">It began with </w:t>
      </w:r>
      <w:proofErr w:type="spellStart"/>
      <w:r w:rsidRPr="007B14CC">
        <w:t>familiarising</w:t>
      </w:r>
      <w:proofErr w:type="spellEnd"/>
      <w:r w:rsidRPr="007B14CC">
        <w:t xml:space="preserve"> myself with the information, going through the data, in this case, the transcripts, several times. This procedure helped </w:t>
      </w:r>
      <w:proofErr w:type="spellStart"/>
      <w:r w:rsidRPr="007B14CC">
        <w:t>recognise</w:t>
      </w:r>
      <w:proofErr w:type="spellEnd"/>
      <w:r w:rsidRPr="007B14CC">
        <w:t xml:space="preserve"> the early ideas and thoughts and helped to obtain a thorough knowledge of the material. The significant data subsets were located which were pertinent to the research issue. The development of themes began with the identification of the foundational codes. To create themes, the patterns and relationships between the codes were identified. The general ideas or concepts that arise from the data and encapsulate what is being communicated are called themes. In order to make sure that the themes appropriately reflected the data, the themes were compared to the data sets and reviewed thoroughly. This stage served as a crucial bridge between the information collected in the data collection and the results obtained. According to Peel (2020), in thematic analysis, the large data is segmented, and then a flow gets established, leading to the identification of the problems and the probable solutions that they wished for. This helps to facilitate the development of complex knowledge of the research subject and the driving forces behind it. This particular study aimed to understand various factors and reasons that affected the healthy eating habits of students in public universities. The study extracted useful information as the student's responses were </w:t>
      </w:r>
      <w:proofErr w:type="spellStart"/>
      <w:r w:rsidRPr="007B14CC">
        <w:t>analysed</w:t>
      </w:r>
      <w:proofErr w:type="spellEnd"/>
      <w:r w:rsidRPr="007B14CC">
        <w:t xml:space="preserve"> under major themes made from their responses. It allowed the researcher to identify the stakeholders who were responsible and the policy changes they could enforce to give an appropriate solution to this pertinent issue. </w:t>
      </w:r>
    </w:p>
    <w:p w14:paraId="5C9F45F6" w14:textId="77777777" w:rsidR="009D5C14" w:rsidRPr="007B14CC" w:rsidRDefault="009D5C14">
      <w:pPr>
        <w:spacing w:line="360" w:lineRule="auto"/>
        <w:jc w:val="both"/>
        <w:rPr>
          <w:b/>
        </w:rPr>
      </w:pPr>
    </w:p>
    <w:p w14:paraId="5C9F45F7" w14:textId="77777777" w:rsidR="009D5C14" w:rsidRPr="007B14CC" w:rsidRDefault="007669F9">
      <w:pPr>
        <w:pStyle w:val="Heading1"/>
        <w:jc w:val="both"/>
      </w:pPr>
      <w:bookmarkStart w:id="10" w:name="_heading=h.2s8eyo1" w:colFirst="0" w:colLast="0"/>
      <w:bookmarkEnd w:id="10"/>
      <w:r w:rsidRPr="007B14CC">
        <w:t xml:space="preserve">Ethical considerations </w:t>
      </w:r>
    </w:p>
    <w:p w14:paraId="5C9F45F8" w14:textId="77777777" w:rsidR="009D5C14" w:rsidRPr="007B14CC" w:rsidRDefault="007669F9">
      <w:pPr>
        <w:spacing w:line="360" w:lineRule="auto"/>
        <w:jc w:val="both"/>
      </w:pPr>
      <w:r w:rsidRPr="007B14CC">
        <w:t xml:space="preserve">According to Arifin (2018), to participate in a group discussion, the participants must get complete information about the study's goals, potential risks, and advantages. Written informed consent was sought, and it explained all the aspects and details of the study very clearly and understandable. Participants' identities and other personal information were essentially kept private to safeguard their privacy, and data were reported anonymously. Participants were at all times free to leave the study at any moment without repercussions, and participants were given the voluntary back-out option. </w:t>
      </w:r>
    </w:p>
    <w:p w14:paraId="5C9F45F9" w14:textId="77777777" w:rsidR="009D5C14" w:rsidRPr="007B14CC" w:rsidRDefault="009D5C14">
      <w:pPr>
        <w:spacing w:line="360" w:lineRule="auto"/>
        <w:jc w:val="both"/>
      </w:pPr>
    </w:p>
    <w:p w14:paraId="5C9F45FA" w14:textId="77777777" w:rsidR="009D5C14" w:rsidRPr="007B14CC" w:rsidRDefault="007669F9">
      <w:pPr>
        <w:spacing w:line="360" w:lineRule="auto"/>
        <w:jc w:val="both"/>
      </w:pPr>
      <w:r w:rsidRPr="007B14CC">
        <w:t xml:space="preserve">According to Thomas (2022), a major consideration in ethics is to seek permission from the university as the discussion might involve asking questions about the university, and students might give comments. The rightful permissions were taken from the concerned university authority. Research studies involving human subjects are reviewed and approved by Institutional Review Boards, which are present in most universities (Maxwell, 2019). The IRB makes sure that the research complies with ethical guidelines and defends the participants' rights and well-being. To conduct the study on campus, the researchers did receive approval from the university administration and the pertinent department (Julien, Gross, and Latham, 2018). </w:t>
      </w:r>
    </w:p>
    <w:p w14:paraId="5C9F45FB" w14:textId="77777777" w:rsidR="009D5C14" w:rsidRPr="007B14CC" w:rsidRDefault="009D5C14">
      <w:pPr>
        <w:spacing w:line="360" w:lineRule="auto"/>
        <w:jc w:val="both"/>
      </w:pPr>
    </w:p>
    <w:p w14:paraId="5C9F45FC" w14:textId="77777777" w:rsidR="009D5C14" w:rsidRPr="007B14CC" w:rsidRDefault="007669F9">
      <w:pPr>
        <w:pStyle w:val="Heading1"/>
        <w:jc w:val="both"/>
      </w:pPr>
      <w:bookmarkStart w:id="11" w:name="_heading=h.17dp8vu" w:colFirst="0" w:colLast="0"/>
      <w:bookmarkEnd w:id="11"/>
      <w:r w:rsidRPr="007B14CC">
        <w:t xml:space="preserve">Results </w:t>
      </w:r>
    </w:p>
    <w:p w14:paraId="5C9F45FD" w14:textId="77777777" w:rsidR="009D5C14" w:rsidRPr="007B14CC" w:rsidRDefault="007669F9">
      <w:pPr>
        <w:spacing w:line="360" w:lineRule="auto"/>
        <w:jc w:val="both"/>
      </w:pPr>
      <w:r w:rsidRPr="007B14CC">
        <w:t>According to the speakers in the group discussion, a healthy person is someone without any diseases and also showcases a normal BMI. In this context, speaker 1 said</w:t>
      </w:r>
      <w:r w:rsidRPr="007B14CC">
        <w:rPr>
          <w:i/>
        </w:rPr>
        <w:t xml:space="preserve"> “healthy person is a person devoid of any diseases”</w:t>
      </w:r>
      <w:r w:rsidRPr="007B14CC">
        <w:rPr>
          <w:rFonts w:ascii="Calibri" w:eastAsia="Calibri" w:hAnsi="Calibri" w:cs="Calibri"/>
        </w:rPr>
        <w:t>.</w:t>
      </w:r>
      <w:r w:rsidRPr="007B14CC">
        <w:t xml:space="preserve"> The majority of them believed the irregular time schedule impacts their eating habits. Many of the participants believed that the main barrier for students is the class schedule. Adding to this point, speaker 5 said </w:t>
      </w:r>
      <w:r w:rsidRPr="007B14CC">
        <w:rPr>
          <w:i/>
        </w:rPr>
        <w:t xml:space="preserve">“Of course, the time schedule is the main problem for human students because they got various time, schedule and timetable for classes.” </w:t>
      </w:r>
      <w:r w:rsidRPr="007B14CC">
        <w:t xml:space="preserve">Another major factor is the expense of the materials to cook. According to the speakers, sleep becomes a crucial aspect that impacts their healthy eating habits as they struggle with the right amount of sleep and cooking their own meals after all their work and studying. Also, the unavailability of proper ingredients easily impacts their eating habits as they are unable to cook what they like and hence rely on frozen food, which they are not used to normally. The participants  think that the university must give students exclusive offers in supermarkets and also introduce free meal services in the cafeteria. Therefore, it is clearly understood that the overall culture, practices, and also university itself are responsible for their shifting and deteriorating food habits. The university has to pay attention to aspects that are causing these students to skip meals, be deprived of quality meals and have sufficient time to get their meals sorted by involving various departments such as administration and cafeteria and also instruct change in their policies. </w:t>
      </w:r>
    </w:p>
    <w:p w14:paraId="5C9F45FE" w14:textId="77777777" w:rsidR="009D5C14" w:rsidRPr="007B14CC" w:rsidRDefault="007669F9">
      <w:pPr>
        <w:spacing w:line="360" w:lineRule="auto"/>
        <w:jc w:val="both"/>
      </w:pPr>
      <w:r w:rsidRPr="007B14CC">
        <w:rPr>
          <w:noProof/>
        </w:rPr>
        <w:drawing>
          <wp:anchor distT="0" distB="0" distL="114300" distR="114300" simplePos="0" relativeHeight="251658240" behindDoc="0" locked="0" layoutInCell="1" hidden="0" allowOverlap="1" wp14:anchorId="5C9F4656" wp14:editId="5C9F4657">
            <wp:simplePos x="0" y="0"/>
            <wp:positionH relativeFrom="column">
              <wp:posOffset>586740</wp:posOffset>
            </wp:positionH>
            <wp:positionV relativeFrom="paragraph">
              <wp:posOffset>7620</wp:posOffset>
            </wp:positionV>
            <wp:extent cx="4709160" cy="3345717"/>
            <wp:effectExtent l="0" t="0" r="0" b="0"/>
            <wp:wrapSquare wrapText="bothSides" distT="0" distB="0" distL="114300" distR="11430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09160" cy="3345717"/>
                    </a:xfrm>
                    <a:prstGeom prst="rect">
                      <a:avLst/>
                    </a:prstGeom>
                    <a:ln/>
                  </pic:spPr>
                </pic:pic>
              </a:graphicData>
            </a:graphic>
          </wp:anchor>
        </w:drawing>
      </w:r>
    </w:p>
    <w:p w14:paraId="5C9F45FF" w14:textId="77777777" w:rsidR="009D5C14" w:rsidRPr="007B14CC" w:rsidRDefault="009D5C14">
      <w:pPr>
        <w:spacing w:line="360" w:lineRule="auto"/>
        <w:jc w:val="both"/>
      </w:pPr>
    </w:p>
    <w:p w14:paraId="5C9F4600" w14:textId="77777777" w:rsidR="009D5C14" w:rsidRPr="007B14CC" w:rsidRDefault="009D5C14">
      <w:pPr>
        <w:spacing w:line="360" w:lineRule="auto"/>
        <w:jc w:val="both"/>
      </w:pPr>
    </w:p>
    <w:p w14:paraId="5C9F4601" w14:textId="77777777" w:rsidR="009D5C14" w:rsidRPr="007B14CC" w:rsidRDefault="009D5C14">
      <w:pPr>
        <w:spacing w:line="360" w:lineRule="auto"/>
        <w:jc w:val="both"/>
      </w:pPr>
    </w:p>
    <w:p w14:paraId="5C9F4602" w14:textId="77777777" w:rsidR="009D5C14" w:rsidRPr="007B14CC" w:rsidRDefault="009D5C14">
      <w:pPr>
        <w:spacing w:line="360" w:lineRule="auto"/>
        <w:jc w:val="both"/>
      </w:pPr>
    </w:p>
    <w:p w14:paraId="5C9F4603" w14:textId="77777777" w:rsidR="009D5C14" w:rsidRPr="007B14CC" w:rsidRDefault="009D5C14">
      <w:pPr>
        <w:spacing w:line="360" w:lineRule="auto"/>
        <w:jc w:val="both"/>
      </w:pPr>
    </w:p>
    <w:p w14:paraId="5C9F4604" w14:textId="77777777" w:rsidR="009D5C14" w:rsidRPr="007B14CC" w:rsidRDefault="009D5C14">
      <w:pPr>
        <w:spacing w:line="360" w:lineRule="auto"/>
        <w:jc w:val="both"/>
      </w:pPr>
    </w:p>
    <w:p w14:paraId="5C9F4605" w14:textId="77777777" w:rsidR="009D5C14" w:rsidRPr="007B14CC" w:rsidRDefault="009D5C14">
      <w:pPr>
        <w:spacing w:line="360" w:lineRule="auto"/>
        <w:jc w:val="both"/>
      </w:pPr>
    </w:p>
    <w:p w14:paraId="5C9F4606" w14:textId="77777777" w:rsidR="009D5C14" w:rsidRPr="007B14CC" w:rsidRDefault="009D5C14">
      <w:pPr>
        <w:spacing w:line="360" w:lineRule="auto"/>
        <w:jc w:val="both"/>
      </w:pPr>
    </w:p>
    <w:p w14:paraId="5C9F4607" w14:textId="77777777" w:rsidR="009D5C14" w:rsidRPr="007B14CC" w:rsidRDefault="009D5C14">
      <w:pPr>
        <w:spacing w:line="360" w:lineRule="auto"/>
        <w:jc w:val="both"/>
      </w:pPr>
    </w:p>
    <w:p w14:paraId="5C9F4608" w14:textId="77777777" w:rsidR="009D5C14" w:rsidRPr="007B14CC" w:rsidRDefault="009D5C14">
      <w:pPr>
        <w:spacing w:line="360" w:lineRule="auto"/>
        <w:jc w:val="both"/>
      </w:pPr>
    </w:p>
    <w:p w14:paraId="5C9F4609" w14:textId="77777777" w:rsidR="009D5C14" w:rsidRPr="007B14CC" w:rsidRDefault="009D5C14">
      <w:pPr>
        <w:spacing w:line="360" w:lineRule="auto"/>
        <w:jc w:val="both"/>
      </w:pPr>
    </w:p>
    <w:p w14:paraId="5C9F460A" w14:textId="77777777" w:rsidR="009D5C14" w:rsidRPr="007B14CC" w:rsidRDefault="009D5C14">
      <w:pPr>
        <w:spacing w:line="360" w:lineRule="auto"/>
        <w:jc w:val="both"/>
      </w:pPr>
    </w:p>
    <w:p w14:paraId="5C9F460B" w14:textId="77777777" w:rsidR="009D5C14" w:rsidRPr="007B14CC" w:rsidRDefault="009D5C14">
      <w:pPr>
        <w:spacing w:line="360" w:lineRule="auto"/>
        <w:jc w:val="both"/>
      </w:pPr>
    </w:p>
    <w:p w14:paraId="5C9F460C" w14:textId="77777777" w:rsidR="009D5C14" w:rsidRPr="007B14CC" w:rsidRDefault="009D5C14">
      <w:pPr>
        <w:spacing w:line="360" w:lineRule="auto"/>
        <w:jc w:val="both"/>
      </w:pPr>
    </w:p>
    <w:p w14:paraId="5C9F460D" w14:textId="77777777" w:rsidR="009D5C14" w:rsidRPr="007B14CC" w:rsidRDefault="009D5C14">
      <w:pPr>
        <w:spacing w:line="360" w:lineRule="auto"/>
        <w:jc w:val="both"/>
        <w:rPr>
          <w:b/>
        </w:rPr>
      </w:pPr>
    </w:p>
    <w:p w14:paraId="5C9F460E" w14:textId="77777777" w:rsidR="009D5C14" w:rsidRPr="007B14CC" w:rsidRDefault="007669F9">
      <w:pPr>
        <w:spacing w:line="360" w:lineRule="auto"/>
        <w:jc w:val="center"/>
        <w:rPr>
          <w:b/>
        </w:rPr>
      </w:pPr>
      <w:r w:rsidRPr="007B14CC">
        <w:rPr>
          <w:b/>
        </w:rPr>
        <w:t>Figure: Thematic Map</w:t>
      </w:r>
    </w:p>
    <w:p w14:paraId="5C9F460F" w14:textId="77777777" w:rsidR="009D5C14" w:rsidRPr="007B14CC" w:rsidRDefault="007669F9">
      <w:pPr>
        <w:spacing w:line="360" w:lineRule="auto"/>
        <w:jc w:val="center"/>
        <w:rPr>
          <w:b/>
        </w:rPr>
      </w:pPr>
      <w:r w:rsidRPr="007B14CC">
        <w:rPr>
          <w:b/>
        </w:rPr>
        <w:t>Source: (Self-made)</w:t>
      </w:r>
    </w:p>
    <w:p w14:paraId="5C9F4610" w14:textId="77777777" w:rsidR="009D5C14" w:rsidRPr="007B14CC" w:rsidRDefault="007669F9">
      <w:pPr>
        <w:pStyle w:val="Heading1"/>
        <w:jc w:val="both"/>
      </w:pPr>
      <w:bookmarkStart w:id="12" w:name="_heading=h.3rdcrjn" w:colFirst="0" w:colLast="0"/>
      <w:bookmarkEnd w:id="12"/>
      <w:r w:rsidRPr="007B14CC">
        <w:t xml:space="preserve">Discussion </w:t>
      </w:r>
    </w:p>
    <w:p w14:paraId="5C9F4611" w14:textId="77777777" w:rsidR="009D5C14" w:rsidRPr="007B14CC" w:rsidRDefault="007669F9">
      <w:pPr>
        <w:spacing w:line="360" w:lineRule="auto"/>
        <w:jc w:val="both"/>
        <w:rPr>
          <w:b/>
        </w:rPr>
      </w:pPr>
      <w:r w:rsidRPr="007B14CC">
        <w:rPr>
          <w:b/>
        </w:rPr>
        <w:t xml:space="preserve">A healthy body and a healthy person </w:t>
      </w:r>
    </w:p>
    <w:p w14:paraId="5C9F4612" w14:textId="77777777" w:rsidR="009D5C14" w:rsidRPr="007B14CC" w:rsidRDefault="007669F9">
      <w:pPr>
        <w:spacing w:line="360" w:lineRule="auto"/>
        <w:jc w:val="both"/>
      </w:pPr>
      <w:r w:rsidRPr="007B14CC">
        <w:t>Many of the speakers say that it is attributed to the mental and physical aspects, as how a person feels in their mind has a deep impact on their body. Depending on the situation and the person's viewpoint, the concept of "healthy" can change. A person is generally seen as being healthy if they are free from bodily and mental diseases and have a high level of physical, emotional, and social well-being (</w:t>
      </w:r>
      <w:proofErr w:type="spellStart"/>
      <w:r w:rsidRPr="007B14CC">
        <w:t>Godinić</w:t>
      </w:r>
      <w:proofErr w:type="spellEnd"/>
      <w:r w:rsidRPr="007B14CC">
        <w:t xml:space="preserve"> and </w:t>
      </w:r>
      <w:proofErr w:type="spellStart"/>
      <w:r w:rsidRPr="007B14CC">
        <w:t>Obrenovic</w:t>
      </w:r>
      <w:proofErr w:type="spellEnd"/>
      <w:r w:rsidRPr="007B14CC">
        <w:t xml:space="preserve">, 2020). </w:t>
      </w:r>
    </w:p>
    <w:p w14:paraId="5C9F4613" w14:textId="77777777" w:rsidR="009D5C14" w:rsidRPr="007B14CC" w:rsidRDefault="009D5C14">
      <w:pPr>
        <w:spacing w:line="360" w:lineRule="auto"/>
        <w:jc w:val="both"/>
        <w:rPr>
          <w:b/>
        </w:rPr>
      </w:pPr>
    </w:p>
    <w:p w14:paraId="5C9F4614" w14:textId="77777777" w:rsidR="009D5C14" w:rsidRPr="007B14CC" w:rsidRDefault="007669F9">
      <w:pPr>
        <w:spacing w:line="360" w:lineRule="auto"/>
        <w:jc w:val="both"/>
        <w:rPr>
          <w:b/>
        </w:rPr>
      </w:pPr>
      <w:r w:rsidRPr="007B14CC">
        <w:rPr>
          <w:b/>
        </w:rPr>
        <w:t xml:space="preserve">Factors influencing eating habits </w:t>
      </w:r>
    </w:p>
    <w:p w14:paraId="5C9F4615" w14:textId="77777777" w:rsidR="009D5C14" w:rsidRPr="007B14CC" w:rsidRDefault="007669F9">
      <w:pPr>
        <w:spacing w:line="360" w:lineRule="auto"/>
        <w:jc w:val="both"/>
      </w:pPr>
      <w:r w:rsidRPr="007B14CC">
        <w:t xml:space="preserve">Students often skip their meals to attend classes. Also, the lack of proper sleep in a new place and the choice of food items do also impact their eating cycle and habits. Also, according to Wilkins and </w:t>
      </w:r>
      <w:proofErr w:type="spellStart"/>
      <w:r w:rsidRPr="007B14CC">
        <w:t>Neri</w:t>
      </w:r>
      <w:proofErr w:type="spellEnd"/>
      <w:r w:rsidRPr="007B14CC">
        <w:t xml:space="preserve">, (2019), International students often feel alienated in a foreign environment and can't adjust to the local culture and practices. The students are all Indians, and hence, their cooking and eating habits are very different. They don't have kitchens or availability of cooking essentials that they are used to. The authors Nemeth </w:t>
      </w:r>
      <w:r w:rsidRPr="007B14CC">
        <w:rPr>
          <w:i/>
        </w:rPr>
        <w:t xml:space="preserve">et al., </w:t>
      </w:r>
      <w:r w:rsidRPr="007B14CC">
        <w:t xml:space="preserve">(2019) exclaimed that eating habits and food choices have become a hindrance for overseas students in the UK. The university schedule also is a major barrier for them in the UK. </w:t>
      </w:r>
    </w:p>
    <w:p w14:paraId="5C9F4616" w14:textId="77777777" w:rsidR="009D5C14" w:rsidRPr="007B14CC" w:rsidRDefault="009D5C14">
      <w:pPr>
        <w:spacing w:line="360" w:lineRule="auto"/>
        <w:jc w:val="both"/>
        <w:rPr>
          <w:b/>
        </w:rPr>
      </w:pPr>
    </w:p>
    <w:p w14:paraId="5C9F4617" w14:textId="77777777" w:rsidR="009D5C14" w:rsidRPr="007B14CC" w:rsidRDefault="007669F9">
      <w:pPr>
        <w:spacing w:line="360" w:lineRule="auto"/>
        <w:jc w:val="both"/>
        <w:rPr>
          <w:b/>
        </w:rPr>
      </w:pPr>
      <w:r w:rsidRPr="007B14CC">
        <w:rPr>
          <w:b/>
        </w:rPr>
        <w:t xml:space="preserve">Specific factors that impact healthy eating </w:t>
      </w:r>
    </w:p>
    <w:p w14:paraId="5C9F4618" w14:textId="77777777" w:rsidR="009D5C14" w:rsidRPr="007B14CC" w:rsidRDefault="007669F9">
      <w:pPr>
        <w:spacing w:line="360" w:lineRule="auto"/>
        <w:jc w:val="both"/>
      </w:pPr>
      <w:r w:rsidRPr="007B14CC">
        <w:t xml:space="preserve">According to Stone </w:t>
      </w:r>
      <w:r w:rsidRPr="007B14CC">
        <w:rPr>
          <w:i/>
        </w:rPr>
        <w:t>et al.,</w:t>
      </w:r>
      <w:r w:rsidRPr="007B14CC">
        <w:t xml:space="preserve"> (2018), The lack of proper healthy drinking water is also another impact. It may be challenging for Indian students to discover cuisines they like because they are unfamiliar with the usual culinary items consumed in the UK. Although Indian food is popular in the UK, not all places may have access to it, which may restrict the options available to Indian students. Weaver et al., (2020), identified that students in the UK face financial issues and a lack of social support, which hampers their eating habits. Students who lack information about nutrition and proper eating practices may choose unhealthy foods. Peer pressure can affect a student's eating habits because some social groups tend to </w:t>
      </w:r>
      <w:proofErr w:type="spellStart"/>
      <w:r w:rsidRPr="007B14CC">
        <w:t>favour</w:t>
      </w:r>
      <w:proofErr w:type="spellEnd"/>
      <w:r w:rsidRPr="007B14CC">
        <w:t xml:space="preserve"> poor food choices.</w:t>
      </w:r>
    </w:p>
    <w:p w14:paraId="5C9F4619" w14:textId="77777777" w:rsidR="009D5C14" w:rsidRPr="007B14CC" w:rsidRDefault="009D5C14">
      <w:pPr>
        <w:spacing w:line="360" w:lineRule="auto"/>
        <w:jc w:val="both"/>
      </w:pPr>
    </w:p>
    <w:p w14:paraId="5C9F461A" w14:textId="77777777" w:rsidR="009D5C14" w:rsidRPr="007B14CC" w:rsidRDefault="007669F9">
      <w:pPr>
        <w:spacing w:line="360" w:lineRule="auto"/>
        <w:jc w:val="both"/>
        <w:rPr>
          <w:b/>
        </w:rPr>
      </w:pPr>
      <w:r w:rsidRPr="007B14CC">
        <w:rPr>
          <w:b/>
        </w:rPr>
        <w:t xml:space="preserve">Suggestions and recommendations for improvement of the condition </w:t>
      </w:r>
    </w:p>
    <w:p w14:paraId="5C9F461B" w14:textId="77777777" w:rsidR="009D5C14" w:rsidRPr="007B14CC" w:rsidRDefault="007669F9">
      <w:pPr>
        <w:spacing w:line="360" w:lineRule="auto"/>
        <w:jc w:val="both"/>
      </w:pPr>
      <w:r w:rsidRPr="007B14CC">
        <w:t xml:space="preserve">Proper structuring of the schedule to </w:t>
      </w:r>
      <w:proofErr w:type="spellStart"/>
      <w:r w:rsidRPr="007B14CC">
        <w:t>emphasise</w:t>
      </w:r>
      <w:proofErr w:type="spellEnd"/>
      <w:r w:rsidRPr="007B14CC">
        <w:t xml:space="preserve"> lunchtime and breakfast would really help the students build healthy eating habits. The availability of quality packaged food in terms of protein bars and candy on the university campus for students to munch between classes. Also, Choudhary (2019), stated that the availability of discount coupons for grocery stores can also help Indian students to get their required ingredients at an affordable price. </w:t>
      </w:r>
    </w:p>
    <w:p w14:paraId="5C9F461C" w14:textId="77777777" w:rsidR="009D5C14" w:rsidRPr="007B14CC" w:rsidRDefault="009D5C14">
      <w:pPr>
        <w:spacing w:line="360" w:lineRule="auto"/>
        <w:jc w:val="both"/>
      </w:pPr>
    </w:p>
    <w:p w14:paraId="5C9F461D" w14:textId="77777777" w:rsidR="009D5C14" w:rsidRPr="007B14CC" w:rsidRDefault="007669F9">
      <w:pPr>
        <w:pStyle w:val="Heading1"/>
        <w:jc w:val="both"/>
      </w:pPr>
      <w:bookmarkStart w:id="13" w:name="_heading=h.26in1rg" w:colFirst="0" w:colLast="0"/>
      <w:bookmarkEnd w:id="13"/>
      <w:r w:rsidRPr="007B14CC">
        <w:t xml:space="preserve">Conclusion </w:t>
      </w:r>
    </w:p>
    <w:p w14:paraId="5C9F461E" w14:textId="77777777" w:rsidR="009D5C14" w:rsidRPr="007B14CC" w:rsidRDefault="007669F9">
      <w:pPr>
        <w:spacing w:line="360" w:lineRule="auto"/>
        <w:jc w:val="both"/>
      </w:pPr>
      <w:r w:rsidRPr="007B14CC">
        <w:t xml:space="preserve">It is quite evident through the entire report and from the responses of the PG students that there is a serious eating problem that persists. The issues range from the improper schedule, unavailability of proper ingredients or, at times, insufficient money to buy quality food. Because these young students have left home to study, they need the right kind of nutrition and follow proper eating habits. The university and the responsible administration should look into the matter to help the students and ensure quality and proper eating habits are followed by them. </w:t>
      </w:r>
    </w:p>
    <w:p w14:paraId="5C9F461F" w14:textId="77777777" w:rsidR="009D5C14" w:rsidRPr="007B14CC" w:rsidRDefault="007669F9">
      <w:pPr>
        <w:spacing w:line="360" w:lineRule="auto"/>
        <w:jc w:val="both"/>
        <w:rPr>
          <w:b/>
          <w:sz w:val="28"/>
          <w:szCs w:val="28"/>
        </w:rPr>
      </w:pPr>
      <w:r w:rsidRPr="007B14CC">
        <w:br w:type="page"/>
      </w:r>
    </w:p>
    <w:p w14:paraId="5C9F4620" w14:textId="77777777" w:rsidR="009D5C14" w:rsidRPr="007B14CC" w:rsidRDefault="007669F9">
      <w:pPr>
        <w:pStyle w:val="Heading1"/>
        <w:jc w:val="both"/>
      </w:pPr>
      <w:bookmarkStart w:id="14" w:name="_heading=h.lnxbz9" w:colFirst="0" w:colLast="0"/>
      <w:bookmarkEnd w:id="14"/>
      <w:r w:rsidRPr="007B14CC">
        <w:t>References</w:t>
      </w:r>
    </w:p>
    <w:p w14:paraId="5C9F4621" w14:textId="77777777" w:rsidR="009D5C14" w:rsidRPr="007B14CC" w:rsidRDefault="007669F9">
      <w:pPr>
        <w:spacing w:line="360" w:lineRule="auto"/>
        <w:jc w:val="both"/>
        <w:rPr>
          <w:color w:val="222222"/>
        </w:rPr>
      </w:pPr>
      <w:r w:rsidRPr="007B14CC">
        <w:rPr>
          <w:color w:val="222222"/>
        </w:rPr>
        <w:t xml:space="preserve">Adler, K., </w:t>
      </w:r>
      <w:proofErr w:type="spellStart"/>
      <w:r w:rsidRPr="007B14CC">
        <w:rPr>
          <w:color w:val="222222"/>
        </w:rPr>
        <w:t>Salanterä</w:t>
      </w:r>
      <w:proofErr w:type="spellEnd"/>
      <w:r w:rsidRPr="007B14CC">
        <w:rPr>
          <w:color w:val="222222"/>
        </w:rPr>
        <w:t xml:space="preserve">, S. and </w:t>
      </w:r>
      <w:proofErr w:type="spellStart"/>
      <w:r w:rsidRPr="007B14CC">
        <w:rPr>
          <w:color w:val="222222"/>
        </w:rPr>
        <w:t>Zumstein-Shaha</w:t>
      </w:r>
      <w:proofErr w:type="spellEnd"/>
      <w:r w:rsidRPr="007B14CC">
        <w:rPr>
          <w:color w:val="222222"/>
        </w:rPr>
        <w:t xml:space="preserve">, M., 2019. Focus group interviews in child, youth, and parent research: An integrative literature review. </w:t>
      </w:r>
      <w:r w:rsidRPr="007B14CC">
        <w:rPr>
          <w:i/>
          <w:color w:val="222222"/>
        </w:rPr>
        <w:t>International Journal of Qualitative Methods</w:t>
      </w:r>
      <w:r w:rsidRPr="007B14CC">
        <w:rPr>
          <w:color w:val="222222"/>
        </w:rPr>
        <w:t xml:space="preserve">, </w:t>
      </w:r>
      <w:r w:rsidRPr="007B14CC">
        <w:rPr>
          <w:i/>
          <w:color w:val="222222"/>
        </w:rPr>
        <w:t>18</w:t>
      </w:r>
      <w:r w:rsidRPr="007B14CC">
        <w:rPr>
          <w:color w:val="222222"/>
        </w:rPr>
        <w:t xml:space="preserve">, p.1609406919887274. Available at: </w:t>
      </w:r>
      <w:hyperlink r:id="rId11">
        <w:r w:rsidRPr="007B14CC">
          <w:rPr>
            <w:color w:val="1155CC"/>
            <w:u w:val="single"/>
          </w:rPr>
          <w:t>https://journals.sagepub.com/doi/pdf/10.1177/1609406919887274</w:t>
        </w:r>
      </w:hyperlink>
      <w:r w:rsidRPr="007B14CC">
        <w:rPr>
          <w:color w:val="222222"/>
        </w:rPr>
        <w:t xml:space="preserve"> (Accessed: 31 March 2023)</w:t>
      </w:r>
    </w:p>
    <w:p w14:paraId="5C9F4622" w14:textId="77777777" w:rsidR="009D5C14" w:rsidRPr="007B14CC" w:rsidRDefault="007669F9">
      <w:pPr>
        <w:spacing w:line="360" w:lineRule="auto"/>
        <w:jc w:val="both"/>
        <w:rPr>
          <w:color w:val="222222"/>
        </w:rPr>
      </w:pPr>
      <w:r w:rsidRPr="007B14CC">
        <w:rPr>
          <w:color w:val="222222"/>
        </w:rPr>
        <w:t xml:space="preserve">Anis, M.Z.A., Susanto, H. and </w:t>
      </w:r>
      <w:proofErr w:type="spellStart"/>
      <w:r w:rsidRPr="007B14CC">
        <w:rPr>
          <w:color w:val="222222"/>
        </w:rPr>
        <w:t>Mariani</w:t>
      </w:r>
      <w:proofErr w:type="spellEnd"/>
      <w:r w:rsidRPr="007B14CC">
        <w:rPr>
          <w:color w:val="222222"/>
        </w:rPr>
        <w:t xml:space="preserve">, F., 2021, February. Analysis of the Effectiveness of MPBH: The Mains of </w:t>
      </w:r>
      <w:proofErr w:type="spellStart"/>
      <w:r w:rsidRPr="007B14CC">
        <w:rPr>
          <w:color w:val="222222"/>
        </w:rPr>
        <w:t>Mandai</w:t>
      </w:r>
      <w:proofErr w:type="spellEnd"/>
      <w:r w:rsidRPr="007B14CC">
        <w:rPr>
          <w:color w:val="222222"/>
        </w:rPr>
        <w:t xml:space="preserve"> as a Saving Food in Banjarmasin Community. In the 2nd</w:t>
      </w:r>
      <w:r w:rsidRPr="007B14CC">
        <w:rPr>
          <w:i/>
          <w:color w:val="222222"/>
        </w:rPr>
        <w:t xml:space="preserve"> International Conference on Social Sciences Education (ICSSE 2020)</w:t>
      </w:r>
      <w:r w:rsidRPr="007B14CC">
        <w:rPr>
          <w:color w:val="222222"/>
        </w:rPr>
        <w:t xml:space="preserve"> (pp. 89-94). Atlantis Press. Available at: </w:t>
      </w:r>
      <w:hyperlink r:id="rId12">
        <w:r w:rsidRPr="007B14CC">
          <w:rPr>
            <w:color w:val="1155CC"/>
            <w:u w:val="single"/>
          </w:rPr>
          <w:t>https://www.atlantis-press.com/proceedings/icsse-20/125953072</w:t>
        </w:r>
      </w:hyperlink>
      <w:r w:rsidRPr="007B14CC">
        <w:rPr>
          <w:color w:val="222222"/>
        </w:rPr>
        <w:t xml:space="preserve"> (Accessed: 23 March 2023)</w:t>
      </w:r>
    </w:p>
    <w:p w14:paraId="5C9F4623" w14:textId="77777777" w:rsidR="009D5C14" w:rsidRPr="007B14CC" w:rsidRDefault="007669F9">
      <w:pPr>
        <w:spacing w:line="360" w:lineRule="auto"/>
        <w:jc w:val="both"/>
        <w:rPr>
          <w:color w:val="222222"/>
        </w:rPr>
      </w:pPr>
      <w:r w:rsidRPr="007B14CC">
        <w:rPr>
          <w:color w:val="222222"/>
        </w:rPr>
        <w:t xml:space="preserve">Arifin, S.R.M., 2018. Ethical considerations in a qualitative study. </w:t>
      </w:r>
      <w:r w:rsidRPr="007B14CC">
        <w:rPr>
          <w:i/>
          <w:color w:val="222222"/>
        </w:rPr>
        <w:t>International Journal of care scholars</w:t>
      </w:r>
      <w:r w:rsidRPr="007B14CC">
        <w:rPr>
          <w:color w:val="222222"/>
        </w:rPr>
        <w:t xml:space="preserve">, 1(2), pp.30-33. Available at: </w:t>
      </w:r>
      <w:hyperlink r:id="rId13">
        <w:r w:rsidRPr="007B14CC">
          <w:rPr>
            <w:color w:val="1155CC"/>
            <w:u w:val="single"/>
          </w:rPr>
          <w:t>https://journals.iium.edu.my/ijcs/index.php/ijcs/article/view/82</w:t>
        </w:r>
      </w:hyperlink>
      <w:r w:rsidRPr="007B14CC">
        <w:rPr>
          <w:color w:val="222222"/>
        </w:rPr>
        <w:t xml:space="preserve"> (Accessed: 23 March 2023). </w:t>
      </w:r>
    </w:p>
    <w:p w14:paraId="5C9F4624" w14:textId="77777777" w:rsidR="009D5C14" w:rsidRPr="007B14CC" w:rsidRDefault="007669F9">
      <w:pPr>
        <w:spacing w:line="360" w:lineRule="auto"/>
        <w:jc w:val="both"/>
        <w:rPr>
          <w:color w:val="222222"/>
        </w:rPr>
      </w:pPr>
      <w:proofErr w:type="spellStart"/>
      <w:r w:rsidRPr="007B14CC">
        <w:rPr>
          <w:color w:val="222222"/>
        </w:rPr>
        <w:t>Basias</w:t>
      </w:r>
      <w:proofErr w:type="spellEnd"/>
      <w:r w:rsidRPr="007B14CC">
        <w:rPr>
          <w:color w:val="222222"/>
        </w:rPr>
        <w:t xml:space="preserve">, N. and </w:t>
      </w:r>
      <w:proofErr w:type="spellStart"/>
      <w:r w:rsidRPr="007B14CC">
        <w:rPr>
          <w:color w:val="222222"/>
        </w:rPr>
        <w:t>Pollalis</w:t>
      </w:r>
      <w:proofErr w:type="spellEnd"/>
      <w:r w:rsidRPr="007B14CC">
        <w:rPr>
          <w:color w:val="222222"/>
        </w:rPr>
        <w:t xml:space="preserve">, Y., 2018. Quantitative and qualitative research in business &amp; technology: Justifying a suitable research methodology. </w:t>
      </w:r>
      <w:r w:rsidRPr="007B14CC">
        <w:rPr>
          <w:i/>
          <w:color w:val="222222"/>
        </w:rPr>
        <w:t xml:space="preserve">Review of Integrative Business and Economics Research, </w:t>
      </w:r>
      <w:r w:rsidRPr="007B14CC">
        <w:rPr>
          <w:color w:val="222222"/>
        </w:rPr>
        <w:t xml:space="preserve">7, pp.91-105. Available at: </w:t>
      </w:r>
      <w:hyperlink r:id="rId14">
        <w:r w:rsidRPr="007B14CC">
          <w:rPr>
            <w:color w:val="1155CC"/>
            <w:u w:val="single"/>
          </w:rPr>
          <w:t>https://sibresearch.org/uploads/3/4/0/9/34097180/riber_7-s1_sp_h17-083_91-105.pdf</w:t>
        </w:r>
      </w:hyperlink>
      <w:r w:rsidRPr="007B14CC">
        <w:rPr>
          <w:color w:val="222222"/>
        </w:rPr>
        <w:t xml:space="preserve"> (Accessed: 23 March 2023). </w:t>
      </w:r>
    </w:p>
    <w:p w14:paraId="5C9F4625" w14:textId="77777777" w:rsidR="009D5C14" w:rsidRPr="007B14CC" w:rsidRDefault="007669F9">
      <w:pPr>
        <w:spacing w:line="360" w:lineRule="auto"/>
        <w:jc w:val="both"/>
        <w:rPr>
          <w:color w:val="222222"/>
        </w:rPr>
      </w:pPr>
      <w:r w:rsidRPr="007B14CC">
        <w:rPr>
          <w:color w:val="222222"/>
        </w:rPr>
        <w:t xml:space="preserve">Birmingham, W.C., Wadsworth, L.L., </w:t>
      </w:r>
      <w:proofErr w:type="spellStart"/>
      <w:r w:rsidRPr="007B14CC">
        <w:rPr>
          <w:color w:val="222222"/>
        </w:rPr>
        <w:t>Lassetter</w:t>
      </w:r>
      <w:proofErr w:type="spellEnd"/>
      <w:r w:rsidRPr="007B14CC">
        <w:rPr>
          <w:color w:val="222222"/>
        </w:rPr>
        <w:t xml:space="preserve">, J.H., Graff, T.C., Lauren, E. and Hung, M., 2021. COVID-19 lockdown: Impact on college students’ lives. </w:t>
      </w:r>
      <w:r w:rsidRPr="007B14CC">
        <w:rPr>
          <w:i/>
          <w:color w:val="222222"/>
        </w:rPr>
        <w:t>Journal of American College Health</w:t>
      </w:r>
      <w:r w:rsidRPr="007B14CC">
        <w:rPr>
          <w:color w:val="222222"/>
        </w:rPr>
        <w:t xml:space="preserve">, pp.1-15. Available at: </w:t>
      </w:r>
      <w:hyperlink r:id="rId15">
        <w:r w:rsidRPr="007B14CC">
          <w:rPr>
            <w:color w:val="1155CC"/>
            <w:u w:val="single"/>
          </w:rPr>
          <w:t>https://www.tandfonline.com/doi/abs/10.1080/07448481.2021.1909041</w:t>
        </w:r>
      </w:hyperlink>
      <w:r w:rsidRPr="007B14CC">
        <w:rPr>
          <w:color w:val="222222"/>
        </w:rPr>
        <w:t xml:space="preserve"> (Accessed: 23 March 2023)</w:t>
      </w:r>
    </w:p>
    <w:p w14:paraId="5C9F4626" w14:textId="77777777" w:rsidR="009D5C14" w:rsidRPr="007B14CC" w:rsidRDefault="007669F9">
      <w:pPr>
        <w:spacing w:line="360" w:lineRule="auto"/>
        <w:jc w:val="both"/>
        <w:rPr>
          <w:color w:val="222222"/>
        </w:rPr>
      </w:pPr>
      <w:proofErr w:type="spellStart"/>
      <w:r w:rsidRPr="007B14CC">
        <w:rPr>
          <w:color w:val="222222"/>
        </w:rPr>
        <w:t>Bleiker</w:t>
      </w:r>
      <w:proofErr w:type="spellEnd"/>
      <w:r w:rsidRPr="007B14CC">
        <w:rPr>
          <w:color w:val="222222"/>
        </w:rPr>
        <w:t>, J., Morgan-Trimmer, S., Knapp, K. and Hopkins, S., 2019. Navigating the maze: Qualitative research methodologies and their philosophical foundations</w:t>
      </w:r>
      <w:r w:rsidRPr="007B14CC">
        <w:rPr>
          <w:i/>
          <w:color w:val="222222"/>
        </w:rPr>
        <w:t>. Radiography</w:t>
      </w:r>
      <w:r w:rsidRPr="007B14CC">
        <w:rPr>
          <w:color w:val="222222"/>
        </w:rPr>
        <w:t xml:space="preserve">, 25, pp.S4-S8. Available at: </w:t>
      </w:r>
      <w:hyperlink r:id="rId16">
        <w:r w:rsidRPr="007B14CC">
          <w:rPr>
            <w:color w:val="1155CC"/>
            <w:u w:val="single"/>
          </w:rPr>
          <w:t>https://www.sciencedirect.com/science/article/pii/S1078817419300902</w:t>
        </w:r>
      </w:hyperlink>
      <w:r w:rsidRPr="007B14CC">
        <w:rPr>
          <w:color w:val="222222"/>
        </w:rPr>
        <w:t xml:space="preserve"> (Accessed: 23 March 2023). </w:t>
      </w:r>
    </w:p>
    <w:p w14:paraId="5C9F4627" w14:textId="77777777" w:rsidR="009D5C14" w:rsidRPr="007B14CC" w:rsidRDefault="007669F9">
      <w:pPr>
        <w:spacing w:line="360" w:lineRule="auto"/>
        <w:rPr>
          <w:color w:val="222222"/>
        </w:rPr>
      </w:pPr>
      <w:r w:rsidRPr="007B14CC">
        <w:rPr>
          <w:color w:val="222222"/>
        </w:rPr>
        <w:t xml:space="preserve">Chen, P.J. and Antonelli, M., 2020. Conceptual models of food choice: influential factors related to foods, individual differences, and society. Foods, 9(12), p.1898. Available at: </w:t>
      </w:r>
      <w:hyperlink r:id="rId17">
        <w:r w:rsidRPr="007B14CC">
          <w:rPr>
            <w:color w:val="1155CC"/>
            <w:u w:val="single"/>
          </w:rPr>
          <w:t>https://www.mdpi.com/929730</w:t>
        </w:r>
      </w:hyperlink>
      <w:r w:rsidRPr="007B14CC">
        <w:rPr>
          <w:color w:val="222222"/>
        </w:rPr>
        <w:t xml:space="preserve"> (Accessed: 23 March 2023). </w:t>
      </w:r>
    </w:p>
    <w:p w14:paraId="5C9F4628" w14:textId="77777777" w:rsidR="009D5C14" w:rsidRPr="007B14CC" w:rsidRDefault="007669F9">
      <w:pPr>
        <w:spacing w:line="360" w:lineRule="auto"/>
        <w:jc w:val="both"/>
        <w:rPr>
          <w:color w:val="222222"/>
        </w:rPr>
      </w:pPr>
      <w:r w:rsidRPr="007B14CC">
        <w:rPr>
          <w:color w:val="222222"/>
        </w:rPr>
        <w:t xml:space="preserve">Choudhary, N., 2019. Strategic analysis of cloud kitchen–A case study. </w:t>
      </w:r>
      <w:r w:rsidRPr="007B14CC">
        <w:rPr>
          <w:i/>
          <w:color w:val="222222"/>
        </w:rPr>
        <w:t>Management Today</w:t>
      </w:r>
      <w:r w:rsidRPr="007B14CC">
        <w:rPr>
          <w:color w:val="222222"/>
        </w:rPr>
        <w:t xml:space="preserve">. Available at: </w:t>
      </w:r>
      <w:hyperlink r:id="rId18">
        <w:r w:rsidRPr="007B14CC">
          <w:rPr>
            <w:color w:val="1155CC"/>
            <w:u w:val="single"/>
          </w:rPr>
          <w:t>https://papers.ssrn.com/sol3/papers.cfm?abstract_id=3856618</w:t>
        </w:r>
      </w:hyperlink>
      <w:r w:rsidRPr="007B14CC">
        <w:rPr>
          <w:color w:val="222222"/>
        </w:rPr>
        <w:t xml:space="preserve">  (Accessed: 23 March 2023). </w:t>
      </w:r>
    </w:p>
    <w:p w14:paraId="5C9F4629" w14:textId="77777777" w:rsidR="009D5C14" w:rsidRPr="007B14CC" w:rsidRDefault="007669F9">
      <w:pPr>
        <w:spacing w:line="360" w:lineRule="auto"/>
        <w:jc w:val="both"/>
        <w:rPr>
          <w:color w:val="222222"/>
        </w:rPr>
      </w:pPr>
      <w:r w:rsidRPr="007B14CC">
        <w:rPr>
          <w:color w:val="222222"/>
        </w:rPr>
        <w:t xml:space="preserve">Fenton, S.E., </w:t>
      </w:r>
      <w:proofErr w:type="spellStart"/>
      <w:r w:rsidRPr="007B14CC">
        <w:rPr>
          <w:color w:val="222222"/>
        </w:rPr>
        <w:t>Ducatman</w:t>
      </w:r>
      <w:proofErr w:type="spellEnd"/>
      <w:r w:rsidRPr="007B14CC">
        <w:rPr>
          <w:color w:val="222222"/>
        </w:rPr>
        <w:t xml:space="preserve">, A., </w:t>
      </w:r>
      <w:proofErr w:type="spellStart"/>
      <w:r w:rsidRPr="007B14CC">
        <w:rPr>
          <w:color w:val="222222"/>
        </w:rPr>
        <w:t>Boobis</w:t>
      </w:r>
      <w:proofErr w:type="spellEnd"/>
      <w:r w:rsidRPr="007B14CC">
        <w:rPr>
          <w:color w:val="222222"/>
        </w:rPr>
        <w:t>, A., DeWitt, J.C., Lau, C., Ng, C., Smith, J.S. and Roberts, S.M., 2021. Per</w:t>
      </w:r>
      <w:r w:rsidRPr="007B14CC">
        <w:rPr>
          <w:rFonts w:ascii="Cambria Math" w:eastAsia="Cambria Math" w:hAnsi="Cambria Math" w:cs="Cambria Math"/>
          <w:color w:val="222222"/>
        </w:rPr>
        <w:t>‐</w:t>
      </w:r>
      <w:r w:rsidRPr="007B14CC">
        <w:rPr>
          <w:color w:val="222222"/>
        </w:rPr>
        <w:t xml:space="preserve">and poly-fluoroalkyl substance toxicity and human health review: Current state of knowledge and strategies for informing future research. </w:t>
      </w:r>
      <w:r w:rsidRPr="007B14CC">
        <w:rPr>
          <w:i/>
          <w:color w:val="222222"/>
        </w:rPr>
        <w:t>Environmental toxicology and chemistry</w:t>
      </w:r>
      <w:r w:rsidRPr="007B14CC">
        <w:rPr>
          <w:color w:val="222222"/>
        </w:rPr>
        <w:t xml:space="preserve">, </w:t>
      </w:r>
      <w:r w:rsidRPr="007B14CC">
        <w:rPr>
          <w:i/>
          <w:color w:val="222222"/>
        </w:rPr>
        <w:t>40</w:t>
      </w:r>
      <w:r w:rsidRPr="007B14CC">
        <w:rPr>
          <w:color w:val="222222"/>
        </w:rPr>
        <w:t xml:space="preserve">(3), pp.606-630. Available at: </w:t>
      </w:r>
      <w:hyperlink r:id="rId19">
        <w:r w:rsidRPr="007B14CC">
          <w:rPr>
            <w:color w:val="1155CC"/>
            <w:u w:val="single"/>
          </w:rPr>
          <w:t>https://setac.onlinelibrary.wiley.com/doi/full/10.1002/etc.4890</w:t>
        </w:r>
      </w:hyperlink>
      <w:r w:rsidRPr="007B14CC">
        <w:rPr>
          <w:color w:val="222222"/>
        </w:rPr>
        <w:t xml:space="preserve"> (Accessed: 23 March 2023)</w:t>
      </w:r>
    </w:p>
    <w:p w14:paraId="5C9F462A" w14:textId="77777777" w:rsidR="009D5C14" w:rsidRPr="007B14CC" w:rsidRDefault="007669F9">
      <w:pPr>
        <w:spacing w:line="360" w:lineRule="auto"/>
        <w:jc w:val="both"/>
        <w:rPr>
          <w:color w:val="222222"/>
        </w:rPr>
      </w:pPr>
      <w:proofErr w:type="spellStart"/>
      <w:r w:rsidRPr="007B14CC">
        <w:rPr>
          <w:color w:val="222222"/>
        </w:rPr>
        <w:t>Godinić</w:t>
      </w:r>
      <w:proofErr w:type="spellEnd"/>
      <w:r w:rsidRPr="007B14CC">
        <w:rPr>
          <w:color w:val="222222"/>
        </w:rPr>
        <w:t xml:space="preserve">, D. and </w:t>
      </w:r>
      <w:proofErr w:type="spellStart"/>
      <w:r w:rsidRPr="007B14CC">
        <w:rPr>
          <w:color w:val="222222"/>
        </w:rPr>
        <w:t>Obrenovic</w:t>
      </w:r>
      <w:proofErr w:type="spellEnd"/>
      <w:r w:rsidRPr="007B14CC">
        <w:rPr>
          <w:color w:val="222222"/>
        </w:rPr>
        <w:t xml:space="preserve">, B., 2020. Effects of economic uncertainty on mental health in the COVID-19 pandemic context: social identity disturbance, job uncertainty and psychological well-being model. Available at: </w:t>
      </w:r>
      <w:hyperlink r:id="rId20">
        <w:r w:rsidRPr="007B14CC">
          <w:rPr>
            <w:color w:val="1155CC"/>
            <w:u w:val="single"/>
          </w:rPr>
          <w:t>https://philpapers.org/rec/GODEOE</w:t>
        </w:r>
      </w:hyperlink>
      <w:r w:rsidRPr="007B14CC">
        <w:rPr>
          <w:color w:val="222222"/>
        </w:rPr>
        <w:t xml:space="preserve"> (Accessed: 23 March 2023). </w:t>
      </w:r>
    </w:p>
    <w:p w14:paraId="5C9F462B" w14:textId="77777777" w:rsidR="009D5C14" w:rsidRPr="007B14CC" w:rsidRDefault="007669F9">
      <w:pPr>
        <w:spacing w:line="360" w:lineRule="auto"/>
        <w:jc w:val="both"/>
        <w:rPr>
          <w:color w:val="222222"/>
        </w:rPr>
      </w:pPr>
      <w:proofErr w:type="spellStart"/>
      <w:r w:rsidRPr="007B14CC">
        <w:rPr>
          <w:color w:val="222222"/>
        </w:rPr>
        <w:t>Gundumogula</w:t>
      </w:r>
      <w:proofErr w:type="spellEnd"/>
      <w:r w:rsidRPr="007B14CC">
        <w:rPr>
          <w:color w:val="222222"/>
        </w:rPr>
        <w:t xml:space="preserve">, M., 2020. Importance of focus groups in qualitative research. </w:t>
      </w:r>
      <w:r w:rsidRPr="007B14CC">
        <w:rPr>
          <w:i/>
          <w:color w:val="222222"/>
        </w:rPr>
        <w:t>The International Journal of Humanities &amp; Social Studies</w:t>
      </w:r>
      <w:r w:rsidRPr="007B14CC">
        <w:rPr>
          <w:color w:val="222222"/>
        </w:rPr>
        <w:t xml:space="preserve">, 8(11). Available at: </w:t>
      </w:r>
      <w:hyperlink r:id="rId21">
        <w:r w:rsidRPr="007B14CC">
          <w:rPr>
            <w:color w:val="1155CC"/>
            <w:u w:val="single"/>
          </w:rPr>
          <w:t>http://indianjournalofeconomicsandresearch.com/index.php/theijhss/article/view/156834</w:t>
        </w:r>
      </w:hyperlink>
      <w:r w:rsidRPr="007B14CC">
        <w:rPr>
          <w:color w:val="222222"/>
        </w:rPr>
        <w:t xml:space="preserve"> (Accessed: 23 March 2023). </w:t>
      </w:r>
    </w:p>
    <w:p w14:paraId="5C9F462C" w14:textId="77777777" w:rsidR="009D5C14" w:rsidRPr="007B14CC" w:rsidRDefault="007669F9">
      <w:pPr>
        <w:spacing w:line="360" w:lineRule="auto"/>
        <w:jc w:val="both"/>
        <w:rPr>
          <w:color w:val="222222"/>
        </w:rPr>
      </w:pPr>
      <w:proofErr w:type="spellStart"/>
      <w:r w:rsidRPr="007B14CC">
        <w:rPr>
          <w:color w:val="222222"/>
        </w:rPr>
        <w:t>Halkias</w:t>
      </w:r>
      <w:proofErr w:type="spellEnd"/>
      <w:r w:rsidRPr="007B14CC">
        <w:rPr>
          <w:color w:val="222222"/>
        </w:rPr>
        <w:t xml:space="preserve">, D. and Neubert, M., 2020. Extension of theory in leadership and management studies using the multiple case study design. </w:t>
      </w:r>
      <w:r w:rsidRPr="007B14CC">
        <w:rPr>
          <w:i/>
          <w:color w:val="222222"/>
        </w:rPr>
        <w:t>Available at SSRN 3586256</w:t>
      </w:r>
      <w:r w:rsidRPr="007B14CC">
        <w:rPr>
          <w:color w:val="222222"/>
        </w:rPr>
        <w:t xml:space="preserve">. Available at: </w:t>
      </w:r>
      <w:hyperlink r:id="rId22">
        <w:r w:rsidRPr="007B14CC">
          <w:rPr>
            <w:color w:val="1155CC"/>
            <w:u w:val="single"/>
          </w:rPr>
          <w:t>https://papers.ssrn.com/sol3/papers.cfm?abstract_id=3586256</w:t>
        </w:r>
      </w:hyperlink>
      <w:r w:rsidRPr="007B14CC">
        <w:rPr>
          <w:color w:val="222222"/>
        </w:rPr>
        <w:t xml:space="preserve"> (Accessed: 23 March 2023)</w:t>
      </w:r>
    </w:p>
    <w:p w14:paraId="5C9F462D" w14:textId="77777777" w:rsidR="009D5C14" w:rsidRPr="007B14CC" w:rsidRDefault="007669F9">
      <w:pPr>
        <w:spacing w:line="360" w:lineRule="auto"/>
        <w:jc w:val="both"/>
        <w:rPr>
          <w:color w:val="222222"/>
        </w:rPr>
      </w:pPr>
      <w:proofErr w:type="spellStart"/>
      <w:r w:rsidRPr="007B14CC">
        <w:rPr>
          <w:color w:val="222222"/>
        </w:rPr>
        <w:t>Jilisha</w:t>
      </w:r>
      <w:proofErr w:type="spellEnd"/>
      <w:r w:rsidRPr="007B14CC">
        <w:rPr>
          <w:color w:val="222222"/>
        </w:rPr>
        <w:t xml:space="preserve">, G., Venkatachalam, J., Menon, V. and </w:t>
      </w:r>
      <w:proofErr w:type="spellStart"/>
      <w:r w:rsidRPr="007B14CC">
        <w:rPr>
          <w:color w:val="222222"/>
        </w:rPr>
        <w:t>Olickal</w:t>
      </w:r>
      <w:proofErr w:type="spellEnd"/>
      <w:r w:rsidRPr="007B14CC">
        <w:rPr>
          <w:color w:val="222222"/>
        </w:rPr>
        <w:t xml:space="preserve">, J.J., 2019. Nomophobia: A mixed-methods study on prevalence, associated factors, and perception among college students in Puducherry, India. </w:t>
      </w:r>
      <w:r w:rsidRPr="007B14CC">
        <w:rPr>
          <w:i/>
          <w:color w:val="222222"/>
        </w:rPr>
        <w:t>Indian journal of psychological medicine</w:t>
      </w:r>
      <w:r w:rsidRPr="007B14CC">
        <w:rPr>
          <w:color w:val="222222"/>
        </w:rPr>
        <w:t xml:space="preserve">, 41(6), pp.541-548. Available at: </w:t>
      </w:r>
      <w:hyperlink r:id="rId23">
        <w:r w:rsidRPr="007B14CC">
          <w:rPr>
            <w:color w:val="1155CC"/>
            <w:u w:val="single"/>
          </w:rPr>
          <w:t>https://journals.sagepub.com/doi/pdf/10.4103/IJPSYM.IJPSYM_130_19</w:t>
        </w:r>
      </w:hyperlink>
      <w:r w:rsidRPr="007B14CC">
        <w:rPr>
          <w:color w:val="222222"/>
        </w:rPr>
        <w:t xml:space="preserve"> (Accessed: 23 March 2023). </w:t>
      </w:r>
    </w:p>
    <w:p w14:paraId="5C9F462E" w14:textId="77777777" w:rsidR="009D5C14" w:rsidRPr="007B14CC" w:rsidRDefault="007669F9">
      <w:pPr>
        <w:spacing w:line="360" w:lineRule="auto"/>
        <w:jc w:val="both"/>
        <w:rPr>
          <w:color w:val="222222"/>
        </w:rPr>
      </w:pPr>
      <w:r w:rsidRPr="007B14CC">
        <w:rPr>
          <w:color w:val="222222"/>
        </w:rPr>
        <w:t xml:space="preserve">Julien, H., Gross, M. and Latham, D., 2018. Survey of information literacy instructional practices in US academic libraries. </w:t>
      </w:r>
      <w:r w:rsidRPr="007B14CC">
        <w:rPr>
          <w:i/>
          <w:color w:val="222222"/>
        </w:rPr>
        <w:t>College &amp; research librarie</w:t>
      </w:r>
      <w:r w:rsidRPr="007B14CC">
        <w:rPr>
          <w:color w:val="222222"/>
        </w:rPr>
        <w:t xml:space="preserve">s, 79(2), p.179. Available at: </w:t>
      </w:r>
      <w:hyperlink r:id="rId24">
        <w:r w:rsidRPr="007B14CC">
          <w:rPr>
            <w:color w:val="1155CC"/>
            <w:u w:val="single"/>
          </w:rPr>
          <w:t>http://crl.acrl.org/index.php/crl/article/view/16606</w:t>
        </w:r>
      </w:hyperlink>
      <w:r w:rsidRPr="007B14CC">
        <w:rPr>
          <w:color w:val="222222"/>
        </w:rPr>
        <w:t xml:space="preserve">  (Accessed: 23 March 2023). </w:t>
      </w:r>
    </w:p>
    <w:p w14:paraId="5C9F462F" w14:textId="77777777" w:rsidR="009D5C14" w:rsidRPr="007B14CC" w:rsidRDefault="007669F9">
      <w:pPr>
        <w:spacing w:line="360" w:lineRule="auto"/>
        <w:jc w:val="both"/>
        <w:rPr>
          <w:color w:val="222222"/>
        </w:rPr>
      </w:pPr>
      <w:r w:rsidRPr="007B14CC">
        <w:rPr>
          <w:color w:val="222222"/>
        </w:rPr>
        <w:t xml:space="preserve">Maxwell, B., 2019. Institutional Review Boards in Qualitative Research: Has it Gone Overboard? </w:t>
      </w:r>
      <w:r w:rsidRPr="007B14CC">
        <w:rPr>
          <w:i/>
          <w:color w:val="222222"/>
        </w:rPr>
        <w:t>The Canadian Journal of Action Research</w:t>
      </w:r>
      <w:r w:rsidRPr="007B14CC">
        <w:rPr>
          <w:color w:val="222222"/>
        </w:rPr>
        <w:t xml:space="preserve">, 20(1), pp.52-70. Available at: </w:t>
      </w:r>
      <w:hyperlink r:id="rId25">
        <w:r w:rsidRPr="007B14CC">
          <w:rPr>
            <w:color w:val="1155CC"/>
            <w:u w:val="single"/>
          </w:rPr>
          <w:t>https://journals.nipissingu.ca/index.php/cjar/article/view/446</w:t>
        </w:r>
      </w:hyperlink>
      <w:r w:rsidRPr="007B14CC">
        <w:rPr>
          <w:color w:val="222222"/>
        </w:rPr>
        <w:t xml:space="preserve"> (Accessed: 23 March 2023). </w:t>
      </w:r>
    </w:p>
    <w:p w14:paraId="5C9F4630" w14:textId="77777777" w:rsidR="009D5C14" w:rsidRPr="007B14CC" w:rsidRDefault="007669F9">
      <w:pPr>
        <w:spacing w:line="360" w:lineRule="auto"/>
        <w:jc w:val="both"/>
        <w:rPr>
          <w:color w:val="222222"/>
        </w:rPr>
      </w:pPr>
      <w:r w:rsidRPr="007B14CC">
        <w:rPr>
          <w:color w:val="222222"/>
        </w:rPr>
        <w:t xml:space="preserve">Nemeth, N., </w:t>
      </w:r>
      <w:proofErr w:type="spellStart"/>
      <w:r w:rsidRPr="007B14CC">
        <w:rPr>
          <w:color w:val="222222"/>
        </w:rPr>
        <w:t>Rudnak</w:t>
      </w:r>
      <w:proofErr w:type="spellEnd"/>
      <w:r w:rsidRPr="007B14CC">
        <w:rPr>
          <w:color w:val="222222"/>
        </w:rPr>
        <w:t xml:space="preserve">, I., </w:t>
      </w:r>
      <w:proofErr w:type="spellStart"/>
      <w:r w:rsidRPr="007B14CC">
        <w:rPr>
          <w:color w:val="222222"/>
        </w:rPr>
        <w:t>Ymeri</w:t>
      </w:r>
      <w:proofErr w:type="spellEnd"/>
      <w:r w:rsidRPr="007B14CC">
        <w:rPr>
          <w:color w:val="222222"/>
        </w:rPr>
        <w:t xml:space="preserve">, P. and </w:t>
      </w:r>
      <w:proofErr w:type="spellStart"/>
      <w:r w:rsidRPr="007B14CC">
        <w:rPr>
          <w:color w:val="222222"/>
        </w:rPr>
        <w:t>Fogarassy</w:t>
      </w:r>
      <w:proofErr w:type="spellEnd"/>
      <w:r w:rsidRPr="007B14CC">
        <w:rPr>
          <w:color w:val="222222"/>
        </w:rPr>
        <w:t xml:space="preserve">, C., 2019. The role of cultural factors in sustainable food consumption—An investigation of the consumption habits among international students in Hungary. </w:t>
      </w:r>
      <w:r w:rsidRPr="007B14CC">
        <w:rPr>
          <w:i/>
          <w:color w:val="222222"/>
        </w:rPr>
        <w:t>Sustainability</w:t>
      </w:r>
      <w:r w:rsidRPr="007B14CC">
        <w:rPr>
          <w:color w:val="222222"/>
        </w:rPr>
        <w:t xml:space="preserve">, 11(11), p.3052. Available at: </w:t>
      </w:r>
      <w:hyperlink r:id="rId26">
        <w:r w:rsidRPr="007B14CC">
          <w:rPr>
            <w:color w:val="1155CC"/>
            <w:u w:val="single"/>
          </w:rPr>
          <w:t>https://www.mdpi.com/2071-1050/11/11/3052</w:t>
        </w:r>
      </w:hyperlink>
      <w:r w:rsidRPr="007B14CC">
        <w:rPr>
          <w:color w:val="222222"/>
        </w:rPr>
        <w:t xml:space="preserve"> (Accessed: 23 March 2023). </w:t>
      </w:r>
    </w:p>
    <w:p w14:paraId="5C9F4631" w14:textId="77777777" w:rsidR="009D5C14" w:rsidRPr="007B14CC" w:rsidRDefault="007669F9">
      <w:pPr>
        <w:spacing w:line="360" w:lineRule="auto"/>
        <w:jc w:val="both"/>
        <w:rPr>
          <w:color w:val="222222"/>
        </w:rPr>
      </w:pPr>
      <w:r w:rsidRPr="007B14CC">
        <w:rPr>
          <w:i/>
          <w:color w:val="222222"/>
        </w:rPr>
        <w:t>Nutrients</w:t>
      </w:r>
      <w:r w:rsidRPr="007B14CC">
        <w:rPr>
          <w:color w:val="222222"/>
        </w:rPr>
        <w:t xml:space="preserve"> (2022) </w:t>
      </w:r>
      <w:r w:rsidRPr="007B14CC">
        <w:rPr>
          <w:i/>
          <w:color w:val="222222"/>
        </w:rPr>
        <w:t>Nutrients | Special Issue: Eating Habits and Health among College and University Students</w:t>
      </w:r>
      <w:r w:rsidRPr="007B14CC">
        <w:rPr>
          <w:color w:val="222222"/>
        </w:rPr>
        <w:t xml:space="preserve">. Available at: </w:t>
      </w:r>
      <w:hyperlink r:id="rId27">
        <w:r w:rsidRPr="007B14CC">
          <w:rPr>
            <w:color w:val="1155CC"/>
            <w:u w:val="single"/>
          </w:rPr>
          <w:t>https://www.mdpi.com/journal/nutrients/special_issues/eating_habits_university</w:t>
        </w:r>
      </w:hyperlink>
      <w:r w:rsidRPr="007B14CC">
        <w:rPr>
          <w:color w:val="222222"/>
        </w:rPr>
        <w:t xml:space="preserve">  (Accessed: 23 March 2023). </w:t>
      </w:r>
    </w:p>
    <w:p w14:paraId="5C9F4632" w14:textId="77777777" w:rsidR="009D5C14" w:rsidRPr="007B14CC" w:rsidRDefault="007669F9">
      <w:pPr>
        <w:spacing w:line="360" w:lineRule="auto"/>
        <w:jc w:val="both"/>
        <w:rPr>
          <w:color w:val="222222"/>
        </w:rPr>
      </w:pPr>
      <w:r w:rsidRPr="007B14CC">
        <w:rPr>
          <w:color w:val="222222"/>
        </w:rPr>
        <w:t xml:space="preserve">Peel, K.L., 2020. A beginner's guide to applied educational research using thematic analysis. Practical Assessment, </w:t>
      </w:r>
      <w:r w:rsidRPr="007B14CC">
        <w:rPr>
          <w:i/>
          <w:color w:val="222222"/>
        </w:rPr>
        <w:t>Research, and Evaluation</w:t>
      </w:r>
      <w:r w:rsidRPr="007B14CC">
        <w:rPr>
          <w:color w:val="222222"/>
        </w:rPr>
        <w:t xml:space="preserve">, 25(1), p.2. Available at: </w:t>
      </w:r>
      <w:hyperlink r:id="rId28">
        <w:r w:rsidRPr="007B14CC">
          <w:rPr>
            <w:color w:val="1155CC"/>
            <w:u w:val="single"/>
          </w:rPr>
          <w:t>https://scholarworks.umass.edu/cgi/viewcontent.cgi?article=1390&amp;context=pare</w:t>
        </w:r>
      </w:hyperlink>
      <w:r w:rsidRPr="007B14CC">
        <w:rPr>
          <w:color w:val="222222"/>
        </w:rPr>
        <w:t xml:space="preserve">  (Accessed: 23 March 2023). </w:t>
      </w:r>
    </w:p>
    <w:p w14:paraId="5C9F4633" w14:textId="77777777" w:rsidR="009D5C14" w:rsidRPr="007B14CC" w:rsidRDefault="007669F9">
      <w:pPr>
        <w:spacing w:line="360" w:lineRule="auto"/>
      </w:pPr>
      <w:r w:rsidRPr="007B14CC">
        <w:t xml:space="preserve">Reis, J., Amorim, M. and </w:t>
      </w:r>
      <w:proofErr w:type="spellStart"/>
      <w:r w:rsidRPr="007B14CC">
        <w:t>Melão</w:t>
      </w:r>
      <w:proofErr w:type="spellEnd"/>
      <w:r w:rsidRPr="007B14CC">
        <w:t xml:space="preserve">, N., 2018, July. Guidelines for qualitative case research in operations management: a banking service industry perspective. In European Conference on Research Methodology for Business and Management Studies (pp. 319-327). Academic Conferences International Limited. Available at: </w:t>
      </w:r>
      <w:hyperlink r:id="rId29">
        <w:r w:rsidRPr="007B14CC">
          <w:rPr>
            <w:color w:val="1155CC"/>
            <w:u w:val="single"/>
          </w:rPr>
          <w:t>https://books.google.com/books?hl=en&amp;lr=&amp;id=gU9mDwAAQBAJ&amp;oi=fnd&amp;pg=PA319&amp;dq=Researchers+choose+study+participants+using+the+non-probability+sampling+technique+known+as+%22purposeful+sampling%22+based+on+a+predetermined+goal+or+set+of+criteria&amp;ots=Euj_9_mWP3&amp;sig=64G1JUu4wbjSGgovhYMUxDchm4g</w:t>
        </w:r>
      </w:hyperlink>
      <w:r w:rsidRPr="007B14CC">
        <w:t xml:space="preserve"> (Accessed: 23 March 2023). </w:t>
      </w:r>
    </w:p>
    <w:p w14:paraId="5C9F4634" w14:textId="77777777" w:rsidR="009D5C14" w:rsidRPr="007B14CC" w:rsidRDefault="007669F9">
      <w:pPr>
        <w:spacing w:line="360" w:lineRule="auto"/>
        <w:jc w:val="both"/>
        <w:rPr>
          <w:color w:val="222222"/>
        </w:rPr>
      </w:pPr>
      <w:r w:rsidRPr="007B14CC">
        <w:rPr>
          <w:color w:val="222222"/>
        </w:rPr>
        <w:t xml:space="preserve">Stone, M.J., </w:t>
      </w:r>
      <w:proofErr w:type="spellStart"/>
      <w:r w:rsidRPr="007B14CC">
        <w:rPr>
          <w:color w:val="222222"/>
        </w:rPr>
        <w:t>Soulard</w:t>
      </w:r>
      <w:proofErr w:type="spellEnd"/>
      <w:r w:rsidRPr="007B14CC">
        <w:rPr>
          <w:color w:val="222222"/>
        </w:rPr>
        <w:t xml:space="preserve">, J., </w:t>
      </w:r>
      <w:proofErr w:type="spellStart"/>
      <w:r w:rsidRPr="007B14CC">
        <w:rPr>
          <w:color w:val="222222"/>
        </w:rPr>
        <w:t>Migacz</w:t>
      </w:r>
      <w:proofErr w:type="spellEnd"/>
      <w:r w:rsidRPr="007B14CC">
        <w:rPr>
          <w:color w:val="222222"/>
        </w:rPr>
        <w:t xml:space="preserve">, S. and Wolf, E., 2018. Elements of memorable food, drink, and culinary tourism experiences. Journal of Travel Research, 57(8), pp.1121-1132. Available at: </w:t>
      </w:r>
      <w:hyperlink r:id="rId30">
        <w:r w:rsidRPr="007B14CC">
          <w:rPr>
            <w:color w:val="1155CC"/>
            <w:u w:val="single"/>
          </w:rPr>
          <w:t>https://journals.sagepub.com/doi/pdf/10.1177/0047287517729758</w:t>
        </w:r>
      </w:hyperlink>
      <w:r w:rsidRPr="007B14CC">
        <w:rPr>
          <w:color w:val="222222"/>
        </w:rPr>
        <w:t xml:space="preserve"> (Accessed: 23 March 2023). </w:t>
      </w:r>
    </w:p>
    <w:p w14:paraId="5C9F4635" w14:textId="77777777" w:rsidR="009D5C14" w:rsidRPr="007B14CC" w:rsidRDefault="007669F9">
      <w:pPr>
        <w:spacing w:line="360" w:lineRule="auto"/>
        <w:jc w:val="both"/>
        <w:rPr>
          <w:color w:val="222222"/>
        </w:rPr>
      </w:pPr>
      <w:r w:rsidRPr="007B14CC">
        <w:rPr>
          <w:color w:val="222222"/>
        </w:rPr>
        <w:t xml:space="preserve">Thomas, G., 2022. How to do your research project: A guide for students. </w:t>
      </w:r>
      <w:r w:rsidRPr="007B14CC">
        <w:rPr>
          <w:i/>
          <w:color w:val="222222"/>
        </w:rPr>
        <w:t>How to Do Your Research Project,</w:t>
      </w:r>
      <w:r w:rsidRPr="007B14CC">
        <w:rPr>
          <w:color w:val="222222"/>
        </w:rPr>
        <w:t xml:space="preserve"> pp.1-100. Available at: </w:t>
      </w:r>
      <w:hyperlink r:id="rId31">
        <w:r w:rsidRPr="007B14CC">
          <w:rPr>
            <w:color w:val="1155CC"/>
            <w:u w:val="single"/>
          </w:rPr>
          <w:t>https://www.torrossa.com/gs/resourceProxy?an=5409513&amp;publisher=FZ7200</w:t>
        </w:r>
      </w:hyperlink>
      <w:r w:rsidRPr="007B14CC">
        <w:rPr>
          <w:color w:val="222222"/>
        </w:rPr>
        <w:t xml:space="preserve"> (Accessed: 23 March 2023). </w:t>
      </w:r>
    </w:p>
    <w:p w14:paraId="5C9F4636" w14:textId="77777777" w:rsidR="009D5C14" w:rsidRPr="007B14CC" w:rsidRDefault="007669F9">
      <w:pPr>
        <w:spacing w:line="360" w:lineRule="auto"/>
        <w:jc w:val="both"/>
        <w:rPr>
          <w:color w:val="222222"/>
        </w:rPr>
      </w:pPr>
      <w:r w:rsidRPr="007B14CC">
        <w:rPr>
          <w:color w:val="222222"/>
        </w:rPr>
        <w:t xml:space="preserve">Weaver, R.R., Vaughn, N.A., Hendricks, S.P., McPherson-Myers, P.E., Jia, Q., Willis, S.L. and Rescigno, K.P., 2020. University student food insecurity and academic performance. </w:t>
      </w:r>
      <w:r w:rsidRPr="007B14CC">
        <w:rPr>
          <w:i/>
          <w:color w:val="222222"/>
        </w:rPr>
        <w:t>Journal of American College Health,</w:t>
      </w:r>
      <w:r w:rsidRPr="007B14CC">
        <w:rPr>
          <w:color w:val="222222"/>
        </w:rPr>
        <w:t xml:space="preserve"> 68(7), pp.727-733. Available at: </w:t>
      </w:r>
      <w:hyperlink r:id="rId32">
        <w:r w:rsidRPr="007B14CC">
          <w:rPr>
            <w:color w:val="1155CC"/>
            <w:u w:val="single"/>
          </w:rPr>
          <w:t>https://www.tandfonline.com/doi/abs/10.1080/07448481.2019.1600522</w:t>
        </w:r>
      </w:hyperlink>
      <w:r w:rsidRPr="007B14CC">
        <w:rPr>
          <w:color w:val="222222"/>
        </w:rPr>
        <w:t xml:space="preserve">  (Accessed: 23 March 2023). </w:t>
      </w:r>
    </w:p>
    <w:p w14:paraId="5C9F4637" w14:textId="77777777" w:rsidR="009D5C14" w:rsidRPr="007B14CC" w:rsidRDefault="007669F9">
      <w:pPr>
        <w:spacing w:line="360" w:lineRule="auto"/>
        <w:jc w:val="both"/>
        <w:rPr>
          <w:color w:val="222222"/>
        </w:rPr>
      </w:pPr>
      <w:r w:rsidRPr="007B14CC">
        <w:rPr>
          <w:color w:val="222222"/>
        </w:rPr>
        <w:t xml:space="preserve">Wilkins, S. and </w:t>
      </w:r>
      <w:proofErr w:type="spellStart"/>
      <w:r w:rsidRPr="007B14CC">
        <w:rPr>
          <w:color w:val="222222"/>
        </w:rPr>
        <w:t>Neri</w:t>
      </w:r>
      <w:proofErr w:type="spellEnd"/>
      <w:r w:rsidRPr="007B14CC">
        <w:rPr>
          <w:color w:val="222222"/>
        </w:rPr>
        <w:t xml:space="preserve">, S., 2019. Managing faculty in transnational higher education: Expatriate academics at international branch campuses. </w:t>
      </w:r>
      <w:r w:rsidRPr="007B14CC">
        <w:rPr>
          <w:i/>
          <w:color w:val="222222"/>
        </w:rPr>
        <w:t>Journal of Studies in International Education</w:t>
      </w:r>
      <w:r w:rsidRPr="007B14CC">
        <w:rPr>
          <w:color w:val="222222"/>
        </w:rPr>
        <w:t xml:space="preserve">, 23(4), pp.451-472. Available at: </w:t>
      </w:r>
      <w:hyperlink r:id="rId33">
        <w:r w:rsidRPr="007B14CC">
          <w:rPr>
            <w:color w:val="1155CC"/>
            <w:u w:val="single"/>
          </w:rPr>
          <w:t>https://journals.sagepub.com/doi/pdf/10.1177/1028315318814200</w:t>
        </w:r>
      </w:hyperlink>
      <w:r w:rsidRPr="007B14CC">
        <w:rPr>
          <w:color w:val="222222"/>
        </w:rPr>
        <w:t xml:space="preserve"> (Accessed: 23 March 2023). </w:t>
      </w:r>
    </w:p>
    <w:p w14:paraId="5C9F4638" w14:textId="77777777" w:rsidR="009D5C14" w:rsidRPr="007B14CC" w:rsidRDefault="009D5C14">
      <w:pPr>
        <w:pStyle w:val="Heading1"/>
      </w:pPr>
      <w:bookmarkStart w:id="15" w:name="_heading=h.5zxdvzgsk45p" w:colFirst="0" w:colLast="0"/>
      <w:bookmarkEnd w:id="15"/>
    </w:p>
    <w:p w14:paraId="5C9F4639" w14:textId="77777777" w:rsidR="009D5C14" w:rsidRPr="007B14CC" w:rsidRDefault="007669F9">
      <w:pPr>
        <w:pStyle w:val="Heading1"/>
      </w:pPr>
      <w:bookmarkStart w:id="16" w:name="_heading=h.10p98jhleu21" w:colFirst="0" w:colLast="0"/>
      <w:bookmarkEnd w:id="16"/>
      <w:r w:rsidRPr="007B14CC">
        <w:br w:type="page"/>
      </w:r>
    </w:p>
    <w:p w14:paraId="5C9F463A" w14:textId="77777777" w:rsidR="009D5C14" w:rsidRPr="007B14CC" w:rsidRDefault="007669F9">
      <w:pPr>
        <w:pStyle w:val="Heading1"/>
      </w:pPr>
      <w:bookmarkStart w:id="17" w:name="_heading=h.1pxezwc" w:colFirst="0" w:colLast="0"/>
      <w:bookmarkEnd w:id="17"/>
      <w:r w:rsidRPr="007B14CC">
        <w:t>Appendix</w:t>
      </w:r>
    </w:p>
    <w:p w14:paraId="5C9F463B" w14:textId="77777777" w:rsidR="009D5C14" w:rsidRPr="007B14CC" w:rsidRDefault="007669F9">
      <w:pPr>
        <w:spacing w:line="360" w:lineRule="auto"/>
        <w:jc w:val="both"/>
        <w:rPr>
          <w:b/>
          <w:color w:val="222222"/>
        </w:rPr>
      </w:pPr>
      <w:r w:rsidRPr="007B14CC">
        <w:rPr>
          <w:b/>
          <w:color w:val="222222"/>
        </w:rPr>
        <w:t xml:space="preserve">Questionnaire </w:t>
      </w:r>
    </w:p>
    <w:p w14:paraId="5C9F463C" w14:textId="77777777" w:rsidR="009D5C14" w:rsidRPr="007B14CC" w:rsidRDefault="007669F9">
      <w:pPr>
        <w:numPr>
          <w:ilvl w:val="0"/>
          <w:numId w:val="1"/>
        </w:numPr>
        <w:spacing w:line="360" w:lineRule="auto"/>
        <w:jc w:val="both"/>
      </w:pPr>
      <w:r w:rsidRPr="007B14CC">
        <w:t>Where you from, and what are is your name?</w:t>
      </w:r>
    </w:p>
    <w:p w14:paraId="5C9F463D" w14:textId="77777777" w:rsidR="009D5C14" w:rsidRPr="007B14CC" w:rsidRDefault="007669F9">
      <w:pPr>
        <w:numPr>
          <w:ilvl w:val="0"/>
          <w:numId w:val="1"/>
        </w:numPr>
        <w:spacing w:line="360" w:lineRule="auto"/>
        <w:jc w:val="both"/>
      </w:pPr>
      <w:r w:rsidRPr="007B14CC">
        <w:t>Can you describe a healthy person?</w:t>
      </w:r>
    </w:p>
    <w:p w14:paraId="5C9F463E" w14:textId="77777777" w:rsidR="009D5C14" w:rsidRPr="007B14CC" w:rsidRDefault="007669F9">
      <w:pPr>
        <w:numPr>
          <w:ilvl w:val="0"/>
          <w:numId w:val="1"/>
        </w:numPr>
        <w:spacing w:line="360" w:lineRule="auto"/>
        <w:jc w:val="both"/>
      </w:pPr>
      <w:r w:rsidRPr="007B14CC">
        <w:t>What comes to your mind when you think of the health of university students or in</w:t>
      </w:r>
    </w:p>
    <w:p w14:paraId="5C9F463F" w14:textId="77777777" w:rsidR="009D5C14" w:rsidRPr="007B14CC" w:rsidRDefault="007669F9">
      <w:pPr>
        <w:spacing w:line="360" w:lineRule="auto"/>
        <w:ind w:left="720"/>
        <w:jc w:val="both"/>
      </w:pPr>
      <w:r w:rsidRPr="007B14CC">
        <w:t>your case, you?</w:t>
      </w:r>
    </w:p>
    <w:p w14:paraId="5C9F4640" w14:textId="77777777" w:rsidR="009D5C14" w:rsidRPr="007B14CC" w:rsidRDefault="007669F9">
      <w:pPr>
        <w:numPr>
          <w:ilvl w:val="0"/>
          <w:numId w:val="1"/>
        </w:numPr>
        <w:spacing w:line="360" w:lineRule="auto"/>
        <w:jc w:val="both"/>
      </w:pPr>
      <w:r w:rsidRPr="007B14CC">
        <w:t xml:space="preserve">Did you notice a change in your body composition since you joined the university? </w:t>
      </w:r>
    </w:p>
    <w:p w14:paraId="5C9F4641" w14:textId="77777777" w:rsidR="009D5C14" w:rsidRPr="007B14CC" w:rsidRDefault="007669F9">
      <w:pPr>
        <w:numPr>
          <w:ilvl w:val="0"/>
          <w:numId w:val="1"/>
        </w:numPr>
        <w:spacing w:line="360" w:lineRule="auto"/>
        <w:jc w:val="both"/>
      </w:pPr>
      <w:r w:rsidRPr="007B14CC">
        <w:t>What factors do you think are influencing your healthy eating habits at the university?</w:t>
      </w:r>
    </w:p>
    <w:p w14:paraId="5C9F4642" w14:textId="77777777" w:rsidR="009D5C14" w:rsidRPr="007B14CC" w:rsidRDefault="007669F9">
      <w:pPr>
        <w:numPr>
          <w:ilvl w:val="0"/>
          <w:numId w:val="1"/>
        </w:numPr>
        <w:spacing w:line="360" w:lineRule="auto"/>
        <w:jc w:val="both"/>
      </w:pPr>
      <w:r w:rsidRPr="007B14CC">
        <w:t>Which one would you classify as a barrier, and what other can you classify as enabling your healthy eating?</w:t>
      </w:r>
    </w:p>
    <w:p w14:paraId="5C9F4643" w14:textId="77777777" w:rsidR="009D5C14" w:rsidRPr="007B14CC" w:rsidRDefault="007669F9">
      <w:pPr>
        <w:numPr>
          <w:ilvl w:val="0"/>
          <w:numId w:val="1"/>
        </w:numPr>
        <w:spacing w:line="360" w:lineRule="auto"/>
        <w:jc w:val="both"/>
      </w:pPr>
      <w:r w:rsidRPr="007B14CC">
        <w:t xml:space="preserve">What individual factors do you think to Influence your healthy eating </w:t>
      </w:r>
      <w:proofErr w:type="spellStart"/>
      <w:r w:rsidRPr="007B14CC">
        <w:t>behaviour</w:t>
      </w:r>
      <w:proofErr w:type="spellEnd"/>
    </w:p>
    <w:p w14:paraId="5C9F4644" w14:textId="77777777" w:rsidR="009D5C14" w:rsidRPr="007B14CC" w:rsidRDefault="007669F9">
      <w:pPr>
        <w:spacing w:line="360" w:lineRule="auto"/>
        <w:ind w:left="720"/>
        <w:jc w:val="both"/>
      </w:pPr>
      <w:r w:rsidRPr="007B14CC">
        <w:t>as a university student?</w:t>
      </w:r>
    </w:p>
    <w:p w14:paraId="5C9F4645" w14:textId="77777777" w:rsidR="009D5C14" w:rsidRPr="007B14CC" w:rsidRDefault="007669F9">
      <w:pPr>
        <w:numPr>
          <w:ilvl w:val="0"/>
          <w:numId w:val="1"/>
        </w:numPr>
        <w:spacing w:line="360" w:lineRule="auto"/>
        <w:jc w:val="both"/>
      </w:pPr>
      <w:r w:rsidRPr="007B14CC">
        <w:t xml:space="preserve">What social factors do you think influences your healthy eating </w:t>
      </w:r>
      <w:proofErr w:type="spellStart"/>
      <w:r w:rsidRPr="007B14CC">
        <w:t>behaviour</w:t>
      </w:r>
      <w:proofErr w:type="spellEnd"/>
      <w:r w:rsidRPr="007B14CC">
        <w:t>?</w:t>
      </w:r>
    </w:p>
    <w:p w14:paraId="5C9F4646" w14:textId="77777777" w:rsidR="009D5C14" w:rsidRPr="007B14CC" w:rsidRDefault="007669F9">
      <w:pPr>
        <w:numPr>
          <w:ilvl w:val="0"/>
          <w:numId w:val="1"/>
        </w:numPr>
        <w:spacing w:line="360" w:lineRule="auto"/>
        <w:jc w:val="both"/>
      </w:pPr>
      <w:r w:rsidRPr="007B14CC">
        <w:t xml:space="preserve">How do you think you can promote healthy eating </w:t>
      </w:r>
      <w:proofErr w:type="spellStart"/>
      <w:r w:rsidRPr="007B14CC">
        <w:t>behaviour</w:t>
      </w:r>
      <w:proofErr w:type="spellEnd"/>
      <w:r w:rsidRPr="007B14CC">
        <w:t xml:space="preserve"> among students? </w:t>
      </w:r>
    </w:p>
    <w:p w14:paraId="5C9F4647" w14:textId="77777777" w:rsidR="009D5C14" w:rsidRPr="007B14CC" w:rsidRDefault="007669F9">
      <w:pPr>
        <w:numPr>
          <w:ilvl w:val="0"/>
          <w:numId w:val="1"/>
        </w:numPr>
        <w:spacing w:line="360" w:lineRule="auto"/>
        <w:jc w:val="both"/>
      </w:pPr>
      <w:r w:rsidRPr="007B14CC">
        <w:t xml:space="preserve">How would you </w:t>
      </w:r>
      <w:proofErr w:type="spellStart"/>
      <w:r w:rsidRPr="007B14CC">
        <w:t>summarise</w:t>
      </w:r>
      <w:proofErr w:type="spellEnd"/>
      <w:r w:rsidRPr="007B14CC">
        <w:t xml:space="preserve"> the entire discussion that we had? </w:t>
      </w:r>
    </w:p>
    <w:p w14:paraId="5C9F4648" w14:textId="77777777" w:rsidR="009D5C14" w:rsidRPr="007B14CC" w:rsidRDefault="009D5C14">
      <w:pPr>
        <w:pBdr>
          <w:top w:val="nil"/>
          <w:left w:val="nil"/>
          <w:bottom w:val="nil"/>
          <w:right w:val="nil"/>
          <w:between w:val="nil"/>
        </w:pBdr>
        <w:spacing w:line="240" w:lineRule="auto"/>
        <w:rPr>
          <w:color w:val="000000"/>
        </w:rPr>
      </w:pPr>
    </w:p>
    <w:p w14:paraId="5C9F4649" w14:textId="77777777" w:rsidR="009D5C14" w:rsidRPr="007B14CC" w:rsidRDefault="009D5C14">
      <w:pPr>
        <w:pBdr>
          <w:top w:val="nil"/>
          <w:left w:val="nil"/>
          <w:bottom w:val="nil"/>
          <w:right w:val="nil"/>
          <w:between w:val="nil"/>
        </w:pBdr>
        <w:spacing w:line="240" w:lineRule="auto"/>
        <w:rPr>
          <w:color w:val="000000"/>
        </w:rPr>
      </w:pPr>
    </w:p>
    <w:p w14:paraId="5C9F464A" w14:textId="77777777" w:rsidR="009D5C14" w:rsidRPr="007B14CC" w:rsidRDefault="009D5C14">
      <w:pPr>
        <w:pBdr>
          <w:top w:val="nil"/>
          <w:left w:val="nil"/>
          <w:bottom w:val="nil"/>
          <w:right w:val="nil"/>
          <w:between w:val="nil"/>
        </w:pBdr>
        <w:spacing w:line="240" w:lineRule="auto"/>
        <w:rPr>
          <w:color w:val="000000"/>
        </w:rPr>
      </w:pPr>
    </w:p>
    <w:p w14:paraId="5C9F464B" w14:textId="77777777" w:rsidR="009D5C14" w:rsidRPr="007B14CC" w:rsidRDefault="007669F9">
      <w:pPr>
        <w:pBdr>
          <w:top w:val="nil"/>
          <w:left w:val="nil"/>
          <w:bottom w:val="nil"/>
          <w:right w:val="nil"/>
          <w:between w:val="nil"/>
        </w:pBdr>
        <w:spacing w:line="240" w:lineRule="auto"/>
        <w:jc w:val="center"/>
        <w:rPr>
          <w:color w:val="000000"/>
        </w:rPr>
      </w:pPr>
      <w:r w:rsidRPr="007B14CC">
        <w:rPr>
          <w:rFonts w:ascii="Times New Roman" w:eastAsia="Times New Roman" w:hAnsi="Times New Roman" w:cs="Times New Roman"/>
          <w:noProof/>
          <w:color w:val="000000"/>
          <w:sz w:val="24"/>
          <w:szCs w:val="24"/>
        </w:rPr>
        <w:drawing>
          <wp:inline distT="114300" distB="114300" distL="114300" distR="114300" wp14:anchorId="5C9F4658" wp14:editId="5C9F4659">
            <wp:extent cx="5097780" cy="2806700"/>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97780" cy="2806700"/>
                    </a:xfrm>
                    <a:prstGeom prst="rect">
                      <a:avLst/>
                    </a:prstGeom>
                    <a:ln/>
                  </pic:spPr>
                </pic:pic>
              </a:graphicData>
            </a:graphic>
          </wp:inline>
        </w:drawing>
      </w:r>
    </w:p>
    <w:p w14:paraId="5C9F464C" w14:textId="77777777" w:rsidR="009D5C14" w:rsidRPr="007B14CC" w:rsidRDefault="009D5C14">
      <w:pPr>
        <w:pBdr>
          <w:top w:val="nil"/>
          <w:left w:val="nil"/>
          <w:bottom w:val="nil"/>
          <w:right w:val="nil"/>
          <w:between w:val="nil"/>
        </w:pBdr>
        <w:spacing w:line="240" w:lineRule="auto"/>
        <w:jc w:val="center"/>
        <w:rPr>
          <w:color w:val="000000"/>
        </w:rPr>
      </w:pPr>
    </w:p>
    <w:p w14:paraId="5C9F464D" w14:textId="77777777" w:rsidR="009D5C14" w:rsidRPr="007B14CC" w:rsidRDefault="009D5C14">
      <w:pPr>
        <w:spacing w:line="360" w:lineRule="auto"/>
        <w:jc w:val="both"/>
        <w:rPr>
          <w:color w:val="222222"/>
        </w:rPr>
      </w:pPr>
    </w:p>
    <w:p w14:paraId="5C9F464E" w14:textId="77777777" w:rsidR="009D5C14" w:rsidRPr="007B14CC" w:rsidRDefault="009D5C14">
      <w:pPr>
        <w:spacing w:line="360" w:lineRule="auto"/>
        <w:jc w:val="both"/>
        <w:rPr>
          <w:color w:val="222222"/>
        </w:rPr>
      </w:pPr>
    </w:p>
    <w:p w14:paraId="5C9F464F" w14:textId="77777777" w:rsidR="009D5C14" w:rsidRPr="007B14CC" w:rsidRDefault="009D5C14">
      <w:pPr>
        <w:spacing w:line="360" w:lineRule="auto"/>
        <w:jc w:val="both"/>
        <w:rPr>
          <w:color w:val="222222"/>
        </w:rPr>
      </w:pPr>
    </w:p>
    <w:p w14:paraId="5C9F4650" w14:textId="77777777" w:rsidR="009D5C14" w:rsidRPr="007B14CC" w:rsidRDefault="009D5C14">
      <w:pPr>
        <w:spacing w:line="360" w:lineRule="auto"/>
        <w:jc w:val="both"/>
        <w:rPr>
          <w:color w:val="222222"/>
        </w:rPr>
      </w:pPr>
    </w:p>
    <w:p w14:paraId="5C9F4651" w14:textId="77777777" w:rsidR="009D5C14" w:rsidRPr="007B14CC" w:rsidRDefault="009D5C14">
      <w:pPr>
        <w:spacing w:line="360" w:lineRule="auto"/>
        <w:jc w:val="both"/>
        <w:rPr>
          <w:color w:val="222222"/>
        </w:rPr>
      </w:pPr>
    </w:p>
    <w:sectPr w:rsidR="009D5C14" w:rsidRPr="007B14CC">
      <w:footerReference w:type="default" r:id="rId3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F4660" w14:textId="77777777" w:rsidR="00136D62" w:rsidRDefault="007669F9">
      <w:pPr>
        <w:spacing w:line="240" w:lineRule="auto"/>
      </w:pPr>
      <w:r>
        <w:separator/>
      </w:r>
    </w:p>
  </w:endnote>
  <w:endnote w:type="continuationSeparator" w:id="0">
    <w:p w14:paraId="5C9F4662" w14:textId="77777777" w:rsidR="00136D62" w:rsidRDefault="007669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notTrueType/>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F465A" w14:textId="6E435792" w:rsidR="009D5C14" w:rsidRDefault="007669F9">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7B14CC">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7B14CC">
      <w:rPr>
        <w:b/>
        <w:noProof/>
        <w:color w:val="000000"/>
        <w:sz w:val="24"/>
        <w:szCs w:val="24"/>
      </w:rPr>
      <w:t>3</w:t>
    </w:r>
    <w:r>
      <w:rPr>
        <w:b/>
        <w:color w:val="000000"/>
        <w:sz w:val="24"/>
        <w:szCs w:val="24"/>
      </w:rPr>
      <w:fldChar w:fldCharType="end"/>
    </w:r>
  </w:p>
  <w:p w14:paraId="5C9F465B" w14:textId="77777777" w:rsidR="009D5C14" w:rsidRDefault="009D5C1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F465C" w14:textId="77777777" w:rsidR="00136D62" w:rsidRDefault="007669F9">
      <w:pPr>
        <w:spacing w:line="240" w:lineRule="auto"/>
      </w:pPr>
      <w:r>
        <w:separator/>
      </w:r>
    </w:p>
  </w:footnote>
  <w:footnote w:type="continuationSeparator" w:id="0">
    <w:p w14:paraId="5C9F465E" w14:textId="77777777" w:rsidR="00136D62" w:rsidRDefault="007669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42AAF"/>
    <w:multiLevelType w:val="multilevel"/>
    <w:tmpl w:val="7FC4E7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5400D4F"/>
    <w:multiLevelType w:val="multilevel"/>
    <w:tmpl w:val="A1523A8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77C93CA8"/>
    <w:multiLevelType w:val="multilevel"/>
    <w:tmpl w:val="7E527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7294533">
    <w:abstractNumId w:val="1"/>
  </w:num>
  <w:num w:numId="2" w16cid:durableId="604969642">
    <w:abstractNumId w:val="2"/>
  </w:num>
  <w:num w:numId="3" w16cid:durableId="1157457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C14"/>
    <w:rsid w:val="00136D62"/>
    <w:rsid w:val="00350745"/>
    <w:rsid w:val="0064297E"/>
    <w:rsid w:val="007669F9"/>
    <w:rsid w:val="007B14CC"/>
    <w:rsid w:val="009D5C14"/>
    <w:rsid w:val="00F43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F45AE"/>
  <w15:docId w15:val="{3A44A54B-017D-4A19-AA30-B32EA9E1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D5B4E"/>
    <w:pPr>
      <w:keepNext/>
      <w:keepLines/>
      <w:spacing w:line="360" w:lineRule="auto"/>
      <w:outlineLvl w:val="0"/>
    </w:pPr>
    <w:rPr>
      <w:b/>
      <w:sz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CC1AEE"/>
    <w:pPr>
      <w:spacing w:after="100"/>
    </w:pPr>
  </w:style>
  <w:style w:type="character" w:styleId="Hyperlink">
    <w:name w:val="Hyperlink"/>
    <w:basedOn w:val="DefaultParagraphFont"/>
    <w:uiPriority w:val="99"/>
    <w:unhideWhenUsed/>
    <w:rsid w:val="00CC1AEE"/>
    <w:rPr>
      <w:color w:val="0000FF" w:themeColor="hyperlink"/>
      <w:u w:val="single"/>
    </w:rPr>
  </w:style>
  <w:style w:type="paragraph" w:styleId="Header">
    <w:name w:val="header"/>
    <w:basedOn w:val="Normal"/>
    <w:link w:val="HeaderChar"/>
    <w:uiPriority w:val="99"/>
    <w:unhideWhenUsed/>
    <w:rsid w:val="00163684"/>
    <w:pPr>
      <w:tabs>
        <w:tab w:val="center" w:pos="4513"/>
        <w:tab w:val="right" w:pos="9026"/>
      </w:tabs>
      <w:spacing w:line="240" w:lineRule="auto"/>
    </w:pPr>
  </w:style>
  <w:style w:type="character" w:customStyle="1" w:styleId="HeaderChar">
    <w:name w:val="Header Char"/>
    <w:basedOn w:val="DefaultParagraphFont"/>
    <w:link w:val="Header"/>
    <w:uiPriority w:val="99"/>
    <w:rsid w:val="00163684"/>
  </w:style>
  <w:style w:type="paragraph" w:styleId="Footer">
    <w:name w:val="footer"/>
    <w:basedOn w:val="Normal"/>
    <w:link w:val="FooterChar"/>
    <w:uiPriority w:val="99"/>
    <w:unhideWhenUsed/>
    <w:rsid w:val="00163684"/>
    <w:pPr>
      <w:tabs>
        <w:tab w:val="center" w:pos="4513"/>
        <w:tab w:val="right" w:pos="9026"/>
      </w:tabs>
      <w:spacing w:line="240" w:lineRule="auto"/>
    </w:pPr>
  </w:style>
  <w:style w:type="character" w:customStyle="1" w:styleId="FooterChar">
    <w:name w:val="Footer Char"/>
    <w:basedOn w:val="DefaultParagraphFont"/>
    <w:link w:val="Footer"/>
    <w:uiPriority w:val="99"/>
    <w:rsid w:val="00163684"/>
  </w:style>
  <w:style w:type="paragraph" w:styleId="NormalWeb">
    <w:name w:val="Normal (Web)"/>
    <w:basedOn w:val="Normal"/>
    <w:uiPriority w:val="99"/>
    <w:semiHidden/>
    <w:unhideWhenUsed/>
    <w:rsid w:val="00CD5B4E"/>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57A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A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journals.iium.edu.my/ijcs/index.php/ijcs/article/view/82" TargetMode="External" /><Relationship Id="rId18" Type="http://schemas.openxmlformats.org/officeDocument/2006/relationships/hyperlink" Target="https://papers.ssrn.com/sol3/papers.cfm?abstract_id=3856618" TargetMode="External" /><Relationship Id="rId26" Type="http://schemas.openxmlformats.org/officeDocument/2006/relationships/hyperlink" Target="https://www.mdpi.com/2071-1050/11/11/3052" TargetMode="External" /><Relationship Id="rId3" Type="http://schemas.openxmlformats.org/officeDocument/2006/relationships/styles" Target="styles.xml" /><Relationship Id="rId21" Type="http://schemas.openxmlformats.org/officeDocument/2006/relationships/hyperlink" Target="http://indianjournalofeconomicsandresearch.com/index.php/theijhss/article/view/156834" TargetMode="External" /><Relationship Id="rId34"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atlantis-press.com/proceedings/icsse-20/125953072" TargetMode="External" /><Relationship Id="rId17" Type="http://schemas.openxmlformats.org/officeDocument/2006/relationships/hyperlink" Target="https://www.mdpi.com/929730" TargetMode="External" /><Relationship Id="rId25" Type="http://schemas.openxmlformats.org/officeDocument/2006/relationships/hyperlink" Target="https://journals.nipissingu.ca/index.php/cjar/article/view/446" TargetMode="External" /><Relationship Id="rId33" Type="http://schemas.openxmlformats.org/officeDocument/2006/relationships/hyperlink" Target="https://journals.sagepub.com/doi/pdf/10.1177/1028315318814200" TargetMode="External" /><Relationship Id="rId2" Type="http://schemas.openxmlformats.org/officeDocument/2006/relationships/numbering" Target="numbering.xml" /><Relationship Id="rId16" Type="http://schemas.openxmlformats.org/officeDocument/2006/relationships/hyperlink" Target="https://www.sciencedirect.com/science/article/pii/S1078817419300902" TargetMode="External" /><Relationship Id="rId20" Type="http://schemas.openxmlformats.org/officeDocument/2006/relationships/hyperlink" Target="https://philpapers.org/rec/GODEOE" TargetMode="External" /><Relationship Id="rId29" Type="http://schemas.openxmlformats.org/officeDocument/2006/relationships/hyperlink" Target="https://books.google.com/books?hl=en&amp;lr=&amp;id=gU9mDwAAQBAJ&amp;oi=fnd&amp;pg=PA319&amp;dq=Researchers+choose+study+participants+using+the+non-probability+sampling+technique+known+as+%22purposeful+sampling%22+based+on+a+predetermined+goal+or+set+of+criteria&amp;ots=Euj_9_mWP3&amp;sig=64G1JUu4wbjSGgovhYMUxDchm4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journals.sagepub.com/doi/pdf/10.1177/1609406919887274" TargetMode="External" /><Relationship Id="rId24" Type="http://schemas.openxmlformats.org/officeDocument/2006/relationships/hyperlink" Target="http://crl.acrl.org/index.php/crl/article/view/16606" TargetMode="External" /><Relationship Id="rId32" Type="http://schemas.openxmlformats.org/officeDocument/2006/relationships/hyperlink" Target="https://www.tandfonline.com/doi/abs/10.1080/07448481.2019.1600522" TargetMode="External" /><Relationship Id="rId5" Type="http://schemas.openxmlformats.org/officeDocument/2006/relationships/webSettings" Target="webSettings.xml" /><Relationship Id="rId15" Type="http://schemas.openxmlformats.org/officeDocument/2006/relationships/hyperlink" Target="https://www.tandfonline.com/doi/abs/10.1080/07448481.2021.1909041" TargetMode="External" /><Relationship Id="rId23" Type="http://schemas.openxmlformats.org/officeDocument/2006/relationships/hyperlink" Target="https://journals.sagepub.com/doi/pdf/10.4103/IJPSYM.IJPSYM_130_19" TargetMode="External" /><Relationship Id="rId28" Type="http://schemas.openxmlformats.org/officeDocument/2006/relationships/hyperlink" Target="https://scholarworks.umass.edu/cgi/viewcontent.cgi?article=1390&amp;context=pare" TargetMode="External" /><Relationship Id="rId36"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setac.onlinelibrary.wiley.com/doi/full/10.1002/etc.4890" TargetMode="External" /><Relationship Id="rId31" Type="http://schemas.openxmlformats.org/officeDocument/2006/relationships/hyperlink" Target="https://www.torrossa.com/gs/resourceProxy?an=5409513&amp;publisher=FZ720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sibresearch.org/uploads/3/4/0/9/34097180/riber_7-s1_sp_h17-083_91-105.pdf" TargetMode="External" /><Relationship Id="rId22" Type="http://schemas.openxmlformats.org/officeDocument/2006/relationships/hyperlink" Target="https://papers.ssrn.com/sol3/papers.cfm?abstract_id=3586256" TargetMode="External" /><Relationship Id="rId27" Type="http://schemas.openxmlformats.org/officeDocument/2006/relationships/hyperlink" Target="https://www.mdpi.com/journal/nutrients/special_issues/eating_habits_university" TargetMode="External" /><Relationship Id="rId30" Type="http://schemas.openxmlformats.org/officeDocument/2006/relationships/hyperlink" Target="https://journals.sagepub.com/doi/pdf/10.1177/0047287517729758"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01KQr7kJuPCsP3cebKAuZPoN9Tg==">AMUW2mUmMdJfVE52lMoma9hjQdXY4fWSNPShtrRQlb7EOfIB0tSkISlncXcTtNvCq8WAB93m5pC2zIieHfYmwXb9wyYxfBuvca3l5bA4rTd6ennQqRgqyuYs/1mWMZZPftVc2+urZhV6Ym2io59Wks1ZLv4NqCK6WQPtdtN/eHUdpb86ixK0s0n5kQKOjex+mz5fm9m42f0nBZWoaea/DdxIz8lzNA7KebAiyeFheCbFmJjB0jENQB87C2R/BqMdbN8zQucOp1a6cHWkQSihH4/zviySZZJ7zzmyKkPqVw154AXohhB5Pyj3EBR4ZldfwGxn7OLkYmV2WX9fSAEjNMuka1pkxBtNofUH4+TdGW4Xs92oy1+BEpeawBchUgwy5Yf2oSREZFk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4553</Words>
  <Characters>25954</Characters>
  <Application>Microsoft Office Word</Application>
  <DocSecurity>0</DocSecurity>
  <Lines>216</Lines>
  <Paragraphs>60</Paragraphs>
  <ScaleCrop>false</ScaleCrop>
  <Company/>
  <LinksUpToDate>false</LinksUpToDate>
  <CharactersWithSpaces>30447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Ajmal Shaji (2210940)</cp:lastModifiedBy>
  <cp:revision>2</cp:revision>
  <dcterms:created xsi:type="dcterms:W3CDTF">2023-03-31T13:09:00Z</dcterms:created>
  <dcterms:modified xsi:type="dcterms:W3CDTF">2023-03-31T13:09:00Z</dcterms:modified>
</cp:coreProperties>
</file>