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3B394" w14:textId="43AFEA06" w:rsidR="002F2725" w:rsidRDefault="23F06CAB" w:rsidP="6D1B3428">
      <w:pPr>
        <w:spacing w:after="0"/>
      </w:pPr>
      <w:r>
        <w:rPr>
          <w:noProof/>
        </w:rPr>
        <w:drawing>
          <wp:inline distT="0" distB="0" distL="0" distR="0" wp14:anchorId="3DA276CA" wp14:editId="4879B01B">
            <wp:extent cx="2421559" cy="1225376"/>
            <wp:effectExtent l="0" t="0" r="0" b="0"/>
            <wp:docPr id="4615259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25949" name="Picture 461525949"/>
                    <pic:cNvPicPr/>
                  </pic:nvPicPr>
                  <pic:blipFill>
                    <a:blip r:embed="rId8">
                      <a:extLst>
                        <a:ext uri="{28A0092B-C50C-407E-A947-70E740481C1C}">
                          <a14:useLocalDpi xmlns:a14="http://schemas.microsoft.com/office/drawing/2010/main"/>
                        </a:ext>
                      </a:extLst>
                    </a:blip>
                    <a:stretch>
                      <a:fillRect/>
                    </a:stretch>
                  </pic:blipFill>
                  <pic:spPr>
                    <a:xfrm>
                      <a:off x="0" y="0"/>
                      <a:ext cx="2421559" cy="1225376"/>
                    </a:xfrm>
                    <a:prstGeom prst="rect">
                      <a:avLst/>
                    </a:prstGeom>
                  </pic:spPr>
                </pic:pic>
              </a:graphicData>
            </a:graphic>
          </wp:inline>
        </w:drawing>
      </w:r>
    </w:p>
    <w:p w14:paraId="030D0B76" w14:textId="77777777" w:rsidR="002F2725" w:rsidRDefault="002F2725" w:rsidP="00C86CDA">
      <w:pPr>
        <w:spacing w:after="0"/>
      </w:pPr>
    </w:p>
    <w:p w14:paraId="267D676A" w14:textId="77777777" w:rsidR="002F2725" w:rsidRDefault="002F2725" w:rsidP="00C86CDA">
      <w:pPr>
        <w:spacing w:after="0"/>
        <w:jc w:val="center"/>
      </w:pPr>
    </w:p>
    <w:p w14:paraId="33F5142B" w14:textId="77777777" w:rsidR="002F2725" w:rsidRDefault="002F2725" w:rsidP="00C86CDA">
      <w:pPr>
        <w:spacing w:after="0"/>
        <w:jc w:val="center"/>
      </w:pPr>
    </w:p>
    <w:p w14:paraId="5C138B1D" w14:textId="77777777" w:rsidR="002F2725" w:rsidRPr="002F2725" w:rsidRDefault="002F2725" w:rsidP="00C86CDA">
      <w:pPr>
        <w:spacing w:after="0"/>
        <w:jc w:val="center"/>
        <w:rPr>
          <w:b/>
          <w:bCs/>
          <w:sz w:val="28"/>
          <w:szCs w:val="24"/>
        </w:rPr>
      </w:pPr>
    </w:p>
    <w:p w14:paraId="74CCBB09" w14:textId="77777777" w:rsidR="002F2725" w:rsidRPr="002F2725" w:rsidRDefault="009B7BBF" w:rsidP="00C86CDA">
      <w:pPr>
        <w:spacing w:after="0"/>
        <w:jc w:val="center"/>
        <w:rPr>
          <w:b/>
          <w:bCs/>
          <w:sz w:val="28"/>
          <w:szCs w:val="24"/>
        </w:rPr>
      </w:pPr>
      <w:r w:rsidRPr="002F2725">
        <w:rPr>
          <w:b/>
          <w:bCs/>
          <w:sz w:val="28"/>
          <w:szCs w:val="24"/>
        </w:rPr>
        <w:t>BA Leadership and Management</w:t>
      </w:r>
    </w:p>
    <w:p w14:paraId="6D3050DD" w14:textId="77777777" w:rsidR="006F4F0F" w:rsidRDefault="006F4F0F" w:rsidP="00C86CDA">
      <w:pPr>
        <w:spacing w:after="0"/>
        <w:jc w:val="center"/>
        <w:rPr>
          <w:b/>
          <w:bCs/>
          <w:sz w:val="28"/>
          <w:szCs w:val="24"/>
        </w:rPr>
      </w:pPr>
    </w:p>
    <w:p w14:paraId="719B0D37" w14:textId="77777777" w:rsidR="002F2725" w:rsidRPr="002F2725" w:rsidRDefault="009B7BBF" w:rsidP="006F4F0F">
      <w:pPr>
        <w:spacing w:after="0"/>
        <w:jc w:val="center"/>
        <w:rPr>
          <w:b/>
          <w:bCs/>
          <w:sz w:val="28"/>
          <w:szCs w:val="24"/>
        </w:rPr>
      </w:pPr>
      <w:r w:rsidRPr="002F2725">
        <w:rPr>
          <w:b/>
          <w:bCs/>
          <w:sz w:val="28"/>
          <w:szCs w:val="24"/>
        </w:rPr>
        <w:t>LCLM 6002</w:t>
      </w:r>
      <w:r>
        <w:rPr>
          <w:b/>
          <w:bCs/>
          <w:sz w:val="28"/>
          <w:szCs w:val="24"/>
        </w:rPr>
        <w:t xml:space="preserve"> </w:t>
      </w:r>
      <w:r w:rsidRPr="002F2725">
        <w:rPr>
          <w:b/>
          <w:bCs/>
          <w:sz w:val="28"/>
          <w:szCs w:val="24"/>
        </w:rPr>
        <w:t>Design Thinking and Innovation</w:t>
      </w:r>
    </w:p>
    <w:p w14:paraId="6456FC93" w14:textId="77777777" w:rsidR="006F4F0F" w:rsidRDefault="006F4F0F" w:rsidP="00C86CDA">
      <w:pPr>
        <w:spacing w:after="0"/>
        <w:jc w:val="center"/>
        <w:rPr>
          <w:b/>
          <w:bCs/>
          <w:sz w:val="28"/>
          <w:szCs w:val="24"/>
        </w:rPr>
      </w:pPr>
    </w:p>
    <w:p w14:paraId="78248E82" w14:textId="77777777" w:rsidR="002F2725" w:rsidRPr="002F2725" w:rsidRDefault="009B7BBF" w:rsidP="00C86CDA">
      <w:pPr>
        <w:spacing w:after="0"/>
        <w:jc w:val="center"/>
        <w:rPr>
          <w:b/>
          <w:bCs/>
          <w:sz w:val="28"/>
          <w:szCs w:val="24"/>
        </w:rPr>
      </w:pPr>
      <w:r w:rsidRPr="002F2725">
        <w:rPr>
          <w:b/>
          <w:bCs/>
          <w:sz w:val="28"/>
          <w:szCs w:val="24"/>
        </w:rPr>
        <w:t>Design Thinking and Innovation: A Critical Analysis of Unilever Plc</w:t>
      </w:r>
    </w:p>
    <w:p w14:paraId="2D7BFBC7" w14:textId="77777777" w:rsidR="002F2725" w:rsidRPr="002F2725" w:rsidRDefault="002F2725" w:rsidP="006F4F0F">
      <w:pPr>
        <w:spacing w:after="0"/>
        <w:rPr>
          <w:b/>
          <w:bCs/>
          <w:sz w:val="28"/>
          <w:szCs w:val="24"/>
        </w:rPr>
      </w:pPr>
    </w:p>
    <w:p w14:paraId="0876C029" w14:textId="714DB874" w:rsidR="002F2725" w:rsidRPr="002F2725" w:rsidRDefault="009B7BBF" w:rsidP="00C86CDA">
      <w:pPr>
        <w:spacing w:after="0"/>
        <w:jc w:val="center"/>
        <w:rPr>
          <w:b/>
          <w:bCs/>
          <w:sz w:val="28"/>
          <w:szCs w:val="24"/>
        </w:rPr>
      </w:pPr>
      <w:r w:rsidRPr="002F2725">
        <w:rPr>
          <w:b/>
          <w:bCs/>
          <w:sz w:val="28"/>
          <w:szCs w:val="24"/>
        </w:rPr>
        <w:t>Student Name:</w:t>
      </w:r>
      <w:r w:rsidR="00EE796B">
        <w:rPr>
          <w:b/>
          <w:bCs/>
          <w:sz w:val="28"/>
          <w:szCs w:val="24"/>
        </w:rPr>
        <w:t xml:space="preserve"> Alina-Nicoleta Radu</w:t>
      </w:r>
    </w:p>
    <w:p w14:paraId="5047CBEE" w14:textId="4771DF8D" w:rsidR="006F4F0F" w:rsidRDefault="009B7BBF" w:rsidP="001B6D64">
      <w:pPr>
        <w:spacing w:after="0"/>
        <w:jc w:val="center"/>
        <w:rPr>
          <w:b/>
          <w:bCs/>
          <w:sz w:val="28"/>
          <w:szCs w:val="24"/>
        </w:rPr>
      </w:pPr>
      <w:r w:rsidRPr="002F2725">
        <w:rPr>
          <w:b/>
          <w:bCs/>
          <w:sz w:val="28"/>
          <w:szCs w:val="24"/>
        </w:rPr>
        <w:t>Student ID:</w:t>
      </w:r>
      <w:r w:rsidR="00D430B5">
        <w:rPr>
          <w:b/>
          <w:bCs/>
          <w:sz w:val="28"/>
          <w:szCs w:val="24"/>
        </w:rPr>
        <w:t xml:space="preserve"> 231</w:t>
      </w:r>
      <w:r w:rsidR="00315304">
        <w:rPr>
          <w:b/>
          <w:bCs/>
          <w:sz w:val="28"/>
          <w:szCs w:val="24"/>
        </w:rPr>
        <w:t>2044</w:t>
      </w:r>
    </w:p>
    <w:p w14:paraId="6D674A44" w14:textId="0A0E1C02" w:rsidR="0027080D" w:rsidRDefault="009B7BBF" w:rsidP="00C86CDA">
      <w:pPr>
        <w:spacing w:after="0"/>
        <w:jc w:val="center"/>
      </w:pPr>
      <w:r>
        <w:rPr>
          <w:b/>
          <w:bCs/>
          <w:sz w:val="28"/>
          <w:szCs w:val="24"/>
        </w:rPr>
        <w:t xml:space="preserve">Module </w:t>
      </w:r>
      <w:r w:rsidR="009E3C11">
        <w:rPr>
          <w:b/>
          <w:bCs/>
          <w:sz w:val="28"/>
          <w:szCs w:val="24"/>
        </w:rPr>
        <w:t>Lecture:</w:t>
      </w:r>
      <w:r w:rsidR="00812FA3">
        <w:rPr>
          <w:b/>
          <w:bCs/>
          <w:sz w:val="28"/>
          <w:szCs w:val="24"/>
        </w:rPr>
        <w:t xml:space="preserve"> </w:t>
      </w:r>
      <w:r w:rsidR="00812FA3">
        <w:rPr>
          <w:i/>
          <w:iCs/>
          <w:sz w:val="28"/>
          <w:szCs w:val="24"/>
        </w:rPr>
        <w:t xml:space="preserve"> </w:t>
      </w:r>
      <w:r w:rsidR="008D5928">
        <w:rPr>
          <w:sz w:val="28"/>
          <w:szCs w:val="24"/>
        </w:rPr>
        <w:t xml:space="preserve">  </w:t>
      </w:r>
      <w:r w:rsidR="001B6D64">
        <w:rPr>
          <w:b/>
          <w:bCs/>
          <w:sz w:val="28"/>
          <w:szCs w:val="24"/>
        </w:rPr>
        <w:t xml:space="preserve">Semih </w:t>
      </w:r>
      <w:proofErr w:type="spellStart"/>
      <w:r w:rsidR="001B6D64">
        <w:rPr>
          <w:b/>
          <w:bCs/>
          <w:sz w:val="28"/>
          <w:szCs w:val="24"/>
        </w:rPr>
        <w:t>Yumushak</w:t>
      </w:r>
      <w:proofErr w:type="spellEnd"/>
    </w:p>
    <w:sdt>
      <w:sdtPr>
        <w:rPr>
          <w:rFonts w:ascii="Times New Roman" w:eastAsiaTheme="minorEastAsia" w:hAnsi="Times New Roman" w:cstheme="minorBidi"/>
          <w:color w:val="auto"/>
          <w:kern w:val="2"/>
          <w:sz w:val="24"/>
          <w:szCs w:val="24"/>
          <w:lang w:eastAsia="en-US" w:bidi="ar-SA"/>
          <w14:ligatures w14:val="standardContextual"/>
        </w:rPr>
        <w:id w:val="-1981220724"/>
        <w:docPartObj>
          <w:docPartGallery w:val="Table of Contents"/>
          <w:docPartUnique/>
        </w:docPartObj>
      </w:sdtPr>
      <w:sdtEndPr>
        <w:rPr>
          <w:rFonts w:ascii="Arial" w:hAnsi="Arial"/>
          <w:b/>
          <w:bCs/>
          <w:sz w:val="22"/>
          <w:szCs w:val="22"/>
        </w:rPr>
      </w:sdtEndPr>
      <w:sdtContent>
        <w:p w14:paraId="2E99069E" w14:textId="77777777" w:rsidR="0080759C" w:rsidRPr="006F4F0F" w:rsidRDefault="009B7BBF" w:rsidP="00C86CDA">
          <w:pPr>
            <w:pStyle w:val="TOCHeading"/>
            <w:spacing w:line="360" w:lineRule="auto"/>
            <w:rPr>
              <w:rFonts w:ascii="Arial" w:hAnsi="Arial" w:cs="Arial"/>
              <w:b/>
              <w:bCs/>
              <w:color w:val="auto"/>
            </w:rPr>
          </w:pPr>
          <w:r w:rsidRPr="006F4F0F">
            <w:rPr>
              <w:rFonts w:ascii="Arial" w:hAnsi="Arial" w:cs="Arial"/>
              <w:b/>
              <w:bCs/>
              <w:color w:val="auto"/>
            </w:rPr>
            <w:t>Table of Contents</w:t>
          </w:r>
        </w:p>
        <w:p w14:paraId="0D86B042" w14:textId="34F1D0A4" w:rsidR="00F70852" w:rsidRDefault="009B7BBF" w:rsidP="00F70852">
          <w:pPr>
            <w:pStyle w:val="TOC1"/>
            <w:tabs>
              <w:tab w:val="right" w:leader="dot" w:pos="9350"/>
            </w:tabs>
            <w:spacing w:after="0"/>
            <w:rPr>
              <w:rFonts w:asciiTheme="minorHAnsi" w:eastAsiaTheme="minorEastAsia" w:hAnsiTheme="minorHAnsi"/>
              <w:noProof/>
              <w:kern w:val="0"/>
              <w:lang w:eastAsia="en-GB"/>
              <w14:ligatures w14:val="none"/>
            </w:rPr>
          </w:pPr>
          <w:r>
            <w:fldChar w:fldCharType="begin"/>
          </w:r>
          <w:r>
            <w:instrText xml:space="preserve"> TOC \o "1-3" \h \z \u </w:instrText>
          </w:r>
          <w:r>
            <w:fldChar w:fldCharType="separate"/>
          </w:r>
          <w:hyperlink w:anchor="_Toc223477696" w:history="1">
            <w:r w:rsidR="00F70852" w:rsidRPr="006D20F2">
              <w:rPr>
                <w:rStyle w:val="Hyperlink"/>
                <w:noProof/>
              </w:rPr>
              <w:t>Introduction</w:t>
            </w:r>
            <w:r w:rsidR="00F70852">
              <w:rPr>
                <w:noProof/>
                <w:webHidden/>
              </w:rPr>
              <w:tab/>
            </w:r>
            <w:r w:rsidR="00F70852">
              <w:rPr>
                <w:noProof/>
                <w:webHidden/>
              </w:rPr>
              <w:fldChar w:fldCharType="begin"/>
            </w:r>
            <w:r w:rsidR="00F70852">
              <w:rPr>
                <w:noProof/>
                <w:webHidden/>
              </w:rPr>
              <w:instrText xml:space="preserve"> PAGEREF _Toc223477696 \h </w:instrText>
            </w:r>
            <w:r w:rsidR="00F70852">
              <w:rPr>
                <w:noProof/>
                <w:webHidden/>
              </w:rPr>
            </w:r>
            <w:r w:rsidR="00F70852">
              <w:rPr>
                <w:noProof/>
                <w:webHidden/>
              </w:rPr>
              <w:fldChar w:fldCharType="separate"/>
            </w:r>
            <w:r w:rsidR="00F70852">
              <w:rPr>
                <w:noProof/>
                <w:webHidden/>
              </w:rPr>
              <w:t>4</w:t>
            </w:r>
            <w:r w:rsidR="00F70852">
              <w:rPr>
                <w:noProof/>
                <w:webHidden/>
              </w:rPr>
              <w:fldChar w:fldCharType="end"/>
            </w:r>
          </w:hyperlink>
        </w:p>
        <w:p w14:paraId="03249565" w14:textId="4F672F5B" w:rsidR="00F70852" w:rsidRDefault="00F70852" w:rsidP="00F70852">
          <w:pPr>
            <w:pStyle w:val="TOC1"/>
            <w:tabs>
              <w:tab w:val="right" w:leader="dot" w:pos="9350"/>
            </w:tabs>
            <w:spacing w:after="0"/>
            <w:rPr>
              <w:rFonts w:asciiTheme="minorHAnsi" w:eastAsiaTheme="minorEastAsia" w:hAnsiTheme="minorHAnsi"/>
              <w:noProof/>
              <w:kern w:val="0"/>
              <w:lang w:eastAsia="en-GB"/>
              <w14:ligatures w14:val="none"/>
            </w:rPr>
          </w:pPr>
          <w:hyperlink w:anchor="_Toc223477697" w:history="1">
            <w:r w:rsidRPr="006D20F2">
              <w:rPr>
                <w:rStyle w:val="Hyperlink"/>
                <w:noProof/>
              </w:rPr>
              <w:t>Part 1: Analysis of Unilever's Approach to Innovation</w:t>
            </w:r>
            <w:r>
              <w:rPr>
                <w:noProof/>
                <w:webHidden/>
              </w:rPr>
              <w:tab/>
            </w:r>
            <w:r>
              <w:rPr>
                <w:noProof/>
                <w:webHidden/>
              </w:rPr>
              <w:fldChar w:fldCharType="begin"/>
            </w:r>
            <w:r>
              <w:rPr>
                <w:noProof/>
                <w:webHidden/>
              </w:rPr>
              <w:instrText xml:space="preserve"> PAGEREF _Toc223477697 \h </w:instrText>
            </w:r>
            <w:r>
              <w:rPr>
                <w:noProof/>
                <w:webHidden/>
              </w:rPr>
            </w:r>
            <w:r>
              <w:rPr>
                <w:noProof/>
                <w:webHidden/>
              </w:rPr>
              <w:fldChar w:fldCharType="separate"/>
            </w:r>
            <w:r>
              <w:rPr>
                <w:noProof/>
                <w:webHidden/>
              </w:rPr>
              <w:t>5</w:t>
            </w:r>
            <w:r>
              <w:rPr>
                <w:noProof/>
                <w:webHidden/>
              </w:rPr>
              <w:fldChar w:fldCharType="end"/>
            </w:r>
          </w:hyperlink>
        </w:p>
        <w:p w14:paraId="2D83E6C2" w14:textId="2AD13826"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698" w:history="1">
            <w:r w:rsidRPr="006D20F2">
              <w:rPr>
                <w:rStyle w:val="Hyperlink"/>
                <w:noProof/>
              </w:rPr>
              <w:t>1.1 Applying the Innovation Ambition Matrix</w:t>
            </w:r>
            <w:r>
              <w:rPr>
                <w:noProof/>
                <w:webHidden/>
              </w:rPr>
              <w:tab/>
            </w:r>
            <w:r>
              <w:rPr>
                <w:noProof/>
                <w:webHidden/>
              </w:rPr>
              <w:fldChar w:fldCharType="begin"/>
            </w:r>
            <w:r>
              <w:rPr>
                <w:noProof/>
                <w:webHidden/>
              </w:rPr>
              <w:instrText xml:space="preserve"> PAGEREF _Toc223477698 \h </w:instrText>
            </w:r>
            <w:r>
              <w:rPr>
                <w:noProof/>
                <w:webHidden/>
              </w:rPr>
            </w:r>
            <w:r>
              <w:rPr>
                <w:noProof/>
                <w:webHidden/>
              </w:rPr>
              <w:fldChar w:fldCharType="separate"/>
            </w:r>
            <w:r>
              <w:rPr>
                <w:noProof/>
                <w:webHidden/>
              </w:rPr>
              <w:t>5</w:t>
            </w:r>
            <w:r>
              <w:rPr>
                <w:noProof/>
                <w:webHidden/>
              </w:rPr>
              <w:fldChar w:fldCharType="end"/>
            </w:r>
          </w:hyperlink>
        </w:p>
        <w:p w14:paraId="38387A9E" w14:textId="62F7F3DC" w:rsidR="00F70852" w:rsidRDefault="00F70852" w:rsidP="00F70852">
          <w:pPr>
            <w:pStyle w:val="TOC3"/>
            <w:tabs>
              <w:tab w:val="right" w:leader="dot" w:pos="9350"/>
            </w:tabs>
            <w:spacing w:after="0"/>
            <w:rPr>
              <w:rFonts w:asciiTheme="minorHAnsi" w:eastAsiaTheme="minorEastAsia" w:hAnsiTheme="minorHAnsi"/>
              <w:noProof/>
              <w:kern w:val="0"/>
              <w:lang w:eastAsia="en-GB"/>
              <w14:ligatures w14:val="none"/>
            </w:rPr>
          </w:pPr>
          <w:hyperlink w:anchor="_Toc223477699" w:history="1">
            <w:r w:rsidRPr="006D20F2">
              <w:rPr>
                <w:rStyle w:val="Hyperlink"/>
                <w:noProof/>
              </w:rPr>
              <w:t>1.1.1 Core Innovation: Optimising Existing Products for Existing Markets</w:t>
            </w:r>
            <w:r>
              <w:rPr>
                <w:noProof/>
                <w:webHidden/>
              </w:rPr>
              <w:tab/>
            </w:r>
            <w:r>
              <w:rPr>
                <w:noProof/>
                <w:webHidden/>
              </w:rPr>
              <w:fldChar w:fldCharType="begin"/>
            </w:r>
            <w:r>
              <w:rPr>
                <w:noProof/>
                <w:webHidden/>
              </w:rPr>
              <w:instrText xml:space="preserve"> PAGEREF _Toc223477699 \h </w:instrText>
            </w:r>
            <w:r>
              <w:rPr>
                <w:noProof/>
                <w:webHidden/>
              </w:rPr>
            </w:r>
            <w:r>
              <w:rPr>
                <w:noProof/>
                <w:webHidden/>
              </w:rPr>
              <w:fldChar w:fldCharType="separate"/>
            </w:r>
            <w:r>
              <w:rPr>
                <w:noProof/>
                <w:webHidden/>
              </w:rPr>
              <w:t>6</w:t>
            </w:r>
            <w:r>
              <w:rPr>
                <w:noProof/>
                <w:webHidden/>
              </w:rPr>
              <w:fldChar w:fldCharType="end"/>
            </w:r>
          </w:hyperlink>
        </w:p>
        <w:p w14:paraId="69C4DD95" w14:textId="1106D73F" w:rsidR="00F70852" w:rsidRDefault="00F70852" w:rsidP="00F70852">
          <w:pPr>
            <w:pStyle w:val="TOC3"/>
            <w:tabs>
              <w:tab w:val="right" w:leader="dot" w:pos="9350"/>
            </w:tabs>
            <w:spacing w:after="0"/>
            <w:rPr>
              <w:rFonts w:asciiTheme="minorHAnsi" w:eastAsiaTheme="minorEastAsia" w:hAnsiTheme="minorHAnsi"/>
              <w:noProof/>
              <w:kern w:val="0"/>
              <w:lang w:eastAsia="en-GB"/>
              <w14:ligatures w14:val="none"/>
            </w:rPr>
          </w:pPr>
          <w:hyperlink w:anchor="_Toc223477700" w:history="1">
            <w:r w:rsidRPr="006D20F2">
              <w:rPr>
                <w:rStyle w:val="Hyperlink"/>
                <w:noProof/>
              </w:rPr>
              <w:t>1.1.2 Adjacent Innovation: Expanding into New Markets and Segments</w:t>
            </w:r>
            <w:r>
              <w:rPr>
                <w:noProof/>
                <w:webHidden/>
              </w:rPr>
              <w:tab/>
            </w:r>
            <w:r>
              <w:rPr>
                <w:noProof/>
                <w:webHidden/>
              </w:rPr>
              <w:fldChar w:fldCharType="begin"/>
            </w:r>
            <w:r>
              <w:rPr>
                <w:noProof/>
                <w:webHidden/>
              </w:rPr>
              <w:instrText xml:space="preserve"> PAGEREF _Toc223477700 \h </w:instrText>
            </w:r>
            <w:r>
              <w:rPr>
                <w:noProof/>
                <w:webHidden/>
              </w:rPr>
            </w:r>
            <w:r>
              <w:rPr>
                <w:noProof/>
                <w:webHidden/>
              </w:rPr>
              <w:fldChar w:fldCharType="separate"/>
            </w:r>
            <w:r>
              <w:rPr>
                <w:noProof/>
                <w:webHidden/>
              </w:rPr>
              <w:t>7</w:t>
            </w:r>
            <w:r>
              <w:rPr>
                <w:noProof/>
                <w:webHidden/>
              </w:rPr>
              <w:fldChar w:fldCharType="end"/>
            </w:r>
          </w:hyperlink>
        </w:p>
        <w:p w14:paraId="40758355" w14:textId="6AEF1B22" w:rsidR="00F70852" w:rsidRDefault="00F70852" w:rsidP="00F70852">
          <w:pPr>
            <w:pStyle w:val="TOC3"/>
            <w:tabs>
              <w:tab w:val="right" w:leader="dot" w:pos="9350"/>
            </w:tabs>
            <w:spacing w:after="0"/>
            <w:rPr>
              <w:rFonts w:asciiTheme="minorHAnsi" w:eastAsiaTheme="minorEastAsia" w:hAnsiTheme="minorHAnsi"/>
              <w:noProof/>
              <w:kern w:val="0"/>
              <w:lang w:eastAsia="en-GB"/>
              <w14:ligatures w14:val="none"/>
            </w:rPr>
          </w:pPr>
          <w:hyperlink w:anchor="_Toc223477701" w:history="1">
            <w:r w:rsidRPr="006D20F2">
              <w:rPr>
                <w:rStyle w:val="Hyperlink"/>
                <w:noProof/>
              </w:rPr>
              <w:t>1.1.3 Transformational Innovation: Creating New-to-World Offerings</w:t>
            </w:r>
            <w:r>
              <w:rPr>
                <w:noProof/>
                <w:webHidden/>
              </w:rPr>
              <w:tab/>
            </w:r>
            <w:r>
              <w:rPr>
                <w:noProof/>
                <w:webHidden/>
              </w:rPr>
              <w:fldChar w:fldCharType="begin"/>
            </w:r>
            <w:r>
              <w:rPr>
                <w:noProof/>
                <w:webHidden/>
              </w:rPr>
              <w:instrText xml:space="preserve"> PAGEREF _Toc223477701 \h </w:instrText>
            </w:r>
            <w:r>
              <w:rPr>
                <w:noProof/>
                <w:webHidden/>
              </w:rPr>
            </w:r>
            <w:r>
              <w:rPr>
                <w:noProof/>
                <w:webHidden/>
              </w:rPr>
              <w:fldChar w:fldCharType="separate"/>
            </w:r>
            <w:r>
              <w:rPr>
                <w:noProof/>
                <w:webHidden/>
              </w:rPr>
              <w:t>7</w:t>
            </w:r>
            <w:r>
              <w:rPr>
                <w:noProof/>
                <w:webHidden/>
              </w:rPr>
              <w:fldChar w:fldCharType="end"/>
            </w:r>
          </w:hyperlink>
        </w:p>
        <w:p w14:paraId="773C246C" w14:textId="72FAD864"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02" w:history="1">
            <w:r w:rsidRPr="006D20F2">
              <w:rPr>
                <w:rStyle w:val="Hyperlink"/>
                <w:noProof/>
              </w:rPr>
              <w:t>1.2 Customer Journey Mapping: Current State Analysis</w:t>
            </w:r>
            <w:r>
              <w:rPr>
                <w:noProof/>
                <w:webHidden/>
              </w:rPr>
              <w:tab/>
            </w:r>
            <w:r>
              <w:rPr>
                <w:noProof/>
                <w:webHidden/>
              </w:rPr>
              <w:fldChar w:fldCharType="begin"/>
            </w:r>
            <w:r>
              <w:rPr>
                <w:noProof/>
                <w:webHidden/>
              </w:rPr>
              <w:instrText xml:space="preserve"> PAGEREF _Toc223477702 \h </w:instrText>
            </w:r>
            <w:r>
              <w:rPr>
                <w:noProof/>
                <w:webHidden/>
              </w:rPr>
            </w:r>
            <w:r>
              <w:rPr>
                <w:noProof/>
                <w:webHidden/>
              </w:rPr>
              <w:fldChar w:fldCharType="separate"/>
            </w:r>
            <w:r>
              <w:rPr>
                <w:noProof/>
                <w:webHidden/>
              </w:rPr>
              <w:t>8</w:t>
            </w:r>
            <w:r>
              <w:rPr>
                <w:noProof/>
                <w:webHidden/>
              </w:rPr>
              <w:fldChar w:fldCharType="end"/>
            </w:r>
          </w:hyperlink>
        </w:p>
        <w:p w14:paraId="594E4D8D" w14:textId="01383C0E" w:rsidR="00F70852" w:rsidRDefault="00F70852" w:rsidP="00F70852">
          <w:pPr>
            <w:pStyle w:val="TOC1"/>
            <w:tabs>
              <w:tab w:val="right" w:leader="dot" w:pos="9350"/>
            </w:tabs>
            <w:spacing w:after="0"/>
            <w:rPr>
              <w:rFonts w:asciiTheme="minorHAnsi" w:eastAsiaTheme="minorEastAsia" w:hAnsiTheme="minorHAnsi"/>
              <w:noProof/>
              <w:kern w:val="0"/>
              <w:lang w:eastAsia="en-GB"/>
              <w14:ligatures w14:val="none"/>
            </w:rPr>
          </w:pPr>
          <w:hyperlink w:anchor="_Toc223477703" w:history="1">
            <w:r w:rsidRPr="006D20F2">
              <w:rPr>
                <w:rStyle w:val="Hyperlink"/>
                <w:noProof/>
              </w:rPr>
              <w:t>Part 2: Proposed Digital Transformation Initiative</w:t>
            </w:r>
            <w:r>
              <w:rPr>
                <w:noProof/>
                <w:webHidden/>
              </w:rPr>
              <w:tab/>
            </w:r>
            <w:r>
              <w:rPr>
                <w:noProof/>
                <w:webHidden/>
              </w:rPr>
              <w:fldChar w:fldCharType="begin"/>
            </w:r>
            <w:r>
              <w:rPr>
                <w:noProof/>
                <w:webHidden/>
              </w:rPr>
              <w:instrText xml:space="preserve"> PAGEREF _Toc223477703 \h </w:instrText>
            </w:r>
            <w:r>
              <w:rPr>
                <w:noProof/>
                <w:webHidden/>
              </w:rPr>
            </w:r>
            <w:r>
              <w:rPr>
                <w:noProof/>
                <w:webHidden/>
              </w:rPr>
              <w:fldChar w:fldCharType="separate"/>
            </w:r>
            <w:r>
              <w:rPr>
                <w:noProof/>
                <w:webHidden/>
              </w:rPr>
              <w:t>11</w:t>
            </w:r>
            <w:r>
              <w:rPr>
                <w:noProof/>
                <w:webHidden/>
              </w:rPr>
              <w:fldChar w:fldCharType="end"/>
            </w:r>
          </w:hyperlink>
        </w:p>
        <w:p w14:paraId="2C02000D" w14:textId="14580497"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04" w:history="1">
            <w:r w:rsidRPr="006D20F2">
              <w:rPr>
                <w:rStyle w:val="Hyperlink"/>
                <w:noProof/>
              </w:rPr>
              <w:t>2.1 Proposal: "Unilever SmartLife" — An AI-Powered Personalised Consumer Ecosystem</w:t>
            </w:r>
            <w:r>
              <w:rPr>
                <w:noProof/>
                <w:webHidden/>
              </w:rPr>
              <w:tab/>
            </w:r>
            <w:r>
              <w:rPr>
                <w:noProof/>
                <w:webHidden/>
              </w:rPr>
              <w:fldChar w:fldCharType="begin"/>
            </w:r>
            <w:r>
              <w:rPr>
                <w:noProof/>
                <w:webHidden/>
              </w:rPr>
              <w:instrText xml:space="preserve"> PAGEREF _Toc223477704 \h </w:instrText>
            </w:r>
            <w:r>
              <w:rPr>
                <w:noProof/>
                <w:webHidden/>
              </w:rPr>
            </w:r>
            <w:r>
              <w:rPr>
                <w:noProof/>
                <w:webHidden/>
              </w:rPr>
              <w:fldChar w:fldCharType="separate"/>
            </w:r>
            <w:r>
              <w:rPr>
                <w:noProof/>
                <w:webHidden/>
              </w:rPr>
              <w:t>11</w:t>
            </w:r>
            <w:r>
              <w:rPr>
                <w:noProof/>
                <w:webHidden/>
              </w:rPr>
              <w:fldChar w:fldCharType="end"/>
            </w:r>
          </w:hyperlink>
        </w:p>
        <w:p w14:paraId="63C8C6CA" w14:textId="2A44188D" w:rsidR="00F70852" w:rsidRDefault="00F70852" w:rsidP="00F70852">
          <w:pPr>
            <w:pStyle w:val="TOC3"/>
            <w:tabs>
              <w:tab w:val="right" w:leader="dot" w:pos="9350"/>
            </w:tabs>
            <w:spacing w:after="0"/>
            <w:rPr>
              <w:rFonts w:asciiTheme="minorHAnsi" w:eastAsiaTheme="minorEastAsia" w:hAnsiTheme="minorHAnsi"/>
              <w:noProof/>
              <w:kern w:val="0"/>
              <w:lang w:eastAsia="en-GB"/>
              <w14:ligatures w14:val="none"/>
            </w:rPr>
          </w:pPr>
          <w:hyperlink w:anchor="_Toc223477705" w:history="1">
            <w:r w:rsidRPr="006D20F2">
              <w:rPr>
                <w:rStyle w:val="Hyperlink"/>
                <w:noProof/>
              </w:rPr>
              <w:t>2.2.1 Core Components of Unilever SmartLife</w:t>
            </w:r>
            <w:r>
              <w:rPr>
                <w:noProof/>
                <w:webHidden/>
              </w:rPr>
              <w:tab/>
            </w:r>
            <w:r>
              <w:rPr>
                <w:noProof/>
                <w:webHidden/>
              </w:rPr>
              <w:fldChar w:fldCharType="begin"/>
            </w:r>
            <w:r>
              <w:rPr>
                <w:noProof/>
                <w:webHidden/>
              </w:rPr>
              <w:instrText xml:space="preserve"> PAGEREF _Toc223477705 \h </w:instrText>
            </w:r>
            <w:r>
              <w:rPr>
                <w:noProof/>
                <w:webHidden/>
              </w:rPr>
            </w:r>
            <w:r>
              <w:rPr>
                <w:noProof/>
                <w:webHidden/>
              </w:rPr>
              <w:fldChar w:fldCharType="separate"/>
            </w:r>
            <w:r>
              <w:rPr>
                <w:noProof/>
                <w:webHidden/>
              </w:rPr>
              <w:t>11</w:t>
            </w:r>
            <w:r>
              <w:rPr>
                <w:noProof/>
                <w:webHidden/>
              </w:rPr>
              <w:fldChar w:fldCharType="end"/>
            </w:r>
          </w:hyperlink>
        </w:p>
        <w:p w14:paraId="287F2BF2" w14:textId="18A92FD2"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06" w:history="1">
            <w:r w:rsidRPr="006D20F2">
              <w:rPr>
                <w:rStyle w:val="Hyperlink"/>
                <w:noProof/>
              </w:rPr>
              <w:t>2.2 Enhanced Customer Journey Map</w:t>
            </w:r>
            <w:r>
              <w:rPr>
                <w:noProof/>
                <w:webHidden/>
              </w:rPr>
              <w:tab/>
            </w:r>
            <w:r>
              <w:rPr>
                <w:noProof/>
                <w:webHidden/>
              </w:rPr>
              <w:fldChar w:fldCharType="begin"/>
            </w:r>
            <w:r>
              <w:rPr>
                <w:noProof/>
                <w:webHidden/>
              </w:rPr>
              <w:instrText xml:space="preserve"> PAGEREF _Toc223477706 \h </w:instrText>
            </w:r>
            <w:r>
              <w:rPr>
                <w:noProof/>
                <w:webHidden/>
              </w:rPr>
            </w:r>
            <w:r>
              <w:rPr>
                <w:noProof/>
                <w:webHidden/>
              </w:rPr>
              <w:fldChar w:fldCharType="separate"/>
            </w:r>
            <w:r>
              <w:rPr>
                <w:noProof/>
                <w:webHidden/>
              </w:rPr>
              <w:t>12</w:t>
            </w:r>
            <w:r>
              <w:rPr>
                <w:noProof/>
                <w:webHidden/>
              </w:rPr>
              <w:fldChar w:fldCharType="end"/>
            </w:r>
          </w:hyperlink>
        </w:p>
        <w:p w14:paraId="31C5A05B" w14:textId="039F0CB9"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07" w:history="1">
            <w:r w:rsidRPr="006D20F2">
              <w:rPr>
                <w:rStyle w:val="Hyperlink"/>
                <w:noProof/>
              </w:rPr>
              <w:t>2.3 Desirability, Viability, and Feasibility Assessment</w:t>
            </w:r>
            <w:r>
              <w:rPr>
                <w:noProof/>
                <w:webHidden/>
              </w:rPr>
              <w:tab/>
            </w:r>
            <w:r>
              <w:rPr>
                <w:noProof/>
                <w:webHidden/>
              </w:rPr>
              <w:fldChar w:fldCharType="begin"/>
            </w:r>
            <w:r>
              <w:rPr>
                <w:noProof/>
                <w:webHidden/>
              </w:rPr>
              <w:instrText xml:space="preserve"> PAGEREF _Toc223477707 \h </w:instrText>
            </w:r>
            <w:r>
              <w:rPr>
                <w:noProof/>
                <w:webHidden/>
              </w:rPr>
            </w:r>
            <w:r>
              <w:rPr>
                <w:noProof/>
                <w:webHidden/>
              </w:rPr>
              <w:fldChar w:fldCharType="separate"/>
            </w:r>
            <w:r>
              <w:rPr>
                <w:noProof/>
                <w:webHidden/>
              </w:rPr>
              <w:t>14</w:t>
            </w:r>
            <w:r>
              <w:rPr>
                <w:noProof/>
                <w:webHidden/>
              </w:rPr>
              <w:fldChar w:fldCharType="end"/>
            </w:r>
          </w:hyperlink>
        </w:p>
        <w:p w14:paraId="05A59ACE" w14:textId="05361430"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08" w:history="1">
            <w:r w:rsidRPr="006D20F2">
              <w:rPr>
                <w:rStyle w:val="Hyperlink"/>
                <w:noProof/>
              </w:rPr>
              <w:t>2.4 Measuring Impact and Success</w:t>
            </w:r>
            <w:r>
              <w:rPr>
                <w:noProof/>
                <w:webHidden/>
              </w:rPr>
              <w:tab/>
            </w:r>
            <w:r>
              <w:rPr>
                <w:noProof/>
                <w:webHidden/>
              </w:rPr>
              <w:fldChar w:fldCharType="begin"/>
            </w:r>
            <w:r>
              <w:rPr>
                <w:noProof/>
                <w:webHidden/>
              </w:rPr>
              <w:instrText xml:space="preserve"> PAGEREF _Toc223477708 \h </w:instrText>
            </w:r>
            <w:r>
              <w:rPr>
                <w:noProof/>
                <w:webHidden/>
              </w:rPr>
            </w:r>
            <w:r>
              <w:rPr>
                <w:noProof/>
                <w:webHidden/>
              </w:rPr>
              <w:fldChar w:fldCharType="separate"/>
            </w:r>
            <w:r>
              <w:rPr>
                <w:noProof/>
                <w:webHidden/>
              </w:rPr>
              <w:t>15</w:t>
            </w:r>
            <w:r>
              <w:rPr>
                <w:noProof/>
                <w:webHidden/>
              </w:rPr>
              <w:fldChar w:fldCharType="end"/>
            </w:r>
          </w:hyperlink>
        </w:p>
        <w:p w14:paraId="3D3078D9" w14:textId="712CFBA6" w:rsidR="00F70852" w:rsidRDefault="00F70852" w:rsidP="00F70852">
          <w:pPr>
            <w:pStyle w:val="TOC1"/>
            <w:tabs>
              <w:tab w:val="right" w:leader="dot" w:pos="9350"/>
            </w:tabs>
            <w:spacing w:after="0"/>
            <w:rPr>
              <w:rFonts w:asciiTheme="minorHAnsi" w:eastAsiaTheme="minorEastAsia" w:hAnsiTheme="minorHAnsi"/>
              <w:noProof/>
              <w:kern w:val="0"/>
              <w:lang w:eastAsia="en-GB"/>
              <w14:ligatures w14:val="none"/>
            </w:rPr>
          </w:pPr>
          <w:hyperlink w:anchor="_Toc223477709" w:history="1">
            <w:r w:rsidRPr="006D20F2">
              <w:rPr>
                <w:rStyle w:val="Hyperlink"/>
                <w:noProof/>
              </w:rPr>
              <w:t>Conclusion</w:t>
            </w:r>
            <w:r>
              <w:rPr>
                <w:noProof/>
                <w:webHidden/>
              </w:rPr>
              <w:tab/>
            </w:r>
            <w:r>
              <w:rPr>
                <w:noProof/>
                <w:webHidden/>
              </w:rPr>
              <w:fldChar w:fldCharType="begin"/>
            </w:r>
            <w:r>
              <w:rPr>
                <w:noProof/>
                <w:webHidden/>
              </w:rPr>
              <w:instrText xml:space="preserve"> PAGEREF _Toc223477709 \h </w:instrText>
            </w:r>
            <w:r>
              <w:rPr>
                <w:noProof/>
                <w:webHidden/>
              </w:rPr>
            </w:r>
            <w:r>
              <w:rPr>
                <w:noProof/>
                <w:webHidden/>
              </w:rPr>
              <w:fldChar w:fldCharType="separate"/>
            </w:r>
            <w:r>
              <w:rPr>
                <w:noProof/>
                <w:webHidden/>
              </w:rPr>
              <w:t>16</w:t>
            </w:r>
            <w:r>
              <w:rPr>
                <w:noProof/>
                <w:webHidden/>
              </w:rPr>
              <w:fldChar w:fldCharType="end"/>
            </w:r>
          </w:hyperlink>
        </w:p>
        <w:p w14:paraId="0798F686" w14:textId="1F0E21EA" w:rsidR="00F70852" w:rsidRDefault="00F70852" w:rsidP="00F70852">
          <w:pPr>
            <w:pStyle w:val="TOC1"/>
            <w:tabs>
              <w:tab w:val="right" w:leader="dot" w:pos="9350"/>
            </w:tabs>
            <w:spacing w:after="0"/>
            <w:rPr>
              <w:rFonts w:asciiTheme="minorHAnsi" w:eastAsiaTheme="minorEastAsia" w:hAnsiTheme="minorHAnsi"/>
              <w:noProof/>
              <w:kern w:val="0"/>
              <w:lang w:eastAsia="en-GB"/>
              <w14:ligatures w14:val="none"/>
            </w:rPr>
          </w:pPr>
          <w:hyperlink w:anchor="_Toc223477710" w:history="1">
            <w:r w:rsidRPr="006D20F2">
              <w:rPr>
                <w:rStyle w:val="Hyperlink"/>
                <w:noProof/>
              </w:rPr>
              <w:t>References</w:t>
            </w:r>
            <w:r>
              <w:rPr>
                <w:noProof/>
                <w:webHidden/>
              </w:rPr>
              <w:tab/>
            </w:r>
            <w:r>
              <w:rPr>
                <w:noProof/>
                <w:webHidden/>
              </w:rPr>
              <w:fldChar w:fldCharType="begin"/>
            </w:r>
            <w:r>
              <w:rPr>
                <w:noProof/>
                <w:webHidden/>
              </w:rPr>
              <w:instrText xml:space="preserve"> PAGEREF _Toc223477710 \h </w:instrText>
            </w:r>
            <w:r>
              <w:rPr>
                <w:noProof/>
                <w:webHidden/>
              </w:rPr>
            </w:r>
            <w:r>
              <w:rPr>
                <w:noProof/>
                <w:webHidden/>
              </w:rPr>
              <w:fldChar w:fldCharType="separate"/>
            </w:r>
            <w:r>
              <w:rPr>
                <w:noProof/>
                <w:webHidden/>
              </w:rPr>
              <w:t>18</w:t>
            </w:r>
            <w:r>
              <w:rPr>
                <w:noProof/>
                <w:webHidden/>
              </w:rPr>
              <w:fldChar w:fldCharType="end"/>
            </w:r>
          </w:hyperlink>
        </w:p>
        <w:p w14:paraId="1236366B" w14:textId="285BE99A" w:rsidR="00F70852" w:rsidRDefault="00F70852" w:rsidP="00F70852">
          <w:pPr>
            <w:pStyle w:val="TOC1"/>
            <w:tabs>
              <w:tab w:val="right" w:leader="dot" w:pos="9350"/>
            </w:tabs>
            <w:spacing w:after="0"/>
            <w:rPr>
              <w:rFonts w:asciiTheme="minorHAnsi" w:eastAsiaTheme="minorEastAsia" w:hAnsiTheme="minorHAnsi"/>
              <w:noProof/>
              <w:kern w:val="0"/>
              <w:lang w:eastAsia="en-GB"/>
              <w14:ligatures w14:val="none"/>
            </w:rPr>
          </w:pPr>
          <w:hyperlink w:anchor="_Toc223477711" w:history="1">
            <w:r w:rsidRPr="006D20F2">
              <w:rPr>
                <w:rStyle w:val="Hyperlink"/>
                <w:noProof/>
              </w:rPr>
              <w:t>Appendices: Unilever Financial Performance</w:t>
            </w:r>
            <w:r>
              <w:rPr>
                <w:noProof/>
                <w:webHidden/>
              </w:rPr>
              <w:tab/>
            </w:r>
            <w:r>
              <w:rPr>
                <w:noProof/>
                <w:webHidden/>
              </w:rPr>
              <w:fldChar w:fldCharType="begin"/>
            </w:r>
            <w:r>
              <w:rPr>
                <w:noProof/>
                <w:webHidden/>
              </w:rPr>
              <w:instrText xml:space="preserve"> PAGEREF _Toc223477711 \h </w:instrText>
            </w:r>
            <w:r>
              <w:rPr>
                <w:noProof/>
                <w:webHidden/>
              </w:rPr>
            </w:r>
            <w:r>
              <w:rPr>
                <w:noProof/>
                <w:webHidden/>
              </w:rPr>
              <w:fldChar w:fldCharType="separate"/>
            </w:r>
            <w:r>
              <w:rPr>
                <w:noProof/>
                <w:webHidden/>
              </w:rPr>
              <w:t>22</w:t>
            </w:r>
            <w:r>
              <w:rPr>
                <w:noProof/>
                <w:webHidden/>
              </w:rPr>
              <w:fldChar w:fldCharType="end"/>
            </w:r>
          </w:hyperlink>
        </w:p>
        <w:p w14:paraId="44D26224" w14:textId="34BEE2BA"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12" w:history="1">
            <w:r w:rsidRPr="006D20F2">
              <w:rPr>
                <w:rStyle w:val="Hyperlink"/>
                <w:noProof/>
              </w:rPr>
              <w:t>Appendix Table A1: Unilever Group Financial Performance Summary (2022–2024)</w:t>
            </w:r>
            <w:r>
              <w:rPr>
                <w:noProof/>
                <w:webHidden/>
              </w:rPr>
              <w:tab/>
            </w:r>
            <w:r>
              <w:rPr>
                <w:noProof/>
                <w:webHidden/>
              </w:rPr>
              <w:fldChar w:fldCharType="begin"/>
            </w:r>
            <w:r>
              <w:rPr>
                <w:noProof/>
                <w:webHidden/>
              </w:rPr>
              <w:instrText xml:space="preserve"> PAGEREF _Toc223477712 \h </w:instrText>
            </w:r>
            <w:r>
              <w:rPr>
                <w:noProof/>
                <w:webHidden/>
              </w:rPr>
            </w:r>
            <w:r>
              <w:rPr>
                <w:noProof/>
                <w:webHidden/>
              </w:rPr>
              <w:fldChar w:fldCharType="separate"/>
            </w:r>
            <w:r>
              <w:rPr>
                <w:noProof/>
                <w:webHidden/>
              </w:rPr>
              <w:t>22</w:t>
            </w:r>
            <w:r>
              <w:rPr>
                <w:noProof/>
                <w:webHidden/>
              </w:rPr>
              <w:fldChar w:fldCharType="end"/>
            </w:r>
          </w:hyperlink>
        </w:p>
        <w:p w14:paraId="560BCC8E" w14:textId="2A9229FA"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13" w:history="1">
            <w:r w:rsidRPr="006D20F2">
              <w:rPr>
                <w:rStyle w:val="Hyperlink"/>
                <w:noProof/>
              </w:rPr>
              <w:t>Appendix Table A2: Unilever Business Group Performance (2024)</w:t>
            </w:r>
            <w:r>
              <w:rPr>
                <w:noProof/>
                <w:webHidden/>
              </w:rPr>
              <w:tab/>
            </w:r>
            <w:r>
              <w:rPr>
                <w:noProof/>
                <w:webHidden/>
              </w:rPr>
              <w:fldChar w:fldCharType="begin"/>
            </w:r>
            <w:r>
              <w:rPr>
                <w:noProof/>
                <w:webHidden/>
              </w:rPr>
              <w:instrText xml:space="preserve"> PAGEREF _Toc223477713 \h </w:instrText>
            </w:r>
            <w:r>
              <w:rPr>
                <w:noProof/>
                <w:webHidden/>
              </w:rPr>
            </w:r>
            <w:r>
              <w:rPr>
                <w:noProof/>
                <w:webHidden/>
              </w:rPr>
              <w:fldChar w:fldCharType="separate"/>
            </w:r>
            <w:r>
              <w:rPr>
                <w:noProof/>
                <w:webHidden/>
              </w:rPr>
              <w:t>22</w:t>
            </w:r>
            <w:r>
              <w:rPr>
                <w:noProof/>
                <w:webHidden/>
              </w:rPr>
              <w:fldChar w:fldCharType="end"/>
            </w:r>
          </w:hyperlink>
        </w:p>
        <w:p w14:paraId="1DB33662" w14:textId="410169B2"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14" w:history="1">
            <w:r w:rsidRPr="006D20F2">
              <w:rPr>
                <w:rStyle w:val="Hyperlink"/>
                <w:noProof/>
              </w:rPr>
              <w:t>Appendix Table A3: Unilever Cash Flow Analysis (2023–2024, € million)</w:t>
            </w:r>
            <w:r>
              <w:rPr>
                <w:noProof/>
                <w:webHidden/>
              </w:rPr>
              <w:tab/>
            </w:r>
            <w:r>
              <w:rPr>
                <w:noProof/>
                <w:webHidden/>
              </w:rPr>
              <w:fldChar w:fldCharType="begin"/>
            </w:r>
            <w:r>
              <w:rPr>
                <w:noProof/>
                <w:webHidden/>
              </w:rPr>
              <w:instrText xml:space="preserve"> PAGEREF _Toc223477714 \h </w:instrText>
            </w:r>
            <w:r>
              <w:rPr>
                <w:noProof/>
                <w:webHidden/>
              </w:rPr>
            </w:r>
            <w:r>
              <w:rPr>
                <w:noProof/>
                <w:webHidden/>
              </w:rPr>
              <w:fldChar w:fldCharType="separate"/>
            </w:r>
            <w:r>
              <w:rPr>
                <w:noProof/>
                <w:webHidden/>
              </w:rPr>
              <w:t>22</w:t>
            </w:r>
            <w:r>
              <w:rPr>
                <w:noProof/>
                <w:webHidden/>
              </w:rPr>
              <w:fldChar w:fldCharType="end"/>
            </w:r>
          </w:hyperlink>
        </w:p>
        <w:p w14:paraId="7F3A1C6C" w14:textId="743C8C37"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15" w:history="1">
            <w:r w:rsidRPr="006D20F2">
              <w:rPr>
                <w:rStyle w:val="Hyperlink"/>
                <w:noProof/>
              </w:rPr>
              <w:t>Appendix Table A4: Unilever 2025 Full Year Results (Continuing Basis, excl. Ice Cream)</w:t>
            </w:r>
            <w:r>
              <w:rPr>
                <w:noProof/>
                <w:webHidden/>
              </w:rPr>
              <w:tab/>
            </w:r>
            <w:r>
              <w:rPr>
                <w:noProof/>
                <w:webHidden/>
              </w:rPr>
              <w:fldChar w:fldCharType="begin"/>
            </w:r>
            <w:r>
              <w:rPr>
                <w:noProof/>
                <w:webHidden/>
              </w:rPr>
              <w:instrText xml:space="preserve"> PAGEREF _Toc223477715 \h </w:instrText>
            </w:r>
            <w:r>
              <w:rPr>
                <w:noProof/>
                <w:webHidden/>
              </w:rPr>
            </w:r>
            <w:r>
              <w:rPr>
                <w:noProof/>
                <w:webHidden/>
              </w:rPr>
              <w:fldChar w:fldCharType="separate"/>
            </w:r>
            <w:r>
              <w:rPr>
                <w:noProof/>
                <w:webHidden/>
              </w:rPr>
              <w:t>22</w:t>
            </w:r>
            <w:r>
              <w:rPr>
                <w:noProof/>
                <w:webHidden/>
              </w:rPr>
              <w:fldChar w:fldCharType="end"/>
            </w:r>
          </w:hyperlink>
        </w:p>
        <w:p w14:paraId="73615EBB" w14:textId="37D9C359"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16" w:history="1">
            <w:r w:rsidRPr="006D20F2">
              <w:rPr>
                <w:rStyle w:val="Hyperlink"/>
                <w:noProof/>
              </w:rPr>
              <w:t>Appendix Table A5: Unilever Brand &amp; Marketing Investment and Productivity Programme</w:t>
            </w:r>
            <w:r>
              <w:rPr>
                <w:noProof/>
                <w:webHidden/>
              </w:rPr>
              <w:tab/>
            </w:r>
            <w:r>
              <w:rPr>
                <w:noProof/>
                <w:webHidden/>
              </w:rPr>
              <w:fldChar w:fldCharType="begin"/>
            </w:r>
            <w:r>
              <w:rPr>
                <w:noProof/>
                <w:webHidden/>
              </w:rPr>
              <w:instrText xml:space="preserve"> PAGEREF _Toc223477716 \h </w:instrText>
            </w:r>
            <w:r>
              <w:rPr>
                <w:noProof/>
                <w:webHidden/>
              </w:rPr>
            </w:r>
            <w:r>
              <w:rPr>
                <w:noProof/>
                <w:webHidden/>
              </w:rPr>
              <w:fldChar w:fldCharType="separate"/>
            </w:r>
            <w:r>
              <w:rPr>
                <w:noProof/>
                <w:webHidden/>
              </w:rPr>
              <w:t>23</w:t>
            </w:r>
            <w:r>
              <w:rPr>
                <w:noProof/>
                <w:webHidden/>
              </w:rPr>
              <w:fldChar w:fldCharType="end"/>
            </w:r>
          </w:hyperlink>
        </w:p>
        <w:p w14:paraId="797C23BE" w14:textId="48B9CDE9" w:rsidR="00F70852" w:rsidRDefault="00F70852" w:rsidP="00F70852">
          <w:pPr>
            <w:pStyle w:val="TOC2"/>
            <w:tabs>
              <w:tab w:val="right" w:leader="dot" w:pos="9350"/>
            </w:tabs>
            <w:spacing w:after="0"/>
            <w:rPr>
              <w:rFonts w:asciiTheme="minorHAnsi" w:eastAsiaTheme="minorEastAsia" w:hAnsiTheme="minorHAnsi"/>
              <w:noProof/>
              <w:kern w:val="0"/>
              <w:lang w:eastAsia="en-GB"/>
              <w14:ligatures w14:val="none"/>
            </w:rPr>
          </w:pPr>
          <w:hyperlink w:anchor="_Toc223477717" w:history="1">
            <w:r w:rsidRPr="006D20F2">
              <w:rPr>
                <w:rStyle w:val="Hyperlink"/>
                <w:noProof/>
              </w:rPr>
              <w:t>Appendix B: AI Declaration:</w:t>
            </w:r>
            <w:r>
              <w:rPr>
                <w:noProof/>
                <w:webHidden/>
              </w:rPr>
              <w:tab/>
            </w:r>
            <w:r>
              <w:rPr>
                <w:noProof/>
                <w:webHidden/>
              </w:rPr>
              <w:fldChar w:fldCharType="begin"/>
            </w:r>
            <w:r>
              <w:rPr>
                <w:noProof/>
                <w:webHidden/>
              </w:rPr>
              <w:instrText xml:space="preserve"> PAGEREF _Toc223477717 \h </w:instrText>
            </w:r>
            <w:r>
              <w:rPr>
                <w:noProof/>
                <w:webHidden/>
              </w:rPr>
            </w:r>
            <w:r>
              <w:rPr>
                <w:noProof/>
                <w:webHidden/>
              </w:rPr>
              <w:fldChar w:fldCharType="separate"/>
            </w:r>
            <w:r>
              <w:rPr>
                <w:noProof/>
                <w:webHidden/>
              </w:rPr>
              <w:t>24</w:t>
            </w:r>
            <w:r>
              <w:rPr>
                <w:noProof/>
                <w:webHidden/>
              </w:rPr>
              <w:fldChar w:fldCharType="end"/>
            </w:r>
          </w:hyperlink>
        </w:p>
        <w:p w14:paraId="6FE4827D" w14:textId="2A741AF3" w:rsidR="0080759C" w:rsidRDefault="009B7BBF" w:rsidP="00C86CDA">
          <w:r>
            <w:rPr>
              <w:b/>
              <w:bCs/>
            </w:rPr>
            <w:fldChar w:fldCharType="end"/>
          </w:r>
        </w:p>
      </w:sdtContent>
    </w:sdt>
    <w:p w14:paraId="2C6ED8FE" w14:textId="77777777" w:rsidR="0080759C" w:rsidRPr="006F4F0F" w:rsidRDefault="009B7BBF" w:rsidP="00C86CDA">
      <w:pPr>
        <w:spacing w:after="0"/>
        <w:rPr>
          <w:b/>
          <w:bCs/>
          <w:sz w:val="28"/>
          <w:szCs w:val="24"/>
        </w:rPr>
      </w:pPr>
      <w:r w:rsidRPr="006F4F0F">
        <w:rPr>
          <w:b/>
          <w:bCs/>
          <w:sz w:val="28"/>
          <w:szCs w:val="24"/>
        </w:rPr>
        <w:t>List of Figures</w:t>
      </w:r>
    </w:p>
    <w:p w14:paraId="4DC5A2F9" w14:textId="3381BDD9" w:rsidR="00F70852" w:rsidRPr="00F70852" w:rsidRDefault="009B7BBF">
      <w:pPr>
        <w:pStyle w:val="TableofFigures"/>
        <w:tabs>
          <w:tab w:val="right" w:leader="dot" w:pos="9350"/>
        </w:tabs>
        <w:rPr>
          <w:rFonts w:asciiTheme="minorHAnsi" w:eastAsiaTheme="minorEastAsia" w:hAnsiTheme="minorHAnsi"/>
          <w:noProof/>
          <w:kern w:val="0"/>
          <w:lang w:eastAsia="en-GB"/>
          <w14:ligatures w14:val="none"/>
        </w:rPr>
      </w:pPr>
      <w:r w:rsidRPr="0080759C">
        <w:fldChar w:fldCharType="begin"/>
      </w:r>
      <w:r w:rsidRPr="0080759C">
        <w:instrText xml:space="preserve"> TOC \h \z \c "Figure" </w:instrText>
      </w:r>
      <w:r w:rsidRPr="0080759C">
        <w:fldChar w:fldCharType="separate"/>
      </w:r>
      <w:r>
        <w:fldChar w:fldCharType="begin"/>
      </w:r>
      <w:r>
        <w:instrText xml:space="preserve"> TOC \h \z \c "Figure" </w:instrText>
      </w:r>
      <w:r>
        <w:fldChar w:fldCharType="separate"/>
      </w:r>
      <w:r w:rsidR="00F70852">
        <w:fldChar w:fldCharType="begin"/>
      </w:r>
      <w:r w:rsidR="00F70852">
        <w:instrText xml:space="preserve"> TOC \h \z \c "Figure" </w:instrText>
      </w:r>
      <w:r w:rsidR="00F70852">
        <w:fldChar w:fldCharType="separate"/>
      </w:r>
      <w:hyperlink w:anchor="_Toc223477718" w:history="1">
        <w:r w:rsidR="00F70852" w:rsidRPr="00F70852">
          <w:rPr>
            <w:rStyle w:val="Hyperlink"/>
            <w:noProof/>
          </w:rPr>
          <w:t>Figure 1: Unilever Corporate Overview.</w:t>
        </w:r>
        <w:r w:rsidR="00F70852" w:rsidRPr="00F70852">
          <w:rPr>
            <w:noProof/>
            <w:webHidden/>
          </w:rPr>
          <w:tab/>
        </w:r>
        <w:r w:rsidR="00F70852" w:rsidRPr="00F70852">
          <w:rPr>
            <w:noProof/>
            <w:webHidden/>
          </w:rPr>
          <w:fldChar w:fldCharType="begin"/>
        </w:r>
        <w:r w:rsidR="00F70852" w:rsidRPr="00F70852">
          <w:rPr>
            <w:noProof/>
            <w:webHidden/>
          </w:rPr>
          <w:instrText xml:space="preserve"> PAGEREF _Toc223477718 \h </w:instrText>
        </w:r>
        <w:r w:rsidR="00F70852" w:rsidRPr="00F70852">
          <w:rPr>
            <w:noProof/>
            <w:webHidden/>
          </w:rPr>
        </w:r>
        <w:r w:rsidR="00F70852" w:rsidRPr="00F70852">
          <w:rPr>
            <w:noProof/>
            <w:webHidden/>
          </w:rPr>
          <w:fldChar w:fldCharType="separate"/>
        </w:r>
        <w:r w:rsidR="00F70852" w:rsidRPr="00F70852">
          <w:rPr>
            <w:noProof/>
            <w:webHidden/>
          </w:rPr>
          <w:t>4</w:t>
        </w:r>
        <w:r w:rsidR="00F70852" w:rsidRPr="00F70852">
          <w:rPr>
            <w:noProof/>
            <w:webHidden/>
          </w:rPr>
          <w:fldChar w:fldCharType="end"/>
        </w:r>
      </w:hyperlink>
    </w:p>
    <w:p w14:paraId="320A1395" w14:textId="2BE938A4"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19" w:history="1">
        <w:r w:rsidRPr="00F70852">
          <w:rPr>
            <w:rStyle w:val="Hyperlink"/>
            <w:noProof/>
          </w:rPr>
          <w:t>Figure 2: Unilever Innovation Ambition Matrix.</w:t>
        </w:r>
        <w:r w:rsidRPr="00F70852">
          <w:rPr>
            <w:noProof/>
            <w:webHidden/>
          </w:rPr>
          <w:tab/>
        </w:r>
        <w:r w:rsidRPr="00F70852">
          <w:rPr>
            <w:noProof/>
            <w:webHidden/>
          </w:rPr>
          <w:fldChar w:fldCharType="begin"/>
        </w:r>
        <w:r w:rsidRPr="00F70852">
          <w:rPr>
            <w:noProof/>
            <w:webHidden/>
          </w:rPr>
          <w:instrText xml:space="preserve"> PAGEREF _Toc223477719 \h </w:instrText>
        </w:r>
        <w:r w:rsidRPr="00F70852">
          <w:rPr>
            <w:noProof/>
            <w:webHidden/>
          </w:rPr>
        </w:r>
        <w:r w:rsidRPr="00F70852">
          <w:rPr>
            <w:noProof/>
            <w:webHidden/>
          </w:rPr>
          <w:fldChar w:fldCharType="separate"/>
        </w:r>
        <w:r w:rsidRPr="00F70852">
          <w:rPr>
            <w:noProof/>
            <w:webHidden/>
          </w:rPr>
          <w:t>6</w:t>
        </w:r>
        <w:r w:rsidRPr="00F70852">
          <w:rPr>
            <w:noProof/>
            <w:webHidden/>
          </w:rPr>
          <w:fldChar w:fldCharType="end"/>
        </w:r>
      </w:hyperlink>
    </w:p>
    <w:p w14:paraId="479E0EE6" w14:textId="13C87ED8"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0" w:history="1">
        <w:r w:rsidRPr="00F70852">
          <w:rPr>
            <w:rStyle w:val="Hyperlink"/>
            <w:noProof/>
          </w:rPr>
          <w:t>Figure 3: Current Unilever Customer Journey Map.</w:t>
        </w:r>
        <w:r w:rsidRPr="00F70852">
          <w:rPr>
            <w:noProof/>
            <w:webHidden/>
          </w:rPr>
          <w:tab/>
        </w:r>
        <w:r w:rsidRPr="00F70852">
          <w:rPr>
            <w:noProof/>
            <w:webHidden/>
          </w:rPr>
          <w:fldChar w:fldCharType="begin"/>
        </w:r>
        <w:r w:rsidRPr="00F70852">
          <w:rPr>
            <w:noProof/>
            <w:webHidden/>
          </w:rPr>
          <w:instrText xml:space="preserve"> PAGEREF _Toc223477720 \h </w:instrText>
        </w:r>
        <w:r w:rsidRPr="00F70852">
          <w:rPr>
            <w:noProof/>
            <w:webHidden/>
          </w:rPr>
        </w:r>
        <w:r w:rsidRPr="00F70852">
          <w:rPr>
            <w:noProof/>
            <w:webHidden/>
          </w:rPr>
          <w:fldChar w:fldCharType="separate"/>
        </w:r>
        <w:r w:rsidRPr="00F70852">
          <w:rPr>
            <w:noProof/>
            <w:webHidden/>
          </w:rPr>
          <w:t>9</w:t>
        </w:r>
        <w:r w:rsidRPr="00F70852">
          <w:rPr>
            <w:noProof/>
            <w:webHidden/>
          </w:rPr>
          <w:fldChar w:fldCharType="end"/>
        </w:r>
      </w:hyperlink>
    </w:p>
    <w:p w14:paraId="15AE6A3E" w14:textId="2272B0F9"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1" w:history="1">
        <w:r w:rsidRPr="00F70852">
          <w:rPr>
            <w:rStyle w:val="Hyperlink"/>
            <w:noProof/>
          </w:rPr>
          <w:t>Figure 4: Enhanced Customer Journey Map with SmartLife Integration.</w:t>
        </w:r>
        <w:r w:rsidRPr="00F70852">
          <w:rPr>
            <w:noProof/>
            <w:webHidden/>
          </w:rPr>
          <w:tab/>
        </w:r>
        <w:r w:rsidRPr="00F70852">
          <w:rPr>
            <w:noProof/>
            <w:webHidden/>
          </w:rPr>
          <w:fldChar w:fldCharType="begin"/>
        </w:r>
        <w:r w:rsidRPr="00F70852">
          <w:rPr>
            <w:noProof/>
            <w:webHidden/>
          </w:rPr>
          <w:instrText xml:space="preserve"> PAGEREF _Toc223477721 \h </w:instrText>
        </w:r>
        <w:r w:rsidRPr="00F70852">
          <w:rPr>
            <w:noProof/>
            <w:webHidden/>
          </w:rPr>
        </w:r>
        <w:r w:rsidRPr="00F70852">
          <w:rPr>
            <w:noProof/>
            <w:webHidden/>
          </w:rPr>
          <w:fldChar w:fldCharType="separate"/>
        </w:r>
        <w:r w:rsidRPr="00F70852">
          <w:rPr>
            <w:noProof/>
            <w:webHidden/>
          </w:rPr>
          <w:t>12</w:t>
        </w:r>
        <w:r w:rsidRPr="00F70852">
          <w:rPr>
            <w:noProof/>
            <w:webHidden/>
          </w:rPr>
          <w:fldChar w:fldCharType="end"/>
        </w:r>
      </w:hyperlink>
    </w:p>
    <w:p w14:paraId="5F2E9A73" w14:textId="50F7FC9A"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2" w:history="1">
        <w:r w:rsidRPr="00F70852">
          <w:rPr>
            <w:rStyle w:val="Hyperlink"/>
            <w:noProof/>
          </w:rPr>
          <w:t>Figure 5: SmartLife Platform Architecture Diagram.</w:t>
        </w:r>
        <w:r w:rsidRPr="00F70852">
          <w:rPr>
            <w:noProof/>
            <w:webHidden/>
          </w:rPr>
          <w:tab/>
        </w:r>
        <w:r w:rsidRPr="00F70852">
          <w:rPr>
            <w:noProof/>
            <w:webHidden/>
          </w:rPr>
          <w:fldChar w:fldCharType="begin"/>
        </w:r>
        <w:r w:rsidRPr="00F70852">
          <w:rPr>
            <w:noProof/>
            <w:webHidden/>
          </w:rPr>
          <w:instrText xml:space="preserve"> PAGEREF _Toc223477722 \h </w:instrText>
        </w:r>
        <w:r w:rsidRPr="00F70852">
          <w:rPr>
            <w:noProof/>
            <w:webHidden/>
          </w:rPr>
        </w:r>
        <w:r w:rsidRPr="00F70852">
          <w:rPr>
            <w:noProof/>
            <w:webHidden/>
          </w:rPr>
          <w:fldChar w:fldCharType="separate"/>
        </w:r>
        <w:r w:rsidRPr="00F70852">
          <w:rPr>
            <w:noProof/>
            <w:webHidden/>
          </w:rPr>
          <w:t>14</w:t>
        </w:r>
        <w:r w:rsidRPr="00F70852">
          <w:rPr>
            <w:noProof/>
            <w:webHidden/>
          </w:rPr>
          <w:fldChar w:fldCharType="end"/>
        </w:r>
      </w:hyperlink>
    </w:p>
    <w:p w14:paraId="19E80406" w14:textId="72C96702"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3" w:history="1">
        <w:r w:rsidRPr="00F70852">
          <w:rPr>
            <w:rStyle w:val="Hyperlink"/>
            <w:noProof/>
          </w:rPr>
          <w:t>Figure 6: Smart Life KPI Dashboard Mockup.</w:t>
        </w:r>
        <w:r w:rsidRPr="00F70852">
          <w:rPr>
            <w:noProof/>
            <w:webHidden/>
          </w:rPr>
          <w:tab/>
        </w:r>
        <w:r w:rsidRPr="00F70852">
          <w:rPr>
            <w:noProof/>
            <w:webHidden/>
          </w:rPr>
          <w:fldChar w:fldCharType="begin"/>
        </w:r>
        <w:r w:rsidRPr="00F70852">
          <w:rPr>
            <w:noProof/>
            <w:webHidden/>
          </w:rPr>
          <w:instrText xml:space="preserve"> PAGEREF _Toc223477723 \h </w:instrText>
        </w:r>
        <w:r w:rsidRPr="00F70852">
          <w:rPr>
            <w:noProof/>
            <w:webHidden/>
          </w:rPr>
        </w:r>
        <w:r w:rsidRPr="00F70852">
          <w:rPr>
            <w:noProof/>
            <w:webHidden/>
          </w:rPr>
          <w:fldChar w:fldCharType="separate"/>
        </w:r>
        <w:r w:rsidRPr="00F70852">
          <w:rPr>
            <w:noProof/>
            <w:webHidden/>
          </w:rPr>
          <w:t>16</w:t>
        </w:r>
        <w:r w:rsidRPr="00F70852">
          <w:rPr>
            <w:noProof/>
            <w:webHidden/>
          </w:rPr>
          <w:fldChar w:fldCharType="end"/>
        </w:r>
      </w:hyperlink>
    </w:p>
    <w:p w14:paraId="2A067DD1" w14:textId="5277DE9F" w:rsidR="0080759C" w:rsidRPr="006F4F0F" w:rsidRDefault="00F70852" w:rsidP="00F70852">
      <w:pPr>
        <w:pStyle w:val="TableofFigures"/>
        <w:tabs>
          <w:tab w:val="right" w:leader="dot" w:pos="9350"/>
        </w:tabs>
        <w:rPr>
          <w:b/>
          <w:bCs/>
          <w:sz w:val="28"/>
          <w:szCs w:val="24"/>
        </w:rPr>
      </w:pPr>
      <w:r>
        <w:fldChar w:fldCharType="end"/>
      </w:r>
      <w:r w:rsidR="009B7BBF">
        <w:fldChar w:fldCharType="end"/>
      </w:r>
      <w:r w:rsidR="009B7BBF" w:rsidRPr="0080759C">
        <w:fldChar w:fldCharType="end"/>
      </w:r>
      <w:r w:rsidR="009B7BBF" w:rsidRPr="006F4F0F">
        <w:rPr>
          <w:b/>
          <w:bCs/>
          <w:sz w:val="28"/>
          <w:szCs w:val="24"/>
        </w:rPr>
        <w:t>List of Tables</w:t>
      </w:r>
    </w:p>
    <w:p w14:paraId="2ACB0CE9" w14:textId="7362B354" w:rsidR="00F70852" w:rsidRPr="00F70852" w:rsidRDefault="009B7BBF">
      <w:pPr>
        <w:pStyle w:val="TableofFigures"/>
        <w:tabs>
          <w:tab w:val="right" w:leader="dot" w:pos="9350"/>
        </w:tabs>
        <w:rPr>
          <w:rFonts w:asciiTheme="minorHAnsi" w:eastAsiaTheme="minorEastAsia" w:hAnsiTheme="minorHAnsi"/>
          <w:noProof/>
          <w:kern w:val="0"/>
          <w:lang w:eastAsia="en-GB"/>
          <w14:ligatures w14:val="none"/>
        </w:rPr>
      </w:pPr>
      <w:r w:rsidRPr="0080759C">
        <w:fldChar w:fldCharType="begin"/>
      </w:r>
      <w:r w:rsidRPr="0080759C">
        <w:instrText xml:space="preserve"> TOC \h \z \c "Table" </w:instrText>
      </w:r>
      <w:r w:rsidRPr="0080759C">
        <w:fldChar w:fldCharType="separate"/>
      </w:r>
      <w:r>
        <w:fldChar w:fldCharType="begin"/>
      </w:r>
      <w:r>
        <w:instrText xml:space="preserve"> TOC \h \z \c "Table" </w:instrText>
      </w:r>
      <w:r>
        <w:fldChar w:fldCharType="separate"/>
      </w:r>
      <w:r w:rsidR="00F70852">
        <w:fldChar w:fldCharType="begin"/>
      </w:r>
      <w:r w:rsidR="00F70852">
        <w:instrText xml:space="preserve"> TOC \h \z \c "Table" </w:instrText>
      </w:r>
      <w:r w:rsidR="00F70852">
        <w:fldChar w:fldCharType="separate"/>
      </w:r>
      <w:hyperlink w:anchor="_Toc223477724" w:history="1">
        <w:r w:rsidR="00F70852" w:rsidRPr="00F70852">
          <w:rPr>
            <w:rStyle w:val="Hyperlink"/>
            <w:noProof/>
          </w:rPr>
          <w:t>Table 1: Key UK Consumer &amp; FMCG Industry Trends (2024–2025).</w:t>
        </w:r>
        <w:r w:rsidR="00F70852" w:rsidRPr="00F70852">
          <w:rPr>
            <w:noProof/>
            <w:webHidden/>
          </w:rPr>
          <w:tab/>
        </w:r>
        <w:r w:rsidR="00F70852" w:rsidRPr="00F70852">
          <w:rPr>
            <w:noProof/>
            <w:webHidden/>
          </w:rPr>
          <w:fldChar w:fldCharType="begin"/>
        </w:r>
        <w:r w:rsidR="00F70852" w:rsidRPr="00F70852">
          <w:rPr>
            <w:noProof/>
            <w:webHidden/>
          </w:rPr>
          <w:instrText xml:space="preserve"> PAGEREF _Toc223477724 \h </w:instrText>
        </w:r>
        <w:r w:rsidR="00F70852" w:rsidRPr="00F70852">
          <w:rPr>
            <w:noProof/>
            <w:webHidden/>
          </w:rPr>
        </w:r>
        <w:r w:rsidR="00F70852" w:rsidRPr="00F70852">
          <w:rPr>
            <w:noProof/>
            <w:webHidden/>
          </w:rPr>
          <w:fldChar w:fldCharType="separate"/>
        </w:r>
        <w:r w:rsidR="00F70852" w:rsidRPr="00F70852">
          <w:rPr>
            <w:noProof/>
            <w:webHidden/>
          </w:rPr>
          <w:t>5</w:t>
        </w:r>
        <w:r w:rsidR="00F70852" w:rsidRPr="00F70852">
          <w:rPr>
            <w:noProof/>
            <w:webHidden/>
          </w:rPr>
          <w:fldChar w:fldCharType="end"/>
        </w:r>
      </w:hyperlink>
    </w:p>
    <w:p w14:paraId="4ABB1FBC" w14:textId="7C1BF792"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5" w:history="1">
        <w:r w:rsidRPr="00F70852">
          <w:rPr>
            <w:rStyle w:val="Hyperlink"/>
            <w:noProof/>
          </w:rPr>
          <w:t>Table 2: Unilever Innovation Ambition Matrix Application.</w:t>
        </w:r>
        <w:r w:rsidRPr="00F70852">
          <w:rPr>
            <w:noProof/>
            <w:webHidden/>
          </w:rPr>
          <w:tab/>
        </w:r>
        <w:r w:rsidRPr="00F70852">
          <w:rPr>
            <w:noProof/>
            <w:webHidden/>
          </w:rPr>
          <w:fldChar w:fldCharType="begin"/>
        </w:r>
        <w:r w:rsidRPr="00F70852">
          <w:rPr>
            <w:noProof/>
            <w:webHidden/>
          </w:rPr>
          <w:instrText xml:space="preserve"> PAGEREF _Toc223477725 \h </w:instrText>
        </w:r>
        <w:r w:rsidRPr="00F70852">
          <w:rPr>
            <w:noProof/>
            <w:webHidden/>
          </w:rPr>
        </w:r>
        <w:r w:rsidRPr="00F70852">
          <w:rPr>
            <w:noProof/>
            <w:webHidden/>
          </w:rPr>
          <w:fldChar w:fldCharType="separate"/>
        </w:r>
        <w:r w:rsidRPr="00F70852">
          <w:rPr>
            <w:noProof/>
            <w:webHidden/>
          </w:rPr>
          <w:t>8</w:t>
        </w:r>
        <w:r w:rsidRPr="00F70852">
          <w:rPr>
            <w:noProof/>
            <w:webHidden/>
          </w:rPr>
          <w:fldChar w:fldCharType="end"/>
        </w:r>
      </w:hyperlink>
    </w:p>
    <w:p w14:paraId="07BD4804" w14:textId="48224E74" w:rsidR="00F70852" w:rsidRP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6" w:history="1">
        <w:r w:rsidRPr="00F70852">
          <w:rPr>
            <w:rStyle w:val="Hyperlink"/>
            <w:noProof/>
          </w:rPr>
          <w:t>Table 3: Current Customer Journey Pain and Gain Points.</w:t>
        </w:r>
        <w:r w:rsidRPr="00F70852">
          <w:rPr>
            <w:noProof/>
            <w:webHidden/>
          </w:rPr>
          <w:tab/>
        </w:r>
        <w:r w:rsidRPr="00F70852">
          <w:rPr>
            <w:noProof/>
            <w:webHidden/>
          </w:rPr>
          <w:fldChar w:fldCharType="begin"/>
        </w:r>
        <w:r w:rsidRPr="00F70852">
          <w:rPr>
            <w:noProof/>
            <w:webHidden/>
          </w:rPr>
          <w:instrText xml:space="preserve"> PAGEREF _Toc223477726 \h </w:instrText>
        </w:r>
        <w:r w:rsidRPr="00F70852">
          <w:rPr>
            <w:noProof/>
            <w:webHidden/>
          </w:rPr>
        </w:r>
        <w:r w:rsidRPr="00F70852">
          <w:rPr>
            <w:noProof/>
            <w:webHidden/>
          </w:rPr>
          <w:fldChar w:fldCharType="separate"/>
        </w:r>
        <w:r w:rsidRPr="00F70852">
          <w:rPr>
            <w:noProof/>
            <w:webHidden/>
          </w:rPr>
          <w:t>11</w:t>
        </w:r>
        <w:r w:rsidRPr="00F70852">
          <w:rPr>
            <w:noProof/>
            <w:webHidden/>
          </w:rPr>
          <w:fldChar w:fldCharType="end"/>
        </w:r>
      </w:hyperlink>
    </w:p>
    <w:p w14:paraId="03807755" w14:textId="1C1882E8" w:rsidR="00F70852" w:rsidRDefault="00F70852">
      <w:pPr>
        <w:pStyle w:val="TableofFigures"/>
        <w:tabs>
          <w:tab w:val="right" w:leader="dot" w:pos="9350"/>
        </w:tabs>
        <w:rPr>
          <w:rFonts w:asciiTheme="minorHAnsi" w:eastAsiaTheme="minorEastAsia" w:hAnsiTheme="minorHAnsi"/>
          <w:noProof/>
          <w:kern w:val="0"/>
          <w:lang w:eastAsia="en-GB"/>
          <w14:ligatures w14:val="none"/>
        </w:rPr>
      </w:pPr>
      <w:hyperlink w:anchor="_Toc223477727" w:history="1">
        <w:r w:rsidRPr="00F70852">
          <w:rPr>
            <w:rStyle w:val="Hyperlink"/>
            <w:noProof/>
          </w:rPr>
          <w:t>Table 4: Before and After Customer Journey Comparison.</w:t>
        </w:r>
        <w:r w:rsidRPr="00F70852">
          <w:rPr>
            <w:noProof/>
            <w:webHidden/>
          </w:rPr>
          <w:tab/>
        </w:r>
        <w:r w:rsidRPr="00F70852">
          <w:rPr>
            <w:noProof/>
            <w:webHidden/>
          </w:rPr>
          <w:fldChar w:fldCharType="begin"/>
        </w:r>
        <w:r w:rsidRPr="00F70852">
          <w:rPr>
            <w:noProof/>
            <w:webHidden/>
          </w:rPr>
          <w:instrText xml:space="preserve"> PAGEREF _Toc223477727 \h </w:instrText>
        </w:r>
        <w:r w:rsidRPr="00F70852">
          <w:rPr>
            <w:noProof/>
            <w:webHidden/>
          </w:rPr>
        </w:r>
        <w:r w:rsidRPr="00F70852">
          <w:rPr>
            <w:noProof/>
            <w:webHidden/>
          </w:rPr>
          <w:fldChar w:fldCharType="separate"/>
        </w:r>
        <w:r w:rsidRPr="00F70852">
          <w:rPr>
            <w:noProof/>
            <w:webHidden/>
          </w:rPr>
          <w:t>14</w:t>
        </w:r>
        <w:r w:rsidRPr="00F70852">
          <w:rPr>
            <w:noProof/>
            <w:webHidden/>
          </w:rPr>
          <w:fldChar w:fldCharType="end"/>
        </w:r>
      </w:hyperlink>
    </w:p>
    <w:p w14:paraId="46C0CC64" w14:textId="1E7462C3" w:rsidR="0080759C" w:rsidRPr="0080759C" w:rsidRDefault="00F70852" w:rsidP="00F70852">
      <w:pPr>
        <w:pStyle w:val="TableofFigures"/>
        <w:tabs>
          <w:tab w:val="right" w:leader="dot" w:pos="9350"/>
        </w:tabs>
        <w:rPr>
          <w:rFonts w:asciiTheme="minorHAnsi" w:eastAsiaTheme="minorEastAsia" w:hAnsiTheme="minorHAnsi"/>
          <w:noProof/>
          <w:szCs w:val="30"/>
          <w:lang w:eastAsia="en-GB" w:bidi="bn-BD"/>
        </w:rPr>
      </w:pPr>
      <w:r>
        <w:fldChar w:fldCharType="end"/>
      </w:r>
      <w:r w:rsidR="009B7BBF">
        <w:fldChar w:fldCharType="end"/>
      </w:r>
    </w:p>
    <w:p w14:paraId="38CDAAA7" w14:textId="77777777" w:rsidR="00246F94" w:rsidRPr="001B6D64" w:rsidRDefault="009B7BBF" w:rsidP="00C86CDA">
      <w:pPr>
        <w:spacing w:after="0"/>
        <w:rPr>
          <w:sz w:val="24"/>
          <w:szCs w:val="24"/>
        </w:rPr>
      </w:pPr>
      <w:r w:rsidRPr="0080759C">
        <w:fldChar w:fldCharType="end"/>
      </w:r>
      <w:r w:rsidR="00246F94" w:rsidRPr="001B6D64">
        <w:rPr>
          <w:rFonts w:cs="Arial"/>
          <w:color w:val="F9FAFB"/>
          <w:sz w:val="24"/>
          <w:szCs w:val="24"/>
          <w:shd w:val="clear" w:color="auto" w:fill="1E293B"/>
        </w:rPr>
        <w:t xml:space="preserve"> </w:t>
      </w:r>
      <w:r w:rsidR="00246F94" w:rsidRPr="001B6D64">
        <w:rPr>
          <w:sz w:val="24"/>
          <w:szCs w:val="24"/>
        </w:rPr>
        <w:t>Introduction</w:t>
      </w:r>
    </w:p>
    <w:p w14:paraId="35517F92" w14:textId="77777777" w:rsidR="00246F94" w:rsidRDefault="00246F94" w:rsidP="00C86CDA">
      <w:pPr>
        <w:spacing w:after="0"/>
      </w:pPr>
      <w:r w:rsidRPr="00246F94">
        <w:t xml:space="preserve"> This report takes a close look at Unilever Plc, focusing on how the company uses design thinking and innovation. I’ll refer to the Innovation Ambition Matrix and Customer Journey Mapping to examine Unilever’s approach to strategic innovation. Along the way, I’ll propose a new digital transformation initiative that addresses the challenges Unilever faces. Unilever is a giant in the world of fast-moving consumer goods (FMCG). Headquartered in London, the company has roots going back to 1929, when a Dutch margarine producer and a British soap company joined forces. Today, Unilever employs around 120,000 people in more than 190 countries. In 2024, the </w:t>
      </w:r>
      <w:r w:rsidRPr="00246F94">
        <w:lastRenderedPageBreak/>
        <w:t xml:space="preserve">company generated €60.8 billion in turnover, with sales growing 4.2% overall—2.9% of that from increased volume across all business groups. Unilever runs five main business groups: Beauty and Wellbeing, Personal Care, Home Care, Foods, and Ice Cream. Together, they manage over 400 brands, including </w:t>
      </w:r>
      <w:r w:rsidRPr="00246F94">
        <w:t>heavy hitters</w:t>
      </w:r>
      <w:r w:rsidRPr="00246F94">
        <w:t xml:space="preserve"> like Dove, Knorr, Hellmann’s, and Persil. The competition is tough. The likes of Procter &amp; Gamble, Nestlé, and Reckitt Benckiser are always in the picture. At the core of Unilever’s strategy sits the consumer. Their Growth Action Plan 2030 (GAP 2030) aims for </w:t>
      </w:r>
      <w:r w:rsidRPr="00246F94">
        <w:t>top third</w:t>
      </w:r>
      <w:r w:rsidRPr="00246F94">
        <w:t xml:space="preserve"> shareholder returns, driven by innovation, premiumisation, and digital transformation.</w:t>
      </w:r>
    </w:p>
    <w:p w14:paraId="669818E0" w14:textId="77777777" w:rsidR="00246F94" w:rsidRDefault="00246F94" w:rsidP="00C86CDA">
      <w:pPr>
        <w:spacing w:after="0"/>
      </w:pPr>
    </w:p>
    <w:p w14:paraId="6D6DE354" w14:textId="73FF30FF" w:rsidR="0027080D" w:rsidRDefault="00246F94" w:rsidP="00C86CDA">
      <w:pPr>
        <w:spacing w:after="0"/>
      </w:pPr>
      <w:r>
        <w:rPr>
          <w:noProof/>
        </w:rPr>
        <w:drawing>
          <wp:inline distT="0" distB="0" distL="0" distR="0" wp14:anchorId="2007AEDC" wp14:editId="6DD8CDC2">
            <wp:extent cx="5943600" cy="3241675"/>
            <wp:effectExtent l="0" t="0" r="0" b="0"/>
            <wp:docPr id="99479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241675"/>
                    </a:xfrm>
                    <a:prstGeom prst="rect">
                      <a:avLst/>
                    </a:prstGeom>
                    <a:noFill/>
                    <a:ln>
                      <a:noFill/>
                    </a:ln>
                  </pic:spPr>
                </pic:pic>
              </a:graphicData>
            </a:graphic>
          </wp:inline>
        </w:drawing>
      </w:r>
      <w:r w:rsidR="009B7BBF">
        <w:br w:type="page"/>
      </w:r>
    </w:p>
    <w:p w14:paraId="75FFBDBD" w14:textId="315A7C52" w:rsidR="008C64AE" w:rsidRDefault="008C64AE" w:rsidP="00C86CDA">
      <w:pPr>
        <w:pStyle w:val="NormalWeb"/>
        <w:spacing w:before="0" w:beforeAutospacing="0" w:after="0" w:afterAutospacing="0" w:line="360" w:lineRule="auto"/>
        <w:jc w:val="center"/>
      </w:pPr>
    </w:p>
    <w:p w14:paraId="6F1EFB69" w14:textId="77777777" w:rsidR="009D74E6" w:rsidRPr="008C64AE" w:rsidRDefault="009B7BBF" w:rsidP="00C86CDA">
      <w:pPr>
        <w:pStyle w:val="Caption"/>
        <w:spacing w:after="0" w:line="360" w:lineRule="auto"/>
        <w:jc w:val="center"/>
        <w:rPr>
          <w:b/>
          <w:bCs/>
          <w:i w:val="0"/>
          <w:iCs w:val="0"/>
          <w:color w:val="000000" w:themeColor="text1"/>
          <w:sz w:val="20"/>
          <w:szCs w:val="20"/>
        </w:rPr>
      </w:pPr>
      <w:bookmarkStart w:id="0" w:name="_Toc223387146"/>
      <w:bookmarkStart w:id="1" w:name="_Toc223477227"/>
      <w:bookmarkStart w:id="2" w:name="_Toc223477718"/>
      <w:r w:rsidRPr="008C64AE">
        <w:rPr>
          <w:b/>
          <w:bCs/>
          <w:i w:val="0"/>
          <w:iCs w:val="0"/>
          <w:color w:val="000000" w:themeColor="text1"/>
          <w:sz w:val="20"/>
          <w:szCs w:val="20"/>
        </w:rPr>
        <w:t xml:space="preserve">Figure </w:t>
      </w:r>
      <w:r w:rsidRPr="008C64AE">
        <w:rPr>
          <w:b/>
          <w:bCs/>
          <w:i w:val="0"/>
          <w:iCs w:val="0"/>
          <w:color w:val="000000" w:themeColor="text1"/>
          <w:sz w:val="20"/>
          <w:szCs w:val="20"/>
        </w:rPr>
        <w:fldChar w:fldCharType="begin"/>
      </w:r>
      <w:r w:rsidRPr="008C64AE">
        <w:rPr>
          <w:b/>
          <w:bCs/>
          <w:i w:val="0"/>
          <w:iCs w:val="0"/>
          <w:color w:val="000000" w:themeColor="text1"/>
          <w:sz w:val="20"/>
          <w:szCs w:val="20"/>
        </w:rPr>
        <w:instrText xml:space="preserve"> SEQ Figure \* ARABIC </w:instrText>
      </w:r>
      <w:r w:rsidRPr="008C64AE">
        <w:rPr>
          <w:b/>
          <w:bCs/>
          <w:i w:val="0"/>
          <w:iCs w:val="0"/>
          <w:color w:val="000000" w:themeColor="text1"/>
          <w:sz w:val="20"/>
          <w:szCs w:val="20"/>
        </w:rPr>
        <w:fldChar w:fldCharType="separate"/>
      </w:r>
      <w:r w:rsidR="0080759C">
        <w:rPr>
          <w:b/>
          <w:bCs/>
          <w:i w:val="0"/>
          <w:iCs w:val="0"/>
          <w:noProof/>
          <w:color w:val="000000" w:themeColor="text1"/>
          <w:sz w:val="20"/>
          <w:szCs w:val="20"/>
        </w:rPr>
        <w:t>1</w:t>
      </w:r>
      <w:r w:rsidRPr="008C64AE">
        <w:rPr>
          <w:b/>
          <w:bCs/>
          <w:i w:val="0"/>
          <w:iCs w:val="0"/>
          <w:color w:val="000000" w:themeColor="text1"/>
          <w:sz w:val="20"/>
          <w:szCs w:val="20"/>
        </w:rPr>
        <w:fldChar w:fldCharType="end"/>
      </w:r>
      <w:r w:rsidRPr="008C64AE">
        <w:rPr>
          <w:b/>
          <w:bCs/>
          <w:i w:val="0"/>
          <w:iCs w:val="0"/>
          <w:color w:val="000000" w:themeColor="text1"/>
          <w:sz w:val="20"/>
          <w:szCs w:val="20"/>
        </w:rPr>
        <w:t>: Unilever Corporate Overview.</w:t>
      </w:r>
      <w:bookmarkEnd w:id="0"/>
      <w:bookmarkEnd w:id="1"/>
      <w:bookmarkEnd w:id="2"/>
    </w:p>
    <w:p w14:paraId="129FDFD0" w14:textId="77777777" w:rsidR="009D74E6" w:rsidRDefault="009B7BBF" w:rsidP="00C86CDA">
      <w:pPr>
        <w:spacing w:after="0"/>
      </w:pPr>
      <w:r>
        <w:t xml:space="preserve">The FMCG environment of the UK is facing immense structural change that has been informed by </w:t>
      </w:r>
      <w:proofErr w:type="gramStart"/>
      <w:r>
        <w:t>a number of</w:t>
      </w:r>
      <w:proofErr w:type="gramEnd"/>
      <w:r>
        <w:t xml:space="preserve"> converging forces. Adams, Alldredge and Kohli (2025) state that Gen Z consumers (who are expected to overtake the global expenditure of baby boomers by the year 2029) are influencing the need to have an individualised digital-enabled brand experience. According to the EY UK Future Consumer Index (2024), the three key consumer trends that are defining the UK retail industry in the mid-to-long-term are the focus on sustainability, health and wellness, and AI-based personalisation. Simultaneously, the UK e-commerce market is projected to be estimated at around $829.86 billion in 2024, where mobile commerce is rapidly growing (Dhapte, 2026). </w:t>
      </w:r>
    </w:p>
    <w:p w14:paraId="1A59DAFF" w14:textId="77777777" w:rsidR="009D74E6" w:rsidRDefault="009B7BBF" w:rsidP="00C86CDA">
      <w:pPr>
        <w:spacing w:after="0"/>
      </w:pPr>
      <w:r>
        <w:t>Moreover, 58% of consumers worldwide, including those living in the UK, are ready to pay premiums on sustainable products, and the attitudinal change is the most progressive among Millennials and Gen Z (Deloitte, 2025). The total FMCG market is estimated to have $13,055 billion in 2025 and is set to increase by 5.03% by 2035, with over 55% of producers of FMCG adopting digital retailing channels (Business Research Insights, 2025). All of these macro-trends present an opportunity and a threat to Unilever, especially in terms of its consumer-facing digital capabilities and customer journey optimisation in omnichannel.</w:t>
      </w:r>
    </w:p>
    <w:tbl>
      <w:tblPr>
        <w:tblStyle w:val="GridTable2-Accent6"/>
        <w:tblW w:w="5126"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6"/>
        <w:gridCol w:w="7320"/>
      </w:tblGrid>
      <w:tr w:rsidR="00913DFF" w14:paraId="22BF02BD" w14:textId="77777777" w:rsidTr="00913DFF">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1182" w:type="pct"/>
            <w:tcBorders>
              <w:top w:val="none" w:sz="0" w:space="0" w:color="auto"/>
              <w:bottom w:val="none" w:sz="0" w:space="0" w:color="auto"/>
              <w:right w:val="none" w:sz="0" w:space="0" w:color="auto"/>
            </w:tcBorders>
            <w:noWrap/>
            <w:hideMark/>
          </w:tcPr>
          <w:p w14:paraId="04333777" w14:textId="77777777" w:rsidR="00687927" w:rsidRPr="00687927" w:rsidRDefault="009B7BBF" w:rsidP="00C86CDA">
            <w:pPr>
              <w:jc w:val="center"/>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Trend</w:t>
            </w:r>
          </w:p>
        </w:tc>
        <w:tc>
          <w:tcPr>
            <w:tcW w:w="3818" w:type="pct"/>
            <w:tcBorders>
              <w:top w:val="none" w:sz="0" w:space="0" w:color="auto"/>
              <w:left w:val="none" w:sz="0" w:space="0" w:color="auto"/>
              <w:bottom w:val="none" w:sz="0" w:space="0" w:color="auto"/>
            </w:tcBorders>
            <w:noWrap/>
            <w:hideMark/>
          </w:tcPr>
          <w:p w14:paraId="3BE38701" w14:textId="77777777" w:rsidR="00687927" w:rsidRPr="00687927"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Key Insight</w:t>
            </w:r>
          </w:p>
        </w:tc>
      </w:tr>
      <w:tr w:rsidR="00913DFF" w14:paraId="7BD5ACB3"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1182" w:type="pct"/>
            <w:noWrap/>
            <w:hideMark/>
          </w:tcPr>
          <w:p w14:paraId="14D8CA2E" w14:textId="77777777" w:rsidR="00687927" w:rsidRPr="00687927" w:rsidRDefault="009B7BBF" w:rsidP="00C86CDA">
            <w:pPr>
              <w:jc w:val="left"/>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Sustainability Demand</w:t>
            </w:r>
          </w:p>
        </w:tc>
        <w:tc>
          <w:tcPr>
            <w:tcW w:w="3818" w:type="pct"/>
            <w:noWrap/>
            <w:hideMark/>
          </w:tcPr>
          <w:p w14:paraId="5BD0FF0E" w14:textId="77777777" w:rsidR="00687927" w:rsidRPr="00687927"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58% of consumers are willing to pay more for sustainable products (Deloitte, 2025)</w:t>
            </w:r>
          </w:p>
        </w:tc>
      </w:tr>
      <w:tr w:rsidR="00913DFF" w14:paraId="37764E9D" w14:textId="77777777" w:rsidTr="00913DFF">
        <w:trPr>
          <w:trHeight w:val="144"/>
          <w:jc w:val="center"/>
        </w:trPr>
        <w:tc>
          <w:tcPr>
            <w:cnfStyle w:val="001000000000" w:firstRow="0" w:lastRow="0" w:firstColumn="1" w:lastColumn="0" w:oddVBand="0" w:evenVBand="0" w:oddHBand="0" w:evenHBand="0" w:firstRowFirstColumn="0" w:firstRowLastColumn="0" w:lastRowFirstColumn="0" w:lastRowLastColumn="0"/>
            <w:tcW w:w="1182" w:type="pct"/>
            <w:noWrap/>
            <w:hideMark/>
          </w:tcPr>
          <w:p w14:paraId="4F4F4F74" w14:textId="77777777" w:rsidR="00687927" w:rsidRPr="00687927" w:rsidRDefault="009B7BBF" w:rsidP="00C86CDA">
            <w:pPr>
              <w:jc w:val="left"/>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Digital Personalisation</w:t>
            </w:r>
          </w:p>
        </w:tc>
        <w:tc>
          <w:tcPr>
            <w:tcW w:w="3818" w:type="pct"/>
            <w:noWrap/>
            <w:hideMark/>
          </w:tcPr>
          <w:p w14:paraId="30A7FBDE" w14:textId="77777777" w:rsidR="00687927" w:rsidRPr="00687927"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UK retailers invested over US$5.5bn in AI-related deals (Rindone, 2024)</w:t>
            </w:r>
          </w:p>
        </w:tc>
      </w:tr>
      <w:tr w:rsidR="00913DFF" w14:paraId="43861A15"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1182" w:type="pct"/>
            <w:noWrap/>
            <w:hideMark/>
          </w:tcPr>
          <w:p w14:paraId="50B2A424" w14:textId="77777777" w:rsidR="00687927" w:rsidRPr="00687927" w:rsidRDefault="009B7BBF" w:rsidP="00C86CDA">
            <w:pPr>
              <w:jc w:val="left"/>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Gen Z Spending Power</w:t>
            </w:r>
          </w:p>
        </w:tc>
        <w:tc>
          <w:tcPr>
            <w:tcW w:w="3818" w:type="pct"/>
            <w:noWrap/>
            <w:hideMark/>
          </w:tcPr>
          <w:p w14:paraId="704FE160" w14:textId="77777777" w:rsidR="00687927" w:rsidRPr="00687927"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Gen Z spending growing 2x faster than previous generations (Adams, Alldredge and Kohli, 2025)</w:t>
            </w:r>
          </w:p>
        </w:tc>
      </w:tr>
      <w:tr w:rsidR="00913DFF" w14:paraId="37C4D5A9" w14:textId="77777777" w:rsidTr="00913DFF">
        <w:trPr>
          <w:trHeight w:val="144"/>
          <w:jc w:val="center"/>
        </w:trPr>
        <w:tc>
          <w:tcPr>
            <w:cnfStyle w:val="001000000000" w:firstRow="0" w:lastRow="0" w:firstColumn="1" w:lastColumn="0" w:oddVBand="0" w:evenVBand="0" w:oddHBand="0" w:evenHBand="0" w:firstRowFirstColumn="0" w:firstRowLastColumn="0" w:lastRowFirstColumn="0" w:lastRowLastColumn="0"/>
            <w:tcW w:w="1182" w:type="pct"/>
            <w:noWrap/>
            <w:hideMark/>
          </w:tcPr>
          <w:p w14:paraId="0AA37B5D" w14:textId="77777777" w:rsidR="00687927" w:rsidRPr="00687927" w:rsidRDefault="009B7BBF" w:rsidP="00C86CDA">
            <w:pPr>
              <w:jc w:val="left"/>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E-commerce Growth</w:t>
            </w:r>
          </w:p>
        </w:tc>
        <w:tc>
          <w:tcPr>
            <w:tcW w:w="3818" w:type="pct"/>
            <w:noWrap/>
            <w:hideMark/>
          </w:tcPr>
          <w:p w14:paraId="3CC04932" w14:textId="77777777" w:rsidR="00687927" w:rsidRPr="00687927"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UK e-commerce market valued at $829bn in 2024 (Dhapte, 2026)</w:t>
            </w:r>
          </w:p>
        </w:tc>
      </w:tr>
      <w:tr w:rsidR="00913DFF" w14:paraId="2A4AA0C0"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1182" w:type="pct"/>
            <w:noWrap/>
            <w:hideMark/>
          </w:tcPr>
          <w:p w14:paraId="15458DB6" w14:textId="77777777" w:rsidR="00687927" w:rsidRPr="00687927" w:rsidRDefault="009B7BBF" w:rsidP="00C86CDA">
            <w:pPr>
              <w:jc w:val="left"/>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Social Commerce</w:t>
            </w:r>
          </w:p>
        </w:tc>
        <w:tc>
          <w:tcPr>
            <w:tcW w:w="3818" w:type="pct"/>
            <w:noWrap/>
            <w:hideMark/>
          </w:tcPr>
          <w:p w14:paraId="285A4660" w14:textId="77777777" w:rsidR="00687927" w:rsidRPr="00687927"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87927">
              <w:rPr>
                <w:rFonts w:eastAsia="Times New Roman" w:cs="Times New Roman"/>
                <w:kern w:val="0"/>
                <w:szCs w:val="24"/>
                <w:lang w:eastAsia="en-GB" w:bidi="bn-BD"/>
                <w14:ligatures w14:val="none"/>
              </w:rPr>
              <w:t xml:space="preserve">TikTok emerged as the UK's fastest-growing online retailer in 2024 </w:t>
            </w:r>
          </w:p>
        </w:tc>
      </w:tr>
    </w:tbl>
    <w:p w14:paraId="20CDBAAD" w14:textId="77777777" w:rsidR="001B6D64" w:rsidRDefault="001B6D64" w:rsidP="00C86CDA">
      <w:pPr>
        <w:pStyle w:val="Caption"/>
        <w:spacing w:after="0" w:line="360" w:lineRule="auto"/>
        <w:jc w:val="center"/>
        <w:rPr>
          <w:b/>
          <w:bCs/>
          <w:i w:val="0"/>
          <w:iCs w:val="0"/>
          <w:color w:val="000000" w:themeColor="text1"/>
          <w:sz w:val="20"/>
          <w:szCs w:val="20"/>
        </w:rPr>
      </w:pPr>
      <w:bookmarkStart w:id="3" w:name="_Toc223387152"/>
      <w:bookmarkStart w:id="4" w:name="_Toc223477239"/>
      <w:bookmarkStart w:id="5" w:name="_Toc223477724"/>
    </w:p>
    <w:p w14:paraId="0C05B15B" w14:textId="347C54CB" w:rsidR="009D74E6" w:rsidRPr="00687927" w:rsidRDefault="009B7BBF" w:rsidP="00C86CDA">
      <w:pPr>
        <w:pStyle w:val="Caption"/>
        <w:spacing w:after="0" w:line="360" w:lineRule="auto"/>
        <w:jc w:val="center"/>
        <w:rPr>
          <w:b/>
          <w:bCs/>
          <w:i w:val="0"/>
          <w:iCs w:val="0"/>
          <w:color w:val="000000" w:themeColor="text1"/>
          <w:sz w:val="20"/>
          <w:szCs w:val="20"/>
        </w:rPr>
      </w:pPr>
      <w:r w:rsidRPr="00687927">
        <w:rPr>
          <w:b/>
          <w:bCs/>
          <w:i w:val="0"/>
          <w:iCs w:val="0"/>
          <w:color w:val="000000" w:themeColor="text1"/>
          <w:sz w:val="20"/>
          <w:szCs w:val="20"/>
        </w:rPr>
        <w:t xml:space="preserve">Table </w:t>
      </w:r>
      <w:r w:rsidRPr="00687927">
        <w:rPr>
          <w:b/>
          <w:bCs/>
          <w:i w:val="0"/>
          <w:iCs w:val="0"/>
          <w:color w:val="000000" w:themeColor="text1"/>
          <w:sz w:val="20"/>
          <w:szCs w:val="20"/>
        </w:rPr>
        <w:fldChar w:fldCharType="begin"/>
      </w:r>
      <w:r w:rsidRPr="00687927">
        <w:rPr>
          <w:b/>
          <w:bCs/>
          <w:i w:val="0"/>
          <w:iCs w:val="0"/>
          <w:color w:val="000000" w:themeColor="text1"/>
          <w:sz w:val="20"/>
          <w:szCs w:val="20"/>
        </w:rPr>
        <w:instrText xml:space="preserve"> SEQ Table \* ARABIC </w:instrText>
      </w:r>
      <w:r w:rsidRPr="00687927">
        <w:rPr>
          <w:b/>
          <w:bCs/>
          <w:i w:val="0"/>
          <w:iCs w:val="0"/>
          <w:color w:val="000000" w:themeColor="text1"/>
          <w:sz w:val="20"/>
          <w:szCs w:val="20"/>
        </w:rPr>
        <w:fldChar w:fldCharType="separate"/>
      </w:r>
      <w:r w:rsidR="00A040E3">
        <w:rPr>
          <w:b/>
          <w:bCs/>
          <w:i w:val="0"/>
          <w:iCs w:val="0"/>
          <w:noProof/>
          <w:color w:val="000000" w:themeColor="text1"/>
          <w:sz w:val="20"/>
          <w:szCs w:val="20"/>
        </w:rPr>
        <w:t>1</w:t>
      </w:r>
      <w:r w:rsidRPr="00687927">
        <w:rPr>
          <w:b/>
          <w:bCs/>
          <w:i w:val="0"/>
          <w:iCs w:val="0"/>
          <w:color w:val="000000" w:themeColor="text1"/>
          <w:sz w:val="20"/>
          <w:szCs w:val="20"/>
        </w:rPr>
        <w:fldChar w:fldCharType="end"/>
      </w:r>
      <w:r w:rsidRPr="00687927">
        <w:rPr>
          <w:b/>
          <w:bCs/>
          <w:i w:val="0"/>
          <w:iCs w:val="0"/>
          <w:color w:val="000000" w:themeColor="text1"/>
          <w:sz w:val="20"/>
          <w:szCs w:val="20"/>
        </w:rPr>
        <w:t>: Key UK Consumer &amp; FMCG Industry Trends (2024–2025).</w:t>
      </w:r>
      <w:bookmarkEnd w:id="3"/>
      <w:bookmarkEnd w:id="4"/>
      <w:bookmarkEnd w:id="5"/>
    </w:p>
    <w:p w14:paraId="5171AE19" w14:textId="77777777" w:rsidR="009D74E6" w:rsidRDefault="009B7BBF" w:rsidP="00C86CDA">
      <w:pPr>
        <w:pStyle w:val="Heading1"/>
      </w:pPr>
      <w:bookmarkStart w:id="6" w:name="_Toc223477697"/>
      <w:r>
        <w:t>Part 1: Analysis of Unilever's Approach to Innovation</w:t>
      </w:r>
      <w:bookmarkEnd w:id="6"/>
    </w:p>
    <w:p w14:paraId="1130DE36" w14:textId="77777777" w:rsidR="009D74E6" w:rsidRDefault="009B7BBF" w:rsidP="00C86CDA">
      <w:pPr>
        <w:pStyle w:val="Heading2"/>
      </w:pPr>
      <w:bookmarkStart w:id="7" w:name="_Toc223477698"/>
      <w:r>
        <w:t>1.1 Applying the Innovation Ambition Matrix</w:t>
      </w:r>
      <w:bookmarkEnd w:id="7"/>
    </w:p>
    <w:p w14:paraId="1AC96B07" w14:textId="77777777" w:rsidR="00B44A8C" w:rsidRDefault="009B7BBF" w:rsidP="00C86CDA">
      <w:pPr>
        <w:spacing w:after="0"/>
      </w:pPr>
      <w:r>
        <w:t xml:space="preserve">The Innovation Ambition Matrix formulated by Nagji and Tuffle (2012) is a strategic tool to classify and balance the innovation portfolio of an organisation at three levels: core, adjacent and transformational. According to these authors, the successful innovators tend to invest most of the </w:t>
      </w:r>
      <w:r>
        <w:lastRenderedPageBreak/>
        <w:t>resources in core innovations around 70%, the adjacent innovations around 20%, and the transformational innovations around 10%, which is associated with a higher financial performance in the long run. Using this framework in the case of Unilever, we can see that there is a complicated multi-levelled innovation strategy that has received a more precise definition within the framework of GAP 2030.</w:t>
      </w:r>
    </w:p>
    <w:p w14:paraId="3C1BA1DE" w14:textId="67688E16" w:rsidR="00B44A8C" w:rsidRDefault="00903A50" w:rsidP="00C86CDA">
      <w:pPr>
        <w:spacing w:after="0"/>
      </w:pPr>
      <w:r w:rsidRPr="001D574C">
        <w:rPr>
          <w:noProof/>
        </w:rPr>
        <w:drawing>
          <wp:inline distT="0" distB="0" distL="0" distR="0" wp14:anchorId="311FC0C7" wp14:editId="4D8BFA3D">
            <wp:extent cx="5943600" cy="3319780"/>
            <wp:effectExtent l="0" t="0" r="0" b="0"/>
            <wp:docPr id="1530233699" name="Picture 1" descr="A diagram of a company's innovation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33699" name="Picture 1" descr="A diagram of a company's innovation strategy&#10;&#10;AI-generated content may be incorrect."/>
                    <pic:cNvPicPr/>
                  </pic:nvPicPr>
                  <pic:blipFill>
                    <a:blip r:embed="rId10"/>
                    <a:stretch>
                      <a:fillRect/>
                    </a:stretch>
                  </pic:blipFill>
                  <pic:spPr>
                    <a:xfrm>
                      <a:off x="0" y="0"/>
                      <a:ext cx="5943600" cy="3319780"/>
                    </a:xfrm>
                    <a:prstGeom prst="rect">
                      <a:avLst/>
                    </a:prstGeom>
                  </pic:spPr>
                </pic:pic>
              </a:graphicData>
            </a:graphic>
          </wp:inline>
        </w:drawing>
      </w:r>
    </w:p>
    <w:p w14:paraId="0B1D8F94" w14:textId="77777777" w:rsidR="00B44A8C" w:rsidRPr="001D574C" w:rsidRDefault="009B7BBF" w:rsidP="00C86CDA">
      <w:pPr>
        <w:pStyle w:val="Caption"/>
        <w:spacing w:after="0" w:line="360" w:lineRule="auto"/>
        <w:jc w:val="center"/>
        <w:rPr>
          <w:b/>
          <w:bCs/>
          <w:i w:val="0"/>
          <w:iCs w:val="0"/>
          <w:color w:val="000000" w:themeColor="text1"/>
          <w:sz w:val="20"/>
          <w:szCs w:val="20"/>
        </w:rPr>
      </w:pPr>
      <w:bookmarkStart w:id="8" w:name="_Toc223387147"/>
      <w:bookmarkStart w:id="9" w:name="_Toc223477228"/>
      <w:bookmarkStart w:id="10" w:name="_Toc223477719"/>
      <w:r w:rsidRPr="001D574C">
        <w:rPr>
          <w:b/>
          <w:bCs/>
          <w:i w:val="0"/>
          <w:iCs w:val="0"/>
          <w:color w:val="000000" w:themeColor="text1"/>
          <w:sz w:val="20"/>
          <w:szCs w:val="20"/>
        </w:rPr>
        <w:t xml:space="preserve">Figure </w:t>
      </w:r>
      <w:r w:rsidRPr="001D574C">
        <w:rPr>
          <w:b/>
          <w:bCs/>
          <w:i w:val="0"/>
          <w:iCs w:val="0"/>
          <w:color w:val="000000" w:themeColor="text1"/>
          <w:sz w:val="20"/>
          <w:szCs w:val="20"/>
        </w:rPr>
        <w:fldChar w:fldCharType="begin"/>
      </w:r>
      <w:r w:rsidRPr="001D574C">
        <w:rPr>
          <w:b/>
          <w:bCs/>
          <w:i w:val="0"/>
          <w:iCs w:val="0"/>
          <w:color w:val="000000" w:themeColor="text1"/>
          <w:sz w:val="20"/>
          <w:szCs w:val="20"/>
        </w:rPr>
        <w:instrText xml:space="preserve"> SEQ Figure \* ARABIC </w:instrText>
      </w:r>
      <w:r w:rsidRPr="001D574C">
        <w:rPr>
          <w:b/>
          <w:bCs/>
          <w:i w:val="0"/>
          <w:iCs w:val="0"/>
          <w:color w:val="000000" w:themeColor="text1"/>
          <w:sz w:val="20"/>
          <w:szCs w:val="20"/>
        </w:rPr>
        <w:fldChar w:fldCharType="separate"/>
      </w:r>
      <w:r w:rsidR="0080759C">
        <w:rPr>
          <w:b/>
          <w:bCs/>
          <w:i w:val="0"/>
          <w:iCs w:val="0"/>
          <w:noProof/>
          <w:color w:val="000000" w:themeColor="text1"/>
          <w:sz w:val="20"/>
          <w:szCs w:val="20"/>
        </w:rPr>
        <w:t>2</w:t>
      </w:r>
      <w:r w:rsidRPr="001D574C">
        <w:rPr>
          <w:b/>
          <w:bCs/>
          <w:i w:val="0"/>
          <w:iCs w:val="0"/>
          <w:color w:val="000000" w:themeColor="text1"/>
          <w:sz w:val="20"/>
          <w:szCs w:val="20"/>
        </w:rPr>
        <w:fldChar w:fldCharType="end"/>
      </w:r>
      <w:r w:rsidRPr="001D574C">
        <w:rPr>
          <w:b/>
          <w:bCs/>
          <w:i w:val="0"/>
          <w:iCs w:val="0"/>
          <w:color w:val="000000" w:themeColor="text1"/>
          <w:sz w:val="20"/>
          <w:szCs w:val="20"/>
        </w:rPr>
        <w:t>: Unilever Innovation Ambition Matrix.</w:t>
      </w:r>
      <w:bookmarkEnd w:id="8"/>
      <w:bookmarkEnd w:id="9"/>
      <w:bookmarkEnd w:id="10"/>
    </w:p>
    <w:p w14:paraId="0819D0A6" w14:textId="77777777" w:rsidR="00B44A8C" w:rsidRPr="00687927" w:rsidRDefault="009B7BBF" w:rsidP="00C86CDA">
      <w:pPr>
        <w:pStyle w:val="Heading3"/>
        <w:spacing w:after="0"/>
      </w:pPr>
      <w:bookmarkStart w:id="11" w:name="_Toc223477699"/>
      <w:r>
        <w:t xml:space="preserve">1.1.1 </w:t>
      </w:r>
      <w:r w:rsidRPr="00687927">
        <w:t>Core Innovation: Optimising Existing Products for Existing Markets</w:t>
      </w:r>
      <w:bookmarkEnd w:id="11"/>
    </w:p>
    <w:p w14:paraId="61662667" w14:textId="77777777" w:rsidR="00B44A8C" w:rsidRDefault="009B7BBF" w:rsidP="00C86CDA">
      <w:pPr>
        <w:spacing w:after="0"/>
      </w:pPr>
      <w:r>
        <w:t xml:space="preserve">The Unilever company is focused on the incremental innovation of its existing brands. In 2024, the company spent €987 million in research and development, which has targeted science-based innovations that support current product propositions (Unilever, 2025). Such popular ones are the Dove Advanced Care Deodorant, the Persil Wonder Wash formula in the short laundry cycles, and the Botanicals line with Comfort, all of which are versions of running a formula and refining it to make customers more loyal to the products of these companies. This is in line with what is defined by Tidd and Bessant (2020) as 'incremental innovation', which maintains a competitive edge by making ongoing improvements. </w:t>
      </w:r>
    </w:p>
    <w:p w14:paraId="26DC1CCE" w14:textId="77777777" w:rsidR="00B44A8C" w:rsidRDefault="009B7BBF" w:rsidP="00C86CDA">
      <w:pPr>
        <w:spacing w:after="0"/>
      </w:pPr>
      <w:r>
        <w:t>Most importantly, the 30 Power Brands at Unilever achieved 5.3% underlying sales growth in 2024, which proves that core innovation is still the main source of revenue (Unilever, 2025). There exists, however, a drawback of excessive focus on core innovation, as warned by O'Reilly and Tushman (2021): the danger of 'competency traps' – organisations are so good at exploiting core competencies that they fail to explore innovation. The observation that the trend in the turnover-</w:t>
      </w:r>
      <w:r>
        <w:lastRenderedPageBreak/>
        <w:t>weighted share movement of Unilever was still not uninterrupted, on the positive side in 2024, indicates that core innovation might not be enough to beat the competition, like Procter &amp; Gamble.</w:t>
      </w:r>
    </w:p>
    <w:p w14:paraId="6549C714" w14:textId="77777777" w:rsidR="00B44A8C" w:rsidRDefault="009B7BBF" w:rsidP="00C86CDA">
      <w:pPr>
        <w:pStyle w:val="Heading3"/>
      </w:pPr>
      <w:bookmarkStart w:id="12" w:name="_Toc223477700"/>
      <w:r>
        <w:t>1.1.2 Adjacent Innovation: Expanding into New Markets and Segments</w:t>
      </w:r>
      <w:bookmarkEnd w:id="12"/>
    </w:p>
    <w:p w14:paraId="5A67259A" w14:textId="77777777" w:rsidR="00C17BB9" w:rsidRDefault="009B7BBF" w:rsidP="00C86CDA">
      <w:pPr>
        <w:spacing w:after="0"/>
      </w:pPr>
      <w:r>
        <w:t xml:space="preserve">The adjacent innovation strategy of Unilever is a strategy to utilise existing competencies to penetrate the new market segments and new product categories. An example of this is the acquisition of K18, a high-end and premium brand of biotech hair care, in February 2024, which will increase Unilever Beauty and Wellbeing brands into the high-growth prestige segment (Unilever, 2025). Likewise, the 2025 purchase of Minimalist in India and Wild deodorants in the UK is a planned portfolio shift to high-end, digitally native brands. Premiumisation is specifically listed among five drivers of demand creation in the GAP 2030, as it acknowledges the fact that the premium segment is accelerating more than the mass market in the global market (Unilever, 2025). </w:t>
      </w:r>
    </w:p>
    <w:p w14:paraId="421A6EE5" w14:textId="77777777" w:rsidR="00C17BB9" w:rsidRDefault="009B7BBF" w:rsidP="00C86CDA">
      <w:pPr>
        <w:spacing w:after="0"/>
      </w:pPr>
      <w:r>
        <w:t>This strategic direction fits into the market development concept of the growth matrix of Ansoff (1957), but is a perception through the innovation lens of what Nagji and Tuff (2012) categorise as an 'adjacent' innovation – things that build on something the company already does well but redirect towards a new audience or use. Liedtka (2014) argues that design thinking can support adjacent innovation by allowing organisations to re-focus the challenges as an end user and thus uncover the underserved needs. However, Chesbrough (2003) observes that organisations need to have an 'open innovation' relationship to access the knowledge base needed to enable adjacent expansion, and in this regard, Unilever has exemplified this principle by adopting a massive acquisition process.</w:t>
      </w:r>
    </w:p>
    <w:p w14:paraId="0B1D1AE4" w14:textId="77777777" w:rsidR="00C17BB9" w:rsidRDefault="009B7BBF" w:rsidP="00C86CDA">
      <w:pPr>
        <w:pStyle w:val="Heading3"/>
        <w:spacing w:after="0"/>
      </w:pPr>
      <w:bookmarkStart w:id="13" w:name="_Toc223477701"/>
      <w:r>
        <w:t>1.1.3 Transformational Innovation: Creating New-to-World Offerings</w:t>
      </w:r>
      <w:bookmarkEnd w:id="13"/>
    </w:p>
    <w:p w14:paraId="769D4C2E" w14:textId="77777777" w:rsidR="00C17BB9" w:rsidRDefault="009B7BBF" w:rsidP="00C86CDA">
      <w:pPr>
        <w:spacing w:after="0"/>
      </w:pPr>
      <w:r>
        <w:t xml:space="preserve">Unilever has been making efforts at transformational innovation that is based on its investments in artificial intelligence, biotechnology, and microbiome science. As of the year 2024, Unilever already deployed more than 500 AI-based functions all over the world, set up an AI research centre in Toronto, and trained 23,000 workers on how to use AI (Unilever Plc, 2025). The enterprise data platform of the company handles 8 petabytes of data, which are processed by means of 25,000 data pipelines every day, which the Chief Enterprise Technology Officer of the company claims as a move towards becoming a "digital-first organisation" (Unilever Plc, 2025). The theory of disruptive innovation by Christensen (2011) can be helpful in this case: the AI-based digital twin technology developed by Unilever, where real products are recreated in the NVIDIA Omniverse platform, is physically accurate and creates content twice as fast at half the price (Adams, 2025). </w:t>
      </w:r>
    </w:p>
    <w:p w14:paraId="0B807920" w14:textId="77777777" w:rsidR="00C17BB9" w:rsidRDefault="009B7BBF" w:rsidP="00C86CDA">
      <w:pPr>
        <w:spacing w:after="0"/>
      </w:pPr>
      <w:r>
        <w:lastRenderedPageBreak/>
        <w:t>Also, the AI 100+ Accelerator that started in April 2025 involves collaboration with outside innovators to further AI implementations along the supply chain because of the open innovation paradigm proposed by Chesbrough (2003). Nevertheless, transformational innovation is by definition highly uncertain (O'Connor and Rice, 2013), and Unilever will have to continuously strike a balance between exploration investment and the rigour of staying profitable – a conflict that is harnessed in its quest to achieve 800 million dollars in productivity savings at the same time (Unilever, 2025).</w:t>
      </w:r>
    </w:p>
    <w:tbl>
      <w:tblPr>
        <w:tblStyle w:val="GridTable2-Accent6"/>
        <w:tblW w:w="5126"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00"/>
        <w:gridCol w:w="4810"/>
        <w:gridCol w:w="3276"/>
      </w:tblGrid>
      <w:tr w:rsidR="00913DFF" w14:paraId="0C508591" w14:textId="77777777" w:rsidTr="00913DFF">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782" w:type="pct"/>
            <w:tcBorders>
              <w:top w:val="none" w:sz="0" w:space="0" w:color="auto"/>
              <w:bottom w:val="none" w:sz="0" w:space="0" w:color="auto"/>
              <w:right w:val="none" w:sz="0" w:space="0" w:color="auto"/>
            </w:tcBorders>
            <w:noWrap/>
            <w:hideMark/>
          </w:tcPr>
          <w:p w14:paraId="5AB37034" w14:textId="77777777" w:rsidR="00536625" w:rsidRPr="00536625" w:rsidRDefault="009B7BBF" w:rsidP="00C86CDA">
            <w:pPr>
              <w:jc w:val="center"/>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Innovation Level</w:t>
            </w:r>
          </w:p>
        </w:tc>
        <w:tc>
          <w:tcPr>
            <w:tcW w:w="2509" w:type="pct"/>
            <w:tcBorders>
              <w:top w:val="none" w:sz="0" w:space="0" w:color="auto"/>
              <w:left w:val="none" w:sz="0" w:space="0" w:color="auto"/>
              <w:bottom w:val="none" w:sz="0" w:space="0" w:color="auto"/>
              <w:right w:val="none" w:sz="0" w:space="0" w:color="auto"/>
            </w:tcBorders>
            <w:noWrap/>
            <w:hideMark/>
          </w:tcPr>
          <w:p w14:paraId="30E461D8" w14:textId="77777777" w:rsidR="00536625" w:rsidRPr="00536625"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Unilever Example</w:t>
            </w:r>
          </w:p>
        </w:tc>
        <w:tc>
          <w:tcPr>
            <w:tcW w:w="1709" w:type="pct"/>
            <w:tcBorders>
              <w:top w:val="none" w:sz="0" w:space="0" w:color="auto"/>
              <w:left w:val="none" w:sz="0" w:space="0" w:color="auto"/>
              <w:bottom w:val="none" w:sz="0" w:space="0" w:color="auto"/>
            </w:tcBorders>
            <w:noWrap/>
            <w:hideMark/>
          </w:tcPr>
          <w:p w14:paraId="448A64F9" w14:textId="77777777" w:rsidR="00536625" w:rsidRPr="00536625"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Strategic Significance</w:t>
            </w:r>
          </w:p>
        </w:tc>
      </w:tr>
      <w:tr w:rsidR="00913DFF" w14:paraId="234D999D"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782" w:type="pct"/>
            <w:noWrap/>
            <w:hideMark/>
          </w:tcPr>
          <w:p w14:paraId="0820CEBE" w14:textId="77777777" w:rsidR="00536625" w:rsidRPr="00536625" w:rsidRDefault="009B7BBF" w:rsidP="00C86CDA">
            <w:pPr>
              <w:jc w:val="left"/>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Core</w:t>
            </w:r>
          </w:p>
        </w:tc>
        <w:tc>
          <w:tcPr>
            <w:tcW w:w="2509" w:type="pct"/>
            <w:noWrap/>
            <w:hideMark/>
          </w:tcPr>
          <w:p w14:paraId="6DA7F1F0" w14:textId="77777777" w:rsidR="00536625" w:rsidRPr="00536625"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Dove Advanced Care, Persil Wonder Wash, Comfort Botanicals</w:t>
            </w:r>
          </w:p>
        </w:tc>
        <w:tc>
          <w:tcPr>
            <w:tcW w:w="1709" w:type="pct"/>
            <w:noWrap/>
            <w:hideMark/>
          </w:tcPr>
          <w:p w14:paraId="5EF976C0" w14:textId="77777777" w:rsidR="00536625" w:rsidRPr="00536625"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Power Brands delivered 5.3% USG in 2024</w:t>
            </w:r>
          </w:p>
        </w:tc>
      </w:tr>
      <w:tr w:rsidR="00913DFF" w14:paraId="757D1BD9" w14:textId="77777777" w:rsidTr="00913DFF">
        <w:trPr>
          <w:trHeight w:val="144"/>
          <w:jc w:val="center"/>
        </w:trPr>
        <w:tc>
          <w:tcPr>
            <w:cnfStyle w:val="001000000000" w:firstRow="0" w:lastRow="0" w:firstColumn="1" w:lastColumn="0" w:oddVBand="0" w:evenVBand="0" w:oddHBand="0" w:evenHBand="0" w:firstRowFirstColumn="0" w:firstRowLastColumn="0" w:lastRowFirstColumn="0" w:lastRowLastColumn="0"/>
            <w:tcW w:w="782" w:type="pct"/>
            <w:noWrap/>
            <w:hideMark/>
          </w:tcPr>
          <w:p w14:paraId="730AEB28" w14:textId="77777777" w:rsidR="00536625" w:rsidRPr="00536625" w:rsidRDefault="009B7BBF" w:rsidP="00C86CDA">
            <w:pPr>
              <w:jc w:val="left"/>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Adjacent</w:t>
            </w:r>
          </w:p>
        </w:tc>
        <w:tc>
          <w:tcPr>
            <w:tcW w:w="2509" w:type="pct"/>
            <w:noWrap/>
            <w:hideMark/>
          </w:tcPr>
          <w:p w14:paraId="04EC568B" w14:textId="77777777" w:rsidR="00536625" w:rsidRPr="00536625"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K18 acquisition, Minimalist, Wild; premiumisation strategy</w:t>
            </w:r>
          </w:p>
        </w:tc>
        <w:tc>
          <w:tcPr>
            <w:tcW w:w="1709" w:type="pct"/>
            <w:noWrap/>
            <w:hideMark/>
          </w:tcPr>
          <w:p w14:paraId="79C0D375" w14:textId="77777777" w:rsidR="00536625" w:rsidRPr="00536625"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Portfolio shift towards high-growth premium segments</w:t>
            </w:r>
          </w:p>
        </w:tc>
      </w:tr>
      <w:tr w:rsidR="00913DFF" w14:paraId="4B3A2E21"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782" w:type="pct"/>
            <w:noWrap/>
            <w:hideMark/>
          </w:tcPr>
          <w:p w14:paraId="5BA246D8" w14:textId="77777777" w:rsidR="00536625" w:rsidRPr="00536625" w:rsidRDefault="009B7BBF" w:rsidP="00C86CDA">
            <w:pPr>
              <w:jc w:val="left"/>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Transformational</w:t>
            </w:r>
          </w:p>
        </w:tc>
        <w:tc>
          <w:tcPr>
            <w:tcW w:w="2509" w:type="pct"/>
            <w:noWrap/>
            <w:hideMark/>
          </w:tcPr>
          <w:p w14:paraId="7B84C5C6" w14:textId="77777777" w:rsidR="00536625" w:rsidRPr="00536625"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500+ AI capabilities, AI research hub (Toronto), digital twins, AI 100+ Accelerator</w:t>
            </w:r>
          </w:p>
        </w:tc>
        <w:tc>
          <w:tcPr>
            <w:tcW w:w="1709" w:type="pct"/>
            <w:noWrap/>
            <w:hideMark/>
          </w:tcPr>
          <w:p w14:paraId="2FA4400E" w14:textId="77777777" w:rsidR="00536625" w:rsidRPr="00536625"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536625">
              <w:rPr>
                <w:rFonts w:eastAsia="Times New Roman" w:cs="Times New Roman"/>
                <w:kern w:val="0"/>
                <w:szCs w:val="24"/>
                <w:lang w:eastAsia="en-GB" w:bidi="bn-BD"/>
                <w14:ligatures w14:val="none"/>
              </w:rPr>
              <w:t>Becoming a "digital-first organisation" with scaled AI</w:t>
            </w:r>
          </w:p>
        </w:tc>
      </w:tr>
    </w:tbl>
    <w:p w14:paraId="1208880D" w14:textId="77777777" w:rsidR="00C17BB9" w:rsidRPr="00536625" w:rsidRDefault="009B7BBF" w:rsidP="00C86CDA">
      <w:pPr>
        <w:pStyle w:val="Caption"/>
        <w:spacing w:after="0" w:line="360" w:lineRule="auto"/>
        <w:jc w:val="center"/>
        <w:rPr>
          <w:b/>
          <w:bCs/>
          <w:i w:val="0"/>
          <w:iCs w:val="0"/>
        </w:rPr>
      </w:pPr>
      <w:bookmarkStart w:id="14" w:name="_Toc223387153"/>
      <w:bookmarkStart w:id="15" w:name="_Toc223477240"/>
      <w:bookmarkStart w:id="16" w:name="_Toc223477725"/>
      <w:r w:rsidRPr="00536625">
        <w:rPr>
          <w:b/>
          <w:bCs/>
          <w:i w:val="0"/>
          <w:iCs w:val="0"/>
          <w:color w:val="000000" w:themeColor="text1"/>
          <w:sz w:val="20"/>
          <w:szCs w:val="20"/>
        </w:rPr>
        <w:t xml:space="preserve">Table </w:t>
      </w:r>
      <w:r w:rsidRPr="00536625">
        <w:rPr>
          <w:b/>
          <w:bCs/>
          <w:i w:val="0"/>
          <w:iCs w:val="0"/>
          <w:color w:val="000000" w:themeColor="text1"/>
          <w:sz w:val="20"/>
          <w:szCs w:val="20"/>
        </w:rPr>
        <w:fldChar w:fldCharType="begin"/>
      </w:r>
      <w:r w:rsidRPr="00536625">
        <w:rPr>
          <w:b/>
          <w:bCs/>
          <w:i w:val="0"/>
          <w:iCs w:val="0"/>
          <w:color w:val="000000" w:themeColor="text1"/>
          <w:sz w:val="20"/>
          <w:szCs w:val="20"/>
        </w:rPr>
        <w:instrText xml:space="preserve"> SEQ Table \* ARABIC </w:instrText>
      </w:r>
      <w:r w:rsidRPr="00536625">
        <w:rPr>
          <w:b/>
          <w:bCs/>
          <w:i w:val="0"/>
          <w:iCs w:val="0"/>
          <w:color w:val="000000" w:themeColor="text1"/>
          <w:sz w:val="20"/>
          <w:szCs w:val="20"/>
        </w:rPr>
        <w:fldChar w:fldCharType="separate"/>
      </w:r>
      <w:r w:rsidR="00A040E3">
        <w:rPr>
          <w:b/>
          <w:bCs/>
          <w:i w:val="0"/>
          <w:iCs w:val="0"/>
          <w:noProof/>
          <w:color w:val="000000" w:themeColor="text1"/>
          <w:sz w:val="20"/>
          <w:szCs w:val="20"/>
        </w:rPr>
        <w:t>2</w:t>
      </w:r>
      <w:r w:rsidRPr="00536625">
        <w:rPr>
          <w:b/>
          <w:bCs/>
          <w:i w:val="0"/>
          <w:iCs w:val="0"/>
          <w:color w:val="000000" w:themeColor="text1"/>
          <w:sz w:val="20"/>
          <w:szCs w:val="20"/>
        </w:rPr>
        <w:fldChar w:fldCharType="end"/>
      </w:r>
      <w:r w:rsidRPr="00536625">
        <w:rPr>
          <w:b/>
          <w:bCs/>
          <w:i w:val="0"/>
          <w:iCs w:val="0"/>
          <w:color w:val="000000" w:themeColor="text1"/>
          <w:sz w:val="20"/>
          <w:szCs w:val="20"/>
        </w:rPr>
        <w:t>: Unilever Innovation Ambition Matrix Application.</w:t>
      </w:r>
      <w:bookmarkEnd w:id="14"/>
      <w:bookmarkEnd w:id="15"/>
      <w:bookmarkEnd w:id="16"/>
    </w:p>
    <w:p w14:paraId="6C5808F3" w14:textId="77777777" w:rsidR="00C17BB9" w:rsidRDefault="009B7BBF" w:rsidP="00C86CDA">
      <w:pPr>
        <w:pStyle w:val="Heading2"/>
      </w:pPr>
      <w:bookmarkStart w:id="17" w:name="_Toc223477702"/>
      <w:r>
        <w:t>1.2 Customer Journey Mapping: Current State Analysis</w:t>
      </w:r>
      <w:bookmarkEnd w:id="17"/>
    </w:p>
    <w:p w14:paraId="085C5541" w14:textId="77777777" w:rsidR="007C60A0" w:rsidRDefault="009B7BBF" w:rsidP="00C86CDA">
      <w:pPr>
        <w:spacing w:after="0"/>
      </w:pPr>
      <w:r>
        <w:t xml:space="preserve">Customer Journey Mapping (CJM) is a strategic instrument that illustrates the entire end-to-end experience a customer goes through in an organisation in various touchpoints (Lemon and Verhoef, 2016). Rosenbaum, Otalora and Ramirez (2017) point out that proper CJMs should be based on real consumer data as opposed to managerial hypotheses since the difference between the perceived and actual journeys is often a major source of competitive deficit. </w:t>
      </w:r>
    </w:p>
    <w:p w14:paraId="593F6592" w14:textId="77777777" w:rsidR="007C60A0" w:rsidRDefault="009B7BBF" w:rsidP="00C86CDA">
      <w:pPr>
        <w:spacing w:after="0"/>
      </w:pPr>
      <w:r>
        <w:t>Theoretically, the Service-Dominant Logic by Vargo and Lusch (2004) assumes that the value is not achieved via the product alone but through the interactions between the consumer and the organisation at the touchpoints. The application of CJM to the key consumer of Unilever, who is a household grocery shopper in the UK and buys everyday FMCG products, has identified some key points of pain and gain at each of the phases of pre-purchase, purchase, and post-purchase, according to the model offered by Lemon and Verhoef (2016).</w:t>
      </w:r>
    </w:p>
    <w:p w14:paraId="70286C66" w14:textId="374992C8" w:rsidR="002C31FE" w:rsidRDefault="00903A50" w:rsidP="00C86CDA">
      <w:pPr>
        <w:pStyle w:val="NormalWeb"/>
        <w:spacing w:before="0" w:beforeAutospacing="0" w:after="0" w:afterAutospacing="0" w:line="360" w:lineRule="auto"/>
        <w:jc w:val="center"/>
      </w:pPr>
      <w:r>
        <w:rPr>
          <w:noProof/>
        </w:rPr>
        <w:lastRenderedPageBreak/>
        <w:drawing>
          <wp:inline distT="0" distB="0" distL="0" distR="0" wp14:anchorId="1C90C532" wp14:editId="6B7DF104">
            <wp:extent cx="5943600" cy="3241675"/>
            <wp:effectExtent l="0" t="0" r="0" b="0"/>
            <wp:docPr id="550197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241675"/>
                    </a:xfrm>
                    <a:prstGeom prst="rect">
                      <a:avLst/>
                    </a:prstGeom>
                    <a:noFill/>
                    <a:ln>
                      <a:noFill/>
                    </a:ln>
                  </pic:spPr>
                </pic:pic>
              </a:graphicData>
            </a:graphic>
          </wp:inline>
        </w:drawing>
      </w:r>
    </w:p>
    <w:p w14:paraId="59D38781" w14:textId="77777777" w:rsidR="007C60A0" w:rsidRPr="002C31FE" w:rsidRDefault="009B7BBF" w:rsidP="00C86CDA">
      <w:pPr>
        <w:pStyle w:val="Caption"/>
        <w:spacing w:after="0" w:line="360" w:lineRule="auto"/>
        <w:jc w:val="center"/>
        <w:rPr>
          <w:b/>
          <w:bCs/>
          <w:i w:val="0"/>
          <w:iCs w:val="0"/>
          <w:color w:val="000000" w:themeColor="text1"/>
          <w:sz w:val="20"/>
          <w:szCs w:val="20"/>
        </w:rPr>
      </w:pPr>
      <w:bookmarkStart w:id="18" w:name="_Toc223387148"/>
      <w:bookmarkStart w:id="19" w:name="_Toc223477229"/>
      <w:bookmarkStart w:id="20" w:name="_Toc223477720"/>
      <w:r w:rsidRPr="002C31FE">
        <w:rPr>
          <w:b/>
          <w:bCs/>
          <w:i w:val="0"/>
          <w:iCs w:val="0"/>
          <w:color w:val="000000" w:themeColor="text1"/>
          <w:sz w:val="20"/>
          <w:szCs w:val="20"/>
        </w:rPr>
        <w:t xml:space="preserve">Figure </w:t>
      </w:r>
      <w:r w:rsidRPr="002C31FE">
        <w:rPr>
          <w:b/>
          <w:bCs/>
          <w:i w:val="0"/>
          <w:iCs w:val="0"/>
          <w:color w:val="000000" w:themeColor="text1"/>
          <w:sz w:val="20"/>
          <w:szCs w:val="20"/>
        </w:rPr>
        <w:fldChar w:fldCharType="begin"/>
      </w:r>
      <w:r w:rsidRPr="002C31FE">
        <w:rPr>
          <w:b/>
          <w:bCs/>
          <w:i w:val="0"/>
          <w:iCs w:val="0"/>
          <w:color w:val="000000" w:themeColor="text1"/>
          <w:sz w:val="20"/>
          <w:szCs w:val="20"/>
        </w:rPr>
        <w:instrText xml:space="preserve"> SEQ Figure \* ARABIC </w:instrText>
      </w:r>
      <w:r w:rsidRPr="002C31FE">
        <w:rPr>
          <w:b/>
          <w:bCs/>
          <w:i w:val="0"/>
          <w:iCs w:val="0"/>
          <w:color w:val="000000" w:themeColor="text1"/>
          <w:sz w:val="20"/>
          <w:szCs w:val="20"/>
        </w:rPr>
        <w:fldChar w:fldCharType="separate"/>
      </w:r>
      <w:r w:rsidR="0080759C">
        <w:rPr>
          <w:b/>
          <w:bCs/>
          <w:i w:val="0"/>
          <w:iCs w:val="0"/>
          <w:noProof/>
          <w:color w:val="000000" w:themeColor="text1"/>
          <w:sz w:val="20"/>
          <w:szCs w:val="20"/>
        </w:rPr>
        <w:t>3</w:t>
      </w:r>
      <w:r w:rsidRPr="002C31FE">
        <w:rPr>
          <w:b/>
          <w:bCs/>
          <w:i w:val="0"/>
          <w:iCs w:val="0"/>
          <w:color w:val="000000" w:themeColor="text1"/>
          <w:sz w:val="20"/>
          <w:szCs w:val="20"/>
        </w:rPr>
        <w:fldChar w:fldCharType="end"/>
      </w:r>
      <w:r w:rsidRPr="002C31FE">
        <w:rPr>
          <w:b/>
          <w:bCs/>
          <w:i w:val="0"/>
          <w:iCs w:val="0"/>
          <w:color w:val="000000" w:themeColor="text1"/>
          <w:sz w:val="20"/>
          <w:szCs w:val="20"/>
        </w:rPr>
        <w:t>: Current Unilever Customer Journey Map.</w:t>
      </w:r>
      <w:bookmarkEnd w:id="18"/>
      <w:bookmarkEnd w:id="19"/>
      <w:bookmarkEnd w:id="20"/>
    </w:p>
    <w:p w14:paraId="230242D8" w14:textId="77777777" w:rsidR="007C60A0" w:rsidRPr="00536625" w:rsidRDefault="009B7BBF" w:rsidP="00C86CDA">
      <w:pPr>
        <w:spacing w:after="0"/>
        <w:rPr>
          <w:b/>
          <w:bCs/>
          <w:sz w:val="26"/>
          <w:szCs w:val="26"/>
        </w:rPr>
      </w:pPr>
      <w:r w:rsidRPr="00536625">
        <w:rPr>
          <w:b/>
          <w:bCs/>
          <w:sz w:val="26"/>
          <w:szCs w:val="26"/>
        </w:rPr>
        <w:t>Pre-Purchase Stage (Awareness and Consideration)</w:t>
      </w:r>
    </w:p>
    <w:p w14:paraId="28CB3049" w14:textId="77777777" w:rsidR="007C60A0" w:rsidRDefault="009B7BBF" w:rsidP="00C86CDA">
      <w:pPr>
        <w:spacing w:after="0"/>
      </w:pPr>
      <w:r>
        <w:t xml:space="preserve">The pre-purchase phase includes the first sight of the consumer of Unilever brands through advertisements, social media, word-of-mouth, and in-store presence, and the second phase of consideration, in which there is an evaluation of alternatives. Unilever has been spending heavily on what it calls 'social-first demand generation', and brand and marketing expenditure has been growing to 15.5% of group turnover (€9.4 billion) in 2024, the highest investment ratio in ten years (Unilever, 2025). The advantages of this phase are high brand awareness with Power Brands (78% of turnover in 2025); capable influencer relationships, including the Dove x Crumbl Cookies partnership; and AI-driven social listening that translates the conversation on a large scale (Dominguez, 2025). </w:t>
      </w:r>
    </w:p>
    <w:p w14:paraId="160835DE" w14:textId="77777777" w:rsidR="007C60A0" w:rsidRDefault="009B7BBF" w:rsidP="00C86CDA">
      <w:pPr>
        <w:spacing w:after="0"/>
      </w:pPr>
      <w:r>
        <w:t>Nevertheless, there are still some thorns: the expanding number of brand options results in decision fatigue, and uneven online interaction between platforms dissects the consumer experience. According to Stickdorn et al. (2018), this kind of fragmentation disrupts the emotional sense of the journey, leading to a decrease in conversion rates. Also, the digital information environment has enabled consumers to skip the traditional brand loyalty; according to the Consumer Decision Journey model by Court et al. (2009), the active phase of evaluation is becoming more and more competitive.</w:t>
      </w:r>
    </w:p>
    <w:p w14:paraId="540734DA" w14:textId="77777777" w:rsidR="007C60A0" w:rsidRPr="00536625" w:rsidRDefault="009B7BBF" w:rsidP="00C86CDA">
      <w:pPr>
        <w:spacing w:after="0"/>
        <w:rPr>
          <w:b/>
          <w:bCs/>
          <w:sz w:val="26"/>
          <w:szCs w:val="26"/>
        </w:rPr>
      </w:pPr>
      <w:r w:rsidRPr="00536625">
        <w:rPr>
          <w:b/>
          <w:bCs/>
          <w:sz w:val="26"/>
          <w:szCs w:val="26"/>
        </w:rPr>
        <w:t>Purchase Stage</w:t>
      </w:r>
    </w:p>
    <w:p w14:paraId="338379AB" w14:textId="77777777" w:rsidR="007C60A0" w:rsidRDefault="009B7BBF" w:rsidP="00C86CDA">
      <w:pPr>
        <w:spacing w:after="0"/>
      </w:pPr>
      <w:r>
        <w:lastRenderedPageBreak/>
        <w:t xml:space="preserve">The purchase phase is the actual transaction, which may be carried out in the physical retail setting (supermarkets, convenience stores) or via electronic methods such as the e-commerce platform and direct-to-consumer (DTC) approaches. An important competitive advantage of Unilever is that the company has a wide-ranging distribution network, which guarantees that a product is available in a variety of retail outlets in the UK, including Tesco and Amazon. Nevertheless, it can also be seen that there are some major areas of concern: Unilever does not have a powerful direct-to-consumer (DTC) platform on the UK market, which implies that the company does not have much control over the purchase experience and hardly any access to first-party consumer data upon sale. </w:t>
      </w:r>
    </w:p>
    <w:p w14:paraId="55DF733B" w14:textId="77777777" w:rsidR="007C60A0" w:rsidRDefault="009B7BBF" w:rsidP="00C86CDA">
      <w:pPr>
        <w:spacing w:after="0"/>
      </w:pPr>
      <w:r>
        <w:t>This is considered by Verhoeff, Kannan and Inman (2015) to be a critical gap in omnichannel retailing: the inability to establish smooth transitions between touchpoints. Although the eB2B platform by Unilever is used by 500,000 small retailers in Asia to complete 75,000 orders every day (Brohan, 2025), the digital commerce infrastructure serving UK consumers is relatively underdeveloped.</w:t>
      </w:r>
    </w:p>
    <w:p w14:paraId="78547DAA" w14:textId="77777777" w:rsidR="007C60A0" w:rsidRPr="00536625" w:rsidRDefault="009B7BBF" w:rsidP="00C86CDA">
      <w:pPr>
        <w:spacing w:after="0"/>
        <w:rPr>
          <w:b/>
          <w:bCs/>
          <w:sz w:val="26"/>
          <w:szCs w:val="26"/>
        </w:rPr>
      </w:pPr>
      <w:r w:rsidRPr="00536625">
        <w:rPr>
          <w:b/>
          <w:bCs/>
          <w:sz w:val="26"/>
          <w:szCs w:val="26"/>
        </w:rPr>
        <w:t>Post-Purchase Stage (Experience and Loyalty)</w:t>
      </w:r>
    </w:p>
    <w:p w14:paraId="5C65DDCA" w14:textId="77777777" w:rsidR="007C60A0" w:rsidRDefault="009B7BBF" w:rsidP="00C86CDA">
      <w:pPr>
        <w:spacing w:after="0"/>
      </w:pPr>
      <w:r>
        <w:t>The post-purchase phase includes the use of the product, evaluation of satisfaction and loyalty building. The advantages are good product performance as a result of the investment in R&amp;D, the creation of a sustainable image that can attract consumers who are eco-friendly, and the image of a legendary brand that builds emotional attachment. Nevertheless, issues such as a lack of post-purchase digital interaction with customers can be considered pain points, as Unilever does not have an effective system of brand-consumer interaction after the purchase, few opportunities to interact with customers on a personal level, few replenishment notifications or reward-based loyalty programmes. It is a lost chance at what Lemon and Verhoef (2016) refer to as 'experience management', the process of managing all consumer experiences in a coordinated way to create cumulative value over time.</w:t>
      </w:r>
    </w:p>
    <w:tbl>
      <w:tblPr>
        <w:tblStyle w:val="GridTable2-Accent6"/>
        <w:tblW w:w="5126"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90"/>
        <w:gridCol w:w="4133"/>
        <w:gridCol w:w="3963"/>
      </w:tblGrid>
      <w:tr w:rsidR="00913DFF" w14:paraId="34D2277B" w14:textId="77777777" w:rsidTr="00913DFF">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777" w:type="pct"/>
            <w:tcBorders>
              <w:top w:val="none" w:sz="0" w:space="0" w:color="auto"/>
              <w:bottom w:val="none" w:sz="0" w:space="0" w:color="auto"/>
              <w:right w:val="none" w:sz="0" w:space="0" w:color="auto"/>
            </w:tcBorders>
            <w:noWrap/>
            <w:hideMark/>
          </w:tcPr>
          <w:p w14:paraId="4AFA721D" w14:textId="77777777" w:rsidR="00D376EE" w:rsidRPr="00D376EE" w:rsidRDefault="009B7BBF" w:rsidP="00C86CDA">
            <w:pPr>
              <w:jc w:val="left"/>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Journey Stage</w:t>
            </w:r>
          </w:p>
        </w:tc>
        <w:tc>
          <w:tcPr>
            <w:tcW w:w="2156" w:type="pct"/>
            <w:tcBorders>
              <w:top w:val="none" w:sz="0" w:space="0" w:color="auto"/>
              <w:left w:val="none" w:sz="0" w:space="0" w:color="auto"/>
              <w:bottom w:val="none" w:sz="0" w:space="0" w:color="auto"/>
              <w:right w:val="none" w:sz="0" w:space="0" w:color="auto"/>
            </w:tcBorders>
            <w:noWrap/>
            <w:hideMark/>
          </w:tcPr>
          <w:p w14:paraId="04F89350" w14:textId="77777777" w:rsidR="00D376EE" w:rsidRPr="00D376EE" w:rsidRDefault="009B7BBF" w:rsidP="00C86CDA">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Pain Points</w:t>
            </w:r>
          </w:p>
        </w:tc>
        <w:tc>
          <w:tcPr>
            <w:tcW w:w="2067" w:type="pct"/>
            <w:tcBorders>
              <w:top w:val="none" w:sz="0" w:space="0" w:color="auto"/>
              <w:left w:val="none" w:sz="0" w:space="0" w:color="auto"/>
              <w:bottom w:val="none" w:sz="0" w:space="0" w:color="auto"/>
            </w:tcBorders>
            <w:noWrap/>
            <w:hideMark/>
          </w:tcPr>
          <w:p w14:paraId="4F381032" w14:textId="77777777" w:rsidR="00D376EE" w:rsidRPr="00D376EE" w:rsidRDefault="009B7BBF" w:rsidP="00C86CDA">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Gain Points</w:t>
            </w:r>
          </w:p>
        </w:tc>
      </w:tr>
      <w:tr w:rsidR="00913DFF" w14:paraId="383F3AAC"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777" w:type="pct"/>
            <w:noWrap/>
            <w:hideMark/>
          </w:tcPr>
          <w:p w14:paraId="7D4160F0" w14:textId="77777777" w:rsidR="00D376EE" w:rsidRPr="00D376EE" w:rsidRDefault="009B7BBF" w:rsidP="00C86CDA">
            <w:pPr>
              <w:jc w:val="left"/>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Pre-Purchase</w:t>
            </w:r>
          </w:p>
        </w:tc>
        <w:tc>
          <w:tcPr>
            <w:tcW w:w="2156" w:type="pct"/>
            <w:noWrap/>
            <w:hideMark/>
          </w:tcPr>
          <w:p w14:paraId="5030CD6C" w14:textId="77777777" w:rsidR="00D376EE" w:rsidRPr="00D376EE" w:rsidRDefault="009B7BBF" w:rsidP="00C86CDA">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Brand choice overload; fragmented digital engagement; inconsistent cross-platform experience</w:t>
            </w:r>
          </w:p>
        </w:tc>
        <w:tc>
          <w:tcPr>
            <w:tcW w:w="2067" w:type="pct"/>
            <w:noWrap/>
            <w:hideMark/>
          </w:tcPr>
          <w:p w14:paraId="7B459A59" w14:textId="77777777" w:rsidR="00D376EE" w:rsidRPr="00D376EE" w:rsidRDefault="009B7BBF" w:rsidP="00C86CDA">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Strong Power Brand recognition; social-first marketing; AI-enabled social listening</w:t>
            </w:r>
          </w:p>
        </w:tc>
      </w:tr>
      <w:tr w:rsidR="00913DFF" w14:paraId="6C30626D" w14:textId="77777777" w:rsidTr="00913DFF">
        <w:trPr>
          <w:trHeight w:val="144"/>
          <w:jc w:val="center"/>
        </w:trPr>
        <w:tc>
          <w:tcPr>
            <w:cnfStyle w:val="001000000000" w:firstRow="0" w:lastRow="0" w:firstColumn="1" w:lastColumn="0" w:oddVBand="0" w:evenVBand="0" w:oddHBand="0" w:evenHBand="0" w:firstRowFirstColumn="0" w:firstRowLastColumn="0" w:lastRowFirstColumn="0" w:lastRowLastColumn="0"/>
            <w:tcW w:w="777" w:type="pct"/>
            <w:noWrap/>
            <w:hideMark/>
          </w:tcPr>
          <w:p w14:paraId="6CBAB984" w14:textId="77777777" w:rsidR="00D376EE" w:rsidRPr="00D376EE" w:rsidRDefault="009B7BBF" w:rsidP="00C86CDA">
            <w:pPr>
              <w:jc w:val="left"/>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Purchase</w:t>
            </w:r>
          </w:p>
        </w:tc>
        <w:tc>
          <w:tcPr>
            <w:tcW w:w="2156" w:type="pct"/>
            <w:noWrap/>
            <w:hideMark/>
          </w:tcPr>
          <w:p w14:paraId="526BDF68" w14:textId="77777777" w:rsidR="00D376EE" w:rsidRPr="00D376EE" w:rsidRDefault="009B7BBF" w:rsidP="00C86CDA">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No DTC platform in the UK; limited first-party consumer data; dependence on third-party retailers</w:t>
            </w:r>
          </w:p>
        </w:tc>
        <w:tc>
          <w:tcPr>
            <w:tcW w:w="2067" w:type="pct"/>
            <w:noWrap/>
            <w:hideMark/>
          </w:tcPr>
          <w:p w14:paraId="0F668CB3" w14:textId="77777777" w:rsidR="00D376EE" w:rsidRPr="00D376EE" w:rsidRDefault="009B7BBF" w:rsidP="00C86CDA">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Extensive physical distribution; multi-channel retail presence</w:t>
            </w:r>
          </w:p>
        </w:tc>
      </w:tr>
      <w:tr w:rsidR="00913DFF" w14:paraId="7BBC3388" w14:textId="77777777" w:rsidTr="00913DFF">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777" w:type="pct"/>
            <w:noWrap/>
            <w:hideMark/>
          </w:tcPr>
          <w:p w14:paraId="173CE0AB" w14:textId="77777777" w:rsidR="00D376EE" w:rsidRPr="00D376EE" w:rsidRDefault="009B7BBF" w:rsidP="00C86CDA">
            <w:pPr>
              <w:jc w:val="left"/>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lastRenderedPageBreak/>
              <w:t>Post-Purchase</w:t>
            </w:r>
          </w:p>
        </w:tc>
        <w:tc>
          <w:tcPr>
            <w:tcW w:w="2156" w:type="pct"/>
            <w:noWrap/>
            <w:hideMark/>
          </w:tcPr>
          <w:p w14:paraId="1583B759" w14:textId="77777777" w:rsidR="00D376EE" w:rsidRPr="00D376EE" w:rsidRDefault="009B7BBF" w:rsidP="00C86CDA">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Minimal personalised follow-up; no loyalty programme; limited replenishment mechanisms</w:t>
            </w:r>
          </w:p>
        </w:tc>
        <w:tc>
          <w:tcPr>
            <w:tcW w:w="2067" w:type="pct"/>
            <w:noWrap/>
            <w:hideMark/>
          </w:tcPr>
          <w:p w14:paraId="791D7FC9" w14:textId="77777777" w:rsidR="00D376EE" w:rsidRPr="00D376EE" w:rsidRDefault="009B7BBF" w:rsidP="00C86CDA">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376EE">
              <w:rPr>
                <w:rFonts w:eastAsia="Times New Roman" w:cs="Times New Roman"/>
                <w:kern w:val="0"/>
                <w:szCs w:val="24"/>
                <w:lang w:eastAsia="en-GB" w:bidi="bn-BD"/>
                <w14:ligatures w14:val="none"/>
              </w:rPr>
              <w:t>Strong product quality; sustainability credentials; trusted brand heritage</w:t>
            </w:r>
          </w:p>
        </w:tc>
      </w:tr>
    </w:tbl>
    <w:p w14:paraId="7E11EFCC" w14:textId="77777777" w:rsidR="007C60A0" w:rsidRPr="00D376EE" w:rsidRDefault="009B7BBF" w:rsidP="00C86CDA">
      <w:pPr>
        <w:pStyle w:val="Caption"/>
        <w:spacing w:after="0" w:line="360" w:lineRule="auto"/>
        <w:jc w:val="center"/>
        <w:rPr>
          <w:b/>
          <w:bCs/>
          <w:i w:val="0"/>
          <w:iCs w:val="0"/>
          <w:color w:val="000000" w:themeColor="text1"/>
          <w:sz w:val="20"/>
          <w:szCs w:val="20"/>
        </w:rPr>
      </w:pPr>
      <w:bookmarkStart w:id="21" w:name="_Toc223387154"/>
      <w:bookmarkStart w:id="22" w:name="_Toc223477241"/>
      <w:bookmarkStart w:id="23" w:name="_Toc223477726"/>
      <w:r w:rsidRPr="00D376EE">
        <w:rPr>
          <w:b/>
          <w:bCs/>
          <w:i w:val="0"/>
          <w:iCs w:val="0"/>
          <w:color w:val="000000" w:themeColor="text1"/>
          <w:sz w:val="20"/>
          <w:szCs w:val="20"/>
        </w:rPr>
        <w:t xml:space="preserve">Table </w:t>
      </w:r>
      <w:r w:rsidRPr="00D376EE">
        <w:rPr>
          <w:b/>
          <w:bCs/>
          <w:i w:val="0"/>
          <w:iCs w:val="0"/>
          <w:color w:val="000000" w:themeColor="text1"/>
          <w:sz w:val="20"/>
          <w:szCs w:val="20"/>
        </w:rPr>
        <w:fldChar w:fldCharType="begin"/>
      </w:r>
      <w:r w:rsidRPr="00D376EE">
        <w:rPr>
          <w:b/>
          <w:bCs/>
          <w:i w:val="0"/>
          <w:iCs w:val="0"/>
          <w:color w:val="000000" w:themeColor="text1"/>
          <w:sz w:val="20"/>
          <w:szCs w:val="20"/>
        </w:rPr>
        <w:instrText xml:space="preserve"> SEQ Table \* ARABIC </w:instrText>
      </w:r>
      <w:r w:rsidRPr="00D376EE">
        <w:rPr>
          <w:b/>
          <w:bCs/>
          <w:i w:val="0"/>
          <w:iCs w:val="0"/>
          <w:color w:val="000000" w:themeColor="text1"/>
          <w:sz w:val="20"/>
          <w:szCs w:val="20"/>
        </w:rPr>
        <w:fldChar w:fldCharType="separate"/>
      </w:r>
      <w:r w:rsidR="00A040E3">
        <w:rPr>
          <w:b/>
          <w:bCs/>
          <w:i w:val="0"/>
          <w:iCs w:val="0"/>
          <w:noProof/>
          <w:color w:val="000000" w:themeColor="text1"/>
          <w:sz w:val="20"/>
          <w:szCs w:val="20"/>
        </w:rPr>
        <w:t>3</w:t>
      </w:r>
      <w:r w:rsidRPr="00D376EE">
        <w:rPr>
          <w:b/>
          <w:bCs/>
          <w:i w:val="0"/>
          <w:iCs w:val="0"/>
          <w:color w:val="000000" w:themeColor="text1"/>
          <w:sz w:val="20"/>
          <w:szCs w:val="20"/>
        </w:rPr>
        <w:fldChar w:fldCharType="end"/>
      </w:r>
      <w:r w:rsidRPr="00D376EE">
        <w:rPr>
          <w:b/>
          <w:bCs/>
          <w:i w:val="0"/>
          <w:iCs w:val="0"/>
          <w:color w:val="000000" w:themeColor="text1"/>
          <w:sz w:val="20"/>
          <w:szCs w:val="20"/>
        </w:rPr>
        <w:t>: Current Customer Journey Pain and Gain Points.</w:t>
      </w:r>
      <w:bookmarkEnd w:id="21"/>
      <w:bookmarkEnd w:id="22"/>
      <w:bookmarkEnd w:id="23"/>
    </w:p>
    <w:p w14:paraId="11296E02" w14:textId="77777777" w:rsidR="007C60A0" w:rsidRPr="00D376EE" w:rsidRDefault="009B7BBF" w:rsidP="00C86CDA">
      <w:pPr>
        <w:spacing w:after="0"/>
        <w:rPr>
          <w:b/>
          <w:bCs/>
          <w:sz w:val="26"/>
          <w:szCs w:val="26"/>
        </w:rPr>
      </w:pPr>
      <w:r w:rsidRPr="00D376EE">
        <w:rPr>
          <w:b/>
          <w:bCs/>
          <w:sz w:val="26"/>
          <w:szCs w:val="26"/>
        </w:rPr>
        <w:t>Digital Innovation Opportunities</w:t>
      </w:r>
    </w:p>
    <w:p w14:paraId="7D6DF0CE" w14:textId="77777777" w:rsidR="007C60A0" w:rsidRDefault="009B7BBF" w:rsidP="00C86CDA">
      <w:pPr>
        <w:spacing w:after="0"/>
      </w:pPr>
      <w:r>
        <w:t>Digital analysis indicates that there are three major digital innovation prospects:</w:t>
      </w:r>
    </w:p>
    <w:p w14:paraId="7DBC03DF" w14:textId="77777777" w:rsidR="007C60A0" w:rsidRDefault="009B7BBF" w:rsidP="00C86CDA">
      <w:pPr>
        <w:pStyle w:val="ListParagraph"/>
        <w:numPr>
          <w:ilvl w:val="0"/>
          <w:numId w:val="2"/>
        </w:numPr>
        <w:spacing w:after="0"/>
      </w:pPr>
      <w:r>
        <w:t>A personalised, AI-enabled DTC platform that gives customers product discovery and purchase.</w:t>
      </w:r>
    </w:p>
    <w:p w14:paraId="30ED77BA" w14:textId="77777777" w:rsidR="007C60A0" w:rsidRDefault="009B7BBF" w:rsidP="00C86CDA">
      <w:pPr>
        <w:pStyle w:val="ListParagraph"/>
        <w:numPr>
          <w:ilvl w:val="0"/>
          <w:numId w:val="2"/>
        </w:numPr>
        <w:spacing w:after="0"/>
      </w:pPr>
      <w:r>
        <w:t>An information-based loyalty ecosystem which engages and uses first-party consumer data in touchpoints.</w:t>
      </w:r>
    </w:p>
    <w:p w14:paraId="2116DBD6" w14:textId="77777777" w:rsidR="007C60A0" w:rsidRDefault="009B7BBF" w:rsidP="00C86CDA">
      <w:pPr>
        <w:pStyle w:val="ListParagraph"/>
        <w:numPr>
          <w:ilvl w:val="0"/>
          <w:numId w:val="2"/>
        </w:numPr>
        <w:spacing w:after="0"/>
      </w:pPr>
      <w:r>
        <w:t xml:space="preserve">A smart delivery mechanism in which the needs of consumers are predicted by examining the usage trends. </w:t>
      </w:r>
    </w:p>
    <w:p w14:paraId="04FC5C3D" w14:textId="77777777" w:rsidR="001E14FA" w:rsidRDefault="009B7BBF" w:rsidP="00C86CDA">
      <w:pPr>
        <w:spacing w:after="0"/>
      </w:pPr>
      <w:r>
        <w:t>These are the opportunities that are compatible with what Westerman, Bonnet and Mcafee (2022) call digital transformation, i.e., the application of technology as the means of transforming business models and customer value propositions fundamentally instead of digitising some of its processes.</w:t>
      </w:r>
    </w:p>
    <w:p w14:paraId="606B4C2D" w14:textId="77777777" w:rsidR="001E14FA" w:rsidRDefault="009B7BBF" w:rsidP="00C86CDA">
      <w:pPr>
        <w:pStyle w:val="Heading1"/>
      </w:pPr>
      <w:bookmarkStart w:id="24" w:name="_Toc223477703"/>
      <w:r>
        <w:t>Part 2: Proposed Digital Transformation Initiative</w:t>
      </w:r>
      <w:bookmarkEnd w:id="24"/>
      <w:r>
        <w:t xml:space="preserve"> </w:t>
      </w:r>
    </w:p>
    <w:p w14:paraId="0F564726" w14:textId="77777777" w:rsidR="007C60A0" w:rsidRDefault="009B7BBF" w:rsidP="00C86CDA">
      <w:pPr>
        <w:pStyle w:val="Heading2"/>
      </w:pPr>
      <w:bookmarkStart w:id="25" w:name="_Toc223477704"/>
      <w:r>
        <w:t>2.1 Proposal: "Unilever SmartLife" — An AI-Powered Personalised Consumer Ecosystem</w:t>
      </w:r>
      <w:bookmarkEnd w:id="25"/>
    </w:p>
    <w:p w14:paraId="7BF42663" w14:textId="77777777" w:rsidR="005D4C68" w:rsidRDefault="009B7BBF" w:rsidP="00C86CDA">
      <w:pPr>
        <w:spacing w:after="0"/>
      </w:pPr>
      <w:r>
        <w:t xml:space="preserve">This report, based on the analysis undertaken in Part 1, suggests that the solution to the three key challenges identified should be "Unilever SmartLife", an artificial intelligence (AI)-based, personalised consumer ecosystem, which is proposed to meet the three core challenges identified, i.e., fragmented digital consumer engagement, lack of a DTC capability based in the UK, and post-purchase relationship management. </w:t>
      </w:r>
    </w:p>
    <w:p w14:paraId="60719CE6" w14:textId="77777777" w:rsidR="005D4C68" w:rsidRDefault="009B7BBF" w:rsidP="00C86CDA">
      <w:pPr>
        <w:spacing w:after="0"/>
      </w:pPr>
      <w:r>
        <w:t>The project is based on design thinking concepts, and the consumer experience in the design is at the core of the solution (Brown, 2008). As Liedtka (2014) indicates, design thinking helps to mitigate the cognitive biases of innovation as it focuses on empathic observation, iterative prototyping, and validation based on evidence, which are the principles that the SmartLife concept is built on.</w:t>
      </w:r>
    </w:p>
    <w:p w14:paraId="019D03FE" w14:textId="77777777" w:rsidR="005D4C68" w:rsidRDefault="009B7BBF" w:rsidP="00C86CDA">
      <w:pPr>
        <w:pStyle w:val="Heading3"/>
        <w:spacing w:after="0"/>
      </w:pPr>
      <w:bookmarkStart w:id="26" w:name="_Toc223477705"/>
      <w:r>
        <w:t>2.2.1 Core Components of Unilever SmartLife</w:t>
      </w:r>
      <w:bookmarkEnd w:id="26"/>
    </w:p>
    <w:p w14:paraId="7FAED1FB" w14:textId="77777777" w:rsidR="005D4C68" w:rsidRDefault="009B7BBF" w:rsidP="00C86CDA">
      <w:pPr>
        <w:spacing w:after="0"/>
      </w:pPr>
      <w:r>
        <w:t xml:space="preserve">The SmartLife programme has three pillars that are interconnected. To begin with, a single mobile application that will consolidate the Unilever brands into a single, personalised, AI-driven shopping experience. The app recommends a personalised product, offers virtual try-on options on beauty </w:t>
      </w:r>
      <w:r>
        <w:lastRenderedPageBreak/>
        <w:t xml:space="preserve">and wellbeing products, and enables one-second purchasing with scheduled delivery – one-second buying helps to solve purchase-stage pain points that CJM has identified. </w:t>
      </w:r>
    </w:p>
    <w:p w14:paraId="70BA788D" w14:textId="77777777" w:rsidR="005D4C68" w:rsidRDefault="009B7BBF" w:rsidP="00C86CDA">
      <w:pPr>
        <w:spacing w:after="0"/>
      </w:pPr>
      <w:r>
        <w:t xml:space="preserve">Second, an intelligent replenishment engine that uses IoT-enabled sensors (home care and personal care product smart dispensers) and predictive analytics to know when consumers require a replenishment, automatically recommending or scheduling replenishment. This is based on the theoretical framework of 'anticipatory service design' (Stickdorn et al., 2018), the understanding of which is that organisations can focus on the needs of their consumers in advance, before these needs are described by them. </w:t>
      </w:r>
    </w:p>
    <w:p w14:paraId="3CAFB408" w14:textId="77777777" w:rsidR="005D4C68" w:rsidRDefault="009B7BBF" w:rsidP="00C86CDA">
      <w:pPr>
        <w:spacing w:after="0"/>
      </w:pPr>
      <w:r>
        <w:t>Third, a cross-brand loyalty programme (SmartLife Rewards) which rewards consumers when they make purchases in the whole portfolio of Unilever brands, which develops network effects that make switching more difficult and enhance brand involvement. According to Osterwalder et al. (2014), these integrated value propositions form defensible competitive advantages by developing consumer lock-in due to built-up benefits.</w:t>
      </w:r>
    </w:p>
    <w:p w14:paraId="3B9A65A8" w14:textId="13D96DC9" w:rsidR="0025459E" w:rsidRDefault="00903A50" w:rsidP="00C86CDA">
      <w:pPr>
        <w:pStyle w:val="NormalWeb"/>
        <w:spacing w:before="0" w:beforeAutospacing="0" w:after="0" w:afterAutospacing="0" w:line="360" w:lineRule="auto"/>
        <w:jc w:val="center"/>
      </w:pPr>
      <w:r>
        <w:rPr>
          <w:noProof/>
        </w:rPr>
        <w:drawing>
          <wp:inline distT="0" distB="0" distL="0" distR="0" wp14:anchorId="17558067" wp14:editId="0B1A22BF">
            <wp:extent cx="5943600" cy="3241675"/>
            <wp:effectExtent l="0" t="0" r="0" b="0"/>
            <wp:docPr id="4518054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241675"/>
                    </a:xfrm>
                    <a:prstGeom prst="rect">
                      <a:avLst/>
                    </a:prstGeom>
                    <a:noFill/>
                    <a:ln>
                      <a:noFill/>
                    </a:ln>
                  </pic:spPr>
                </pic:pic>
              </a:graphicData>
            </a:graphic>
          </wp:inline>
        </w:drawing>
      </w:r>
    </w:p>
    <w:p w14:paraId="2D3AB433" w14:textId="77777777" w:rsidR="005D4C68" w:rsidRPr="0025459E" w:rsidRDefault="009B7BBF" w:rsidP="00C86CDA">
      <w:pPr>
        <w:pStyle w:val="Caption"/>
        <w:spacing w:after="0" w:line="360" w:lineRule="auto"/>
        <w:jc w:val="center"/>
        <w:rPr>
          <w:b/>
          <w:bCs/>
          <w:i w:val="0"/>
          <w:iCs w:val="0"/>
          <w:color w:val="000000" w:themeColor="text1"/>
          <w:sz w:val="20"/>
          <w:szCs w:val="20"/>
        </w:rPr>
      </w:pPr>
      <w:bookmarkStart w:id="27" w:name="_Toc223387149"/>
      <w:bookmarkStart w:id="28" w:name="_Toc223477230"/>
      <w:bookmarkStart w:id="29" w:name="_Toc223477721"/>
      <w:r w:rsidRPr="0025459E">
        <w:rPr>
          <w:b/>
          <w:bCs/>
          <w:i w:val="0"/>
          <w:iCs w:val="0"/>
          <w:color w:val="000000" w:themeColor="text1"/>
          <w:sz w:val="20"/>
          <w:szCs w:val="20"/>
        </w:rPr>
        <w:t xml:space="preserve">Figure </w:t>
      </w:r>
      <w:r w:rsidRPr="0025459E">
        <w:rPr>
          <w:b/>
          <w:bCs/>
          <w:i w:val="0"/>
          <w:iCs w:val="0"/>
          <w:color w:val="000000" w:themeColor="text1"/>
          <w:sz w:val="20"/>
          <w:szCs w:val="20"/>
        </w:rPr>
        <w:fldChar w:fldCharType="begin"/>
      </w:r>
      <w:r w:rsidRPr="0025459E">
        <w:rPr>
          <w:b/>
          <w:bCs/>
          <w:i w:val="0"/>
          <w:iCs w:val="0"/>
          <w:color w:val="000000" w:themeColor="text1"/>
          <w:sz w:val="20"/>
          <w:szCs w:val="20"/>
        </w:rPr>
        <w:instrText xml:space="preserve"> SEQ Figure \* ARABIC </w:instrText>
      </w:r>
      <w:r w:rsidRPr="0025459E">
        <w:rPr>
          <w:b/>
          <w:bCs/>
          <w:i w:val="0"/>
          <w:iCs w:val="0"/>
          <w:color w:val="000000" w:themeColor="text1"/>
          <w:sz w:val="20"/>
          <w:szCs w:val="20"/>
        </w:rPr>
        <w:fldChar w:fldCharType="separate"/>
      </w:r>
      <w:r w:rsidR="0080759C">
        <w:rPr>
          <w:b/>
          <w:bCs/>
          <w:i w:val="0"/>
          <w:iCs w:val="0"/>
          <w:noProof/>
          <w:color w:val="000000" w:themeColor="text1"/>
          <w:sz w:val="20"/>
          <w:szCs w:val="20"/>
        </w:rPr>
        <w:t>4</w:t>
      </w:r>
      <w:r w:rsidRPr="0025459E">
        <w:rPr>
          <w:b/>
          <w:bCs/>
          <w:i w:val="0"/>
          <w:iCs w:val="0"/>
          <w:color w:val="000000" w:themeColor="text1"/>
          <w:sz w:val="20"/>
          <w:szCs w:val="20"/>
        </w:rPr>
        <w:fldChar w:fldCharType="end"/>
      </w:r>
      <w:r w:rsidRPr="0025459E">
        <w:rPr>
          <w:b/>
          <w:bCs/>
          <w:i w:val="0"/>
          <w:iCs w:val="0"/>
          <w:color w:val="000000" w:themeColor="text1"/>
          <w:sz w:val="20"/>
          <w:szCs w:val="20"/>
        </w:rPr>
        <w:t>: Enhanced Customer Journey Map with SmartLife Integration.</w:t>
      </w:r>
      <w:bookmarkEnd w:id="27"/>
      <w:bookmarkEnd w:id="28"/>
      <w:bookmarkEnd w:id="29"/>
    </w:p>
    <w:p w14:paraId="401FDE05" w14:textId="77777777" w:rsidR="005D4C68" w:rsidRDefault="009B7BBF" w:rsidP="00C86CDA">
      <w:pPr>
        <w:pStyle w:val="Heading2"/>
      </w:pPr>
      <w:bookmarkStart w:id="30" w:name="_Toc223477706"/>
      <w:r>
        <w:t>2.2 Enhanced Customer Journey Map</w:t>
      </w:r>
      <w:bookmarkEnd w:id="30"/>
    </w:p>
    <w:p w14:paraId="21954953" w14:textId="77777777" w:rsidR="005D4C68" w:rsidRDefault="009B7BBF" w:rsidP="00C86CDA">
      <w:pPr>
        <w:spacing w:after="0"/>
      </w:pPr>
      <w:r>
        <w:t>The SmartLife implementation has a fundamental impact on the consumer journey in all three stages of the consumer journey identified by Lemon and Verhoef (2016).</w:t>
      </w:r>
    </w:p>
    <w:p w14:paraId="772AB104" w14:textId="77777777" w:rsidR="005D4C68" w:rsidRDefault="009B7BBF" w:rsidP="00C86CDA">
      <w:pPr>
        <w:spacing w:after="0"/>
      </w:pPr>
      <w:r w:rsidRPr="00D376EE">
        <w:rPr>
          <w:b/>
          <w:bCs/>
        </w:rPr>
        <w:t>Enhanced Pre-Purchase Stage:</w:t>
      </w:r>
      <w:r>
        <w:t xml:space="preserve"> The SmartLife app will use personalisation, which incorporates AI, to show product selections to consumers according to their personal preferences, purchase history, and lifestyle information. Instead of facing the issue of choice overload, consumers are </w:t>
      </w:r>
      <w:r>
        <w:lastRenderedPageBreak/>
        <w:t>faced with a customised brand experience that aligns with what Court et al. (2009) Consumer Decision Journey model terms as 'closed-loop loyalty', where initial thought is influenced by personalised digital communication instead of general advertising. The content of the social-first approach is incorporated into the app itself, with customised tutorials, monitoring of the impact on sustainability, and the community.</w:t>
      </w:r>
    </w:p>
    <w:p w14:paraId="3BD5EBAD" w14:textId="77777777" w:rsidR="005D4C68" w:rsidRDefault="009B7BBF" w:rsidP="00C86CDA">
      <w:pPr>
        <w:spacing w:after="0"/>
      </w:pPr>
      <w:r w:rsidRPr="00D376EE">
        <w:rPr>
          <w:b/>
          <w:bCs/>
        </w:rPr>
        <w:t>Enhanced Purchase Stage:</w:t>
      </w:r>
      <w:r>
        <w:t xml:space="preserve"> SmartLife will offer a seamless DTC purchase option, where the consumer can make orders straight from Unilever and have the option of delivery (next-day, scheduled, or subscription). This solves the severe pain problem of retailer dependence and produces useful first-party consumer data. The intelligent replenishment engine goes a notch higher in automating routine purchases. According to Verhoeff, Kannan and Inman (2015), the results of such omnichannel integration are high consumer satisfaction and lifetime value.</w:t>
      </w:r>
    </w:p>
    <w:p w14:paraId="18BF2431" w14:textId="77777777" w:rsidR="005D4C68" w:rsidRDefault="009B7BBF" w:rsidP="00C86CDA">
      <w:pPr>
        <w:spacing w:after="0"/>
      </w:pPr>
      <w:r w:rsidRPr="00D376EE">
        <w:rPr>
          <w:b/>
          <w:bCs/>
        </w:rPr>
        <w:t>Enhanced Post-Purchase Stage:</w:t>
      </w:r>
      <w:r>
        <w:t xml:space="preserve"> SmartLife Rewards will alter the current stage of the post-purchase experience, as it is a passive stage of receiving the product and turning it into a form of engagement. Customers receive points on any purchase of Unilever brands, which are redeemed for discounts, unique products, or sustainability (e.g., planting a tree). Constant communication is ensured with product usage tips, personalised content and satisfaction surveys. This is in line with the idea of value co-creation proposed by Vargo and Lusch (2004), in which continued communication between the consumer and the firm creates mutual value.</w:t>
      </w:r>
    </w:p>
    <w:p w14:paraId="77DC2531" w14:textId="77777777" w:rsidR="005D4C68" w:rsidRDefault="009B7BBF" w:rsidP="00C86CDA">
      <w:pPr>
        <w:spacing w:after="0"/>
      </w:pPr>
      <w:r w:rsidRPr="006F3E8F">
        <w:rPr>
          <w:noProof/>
        </w:rPr>
        <w:lastRenderedPageBreak/>
        <w:drawing>
          <wp:inline distT="0" distB="0" distL="0" distR="0" wp14:anchorId="476BFF17" wp14:editId="1525F15F">
            <wp:extent cx="5943600" cy="4359275"/>
            <wp:effectExtent l="0" t="0" r="0" b="3175"/>
            <wp:docPr id="85263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31193" name=""/>
                    <pic:cNvPicPr/>
                  </pic:nvPicPr>
                  <pic:blipFill>
                    <a:blip r:embed="rId13"/>
                    <a:stretch>
                      <a:fillRect/>
                    </a:stretch>
                  </pic:blipFill>
                  <pic:spPr>
                    <a:xfrm>
                      <a:off x="0" y="0"/>
                      <a:ext cx="5943600" cy="4359275"/>
                    </a:xfrm>
                    <a:prstGeom prst="rect">
                      <a:avLst/>
                    </a:prstGeom>
                  </pic:spPr>
                </pic:pic>
              </a:graphicData>
            </a:graphic>
          </wp:inline>
        </w:drawing>
      </w:r>
    </w:p>
    <w:p w14:paraId="538BCE3F" w14:textId="77777777" w:rsidR="005D4C68" w:rsidRPr="006F3E8F" w:rsidRDefault="009B7BBF" w:rsidP="00C86CDA">
      <w:pPr>
        <w:pStyle w:val="Caption"/>
        <w:spacing w:after="0" w:line="360" w:lineRule="auto"/>
        <w:jc w:val="center"/>
        <w:rPr>
          <w:b/>
          <w:bCs/>
          <w:i w:val="0"/>
          <w:iCs w:val="0"/>
          <w:color w:val="000000" w:themeColor="text1"/>
          <w:sz w:val="20"/>
          <w:szCs w:val="20"/>
        </w:rPr>
      </w:pPr>
      <w:bookmarkStart w:id="31" w:name="_Toc223387150"/>
      <w:bookmarkStart w:id="32" w:name="_Toc223477231"/>
      <w:bookmarkStart w:id="33" w:name="_Toc223477722"/>
      <w:r w:rsidRPr="006F3E8F">
        <w:rPr>
          <w:b/>
          <w:bCs/>
          <w:i w:val="0"/>
          <w:iCs w:val="0"/>
          <w:color w:val="000000" w:themeColor="text1"/>
          <w:sz w:val="20"/>
          <w:szCs w:val="20"/>
        </w:rPr>
        <w:t xml:space="preserve">Figure </w:t>
      </w:r>
      <w:r w:rsidRPr="006F3E8F">
        <w:rPr>
          <w:b/>
          <w:bCs/>
          <w:i w:val="0"/>
          <w:iCs w:val="0"/>
          <w:color w:val="000000" w:themeColor="text1"/>
          <w:sz w:val="20"/>
          <w:szCs w:val="20"/>
        </w:rPr>
        <w:fldChar w:fldCharType="begin"/>
      </w:r>
      <w:r w:rsidRPr="006F3E8F">
        <w:rPr>
          <w:b/>
          <w:bCs/>
          <w:i w:val="0"/>
          <w:iCs w:val="0"/>
          <w:color w:val="000000" w:themeColor="text1"/>
          <w:sz w:val="20"/>
          <w:szCs w:val="20"/>
        </w:rPr>
        <w:instrText xml:space="preserve"> SEQ Figure \* ARABIC </w:instrText>
      </w:r>
      <w:r w:rsidRPr="006F3E8F">
        <w:rPr>
          <w:b/>
          <w:bCs/>
          <w:i w:val="0"/>
          <w:iCs w:val="0"/>
          <w:color w:val="000000" w:themeColor="text1"/>
          <w:sz w:val="20"/>
          <w:szCs w:val="20"/>
        </w:rPr>
        <w:fldChar w:fldCharType="separate"/>
      </w:r>
      <w:r w:rsidR="0080759C">
        <w:rPr>
          <w:b/>
          <w:bCs/>
          <w:i w:val="0"/>
          <w:iCs w:val="0"/>
          <w:noProof/>
          <w:color w:val="000000" w:themeColor="text1"/>
          <w:sz w:val="20"/>
          <w:szCs w:val="20"/>
        </w:rPr>
        <w:t>5</w:t>
      </w:r>
      <w:r w:rsidRPr="006F3E8F">
        <w:rPr>
          <w:b/>
          <w:bCs/>
          <w:i w:val="0"/>
          <w:iCs w:val="0"/>
          <w:color w:val="000000" w:themeColor="text1"/>
          <w:sz w:val="20"/>
          <w:szCs w:val="20"/>
        </w:rPr>
        <w:fldChar w:fldCharType="end"/>
      </w:r>
      <w:r w:rsidRPr="006F3E8F">
        <w:rPr>
          <w:b/>
          <w:bCs/>
          <w:i w:val="0"/>
          <w:iCs w:val="0"/>
          <w:color w:val="000000" w:themeColor="text1"/>
          <w:sz w:val="20"/>
          <w:szCs w:val="20"/>
        </w:rPr>
        <w:t>: SmartLife Platform Architecture Diagram.</w:t>
      </w:r>
      <w:bookmarkEnd w:id="31"/>
      <w:bookmarkEnd w:id="32"/>
      <w:bookmarkEnd w:id="33"/>
    </w:p>
    <w:tbl>
      <w:tblPr>
        <w:tblStyle w:val="GridTable2-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8"/>
        <w:gridCol w:w="3335"/>
        <w:gridCol w:w="4757"/>
      </w:tblGrid>
      <w:tr w:rsidR="00913DFF" w14:paraId="1F3A038D" w14:textId="77777777" w:rsidTr="00913DFF">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92" w:type="pct"/>
            <w:tcBorders>
              <w:top w:val="none" w:sz="0" w:space="0" w:color="auto"/>
              <w:bottom w:val="none" w:sz="0" w:space="0" w:color="auto"/>
              <w:right w:val="none" w:sz="0" w:space="0" w:color="auto"/>
            </w:tcBorders>
            <w:noWrap/>
            <w:hideMark/>
          </w:tcPr>
          <w:p w14:paraId="3574340F" w14:textId="77777777" w:rsidR="00A040E3" w:rsidRPr="00A040E3" w:rsidRDefault="009B7BBF" w:rsidP="00C86CDA">
            <w:pPr>
              <w:jc w:val="center"/>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Journey Stage</w:t>
            </w:r>
          </w:p>
        </w:tc>
        <w:tc>
          <w:tcPr>
            <w:tcW w:w="1831" w:type="pct"/>
            <w:tcBorders>
              <w:top w:val="none" w:sz="0" w:space="0" w:color="auto"/>
              <w:left w:val="none" w:sz="0" w:space="0" w:color="auto"/>
              <w:bottom w:val="none" w:sz="0" w:space="0" w:color="auto"/>
              <w:right w:val="none" w:sz="0" w:space="0" w:color="auto"/>
            </w:tcBorders>
            <w:noWrap/>
            <w:hideMark/>
          </w:tcPr>
          <w:p w14:paraId="45FDEFE0" w14:textId="77777777" w:rsidR="00A040E3" w:rsidRPr="00A040E3"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Current Experience</w:t>
            </w:r>
          </w:p>
        </w:tc>
        <w:tc>
          <w:tcPr>
            <w:tcW w:w="2577" w:type="pct"/>
            <w:tcBorders>
              <w:top w:val="none" w:sz="0" w:space="0" w:color="auto"/>
              <w:left w:val="none" w:sz="0" w:space="0" w:color="auto"/>
              <w:bottom w:val="none" w:sz="0" w:space="0" w:color="auto"/>
            </w:tcBorders>
            <w:noWrap/>
            <w:hideMark/>
          </w:tcPr>
          <w:p w14:paraId="39E848B4" w14:textId="77777777" w:rsidR="00A040E3" w:rsidRPr="00A040E3"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SmartLife Enhanced Experience</w:t>
            </w:r>
          </w:p>
        </w:tc>
      </w:tr>
      <w:tr w:rsidR="00913DFF" w14:paraId="5F5C88D3"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92" w:type="pct"/>
            <w:noWrap/>
            <w:hideMark/>
          </w:tcPr>
          <w:p w14:paraId="0FA6E9C1" w14:textId="77777777" w:rsidR="00A040E3" w:rsidRPr="00A040E3" w:rsidRDefault="009B7BBF" w:rsidP="00C86CDA">
            <w:pPr>
              <w:jc w:val="left"/>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Pre-Purchase</w:t>
            </w:r>
          </w:p>
        </w:tc>
        <w:tc>
          <w:tcPr>
            <w:tcW w:w="1831" w:type="pct"/>
            <w:noWrap/>
            <w:hideMark/>
          </w:tcPr>
          <w:p w14:paraId="11624711" w14:textId="77777777" w:rsidR="00A040E3" w:rsidRPr="00A040E3"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Fragmented brand encounters across channels</w:t>
            </w:r>
          </w:p>
        </w:tc>
        <w:tc>
          <w:tcPr>
            <w:tcW w:w="2577" w:type="pct"/>
            <w:noWrap/>
            <w:hideMark/>
          </w:tcPr>
          <w:p w14:paraId="024D0243" w14:textId="77777777" w:rsidR="00A040E3" w:rsidRPr="00A040E3"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AI-personalised product discovery within a unified app</w:t>
            </w:r>
          </w:p>
        </w:tc>
      </w:tr>
      <w:tr w:rsidR="00913DFF" w14:paraId="48BA0C65"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592" w:type="pct"/>
            <w:noWrap/>
            <w:hideMark/>
          </w:tcPr>
          <w:p w14:paraId="7BF9E13D" w14:textId="77777777" w:rsidR="00A040E3" w:rsidRPr="00A040E3" w:rsidRDefault="009B7BBF" w:rsidP="00C86CDA">
            <w:pPr>
              <w:jc w:val="left"/>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Purchase</w:t>
            </w:r>
          </w:p>
        </w:tc>
        <w:tc>
          <w:tcPr>
            <w:tcW w:w="1831" w:type="pct"/>
            <w:noWrap/>
            <w:hideMark/>
          </w:tcPr>
          <w:p w14:paraId="3C42E928" w14:textId="77777777" w:rsidR="00A040E3" w:rsidRPr="00A040E3"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Third-party retailer dependent; no DTC</w:t>
            </w:r>
          </w:p>
        </w:tc>
        <w:tc>
          <w:tcPr>
            <w:tcW w:w="2577" w:type="pct"/>
            <w:noWrap/>
            <w:hideMark/>
          </w:tcPr>
          <w:p w14:paraId="6DF77114" w14:textId="77777777" w:rsidR="00A040E3" w:rsidRPr="00A040E3"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Direct purchasing with smart replenishment and subscription</w:t>
            </w:r>
          </w:p>
        </w:tc>
      </w:tr>
      <w:tr w:rsidR="00913DFF" w14:paraId="66348DB4"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92" w:type="pct"/>
            <w:noWrap/>
            <w:hideMark/>
          </w:tcPr>
          <w:p w14:paraId="247A498C" w14:textId="77777777" w:rsidR="00A040E3" w:rsidRPr="00A040E3" w:rsidRDefault="009B7BBF" w:rsidP="00C86CDA">
            <w:pPr>
              <w:jc w:val="left"/>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Post-Purchase</w:t>
            </w:r>
          </w:p>
        </w:tc>
        <w:tc>
          <w:tcPr>
            <w:tcW w:w="1831" w:type="pct"/>
            <w:noWrap/>
            <w:hideMark/>
          </w:tcPr>
          <w:p w14:paraId="026444F3" w14:textId="77777777" w:rsidR="00A040E3" w:rsidRPr="00A040E3"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Minimal engagement post-checkout</w:t>
            </w:r>
          </w:p>
        </w:tc>
        <w:tc>
          <w:tcPr>
            <w:tcW w:w="2577" w:type="pct"/>
            <w:noWrap/>
            <w:hideMark/>
          </w:tcPr>
          <w:p w14:paraId="5BB5BD85" w14:textId="77777777" w:rsidR="00A040E3" w:rsidRPr="00A040E3"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A040E3">
              <w:rPr>
                <w:rFonts w:eastAsia="Times New Roman" w:cs="Times New Roman"/>
                <w:kern w:val="0"/>
                <w:szCs w:val="24"/>
                <w:lang w:eastAsia="en-GB" w:bidi="bn-BD"/>
                <w14:ligatures w14:val="none"/>
              </w:rPr>
              <w:t>Loyalty rewards, usage tracking, and sustainability impact dashboard</w:t>
            </w:r>
          </w:p>
        </w:tc>
      </w:tr>
    </w:tbl>
    <w:p w14:paraId="092D22F0" w14:textId="77777777" w:rsidR="005D4C68" w:rsidRPr="00A040E3" w:rsidRDefault="009B7BBF" w:rsidP="00C86CDA">
      <w:pPr>
        <w:pStyle w:val="Caption"/>
        <w:spacing w:after="0" w:line="360" w:lineRule="auto"/>
        <w:jc w:val="center"/>
        <w:rPr>
          <w:b/>
          <w:bCs/>
          <w:i w:val="0"/>
          <w:iCs w:val="0"/>
          <w:color w:val="000000" w:themeColor="text1"/>
          <w:sz w:val="20"/>
          <w:szCs w:val="20"/>
        </w:rPr>
      </w:pPr>
      <w:bookmarkStart w:id="34" w:name="_Toc223387155"/>
      <w:bookmarkStart w:id="35" w:name="_Toc223477242"/>
      <w:bookmarkStart w:id="36" w:name="_Toc223477727"/>
      <w:r w:rsidRPr="00A040E3">
        <w:rPr>
          <w:b/>
          <w:bCs/>
          <w:i w:val="0"/>
          <w:iCs w:val="0"/>
          <w:color w:val="000000" w:themeColor="text1"/>
          <w:sz w:val="20"/>
          <w:szCs w:val="20"/>
        </w:rPr>
        <w:t xml:space="preserve">Table </w:t>
      </w:r>
      <w:r w:rsidRPr="00A040E3">
        <w:rPr>
          <w:b/>
          <w:bCs/>
          <w:i w:val="0"/>
          <w:iCs w:val="0"/>
          <w:color w:val="000000" w:themeColor="text1"/>
          <w:sz w:val="20"/>
          <w:szCs w:val="20"/>
        </w:rPr>
        <w:fldChar w:fldCharType="begin"/>
      </w:r>
      <w:r w:rsidRPr="00A040E3">
        <w:rPr>
          <w:b/>
          <w:bCs/>
          <w:i w:val="0"/>
          <w:iCs w:val="0"/>
          <w:color w:val="000000" w:themeColor="text1"/>
          <w:sz w:val="20"/>
          <w:szCs w:val="20"/>
        </w:rPr>
        <w:instrText xml:space="preserve"> SEQ Table \* ARABIC </w:instrText>
      </w:r>
      <w:r w:rsidRPr="00A040E3">
        <w:rPr>
          <w:b/>
          <w:bCs/>
          <w:i w:val="0"/>
          <w:iCs w:val="0"/>
          <w:color w:val="000000" w:themeColor="text1"/>
          <w:sz w:val="20"/>
          <w:szCs w:val="20"/>
        </w:rPr>
        <w:fldChar w:fldCharType="separate"/>
      </w:r>
      <w:r w:rsidRPr="00A040E3">
        <w:rPr>
          <w:b/>
          <w:bCs/>
          <w:i w:val="0"/>
          <w:iCs w:val="0"/>
          <w:noProof/>
          <w:color w:val="000000" w:themeColor="text1"/>
          <w:sz w:val="20"/>
          <w:szCs w:val="20"/>
        </w:rPr>
        <w:t>4</w:t>
      </w:r>
      <w:r w:rsidRPr="00A040E3">
        <w:rPr>
          <w:b/>
          <w:bCs/>
          <w:i w:val="0"/>
          <w:iCs w:val="0"/>
          <w:color w:val="000000" w:themeColor="text1"/>
          <w:sz w:val="20"/>
          <w:szCs w:val="20"/>
        </w:rPr>
        <w:fldChar w:fldCharType="end"/>
      </w:r>
      <w:r w:rsidRPr="00A040E3">
        <w:rPr>
          <w:b/>
          <w:bCs/>
          <w:i w:val="0"/>
          <w:iCs w:val="0"/>
          <w:color w:val="000000" w:themeColor="text1"/>
          <w:sz w:val="20"/>
          <w:szCs w:val="20"/>
        </w:rPr>
        <w:t>: Before and After Customer Journey Comparison.</w:t>
      </w:r>
      <w:bookmarkEnd w:id="34"/>
      <w:bookmarkEnd w:id="35"/>
      <w:bookmarkEnd w:id="36"/>
    </w:p>
    <w:p w14:paraId="23A1FDEC" w14:textId="77777777" w:rsidR="005D4C68" w:rsidRDefault="009B7BBF" w:rsidP="00C86CDA">
      <w:pPr>
        <w:pStyle w:val="Heading2"/>
      </w:pPr>
      <w:bookmarkStart w:id="37" w:name="_Toc223477707"/>
      <w:r>
        <w:t>2.3 Desirability, Viability, and Feasibility Assessment</w:t>
      </w:r>
      <w:bookmarkEnd w:id="37"/>
    </w:p>
    <w:p w14:paraId="18970B12" w14:textId="77777777" w:rsidR="00813E72" w:rsidRDefault="009B7BBF" w:rsidP="00C86CDA">
      <w:pPr>
        <w:spacing w:after="0"/>
      </w:pPr>
      <w:r>
        <w:t>The potential of the SmartLife initiative can be evaluated on a stringent basis by means of applying the design thinking methodology of desirability, viability, and feasibility (IDEO, 2015).</w:t>
      </w:r>
    </w:p>
    <w:p w14:paraId="75907E30" w14:textId="77777777" w:rsidR="00813E72" w:rsidRDefault="009B7BBF" w:rsidP="00C86CDA">
      <w:pPr>
        <w:spacing w:after="0"/>
      </w:pPr>
      <w:r w:rsidRPr="00A040E3">
        <w:rPr>
          <w:b/>
          <w:bCs/>
        </w:rPr>
        <w:t>Desirability:</w:t>
      </w:r>
      <w:r>
        <w:t xml:space="preserve"> There is a high level of consumer demand for customised, digitally powered FMCG experiences. According to Adams, Alldredge and Kohli (2025), personalisation contributes to a </w:t>
      </w:r>
      <w:r>
        <w:lastRenderedPageBreak/>
        <w:t>10-15% increase in revenues of consumer goods. The EY UK Future Consumer Index (2024) affirms this by stating that one of the three consumer trends that are transforming the UK retail is AI-based personalisation (Rindone, 2024). Moreover, 58% of the consumers state that they are ready to buy sustainable products at a premium (Deloitte, 2025), which is in favour of the sustainability-based value proposition of SmartLife.</w:t>
      </w:r>
    </w:p>
    <w:p w14:paraId="4345F0AC" w14:textId="77777777" w:rsidR="00813E72" w:rsidRDefault="009B7BBF" w:rsidP="00C86CDA">
      <w:pPr>
        <w:spacing w:after="0"/>
      </w:pPr>
      <w:r w:rsidRPr="00A040E3">
        <w:rPr>
          <w:b/>
          <w:bCs/>
        </w:rPr>
        <w:t>Viability:</w:t>
      </w:r>
      <w:r>
        <w:t xml:space="preserve"> The business case will be based on three sources of revenue: DTC margin improvement (removal of retailer markup), revenue increase due to consumer lifetime value through loyalty programme retention, and first-party data monetisation to be used in precision marketing. The 2024 gross margin of 45%, the highest in 10 years, gives Unilever the financial space to invest in, and the EUR 800 million productivity programme gives Unilever more capacity (Unilever, 2025). The initiative is also in line with the five strategic priorities of GAP 2030, which include unmissable brand superiority, social-first demand generation, scalable innovations, premiumisation, and growth channels.</w:t>
      </w:r>
    </w:p>
    <w:p w14:paraId="6D2ECC6D" w14:textId="77777777" w:rsidR="00813E72" w:rsidRDefault="009B7BBF" w:rsidP="00C86CDA">
      <w:pPr>
        <w:spacing w:after="0"/>
      </w:pPr>
      <w:r w:rsidRPr="00A040E3">
        <w:rPr>
          <w:b/>
          <w:bCs/>
        </w:rPr>
        <w:t>Feasibility:</w:t>
      </w:r>
      <w:r>
        <w:t xml:space="preserve"> Unilever already has a strong technological base: 500-plus AI capabilities, 100% cloud-based, 8 petabytes of enterprise data, and 23,000 employees trained in AI, which can form a solid base of SmartLife development (Unilever Plc, 2025). The Toronto research hub and AI 100+ Accelerator provide access to new innovative partners. The risks related to feasibility are, however, the complexity of integrating several brand systems, the privacy of consumer data under the UK GDPR, and the practicality of establishing DTC fulfilment background in a business model traditionally oriented on B2B retail distribution.</w:t>
      </w:r>
    </w:p>
    <w:p w14:paraId="3765588D" w14:textId="77777777" w:rsidR="00813E72" w:rsidRDefault="009B7BBF" w:rsidP="00C86CDA">
      <w:pPr>
        <w:pStyle w:val="Heading2"/>
      </w:pPr>
      <w:bookmarkStart w:id="38" w:name="_Toc223477708"/>
      <w:r>
        <w:t>2.4 Measuring Impact and Success</w:t>
      </w:r>
      <w:bookmarkEnd w:id="38"/>
    </w:p>
    <w:p w14:paraId="4602E2E1" w14:textId="77777777" w:rsidR="00813E72" w:rsidRDefault="009B7BBF" w:rsidP="00C86CDA">
      <w:pPr>
        <w:spacing w:after="0"/>
      </w:pPr>
      <w:r>
        <w:t>A balanced scorecard of Key Performance Indicators (KPIs) should be used to measure the success of SmartLife based on the results of consumer experience and business performance (Kaplan and Norton, 1992).</w:t>
      </w:r>
    </w:p>
    <w:p w14:paraId="77C69A6A" w14:textId="77777777" w:rsidR="00813E72" w:rsidRDefault="009B7BBF" w:rsidP="00C86CDA">
      <w:pPr>
        <w:spacing w:after="0"/>
      </w:pPr>
      <w:r w:rsidRPr="00A040E3">
        <w:rPr>
          <w:b/>
          <w:bCs/>
        </w:rPr>
        <w:t>Consumer Experience KPIs</w:t>
      </w:r>
      <w:r>
        <w:t>: Net Promotion Score (NPS) increased by 15 points in 24 months of launching the SmartLife application; customer satisfaction score (CSAT) is more than 85%; monthly active users (MAU) on the SmartLife application reached 2 million in the UK in 18 months; and customer engagement rate is in the form of app interactions per week.</w:t>
      </w:r>
    </w:p>
    <w:p w14:paraId="191EDC0E" w14:textId="77777777" w:rsidR="00813E72" w:rsidRDefault="009B7BBF" w:rsidP="00C86CDA">
      <w:pPr>
        <w:spacing w:after="0"/>
      </w:pPr>
      <w:r w:rsidRPr="00A040E3">
        <w:rPr>
          <w:b/>
          <w:bCs/>
        </w:rPr>
        <w:t>Business Performance KPIs:</w:t>
      </w:r>
      <w:r w:rsidRPr="00A040E3">
        <w:t xml:space="preserve"> </w:t>
      </w:r>
      <w:r>
        <w:t>DTC revenue contribution of 5% of UK turnover in three years; 20% growth in consumer lifetime value (CLV) between SmartLife users and non-users; 30% coverage of first-party data by UK consumers; and 15% conversion rate to replenishment subscriptions among users of the SmartLife app.</w:t>
      </w:r>
    </w:p>
    <w:p w14:paraId="4FECCF30" w14:textId="77777777" w:rsidR="00813E72" w:rsidRDefault="009B7BBF" w:rsidP="00C86CDA">
      <w:pPr>
        <w:spacing w:after="0"/>
      </w:pPr>
      <w:r w:rsidRPr="00A040E3">
        <w:rPr>
          <w:b/>
          <w:bCs/>
        </w:rPr>
        <w:t>Innovation and Strategic KPIs</w:t>
      </w:r>
      <w:r>
        <w:t xml:space="preserve">: 25% cut in customer acquisition cost (CAC) due to the use of data-informed precision marketing; 30% growth in frequency of cross-brand purchases among </w:t>
      </w:r>
      <w:r>
        <w:lastRenderedPageBreak/>
        <w:t>members of the loyalty programme; and the ability to generate conditioned consumer insights in real time, which allowed reducing the time taken to develop a new product by 40%.</w:t>
      </w:r>
    </w:p>
    <w:p w14:paraId="4AD556ED" w14:textId="77777777" w:rsidR="0080759C" w:rsidRDefault="009B7BBF" w:rsidP="00C86CDA">
      <w:pPr>
        <w:pStyle w:val="NormalWeb"/>
        <w:spacing w:before="0" w:beforeAutospacing="0" w:after="0" w:afterAutospacing="0" w:line="360" w:lineRule="auto"/>
        <w:jc w:val="center"/>
      </w:pPr>
      <w:r>
        <w:rPr>
          <w:noProof/>
        </w:rPr>
        <w:drawing>
          <wp:inline distT="0" distB="0" distL="0" distR="0" wp14:anchorId="6BA97F15" wp14:editId="607D43F6">
            <wp:extent cx="5943600" cy="3241675"/>
            <wp:effectExtent l="0" t="0" r="0" b="0"/>
            <wp:docPr id="15571384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38452"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943600" cy="3241675"/>
                    </a:xfrm>
                    <a:prstGeom prst="rect">
                      <a:avLst/>
                    </a:prstGeom>
                    <a:noFill/>
                    <a:ln>
                      <a:noFill/>
                    </a:ln>
                  </pic:spPr>
                </pic:pic>
              </a:graphicData>
            </a:graphic>
          </wp:inline>
        </w:drawing>
      </w:r>
    </w:p>
    <w:p w14:paraId="7574B0EA" w14:textId="77777777" w:rsidR="00813E72" w:rsidRPr="0080759C" w:rsidRDefault="009B7BBF" w:rsidP="00C86CDA">
      <w:pPr>
        <w:pStyle w:val="Caption"/>
        <w:spacing w:after="0" w:line="360" w:lineRule="auto"/>
        <w:jc w:val="center"/>
        <w:rPr>
          <w:b/>
          <w:bCs/>
          <w:i w:val="0"/>
          <w:iCs w:val="0"/>
          <w:color w:val="000000" w:themeColor="text1"/>
          <w:sz w:val="20"/>
          <w:szCs w:val="20"/>
        </w:rPr>
      </w:pPr>
      <w:bookmarkStart w:id="39" w:name="_Toc223387151"/>
      <w:bookmarkStart w:id="40" w:name="_Toc223477232"/>
      <w:bookmarkStart w:id="41" w:name="_Toc223477723"/>
      <w:r w:rsidRPr="0080759C">
        <w:rPr>
          <w:b/>
          <w:bCs/>
          <w:i w:val="0"/>
          <w:iCs w:val="0"/>
          <w:color w:val="000000" w:themeColor="text1"/>
          <w:sz w:val="20"/>
          <w:szCs w:val="20"/>
        </w:rPr>
        <w:t xml:space="preserve">Figure </w:t>
      </w:r>
      <w:r w:rsidRPr="0080759C">
        <w:rPr>
          <w:b/>
          <w:bCs/>
          <w:i w:val="0"/>
          <w:iCs w:val="0"/>
          <w:color w:val="000000" w:themeColor="text1"/>
          <w:sz w:val="20"/>
          <w:szCs w:val="20"/>
        </w:rPr>
        <w:fldChar w:fldCharType="begin"/>
      </w:r>
      <w:r w:rsidRPr="0080759C">
        <w:rPr>
          <w:b/>
          <w:bCs/>
          <w:i w:val="0"/>
          <w:iCs w:val="0"/>
          <w:color w:val="000000" w:themeColor="text1"/>
          <w:sz w:val="20"/>
          <w:szCs w:val="20"/>
        </w:rPr>
        <w:instrText xml:space="preserve"> SEQ Figure \* ARABIC </w:instrText>
      </w:r>
      <w:r w:rsidRPr="0080759C">
        <w:rPr>
          <w:b/>
          <w:bCs/>
          <w:i w:val="0"/>
          <w:iCs w:val="0"/>
          <w:color w:val="000000" w:themeColor="text1"/>
          <w:sz w:val="20"/>
          <w:szCs w:val="20"/>
        </w:rPr>
        <w:fldChar w:fldCharType="separate"/>
      </w:r>
      <w:r w:rsidRPr="0080759C">
        <w:rPr>
          <w:b/>
          <w:bCs/>
          <w:i w:val="0"/>
          <w:iCs w:val="0"/>
          <w:noProof/>
          <w:color w:val="000000" w:themeColor="text1"/>
          <w:sz w:val="20"/>
          <w:szCs w:val="20"/>
        </w:rPr>
        <w:t>6</w:t>
      </w:r>
      <w:r w:rsidRPr="0080759C">
        <w:rPr>
          <w:b/>
          <w:bCs/>
          <w:i w:val="0"/>
          <w:iCs w:val="0"/>
          <w:color w:val="000000" w:themeColor="text1"/>
          <w:sz w:val="20"/>
          <w:szCs w:val="20"/>
        </w:rPr>
        <w:fldChar w:fldCharType="end"/>
      </w:r>
      <w:r w:rsidRPr="0080759C">
        <w:rPr>
          <w:b/>
          <w:bCs/>
          <w:i w:val="0"/>
          <w:iCs w:val="0"/>
          <w:color w:val="000000" w:themeColor="text1"/>
          <w:sz w:val="20"/>
          <w:szCs w:val="20"/>
        </w:rPr>
        <w:t xml:space="preserve">: </w:t>
      </w:r>
      <w:r w:rsidR="00C86CDA" w:rsidRPr="0080759C">
        <w:rPr>
          <w:b/>
          <w:bCs/>
          <w:i w:val="0"/>
          <w:iCs w:val="0"/>
          <w:color w:val="000000" w:themeColor="text1"/>
          <w:sz w:val="20"/>
          <w:szCs w:val="20"/>
        </w:rPr>
        <w:t>Smart Life</w:t>
      </w:r>
      <w:r w:rsidRPr="0080759C">
        <w:rPr>
          <w:b/>
          <w:bCs/>
          <w:i w:val="0"/>
          <w:iCs w:val="0"/>
          <w:color w:val="000000" w:themeColor="text1"/>
          <w:sz w:val="20"/>
          <w:szCs w:val="20"/>
        </w:rPr>
        <w:t xml:space="preserve"> KPI Dashboard Mockup.</w:t>
      </w:r>
      <w:bookmarkEnd w:id="39"/>
      <w:bookmarkEnd w:id="40"/>
      <w:bookmarkEnd w:id="41"/>
    </w:p>
    <w:p w14:paraId="18B3F3A7" w14:textId="77777777" w:rsidR="00813E72" w:rsidRDefault="009B7BBF" w:rsidP="00C86CDA">
      <w:pPr>
        <w:spacing w:after="0"/>
      </w:pPr>
      <w:r>
        <w:t>These measures are to be followed with the help of an integrated analytics dashboard, reviewed by the Unilever Leadership Executive quarterly, and results should be directed to the GAP 2030 strategic planning cycle. According to Westerman, Bonnet and McAfee (2022), it is important to note that the success of digital transformation relies not just on the implementation of technology but on the ability of the organisation to be able to measure, learn and repeat.</w:t>
      </w:r>
    </w:p>
    <w:p w14:paraId="4A96FDD9" w14:textId="77777777" w:rsidR="005D4C68" w:rsidRDefault="009B7BBF" w:rsidP="00C86CDA">
      <w:pPr>
        <w:pStyle w:val="Heading1"/>
      </w:pPr>
      <w:bookmarkStart w:id="42" w:name="_Toc223477709"/>
      <w:r>
        <w:t>Conclusion</w:t>
      </w:r>
      <w:bookmarkEnd w:id="42"/>
    </w:p>
    <w:p w14:paraId="1D953FCE" w14:textId="77777777" w:rsidR="00040E60" w:rsidRDefault="009B7BBF" w:rsidP="00C86CDA">
      <w:pPr>
        <w:spacing w:after="0"/>
      </w:pPr>
      <w:r>
        <w:t xml:space="preserve">This report has critically examined the innovation strategy of Unilever Plc by using the Innovation Ambition Matrix and customer journey mapping frameworks. In the analysis, Unilever has a high portfolio of core and adjacent innovations, as evidenced by the 5.3% growth of 5.3% power brands and strategic acquisitions, but the transformational innovation ambitions, especially in AI and digital technology, are developing. The Customer Journey Map analysis revealed some major areas of pain, with the first one being the lack of DTC capacity in the UK, and the second one being the lack of excess first-party consumer data determining the situation and the absence of enough post-purchase contact. </w:t>
      </w:r>
    </w:p>
    <w:p w14:paraId="01BD90BD" w14:textId="77777777" w:rsidR="00544057" w:rsidRDefault="009B7BBF" w:rsidP="00C86CDA">
      <w:pPr>
        <w:spacing w:after="0"/>
      </w:pPr>
      <w:r>
        <w:t xml:space="preserve">The digital transformation project proposed as "Unilever SmartLife" directly responds to these issues with the help of an AI-driven personalised consumer experience that includes a single mobile app, smart replenishment engine, and cross-brand loyalty programme. This evaluation </w:t>
      </w:r>
      <w:r>
        <w:lastRenderedPageBreak/>
        <w:t>using the desirability, viability and feasibility framework will affirm that the initiative is in tandem with the consumer demand and commercial and technological preparedness. Nevertheless, this report recognises the natural uncertainty of the digital transformation (Westernman, Bonnet and McAfee, 2022) and recommends that Unilever proceed with an iterative system of implementation, which means that they can pilot SmartLife in the UK market before international expansion. The real benefit of design thinking, as Liedtka (2014) claims, is not the solution but the ability of an organisation to be constantly innovative and human-centred.</w:t>
      </w:r>
    </w:p>
    <w:p w14:paraId="60666066" w14:textId="77777777" w:rsidR="00544057" w:rsidRDefault="009B7BBF" w:rsidP="00C86CDA">
      <w:pPr>
        <w:jc w:val="left"/>
      </w:pPr>
      <w:r>
        <w:br w:type="page"/>
      </w:r>
    </w:p>
    <w:p w14:paraId="528D1CAC" w14:textId="77777777" w:rsidR="00433073" w:rsidRPr="00433073" w:rsidRDefault="009B7BBF" w:rsidP="00C86CDA">
      <w:pPr>
        <w:pStyle w:val="Heading1"/>
      </w:pPr>
      <w:bookmarkStart w:id="43" w:name="_Toc223477710"/>
      <w:r w:rsidRPr="00433073">
        <w:lastRenderedPageBreak/>
        <w:t>Reference</w:t>
      </w:r>
      <w:r>
        <w:t>s</w:t>
      </w:r>
      <w:bookmarkEnd w:id="43"/>
    </w:p>
    <w:p w14:paraId="0A91C762" w14:textId="77777777" w:rsidR="00433073" w:rsidRDefault="009B7BBF" w:rsidP="00C86CDA">
      <w:pPr>
        <w:spacing w:after="0"/>
      </w:pPr>
      <w:r w:rsidRPr="00433073">
        <w:t xml:space="preserve">Adams, C., Alldredge, K. and Kohli, S. (2025). </w:t>
      </w:r>
      <w:r w:rsidRPr="00433073">
        <w:rPr>
          <w:i/>
          <w:iCs/>
        </w:rPr>
        <w:t>State of the Consumer 2024: What's Now and What's Next</w:t>
      </w:r>
      <w:r w:rsidRPr="00433073">
        <w:t>. [online] McKinsey &amp; Company. Available at: https://www.mckinsey.com/industries/consumer-packaged-goods/our-insights/state-of-consumer [Accessed 2 Mar. 2026].</w:t>
      </w:r>
    </w:p>
    <w:p w14:paraId="159AA65D" w14:textId="77777777" w:rsidR="00C86CDA" w:rsidRPr="00433073" w:rsidRDefault="00C86CDA" w:rsidP="00C86CDA">
      <w:pPr>
        <w:spacing w:after="0"/>
      </w:pPr>
    </w:p>
    <w:p w14:paraId="68ECF441" w14:textId="77777777" w:rsidR="00433073" w:rsidRDefault="009B7BBF" w:rsidP="00C86CDA">
      <w:pPr>
        <w:spacing w:after="0"/>
      </w:pPr>
      <w:r w:rsidRPr="00433073">
        <w:t xml:space="preserve">Adams, P. (2025). </w:t>
      </w:r>
      <w:r w:rsidRPr="00433073">
        <w:rPr>
          <w:i/>
          <w:iCs/>
        </w:rPr>
        <w:t>How Unilever’s AI Marketing Bets Are Increasing Production Efficiency</w:t>
      </w:r>
      <w:r w:rsidRPr="00433073">
        <w:t>. [online] Marketing Dive. Available at: https://www.marketingdive.com/news/unilever-ai-marketing-bets-halve-production-costs-double-speed/742913/ [Accessed 2 Mar. 2026].</w:t>
      </w:r>
    </w:p>
    <w:p w14:paraId="656363D6" w14:textId="77777777" w:rsidR="00C86CDA" w:rsidRPr="00433073" w:rsidRDefault="00C86CDA" w:rsidP="00C86CDA">
      <w:pPr>
        <w:spacing w:after="0"/>
      </w:pPr>
    </w:p>
    <w:p w14:paraId="30F9FD1B" w14:textId="77777777" w:rsidR="00433073" w:rsidRDefault="009B7BBF" w:rsidP="00C86CDA">
      <w:pPr>
        <w:spacing w:after="0"/>
      </w:pPr>
      <w:r w:rsidRPr="00433073">
        <w:t xml:space="preserve">Ansoff, I. (1957). Strategies for Diversification. </w:t>
      </w:r>
      <w:r w:rsidRPr="00433073">
        <w:rPr>
          <w:i/>
          <w:iCs/>
        </w:rPr>
        <w:t>Management Science</w:t>
      </w:r>
      <w:r w:rsidRPr="00433073">
        <w:t xml:space="preserve">, [online] 4(4), pp.113–124. Available at: </w:t>
      </w:r>
      <w:hyperlink r:id="rId15" w:history="1">
        <w:r w:rsidR="00C86CDA" w:rsidRPr="00134379">
          <w:rPr>
            <w:rStyle w:val="Hyperlink"/>
          </w:rPr>
          <w:t>https://www.casrilanka.com/casl/images/stories/2017/2017_pdfs/sab_portal/course_material/strategies_for_diversification.pdf</w:t>
        </w:r>
      </w:hyperlink>
    </w:p>
    <w:p w14:paraId="016FD206" w14:textId="77777777" w:rsidR="00C86CDA" w:rsidRPr="00433073" w:rsidRDefault="00C86CDA" w:rsidP="00C86CDA">
      <w:pPr>
        <w:spacing w:after="0"/>
      </w:pPr>
    </w:p>
    <w:p w14:paraId="39D8E228" w14:textId="77777777" w:rsidR="00433073" w:rsidRDefault="009B7BBF" w:rsidP="00C86CDA">
      <w:pPr>
        <w:spacing w:after="0"/>
      </w:pPr>
      <w:r w:rsidRPr="00433073">
        <w:t xml:space="preserve">Brohan, M. (2025). </w:t>
      </w:r>
      <w:r w:rsidRPr="00433073">
        <w:rPr>
          <w:i/>
          <w:iCs/>
        </w:rPr>
        <w:t>Unilever Expands Its Digital Platform for B2C and B2B E-commerce</w:t>
      </w:r>
      <w:r w:rsidRPr="00433073">
        <w:t>. [online] Digital Commerce 360. Available at: https://www.digitalcommerce360.com/2025/04/28/unilever-expands-digital-platform-b2c-b2b-ecommerce/ [Accessed 2 Mar. 2026].</w:t>
      </w:r>
    </w:p>
    <w:p w14:paraId="5068F84A" w14:textId="77777777" w:rsidR="00C86CDA" w:rsidRPr="00433073" w:rsidRDefault="00C86CDA" w:rsidP="00C86CDA">
      <w:pPr>
        <w:spacing w:after="0"/>
      </w:pPr>
    </w:p>
    <w:p w14:paraId="660A196E" w14:textId="77777777" w:rsidR="00433073" w:rsidRDefault="009B7BBF" w:rsidP="00C86CDA">
      <w:pPr>
        <w:spacing w:after="0"/>
      </w:pPr>
      <w:r w:rsidRPr="00433073">
        <w:t xml:space="preserve">Brown, T. (2008). </w:t>
      </w:r>
      <w:r w:rsidRPr="00433073">
        <w:rPr>
          <w:i/>
          <w:iCs/>
        </w:rPr>
        <w:t>Design Thinking</w:t>
      </w:r>
      <w:r w:rsidRPr="00433073">
        <w:t>. [online] ResearchGate. Available at: https://www.researchgate.net/publication/5248069_Design_Thinking [Accessed 2 Mar. 2026].</w:t>
      </w:r>
    </w:p>
    <w:p w14:paraId="2C7E760A" w14:textId="77777777" w:rsidR="00C86CDA" w:rsidRPr="00433073" w:rsidRDefault="00C86CDA" w:rsidP="00C86CDA">
      <w:pPr>
        <w:spacing w:after="0"/>
      </w:pPr>
    </w:p>
    <w:p w14:paraId="0A8338C0" w14:textId="77777777" w:rsidR="00433073" w:rsidRDefault="009B7BBF" w:rsidP="00C86CDA">
      <w:pPr>
        <w:spacing w:after="0"/>
      </w:pPr>
      <w:r w:rsidRPr="00433073">
        <w:t xml:space="preserve">Business Research Insights (2025). </w:t>
      </w:r>
      <w:r w:rsidRPr="00433073">
        <w:rPr>
          <w:i/>
          <w:iCs/>
        </w:rPr>
        <w:t>FMCG Market Size &amp; Trends Research [2033]</w:t>
      </w:r>
      <w:r w:rsidRPr="00433073">
        <w:t>. [online] Businessresearchinsights.com. Available at: https://www.businessresearchinsights.com/market-reports/fmcg-market-122378 [Accessed 2 Mar. 2026].</w:t>
      </w:r>
    </w:p>
    <w:p w14:paraId="6724CC6E" w14:textId="77777777" w:rsidR="00C86CDA" w:rsidRPr="00433073" w:rsidRDefault="00C86CDA" w:rsidP="00C86CDA">
      <w:pPr>
        <w:spacing w:after="0"/>
      </w:pPr>
    </w:p>
    <w:p w14:paraId="09C37806" w14:textId="77777777" w:rsidR="00433073" w:rsidRDefault="009B7BBF" w:rsidP="00C86CDA">
      <w:pPr>
        <w:spacing w:after="0"/>
      </w:pPr>
      <w:r w:rsidRPr="00433073">
        <w:t xml:space="preserve">Chesbrough, H.W. (2003). </w:t>
      </w:r>
      <w:r w:rsidRPr="00433073">
        <w:rPr>
          <w:i/>
          <w:iCs/>
        </w:rPr>
        <w:t>The Era of Open Innovation</w:t>
      </w:r>
      <w:r w:rsidRPr="00433073">
        <w:t>. [online] MIT Sloan Management Review. Available at: https://sloanreview.mit.edu/article/the-era-of-open-innovation/ [Accessed 2 Mar. 2026].</w:t>
      </w:r>
    </w:p>
    <w:p w14:paraId="2AE02C69" w14:textId="77777777" w:rsidR="00C86CDA" w:rsidRPr="00433073" w:rsidRDefault="00C86CDA" w:rsidP="00C86CDA">
      <w:pPr>
        <w:spacing w:after="0"/>
      </w:pPr>
    </w:p>
    <w:p w14:paraId="751494C1" w14:textId="77777777" w:rsidR="00433073" w:rsidRDefault="009B7BBF" w:rsidP="00C86CDA">
      <w:pPr>
        <w:spacing w:after="0"/>
      </w:pPr>
      <w:r w:rsidRPr="00433073">
        <w:t xml:space="preserve">Christensen, C.M. (2011). </w:t>
      </w:r>
      <w:r w:rsidRPr="00433073">
        <w:rPr>
          <w:i/>
          <w:iCs/>
        </w:rPr>
        <w:t>The Innovator's Dilemma: The Revolutionary Book That Will Change the Way You Do Business</w:t>
      </w:r>
      <w:r w:rsidRPr="00433073">
        <w:t>. New York, Ny [U.A.] Harper Business.</w:t>
      </w:r>
    </w:p>
    <w:p w14:paraId="319B9D6F" w14:textId="77777777" w:rsidR="00C86CDA" w:rsidRPr="00433073" w:rsidRDefault="00C86CDA" w:rsidP="00C86CDA">
      <w:pPr>
        <w:spacing w:after="0"/>
      </w:pPr>
    </w:p>
    <w:p w14:paraId="39F385C3" w14:textId="77777777" w:rsidR="00433073" w:rsidRDefault="009B7BBF" w:rsidP="00C86CDA">
      <w:pPr>
        <w:spacing w:after="0"/>
      </w:pPr>
      <w:r w:rsidRPr="00433073">
        <w:lastRenderedPageBreak/>
        <w:t xml:space="preserve">Court, D., Elzinga, D., Mulder, S. and Jørgen Vetvik, O. (2009). </w:t>
      </w:r>
      <w:r w:rsidRPr="00433073">
        <w:rPr>
          <w:i/>
          <w:iCs/>
        </w:rPr>
        <w:t>The Consumer Decision Journey</w:t>
      </w:r>
      <w:r w:rsidRPr="00433073">
        <w:t>. [online] McKinsey &amp; Company. Available at: https://www.mckinsey.com/capabilities/growth-marketing-and-sales/our-insights/the-consumer-decision-journey [Accessed 2 Mar. 2026].</w:t>
      </w:r>
    </w:p>
    <w:p w14:paraId="4E5F6CE5" w14:textId="77777777" w:rsidR="00C86CDA" w:rsidRPr="00433073" w:rsidRDefault="00C86CDA" w:rsidP="00C86CDA">
      <w:pPr>
        <w:spacing w:after="0"/>
      </w:pPr>
    </w:p>
    <w:p w14:paraId="3DE16BFA" w14:textId="77777777" w:rsidR="00433073" w:rsidRDefault="009B7BBF" w:rsidP="00C86CDA">
      <w:pPr>
        <w:spacing w:after="0"/>
      </w:pPr>
      <w:r w:rsidRPr="00433073">
        <w:t xml:space="preserve">Deloitte (2025). </w:t>
      </w:r>
      <w:r w:rsidRPr="00433073">
        <w:rPr>
          <w:i/>
          <w:iCs/>
        </w:rPr>
        <w:t>2025 UK Consumer Trends: Spending Shifts &amp; Confidence Insights</w:t>
      </w:r>
      <w:r w:rsidRPr="00433073">
        <w:t>. [online] Accio.com. Available at: https://www.accio.com/business/uk-consumer-trends [Accessed 2 Mar. 2026].</w:t>
      </w:r>
    </w:p>
    <w:p w14:paraId="0BF8270C" w14:textId="77777777" w:rsidR="00C86CDA" w:rsidRPr="00433073" w:rsidRDefault="00C86CDA" w:rsidP="00C86CDA">
      <w:pPr>
        <w:spacing w:after="0"/>
      </w:pPr>
    </w:p>
    <w:p w14:paraId="49FEA6F0" w14:textId="77777777" w:rsidR="00433073" w:rsidRDefault="009B7BBF" w:rsidP="00C86CDA">
      <w:pPr>
        <w:spacing w:after="0"/>
      </w:pPr>
      <w:r w:rsidRPr="00433073">
        <w:t xml:space="preserve">Dhapte, A. (2026). </w:t>
      </w:r>
      <w:r w:rsidRPr="00433073">
        <w:rPr>
          <w:i/>
          <w:iCs/>
        </w:rPr>
        <w:t>UK E-Commerce Market</w:t>
      </w:r>
      <w:r w:rsidRPr="00433073">
        <w:t>. [online] Marketresearchfuture.com. Available at: https://www.marketresearchfuture.com/reports/uk-e-commerce-market-46301 [Accessed 2 Mar. 2026].</w:t>
      </w:r>
    </w:p>
    <w:p w14:paraId="49572C24" w14:textId="77777777" w:rsidR="00C86CDA" w:rsidRPr="00433073" w:rsidRDefault="00C86CDA" w:rsidP="00C86CDA">
      <w:pPr>
        <w:spacing w:after="0"/>
      </w:pPr>
    </w:p>
    <w:p w14:paraId="30452A96" w14:textId="77777777" w:rsidR="00433073" w:rsidRDefault="009B7BBF" w:rsidP="00C86CDA">
      <w:pPr>
        <w:spacing w:after="0"/>
      </w:pPr>
      <w:r w:rsidRPr="00433073">
        <w:t xml:space="preserve">Dominguez, L. (2025). </w:t>
      </w:r>
      <w:r w:rsidRPr="00433073">
        <w:rPr>
          <w:i/>
          <w:iCs/>
        </w:rPr>
        <w:t>Unilever Bolsters Social Listening Strategy with AI</w:t>
      </w:r>
      <w:r w:rsidRPr="00433073">
        <w:t>. [online] Consumer Goods Technology. Available at: https://consumergoods.com/unilever-bolsters-social-listening-strategy-ai [Accessed 2 Mar. 2026].</w:t>
      </w:r>
    </w:p>
    <w:p w14:paraId="687F773C" w14:textId="77777777" w:rsidR="00C86CDA" w:rsidRPr="00433073" w:rsidRDefault="00C86CDA" w:rsidP="00C86CDA">
      <w:pPr>
        <w:spacing w:after="0"/>
      </w:pPr>
    </w:p>
    <w:p w14:paraId="7D0E2238" w14:textId="77777777" w:rsidR="00433073" w:rsidRDefault="009B7BBF" w:rsidP="00C86CDA">
      <w:pPr>
        <w:spacing w:after="0"/>
      </w:pPr>
      <w:r w:rsidRPr="00433073">
        <w:t xml:space="preserve">Global Data (2022). </w:t>
      </w:r>
      <w:r w:rsidRPr="00433073">
        <w:rPr>
          <w:i/>
          <w:iCs/>
        </w:rPr>
        <w:t>Unilever Plc: Overview</w:t>
      </w:r>
      <w:r w:rsidRPr="00433073">
        <w:t>. [online] www.globaldata.com. Available at: https://www.globaldata.com/company-profile/unilever-plc-gd33882/ [Accessed 2 Mar. 2026].</w:t>
      </w:r>
    </w:p>
    <w:p w14:paraId="2243ADFD" w14:textId="77777777" w:rsidR="00C86CDA" w:rsidRPr="00433073" w:rsidRDefault="00C86CDA" w:rsidP="00C86CDA">
      <w:pPr>
        <w:spacing w:after="0"/>
      </w:pPr>
    </w:p>
    <w:p w14:paraId="19768F44" w14:textId="77777777" w:rsidR="00433073" w:rsidRDefault="009B7BBF" w:rsidP="00C86CDA">
      <w:pPr>
        <w:spacing w:after="0"/>
      </w:pPr>
      <w:r w:rsidRPr="00433073">
        <w:t xml:space="preserve">IDEO (2015). </w:t>
      </w:r>
      <w:r w:rsidRPr="00433073">
        <w:rPr>
          <w:i/>
          <w:iCs/>
        </w:rPr>
        <w:t>The Field Guide to Human-Centred Design.</w:t>
      </w:r>
      <w:r w:rsidRPr="00433073">
        <w:t xml:space="preserve"> 1st ed. San Francisco, Calif: Design Kit.</w:t>
      </w:r>
    </w:p>
    <w:p w14:paraId="7462DAB3" w14:textId="77777777" w:rsidR="00C86CDA" w:rsidRPr="00433073" w:rsidRDefault="00C86CDA" w:rsidP="00C86CDA">
      <w:pPr>
        <w:spacing w:after="0"/>
      </w:pPr>
    </w:p>
    <w:p w14:paraId="0F6CEB4F" w14:textId="77777777" w:rsidR="00433073" w:rsidRDefault="009B7BBF" w:rsidP="00C86CDA">
      <w:pPr>
        <w:spacing w:after="0"/>
      </w:pPr>
      <w:r w:rsidRPr="00433073">
        <w:t xml:space="preserve">Kaplan, R.S. and Norton, D.P. (1992). </w:t>
      </w:r>
      <w:r w:rsidRPr="00433073">
        <w:rPr>
          <w:i/>
          <w:iCs/>
        </w:rPr>
        <w:t>The Balanced Scorecard: Translating Strategy into Action</w:t>
      </w:r>
      <w:r w:rsidRPr="00433073">
        <w:t>. Harvard: Harvard Business Review Press.</w:t>
      </w:r>
    </w:p>
    <w:p w14:paraId="608BE6ED" w14:textId="77777777" w:rsidR="00C86CDA" w:rsidRPr="00433073" w:rsidRDefault="00C86CDA" w:rsidP="00C86CDA">
      <w:pPr>
        <w:spacing w:after="0"/>
      </w:pPr>
    </w:p>
    <w:p w14:paraId="7226F8E6" w14:textId="77777777" w:rsidR="00433073" w:rsidRPr="00433073" w:rsidRDefault="009B7BBF" w:rsidP="00C86CDA">
      <w:pPr>
        <w:spacing w:after="0"/>
      </w:pPr>
      <w:r w:rsidRPr="00433073">
        <w:t xml:space="preserve">Lemon, K.N. and Verhoef, P.C. (2016). Understanding Customer Experience Throughout the Customer Journey. </w:t>
      </w:r>
      <w:r w:rsidRPr="00433073">
        <w:rPr>
          <w:i/>
          <w:iCs/>
        </w:rPr>
        <w:t>Journal of Marketing</w:t>
      </w:r>
      <w:r w:rsidRPr="00433073">
        <w:t xml:space="preserve">, [online] 80(6), pp.69–96. </w:t>
      </w:r>
      <w:proofErr w:type="gramStart"/>
      <w:r w:rsidRPr="00433073">
        <w:t>doi:https://doi.org/10.1509/jm.15.0420</w:t>
      </w:r>
      <w:proofErr w:type="gramEnd"/>
      <w:r w:rsidRPr="00433073">
        <w:t>.</w:t>
      </w:r>
    </w:p>
    <w:p w14:paraId="5C27717C" w14:textId="77777777" w:rsidR="00433073" w:rsidRDefault="009B7BBF" w:rsidP="00C86CDA">
      <w:pPr>
        <w:spacing w:after="0"/>
      </w:pPr>
      <w:r w:rsidRPr="00433073">
        <w:t xml:space="preserve">Liedtka, J. (2014). Perspective: Linking Design Thinking with Innovation Outcomes through Cognitive Bias Reduction. </w:t>
      </w:r>
      <w:r w:rsidRPr="00433073">
        <w:rPr>
          <w:i/>
          <w:iCs/>
        </w:rPr>
        <w:t>Journal of Product Innovation Management</w:t>
      </w:r>
      <w:r w:rsidRPr="00433073">
        <w:t xml:space="preserve">, 32(6), pp.925–938. </w:t>
      </w:r>
      <w:proofErr w:type="gramStart"/>
      <w:r w:rsidRPr="00433073">
        <w:t>doi:https://doi.org/10.1111/jpim.12163</w:t>
      </w:r>
      <w:proofErr w:type="gramEnd"/>
      <w:r w:rsidRPr="00433073">
        <w:t>.</w:t>
      </w:r>
    </w:p>
    <w:p w14:paraId="70398B78" w14:textId="77777777" w:rsidR="00C86CDA" w:rsidRPr="00433073" w:rsidRDefault="00C86CDA" w:rsidP="00C86CDA">
      <w:pPr>
        <w:spacing w:after="0"/>
      </w:pPr>
    </w:p>
    <w:p w14:paraId="6AA86A3C" w14:textId="77777777" w:rsidR="00433073" w:rsidRDefault="009B7BBF" w:rsidP="00C86CDA">
      <w:pPr>
        <w:spacing w:after="0"/>
      </w:pPr>
      <w:r w:rsidRPr="00433073">
        <w:t xml:space="preserve">Nagji, B. and Tuff, G. (2012). </w:t>
      </w:r>
      <w:r w:rsidRPr="00433073">
        <w:rPr>
          <w:i/>
          <w:iCs/>
        </w:rPr>
        <w:t>Managing Your Innovation Portfolio</w:t>
      </w:r>
      <w:r w:rsidRPr="00433073">
        <w:t xml:space="preserve">. [online] Harvard Business Review. Available at: </w:t>
      </w:r>
      <w:hyperlink r:id="rId16" w:history="1">
        <w:r w:rsidR="00C86CDA" w:rsidRPr="00134379">
          <w:rPr>
            <w:rStyle w:val="Hyperlink"/>
          </w:rPr>
          <w:t>https://hbr.org/2012/05/managing-your-innovation-portfolio</w:t>
        </w:r>
      </w:hyperlink>
    </w:p>
    <w:p w14:paraId="5A007283" w14:textId="77777777" w:rsidR="00C86CDA" w:rsidRPr="00433073" w:rsidRDefault="00C86CDA" w:rsidP="00C86CDA">
      <w:pPr>
        <w:spacing w:after="0"/>
      </w:pPr>
    </w:p>
    <w:p w14:paraId="5E35E8F3" w14:textId="77777777" w:rsidR="00433073" w:rsidRDefault="009B7BBF" w:rsidP="00C86CDA">
      <w:pPr>
        <w:spacing w:after="0"/>
      </w:pPr>
      <w:r w:rsidRPr="00433073">
        <w:t xml:space="preserve">O’Connor, G.C. and Rice, M.P. (2013). A Comprehensive Model of Uncertainty Associated with Radical Innovation. </w:t>
      </w:r>
      <w:r w:rsidRPr="00433073">
        <w:rPr>
          <w:i/>
          <w:iCs/>
        </w:rPr>
        <w:t>Journal of Product Innovation Management</w:t>
      </w:r>
      <w:r w:rsidRPr="00433073">
        <w:t xml:space="preserve">, 30(S1), pp.2–18. </w:t>
      </w:r>
      <w:r w:rsidR="00C86CDA" w:rsidRPr="00433073">
        <w:t>doi: https://doi.org/10.1111/jpim.12060</w:t>
      </w:r>
    </w:p>
    <w:p w14:paraId="5536988E" w14:textId="77777777" w:rsidR="00C86CDA" w:rsidRPr="00433073" w:rsidRDefault="00C86CDA" w:rsidP="00C86CDA">
      <w:pPr>
        <w:spacing w:after="0"/>
      </w:pPr>
    </w:p>
    <w:p w14:paraId="2A87571B" w14:textId="77777777" w:rsidR="00433073" w:rsidRDefault="009B7BBF" w:rsidP="00C86CDA">
      <w:pPr>
        <w:spacing w:after="0"/>
      </w:pPr>
      <w:r w:rsidRPr="00433073">
        <w:t xml:space="preserve">O’Reilly, C.A. and Tushman, M.L. (2021). </w:t>
      </w:r>
      <w:r w:rsidRPr="00433073">
        <w:rPr>
          <w:i/>
          <w:iCs/>
        </w:rPr>
        <w:t xml:space="preserve">Lead and </w:t>
      </w:r>
      <w:proofErr w:type="gramStart"/>
      <w:r w:rsidRPr="00433073">
        <w:rPr>
          <w:i/>
          <w:iCs/>
        </w:rPr>
        <w:t>Disrupt</w:t>
      </w:r>
      <w:proofErr w:type="gramEnd"/>
      <w:r w:rsidRPr="00433073">
        <w:t xml:space="preserve">. Stanford University Press. </w:t>
      </w:r>
      <w:r w:rsidR="00C86CDA" w:rsidRPr="00433073">
        <w:t>doi: https://doi.org/10.1515/9781503629639</w:t>
      </w:r>
    </w:p>
    <w:p w14:paraId="25256048" w14:textId="77777777" w:rsidR="00C86CDA" w:rsidRPr="00433073" w:rsidRDefault="00C86CDA" w:rsidP="00C86CDA">
      <w:pPr>
        <w:spacing w:after="0"/>
      </w:pPr>
    </w:p>
    <w:p w14:paraId="25EB69D9" w14:textId="77777777" w:rsidR="00433073" w:rsidRDefault="009B7BBF" w:rsidP="00C86CDA">
      <w:pPr>
        <w:spacing w:after="0"/>
      </w:pPr>
      <w:r w:rsidRPr="00433073">
        <w:t xml:space="preserve">Osterwalder, A., Pigneur, Y., Bernarda, G. and Smith, A. (2014). </w:t>
      </w:r>
      <w:r w:rsidRPr="00433073">
        <w:rPr>
          <w:i/>
          <w:iCs/>
        </w:rPr>
        <w:t>Value Proposition Design: How to Create Products and Services Customers Want</w:t>
      </w:r>
      <w:r w:rsidRPr="00433073">
        <w:t>. Hoboken, New Jersey: Wiley.</w:t>
      </w:r>
    </w:p>
    <w:p w14:paraId="53486C71" w14:textId="77777777" w:rsidR="00C86CDA" w:rsidRPr="00433073" w:rsidRDefault="00C86CDA" w:rsidP="00C86CDA">
      <w:pPr>
        <w:spacing w:after="0"/>
      </w:pPr>
    </w:p>
    <w:p w14:paraId="1C751740" w14:textId="77777777" w:rsidR="00433073" w:rsidRDefault="009B7BBF" w:rsidP="00C86CDA">
      <w:pPr>
        <w:spacing w:after="0"/>
      </w:pPr>
      <w:r w:rsidRPr="00433073">
        <w:t xml:space="preserve">Rindone, S. (2024). </w:t>
      </w:r>
      <w:r w:rsidRPr="00433073">
        <w:rPr>
          <w:i/>
          <w:iCs/>
        </w:rPr>
        <w:t>How 2024 Will Be the Year of the UK Consumer Revival</w:t>
      </w:r>
      <w:r w:rsidRPr="00433073">
        <w:t xml:space="preserve">. [online] Ey.com. Available at: </w:t>
      </w:r>
      <w:hyperlink r:id="rId17" w:history="1">
        <w:r w:rsidR="00C86CDA" w:rsidRPr="00134379">
          <w:rPr>
            <w:rStyle w:val="Hyperlink"/>
          </w:rPr>
          <w:t>https://www.ey.com/en_uk/insights/consumer-products/uk-retail-spending-grows-despite-cost-of-living-crisis</w:t>
        </w:r>
      </w:hyperlink>
    </w:p>
    <w:p w14:paraId="5309B0D0" w14:textId="77777777" w:rsidR="00C86CDA" w:rsidRPr="00433073" w:rsidRDefault="00C86CDA" w:rsidP="00C86CDA">
      <w:pPr>
        <w:spacing w:after="0"/>
      </w:pPr>
    </w:p>
    <w:p w14:paraId="35D10F1A" w14:textId="77777777" w:rsidR="00433073" w:rsidRDefault="009B7BBF" w:rsidP="00C86CDA">
      <w:pPr>
        <w:spacing w:after="0"/>
      </w:pPr>
      <w:r w:rsidRPr="00433073">
        <w:t xml:space="preserve">Rosenbaum, M.S., Otalora, M.L. and Ramírez, G.C. (2017). How to Create a Realistic Customer Journey Map. </w:t>
      </w:r>
      <w:r w:rsidRPr="00433073">
        <w:rPr>
          <w:i/>
          <w:iCs/>
        </w:rPr>
        <w:t>Business Horizons</w:t>
      </w:r>
      <w:r w:rsidRPr="00433073">
        <w:t xml:space="preserve">, [online] 60(1), pp.143–150. </w:t>
      </w:r>
      <w:r w:rsidR="00C86CDA" w:rsidRPr="00433073">
        <w:t>doi: https://doi.org/10.1016/j.bushor.2016.09.010</w:t>
      </w:r>
    </w:p>
    <w:p w14:paraId="303D35BB" w14:textId="77777777" w:rsidR="00C86CDA" w:rsidRPr="00433073" w:rsidRDefault="00C86CDA" w:rsidP="00C86CDA">
      <w:pPr>
        <w:spacing w:after="0"/>
      </w:pPr>
    </w:p>
    <w:p w14:paraId="3743263E" w14:textId="77777777" w:rsidR="00433073" w:rsidRDefault="009B7BBF" w:rsidP="00C86CDA">
      <w:pPr>
        <w:spacing w:after="0"/>
      </w:pPr>
      <w:r w:rsidRPr="00433073">
        <w:t xml:space="preserve">Stickdorn, M., Lawrence, A., Hormess, M. and Schneider, J. (2018). </w:t>
      </w:r>
      <w:r w:rsidRPr="00433073">
        <w:rPr>
          <w:i/>
          <w:iCs/>
        </w:rPr>
        <w:t>This Is Service Design Doing: Applying Service Design Thinking in the Real World</w:t>
      </w:r>
      <w:r w:rsidRPr="00433073">
        <w:t>. Sebastopol Oreilly &amp; Associates Inc.</w:t>
      </w:r>
    </w:p>
    <w:p w14:paraId="261EF42A" w14:textId="77777777" w:rsidR="00C86CDA" w:rsidRPr="00433073" w:rsidRDefault="00C86CDA" w:rsidP="00C86CDA">
      <w:pPr>
        <w:spacing w:after="0"/>
      </w:pPr>
    </w:p>
    <w:p w14:paraId="0C89A85B" w14:textId="77777777" w:rsidR="00433073" w:rsidRPr="00433073" w:rsidRDefault="009B7BBF" w:rsidP="00C86CDA">
      <w:pPr>
        <w:spacing w:after="0"/>
      </w:pPr>
      <w:r w:rsidRPr="00433073">
        <w:t xml:space="preserve">Tidd, J. and Bessant, J. (2020). </w:t>
      </w:r>
      <w:r w:rsidRPr="00433073">
        <w:rPr>
          <w:i/>
          <w:iCs/>
        </w:rPr>
        <w:t>Managing Innovation: Integrating Technological, Market and Organisational Change</w:t>
      </w:r>
      <w:r w:rsidRPr="00433073">
        <w:t>. 7th ed. Hoboken: Wiley.</w:t>
      </w:r>
    </w:p>
    <w:p w14:paraId="180C6E46" w14:textId="77777777" w:rsidR="00433073" w:rsidRDefault="009B7BBF" w:rsidP="00C86CDA">
      <w:pPr>
        <w:spacing w:after="0"/>
      </w:pPr>
      <w:r w:rsidRPr="00433073">
        <w:t xml:space="preserve">Unilever (2025). </w:t>
      </w:r>
      <w:r w:rsidRPr="00433073">
        <w:rPr>
          <w:i/>
          <w:iCs/>
        </w:rPr>
        <w:t>Annual Report and Accounts 2024</w:t>
      </w:r>
      <w:r w:rsidRPr="00433073">
        <w:t>. [online] Available at: https://www.unilever.com/files/unilever-annual-report-and-accounts-2024.pdf [Accessed 2 Mar. 2026].</w:t>
      </w:r>
    </w:p>
    <w:p w14:paraId="2FEF2449" w14:textId="77777777" w:rsidR="00C86CDA" w:rsidRPr="00433073" w:rsidRDefault="00C86CDA" w:rsidP="00C86CDA">
      <w:pPr>
        <w:spacing w:after="0"/>
      </w:pPr>
    </w:p>
    <w:p w14:paraId="044FC87C" w14:textId="77777777" w:rsidR="00433073" w:rsidRDefault="009B7BBF" w:rsidP="00C86CDA">
      <w:pPr>
        <w:spacing w:after="0"/>
      </w:pPr>
      <w:r w:rsidRPr="00433073">
        <w:t xml:space="preserve">Unilever (2026). </w:t>
      </w:r>
      <w:r w:rsidRPr="00433073">
        <w:rPr>
          <w:i/>
          <w:iCs/>
        </w:rPr>
        <w:t>2025 Full Year Results: Sharper Focus and Disciplined Execution Driving Competitive Performance. Full Year Key Highlights</w:t>
      </w:r>
      <w:r w:rsidRPr="00433073">
        <w:t xml:space="preserve">. [online] Available at: </w:t>
      </w:r>
      <w:hyperlink r:id="rId18" w:history="1">
        <w:r w:rsidR="00C86CDA" w:rsidRPr="00134379">
          <w:rPr>
            <w:rStyle w:val="Hyperlink"/>
          </w:rPr>
          <w:t>https://www.unilever.com/files/ir-q4-2025-full-announcement.pdf</w:t>
        </w:r>
      </w:hyperlink>
    </w:p>
    <w:p w14:paraId="03CAE6DC" w14:textId="77777777" w:rsidR="00C86CDA" w:rsidRPr="00433073" w:rsidRDefault="00C86CDA" w:rsidP="00C86CDA">
      <w:pPr>
        <w:spacing w:after="0"/>
      </w:pPr>
    </w:p>
    <w:p w14:paraId="1A07470A" w14:textId="77777777" w:rsidR="00433073" w:rsidRDefault="009B7BBF" w:rsidP="00C86CDA">
      <w:pPr>
        <w:spacing w:after="0"/>
      </w:pPr>
      <w:r w:rsidRPr="00433073">
        <w:lastRenderedPageBreak/>
        <w:t xml:space="preserve">Unilever Plc (2025). </w:t>
      </w:r>
      <w:r w:rsidRPr="00433073">
        <w:rPr>
          <w:i/>
          <w:iCs/>
        </w:rPr>
        <w:t>How Unilever’s Digital Transformation Is Driving Operational Excellence</w:t>
      </w:r>
      <w:r w:rsidRPr="00433073">
        <w:t>. [online] Unilever. Available at: https://www.unilever.com/news/news-search/2025/how-unilevers-digital-transformation-is-driving-operational-excellence/ [Accessed 2 Mar. 2026].</w:t>
      </w:r>
    </w:p>
    <w:p w14:paraId="243CF831" w14:textId="77777777" w:rsidR="00C86CDA" w:rsidRPr="00433073" w:rsidRDefault="00C86CDA" w:rsidP="00C86CDA">
      <w:pPr>
        <w:spacing w:after="0"/>
      </w:pPr>
    </w:p>
    <w:p w14:paraId="520A340F" w14:textId="77777777" w:rsidR="00433073" w:rsidRDefault="009B7BBF" w:rsidP="00C86CDA">
      <w:pPr>
        <w:spacing w:after="0"/>
      </w:pPr>
      <w:r w:rsidRPr="00433073">
        <w:t xml:space="preserve">Vargo, S.L. and Lusch, R.F. (2004). Evolving to a New Dominant Logic for Marketing. </w:t>
      </w:r>
      <w:r w:rsidRPr="00433073">
        <w:rPr>
          <w:i/>
          <w:iCs/>
        </w:rPr>
        <w:t>Journal of Marketing</w:t>
      </w:r>
      <w:r w:rsidRPr="00433073">
        <w:t xml:space="preserve">, 68(1), pp.1–17. </w:t>
      </w:r>
      <w:proofErr w:type="gramStart"/>
      <w:r w:rsidRPr="00433073">
        <w:t>doi:https://doi.org/10.1509/jmkg.68.1.1.24036</w:t>
      </w:r>
      <w:proofErr w:type="gramEnd"/>
      <w:r w:rsidRPr="00433073">
        <w:t>.</w:t>
      </w:r>
    </w:p>
    <w:p w14:paraId="6C7C0F7E" w14:textId="77777777" w:rsidR="00C86CDA" w:rsidRPr="00433073" w:rsidRDefault="00C86CDA" w:rsidP="00C86CDA">
      <w:pPr>
        <w:spacing w:after="0"/>
      </w:pPr>
    </w:p>
    <w:p w14:paraId="6E6B5220" w14:textId="77777777" w:rsidR="00433073" w:rsidRDefault="009B7BBF" w:rsidP="00C86CDA">
      <w:pPr>
        <w:spacing w:after="0"/>
      </w:pPr>
      <w:r w:rsidRPr="00433073">
        <w:t xml:space="preserve">Verhoef, P.C., Kannan, P.K. and Inman, J.J. (2015). From Multi-channel Retailing to Omni-channel Retailing. </w:t>
      </w:r>
      <w:r w:rsidRPr="00433073">
        <w:rPr>
          <w:i/>
          <w:iCs/>
        </w:rPr>
        <w:t>Journal of Retailing</w:t>
      </w:r>
      <w:r w:rsidRPr="00433073">
        <w:t xml:space="preserve">, 91(2), pp.174–181. </w:t>
      </w:r>
      <w:proofErr w:type="gramStart"/>
      <w:r w:rsidRPr="00433073">
        <w:t>doi:https://doi.org/10.1016/j.jretai.2015.02.005</w:t>
      </w:r>
      <w:proofErr w:type="gramEnd"/>
      <w:r w:rsidRPr="00433073">
        <w:t>.</w:t>
      </w:r>
    </w:p>
    <w:p w14:paraId="263A917C" w14:textId="77777777" w:rsidR="00C86CDA" w:rsidRPr="00433073" w:rsidRDefault="00C86CDA" w:rsidP="00C86CDA">
      <w:pPr>
        <w:spacing w:after="0"/>
      </w:pPr>
    </w:p>
    <w:p w14:paraId="2FEBFF44" w14:textId="77777777" w:rsidR="00433073" w:rsidRDefault="009B7BBF" w:rsidP="00C86CDA">
      <w:pPr>
        <w:spacing w:after="0"/>
      </w:pPr>
      <w:r w:rsidRPr="00433073">
        <w:t xml:space="preserve">Westerman, G., Bonnet, D. and Mcafee, A. (2022). </w:t>
      </w:r>
      <w:r w:rsidRPr="00433073">
        <w:rPr>
          <w:i/>
          <w:iCs/>
        </w:rPr>
        <w:t>Leading digital: Turning Technology into Business Transformation</w:t>
      </w:r>
      <w:r w:rsidRPr="00433073">
        <w:t>. Boston: Harvard Business Review Press.</w:t>
      </w:r>
    </w:p>
    <w:p w14:paraId="0BAC968B" w14:textId="77777777" w:rsidR="00433073" w:rsidRDefault="009B7BBF" w:rsidP="00C86CDA">
      <w:pPr>
        <w:jc w:val="left"/>
      </w:pPr>
      <w:r>
        <w:br w:type="page"/>
      </w:r>
    </w:p>
    <w:p w14:paraId="771806DE" w14:textId="77777777" w:rsidR="00433073" w:rsidRDefault="009B7BBF" w:rsidP="00C86CDA">
      <w:pPr>
        <w:pStyle w:val="Heading1"/>
      </w:pPr>
      <w:bookmarkStart w:id="44" w:name="_Toc223477711"/>
      <w:r>
        <w:lastRenderedPageBreak/>
        <w:t>Appendices</w:t>
      </w:r>
      <w:r w:rsidR="00C86CDA">
        <w:t>: Unilever Financial Performance</w:t>
      </w:r>
      <w:bookmarkEnd w:id="44"/>
      <w:r w:rsidR="00C86CDA">
        <w:t xml:space="preserve"> </w:t>
      </w:r>
    </w:p>
    <w:p w14:paraId="6FCC7193" w14:textId="77777777" w:rsidR="00813E72" w:rsidRDefault="009B7BBF" w:rsidP="00C86CDA">
      <w:pPr>
        <w:pStyle w:val="Heading2"/>
      </w:pPr>
      <w:bookmarkStart w:id="45" w:name="_Toc223477712"/>
      <w:r w:rsidRPr="00A65AE1">
        <w:t>Appendix Table A1: Unilever Group Financial Performance Summary (2022–2024)</w:t>
      </w:r>
      <w:bookmarkEnd w:id="45"/>
    </w:p>
    <w:tbl>
      <w:tblPr>
        <w:tblStyle w:val="GridTable2-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24"/>
        <w:gridCol w:w="1075"/>
        <w:gridCol w:w="1075"/>
        <w:gridCol w:w="1075"/>
        <w:gridCol w:w="2801"/>
      </w:tblGrid>
      <w:tr w:rsidR="00913DFF" w14:paraId="0269FA18" w14:textId="77777777" w:rsidTr="00913DFF">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777" w:type="pct"/>
            <w:tcBorders>
              <w:top w:val="none" w:sz="0" w:space="0" w:color="auto"/>
              <w:bottom w:val="none" w:sz="0" w:space="0" w:color="auto"/>
              <w:right w:val="none" w:sz="0" w:space="0" w:color="auto"/>
            </w:tcBorders>
            <w:noWrap/>
            <w:hideMark/>
          </w:tcPr>
          <w:p w14:paraId="112E0938" w14:textId="77777777" w:rsidR="0082287B" w:rsidRPr="0082287B" w:rsidRDefault="009B7BBF" w:rsidP="00C86CDA">
            <w:pPr>
              <w:jc w:val="center"/>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Metric</w:t>
            </w:r>
          </w:p>
        </w:tc>
        <w:tc>
          <w:tcPr>
            <w:tcW w:w="575" w:type="pct"/>
            <w:tcBorders>
              <w:top w:val="none" w:sz="0" w:space="0" w:color="auto"/>
              <w:left w:val="none" w:sz="0" w:space="0" w:color="auto"/>
              <w:bottom w:val="none" w:sz="0" w:space="0" w:color="auto"/>
              <w:right w:val="none" w:sz="0" w:space="0" w:color="auto"/>
            </w:tcBorders>
            <w:noWrap/>
            <w:hideMark/>
          </w:tcPr>
          <w:p w14:paraId="2E2463B7" w14:textId="77777777" w:rsidR="0082287B" w:rsidRPr="0082287B"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2022</w:t>
            </w:r>
          </w:p>
        </w:tc>
        <w:tc>
          <w:tcPr>
            <w:tcW w:w="575" w:type="pct"/>
            <w:tcBorders>
              <w:top w:val="none" w:sz="0" w:space="0" w:color="auto"/>
              <w:left w:val="none" w:sz="0" w:space="0" w:color="auto"/>
              <w:bottom w:val="none" w:sz="0" w:space="0" w:color="auto"/>
              <w:right w:val="none" w:sz="0" w:space="0" w:color="auto"/>
            </w:tcBorders>
            <w:noWrap/>
            <w:hideMark/>
          </w:tcPr>
          <w:p w14:paraId="45122A10" w14:textId="77777777" w:rsidR="0082287B" w:rsidRPr="0082287B"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2023</w:t>
            </w:r>
          </w:p>
        </w:tc>
        <w:tc>
          <w:tcPr>
            <w:tcW w:w="575" w:type="pct"/>
            <w:tcBorders>
              <w:top w:val="none" w:sz="0" w:space="0" w:color="auto"/>
              <w:left w:val="none" w:sz="0" w:space="0" w:color="auto"/>
              <w:bottom w:val="none" w:sz="0" w:space="0" w:color="auto"/>
              <w:right w:val="none" w:sz="0" w:space="0" w:color="auto"/>
            </w:tcBorders>
            <w:noWrap/>
            <w:hideMark/>
          </w:tcPr>
          <w:p w14:paraId="64E485B2" w14:textId="77777777" w:rsidR="0082287B" w:rsidRPr="0082287B"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2024</w:t>
            </w:r>
          </w:p>
        </w:tc>
        <w:tc>
          <w:tcPr>
            <w:tcW w:w="1498" w:type="pct"/>
            <w:tcBorders>
              <w:top w:val="none" w:sz="0" w:space="0" w:color="auto"/>
              <w:left w:val="none" w:sz="0" w:space="0" w:color="auto"/>
              <w:bottom w:val="none" w:sz="0" w:space="0" w:color="auto"/>
            </w:tcBorders>
            <w:noWrap/>
            <w:hideMark/>
          </w:tcPr>
          <w:p w14:paraId="2DE9EE5C" w14:textId="77777777" w:rsidR="0082287B" w:rsidRPr="0082287B"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Trend</w:t>
            </w:r>
          </w:p>
        </w:tc>
      </w:tr>
      <w:tr w:rsidR="00913DFF" w14:paraId="1350DDC9"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777" w:type="pct"/>
            <w:noWrap/>
            <w:hideMark/>
          </w:tcPr>
          <w:p w14:paraId="36AC26D0" w14:textId="77777777" w:rsidR="0082287B" w:rsidRPr="0082287B" w:rsidRDefault="009B7BBF" w:rsidP="00C86CDA">
            <w:pPr>
              <w:jc w:val="center"/>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Turnover</w:t>
            </w:r>
          </w:p>
        </w:tc>
        <w:tc>
          <w:tcPr>
            <w:tcW w:w="575" w:type="pct"/>
            <w:noWrap/>
            <w:hideMark/>
          </w:tcPr>
          <w:p w14:paraId="0559C6F8"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€60.1bn</w:t>
            </w:r>
          </w:p>
        </w:tc>
        <w:tc>
          <w:tcPr>
            <w:tcW w:w="575" w:type="pct"/>
            <w:noWrap/>
            <w:hideMark/>
          </w:tcPr>
          <w:p w14:paraId="6032D48F"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€59.6bn</w:t>
            </w:r>
          </w:p>
        </w:tc>
        <w:tc>
          <w:tcPr>
            <w:tcW w:w="575" w:type="pct"/>
            <w:noWrap/>
            <w:hideMark/>
          </w:tcPr>
          <w:p w14:paraId="19116232"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€60.8bn</w:t>
            </w:r>
          </w:p>
        </w:tc>
        <w:tc>
          <w:tcPr>
            <w:tcW w:w="1498" w:type="pct"/>
            <w:noWrap/>
            <w:hideMark/>
          </w:tcPr>
          <w:p w14:paraId="4AF0CF63"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 1.9%</w:t>
            </w:r>
          </w:p>
        </w:tc>
      </w:tr>
      <w:tr w:rsidR="00913DFF" w14:paraId="0D984404"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1777" w:type="pct"/>
            <w:noWrap/>
            <w:hideMark/>
          </w:tcPr>
          <w:p w14:paraId="2059332D" w14:textId="77777777" w:rsidR="0082287B" w:rsidRPr="0082287B" w:rsidRDefault="009B7BBF" w:rsidP="00C86CDA">
            <w:pPr>
              <w:jc w:val="center"/>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Underlying Sales Growth</w:t>
            </w:r>
          </w:p>
        </w:tc>
        <w:tc>
          <w:tcPr>
            <w:tcW w:w="575" w:type="pct"/>
            <w:noWrap/>
            <w:hideMark/>
          </w:tcPr>
          <w:p w14:paraId="190CFFF2"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9.00%</w:t>
            </w:r>
          </w:p>
        </w:tc>
        <w:tc>
          <w:tcPr>
            <w:tcW w:w="575" w:type="pct"/>
            <w:noWrap/>
            <w:hideMark/>
          </w:tcPr>
          <w:p w14:paraId="22C39C0A"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7.00%</w:t>
            </w:r>
          </w:p>
        </w:tc>
        <w:tc>
          <w:tcPr>
            <w:tcW w:w="575" w:type="pct"/>
            <w:noWrap/>
            <w:hideMark/>
          </w:tcPr>
          <w:p w14:paraId="4545FD28"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4.20%</w:t>
            </w:r>
          </w:p>
        </w:tc>
        <w:tc>
          <w:tcPr>
            <w:tcW w:w="1498" w:type="pct"/>
            <w:noWrap/>
            <w:hideMark/>
          </w:tcPr>
          <w:p w14:paraId="290DB2FC"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Moderating</w:t>
            </w:r>
          </w:p>
        </w:tc>
      </w:tr>
      <w:tr w:rsidR="00913DFF" w14:paraId="118169B5"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777" w:type="pct"/>
            <w:noWrap/>
            <w:hideMark/>
          </w:tcPr>
          <w:p w14:paraId="25761875" w14:textId="77777777" w:rsidR="0082287B" w:rsidRPr="0082287B" w:rsidRDefault="009B7BBF" w:rsidP="00C86CDA">
            <w:pPr>
              <w:jc w:val="center"/>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Underlying Volume Growth</w:t>
            </w:r>
          </w:p>
        </w:tc>
        <w:tc>
          <w:tcPr>
            <w:tcW w:w="575" w:type="pct"/>
            <w:noWrap/>
            <w:hideMark/>
          </w:tcPr>
          <w:p w14:paraId="3E951386"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-2.10%</w:t>
            </w:r>
          </w:p>
        </w:tc>
        <w:tc>
          <w:tcPr>
            <w:tcW w:w="575" w:type="pct"/>
            <w:noWrap/>
            <w:hideMark/>
          </w:tcPr>
          <w:p w14:paraId="781ADF68"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0.20%</w:t>
            </w:r>
          </w:p>
        </w:tc>
        <w:tc>
          <w:tcPr>
            <w:tcW w:w="575" w:type="pct"/>
            <w:noWrap/>
            <w:hideMark/>
          </w:tcPr>
          <w:p w14:paraId="39F98FEB"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2.90%</w:t>
            </w:r>
          </w:p>
        </w:tc>
        <w:tc>
          <w:tcPr>
            <w:tcW w:w="1498" w:type="pct"/>
            <w:noWrap/>
            <w:hideMark/>
          </w:tcPr>
          <w:p w14:paraId="3612FD05"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 Volume-led recovery</w:t>
            </w:r>
          </w:p>
        </w:tc>
      </w:tr>
      <w:tr w:rsidR="00913DFF" w14:paraId="42EB5738"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1777" w:type="pct"/>
            <w:noWrap/>
            <w:hideMark/>
          </w:tcPr>
          <w:p w14:paraId="2CC103C5" w14:textId="77777777" w:rsidR="0082287B" w:rsidRPr="0082287B" w:rsidRDefault="009B7BBF" w:rsidP="00C86CDA">
            <w:pPr>
              <w:jc w:val="center"/>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Operating Margin</w:t>
            </w:r>
          </w:p>
        </w:tc>
        <w:tc>
          <w:tcPr>
            <w:tcW w:w="575" w:type="pct"/>
            <w:noWrap/>
            <w:hideMark/>
          </w:tcPr>
          <w:p w14:paraId="03BA6D31"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17.90%</w:t>
            </w:r>
          </w:p>
        </w:tc>
        <w:tc>
          <w:tcPr>
            <w:tcW w:w="575" w:type="pct"/>
            <w:noWrap/>
            <w:hideMark/>
          </w:tcPr>
          <w:p w14:paraId="21FBB55D"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16.40%</w:t>
            </w:r>
          </w:p>
        </w:tc>
        <w:tc>
          <w:tcPr>
            <w:tcW w:w="575" w:type="pct"/>
            <w:noWrap/>
            <w:hideMark/>
          </w:tcPr>
          <w:p w14:paraId="50696BFA"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15.50%</w:t>
            </w:r>
          </w:p>
        </w:tc>
        <w:tc>
          <w:tcPr>
            <w:tcW w:w="1498" w:type="pct"/>
            <w:noWrap/>
            <w:hideMark/>
          </w:tcPr>
          <w:p w14:paraId="776042B0" w14:textId="77777777" w:rsidR="0082287B" w:rsidRPr="0082287B"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 Non-underlying charges</w:t>
            </w:r>
          </w:p>
        </w:tc>
      </w:tr>
      <w:tr w:rsidR="00913DFF" w14:paraId="3296CFBD"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777" w:type="pct"/>
            <w:noWrap/>
            <w:hideMark/>
          </w:tcPr>
          <w:p w14:paraId="597DCDCB" w14:textId="77777777" w:rsidR="0082287B" w:rsidRPr="0082287B" w:rsidRDefault="009B7BBF" w:rsidP="00C86CDA">
            <w:pPr>
              <w:jc w:val="center"/>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Underlying Operating Margin</w:t>
            </w:r>
          </w:p>
        </w:tc>
        <w:tc>
          <w:tcPr>
            <w:tcW w:w="575" w:type="pct"/>
            <w:noWrap/>
            <w:hideMark/>
          </w:tcPr>
          <w:p w14:paraId="4A4CC567"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16.10%</w:t>
            </w:r>
          </w:p>
        </w:tc>
        <w:tc>
          <w:tcPr>
            <w:tcW w:w="575" w:type="pct"/>
            <w:noWrap/>
            <w:hideMark/>
          </w:tcPr>
          <w:p w14:paraId="7E3DE664"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16.70%</w:t>
            </w:r>
          </w:p>
        </w:tc>
        <w:tc>
          <w:tcPr>
            <w:tcW w:w="575" w:type="pct"/>
            <w:noWrap/>
            <w:hideMark/>
          </w:tcPr>
          <w:p w14:paraId="27BC92B3"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18.40%</w:t>
            </w:r>
          </w:p>
        </w:tc>
        <w:tc>
          <w:tcPr>
            <w:tcW w:w="1498" w:type="pct"/>
            <w:noWrap/>
            <w:hideMark/>
          </w:tcPr>
          <w:p w14:paraId="0854A6FC" w14:textId="77777777" w:rsidR="0082287B" w:rsidRPr="0082287B"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82287B">
              <w:rPr>
                <w:rFonts w:eastAsia="Times New Roman" w:cs="Times New Roman"/>
                <w:kern w:val="0"/>
                <w:szCs w:val="24"/>
                <w:lang w:eastAsia="en-GB" w:bidi="bn-BD"/>
                <w14:ligatures w14:val="none"/>
              </w:rPr>
              <w:t>↑ 170bps improvement</w:t>
            </w:r>
          </w:p>
        </w:tc>
      </w:tr>
    </w:tbl>
    <w:p w14:paraId="5EAC565B" w14:textId="77777777" w:rsidR="00A65AE1" w:rsidRPr="00C86CDA" w:rsidRDefault="009B7BBF" w:rsidP="00C86CDA">
      <w:pPr>
        <w:spacing w:after="0"/>
        <w:jc w:val="center"/>
        <w:rPr>
          <w:b/>
          <w:bCs/>
          <w:sz w:val="20"/>
          <w:szCs w:val="18"/>
        </w:rPr>
      </w:pPr>
      <w:r w:rsidRPr="00C86CDA">
        <w:rPr>
          <w:b/>
          <w:bCs/>
          <w:sz w:val="20"/>
          <w:szCs w:val="18"/>
        </w:rPr>
        <w:t>Source: Unilever (2025).</w:t>
      </w:r>
    </w:p>
    <w:p w14:paraId="1479D2F4" w14:textId="77777777" w:rsidR="005D4C68" w:rsidRDefault="009B7BBF" w:rsidP="00C86CDA">
      <w:pPr>
        <w:pStyle w:val="Heading2"/>
      </w:pPr>
      <w:bookmarkStart w:id="46" w:name="_Toc223477713"/>
      <w:r w:rsidRPr="00357AB2">
        <w:t>Appendix Table A2: Unilever Business Group Performance (2024)</w:t>
      </w:r>
      <w:bookmarkEnd w:id="46"/>
    </w:p>
    <w:tbl>
      <w:tblPr>
        <w:tblStyle w:val="GridTable2-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4"/>
        <w:gridCol w:w="2347"/>
        <w:gridCol w:w="1154"/>
        <w:gridCol w:w="1320"/>
        <w:gridCol w:w="1685"/>
      </w:tblGrid>
      <w:tr w:rsidR="00913DFF" w14:paraId="385A842E" w14:textId="77777777" w:rsidTr="00913DFF">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521" w:type="pct"/>
            <w:tcBorders>
              <w:top w:val="none" w:sz="0" w:space="0" w:color="auto"/>
              <w:bottom w:val="none" w:sz="0" w:space="0" w:color="auto"/>
              <w:right w:val="none" w:sz="0" w:space="0" w:color="auto"/>
            </w:tcBorders>
            <w:noWrap/>
            <w:hideMark/>
          </w:tcPr>
          <w:p w14:paraId="209E91B7" w14:textId="77777777" w:rsidR="00EB583C" w:rsidRPr="00EB583C" w:rsidRDefault="009B7BBF" w:rsidP="00C86CDA">
            <w:pPr>
              <w:jc w:val="center"/>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Business Group</w:t>
            </w:r>
          </w:p>
        </w:tc>
        <w:tc>
          <w:tcPr>
            <w:tcW w:w="1255" w:type="pct"/>
            <w:tcBorders>
              <w:top w:val="none" w:sz="0" w:space="0" w:color="auto"/>
              <w:left w:val="none" w:sz="0" w:space="0" w:color="auto"/>
              <w:bottom w:val="none" w:sz="0" w:space="0" w:color="auto"/>
              <w:right w:val="none" w:sz="0" w:space="0" w:color="auto"/>
            </w:tcBorders>
            <w:noWrap/>
            <w:hideMark/>
          </w:tcPr>
          <w:p w14:paraId="7E48E05C" w14:textId="77777777" w:rsidR="00EB583C" w:rsidRPr="00EB583C"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Turnover (2024)</w:t>
            </w:r>
          </w:p>
        </w:tc>
        <w:tc>
          <w:tcPr>
            <w:tcW w:w="617" w:type="pct"/>
            <w:tcBorders>
              <w:top w:val="none" w:sz="0" w:space="0" w:color="auto"/>
              <w:left w:val="none" w:sz="0" w:space="0" w:color="auto"/>
              <w:bottom w:val="none" w:sz="0" w:space="0" w:color="auto"/>
              <w:right w:val="none" w:sz="0" w:space="0" w:color="auto"/>
            </w:tcBorders>
            <w:noWrap/>
            <w:hideMark/>
          </w:tcPr>
          <w:p w14:paraId="4CD4232E" w14:textId="77777777" w:rsidR="00EB583C" w:rsidRPr="00EB583C"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USG</w:t>
            </w:r>
          </w:p>
        </w:tc>
        <w:tc>
          <w:tcPr>
            <w:tcW w:w="706" w:type="pct"/>
            <w:tcBorders>
              <w:top w:val="none" w:sz="0" w:space="0" w:color="auto"/>
              <w:left w:val="none" w:sz="0" w:space="0" w:color="auto"/>
              <w:bottom w:val="none" w:sz="0" w:space="0" w:color="auto"/>
              <w:right w:val="none" w:sz="0" w:space="0" w:color="auto"/>
            </w:tcBorders>
            <w:noWrap/>
            <w:hideMark/>
          </w:tcPr>
          <w:p w14:paraId="01567BFF" w14:textId="77777777" w:rsidR="00EB583C" w:rsidRPr="00EB583C"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UOM</w:t>
            </w:r>
          </w:p>
        </w:tc>
        <w:tc>
          <w:tcPr>
            <w:tcW w:w="901" w:type="pct"/>
            <w:tcBorders>
              <w:top w:val="none" w:sz="0" w:space="0" w:color="auto"/>
              <w:left w:val="none" w:sz="0" w:space="0" w:color="auto"/>
              <w:bottom w:val="none" w:sz="0" w:space="0" w:color="auto"/>
            </w:tcBorders>
            <w:noWrap/>
            <w:hideMark/>
          </w:tcPr>
          <w:p w14:paraId="6DDFA8C5" w14:textId="77777777" w:rsidR="00EB583C" w:rsidRPr="00EB583C"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 of Group</w:t>
            </w:r>
          </w:p>
        </w:tc>
      </w:tr>
      <w:tr w:rsidR="00913DFF" w14:paraId="1D04C91B"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521" w:type="pct"/>
            <w:noWrap/>
            <w:hideMark/>
          </w:tcPr>
          <w:p w14:paraId="038DAC69" w14:textId="77777777" w:rsidR="00EB583C" w:rsidRPr="00EB583C" w:rsidRDefault="009B7BBF" w:rsidP="00C86CDA">
            <w:pPr>
              <w:jc w:val="left"/>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Beauty &amp; Wellbeing</w:t>
            </w:r>
          </w:p>
        </w:tc>
        <w:tc>
          <w:tcPr>
            <w:tcW w:w="1255" w:type="pct"/>
            <w:noWrap/>
            <w:hideMark/>
          </w:tcPr>
          <w:p w14:paraId="6D1BE77F" w14:textId="77777777" w:rsidR="00EB583C" w:rsidRPr="00EB583C"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€13.2bn</w:t>
            </w:r>
          </w:p>
        </w:tc>
        <w:tc>
          <w:tcPr>
            <w:tcW w:w="617" w:type="pct"/>
            <w:noWrap/>
            <w:hideMark/>
          </w:tcPr>
          <w:p w14:paraId="628CEB8B"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6.50%</w:t>
            </w:r>
          </w:p>
        </w:tc>
        <w:tc>
          <w:tcPr>
            <w:tcW w:w="706" w:type="pct"/>
            <w:noWrap/>
            <w:hideMark/>
          </w:tcPr>
          <w:p w14:paraId="53352FCD"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19.40%</w:t>
            </w:r>
          </w:p>
        </w:tc>
        <w:tc>
          <w:tcPr>
            <w:tcW w:w="901" w:type="pct"/>
            <w:noWrap/>
            <w:hideMark/>
          </w:tcPr>
          <w:p w14:paraId="3A77B26D"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21.70%</w:t>
            </w:r>
          </w:p>
        </w:tc>
      </w:tr>
      <w:tr w:rsidR="00913DFF" w14:paraId="597BA283"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1521" w:type="pct"/>
            <w:noWrap/>
            <w:hideMark/>
          </w:tcPr>
          <w:p w14:paraId="5BA3CB8D" w14:textId="77777777" w:rsidR="00EB583C" w:rsidRPr="00EB583C" w:rsidRDefault="009B7BBF" w:rsidP="00C86CDA">
            <w:pPr>
              <w:jc w:val="left"/>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Personal Care</w:t>
            </w:r>
          </w:p>
        </w:tc>
        <w:tc>
          <w:tcPr>
            <w:tcW w:w="1255" w:type="pct"/>
            <w:noWrap/>
            <w:hideMark/>
          </w:tcPr>
          <w:p w14:paraId="35C4C9A6" w14:textId="77777777" w:rsidR="00EB583C" w:rsidRPr="00EB583C"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€13.6bn</w:t>
            </w:r>
          </w:p>
        </w:tc>
        <w:tc>
          <w:tcPr>
            <w:tcW w:w="617" w:type="pct"/>
            <w:noWrap/>
            <w:hideMark/>
          </w:tcPr>
          <w:p w14:paraId="5978AE95" w14:textId="77777777" w:rsidR="00EB583C" w:rsidRPr="00EB583C" w:rsidRDefault="009B7BBF" w:rsidP="00C86CD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5.20%</w:t>
            </w:r>
          </w:p>
        </w:tc>
        <w:tc>
          <w:tcPr>
            <w:tcW w:w="706" w:type="pct"/>
            <w:noWrap/>
            <w:hideMark/>
          </w:tcPr>
          <w:p w14:paraId="05CE7CB3" w14:textId="77777777" w:rsidR="00EB583C" w:rsidRPr="00EB583C" w:rsidRDefault="009B7BBF" w:rsidP="00C86CD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22.10%</w:t>
            </w:r>
          </w:p>
        </w:tc>
        <w:tc>
          <w:tcPr>
            <w:tcW w:w="901" w:type="pct"/>
            <w:noWrap/>
            <w:hideMark/>
          </w:tcPr>
          <w:p w14:paraId="5D928816" w14:textId="77777777" w:rsidR="00EB583C" w:rsidRPr="00EB583C" w:rsidRDefault="009B7BBF" w:rsidP="00C86CD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22.40%</w:t>
            </w:r>
          </w:p>
        </w:tc>
      </w:tr>
      <w:tr w:rsidR="00913DFF" w14:paraId="6D756CE0"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521" w:type="pct"/>
            <w:noWrap/>
            <w:hideMark/>
          </w:tcPr>
          <w:p w14:paraId="7716525B" w14:textId="77777777" w:rsidR="00EB583C" w:rsidRPr="00EB583C" w:rsidRDefault="009B7BBF" w:rsidP="00C86CDA">
            <w:pPr>
              <w:jc w:val="left"/>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Home Care</w:t>
            </w:r>
          </w:p>
        </w:tc>
        <w:tc>
          <w:tcPr>
            <w:tcW w:w="1255" w:type="pct"/>
            <w:noWrap/>
            <w:hideMark/>
          </w:tcPr>
          <w:p w14:paraId="2E6253F0" w14:textId="77777777" w:rsidR="00EB583C" w:rsidRPr="00EB583C"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€12.3bn</w:t>
            </w:r>
          </w:p>
        </w:tc>
        <w:tc>
          <w:tcPr>
            <w:tcW w:w="617" w:type="pct"/>
            <w:noWrap/>
            <w:hideMark/>
          </w:tcPr>
          <w:p w14:paraId="0D3AE0CD"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2.90%</w:t>
            </w:r>
          </w:p>
        </w:tc>
        <w:tc>
          <w:tcPr>
            <w:tcW w:w="706" w:type="pct"/>
            <w:noWrap/>
            <w:hideMark/>
          </w:tcPr>
          <w:p w14:paraId="26CEDE4F"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14.50%</w:t>
            </w:r>
          </w:p>
        </w:tc>
        <w:tc>
          <w:tcPr>
            <w:tcW w:w="901" w:type="pct"/>
            <w:noWrap/>
            <w:hideMark/>
          </w:tcPr>
          <w:p w14:paraId="69333B43"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20.20%</w:t>
            </w:r>
          </w:p>
        </w:tc>
      </w:tr>
      <w:tr w:rsidR="00913DFF" w14:paraId="7E31D415"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1521" w:type="pct"/>
            <w:noWrap/>
            <w:hideMark/>
          </w:tcPr>
          <w:p w14:paraId="4CDED106" w14:textId="77777777" w:rsidR="00EB583C" w:rsidRPr="00EB583C" w:rsidRDefault="009B7BBF" w:rsidP="00C86CDA">
            <w:pPr>
              <w:jc w:val="left"/>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Foods</w:t>
            </w:r>
          </w:p>
        </w:tc>
        <w:tc>
          <w:tcPr>
            <w:tcW w:w="1255" w:type="pct"/>
            <w:noWrap/>
            <w:hideMark/>
          </w:tcPr>
          <w:p w14:paraId="1B05B291" w14:textId="77777777" w:rsidR="00EB583C" w:rsidRPr="00EB583C" w:rsidRDefault="009B7BBF" w:rsidP="00C86CD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€13.4bn</w:t>
            </w:r>
          </w:p>
        </w:tc>
        <w:tc>
          <w:tcPr>
            <w:tcW w:w="617" w:type="pct"/>
            <w:noWrap/>
            <w:hideMark/>
          </w:tcPr>
          <w:p w14:paraId="44A020EB" w14:textId="77777777" w:rsidR="00EB583C" w:rsidRPr="00EB583C" w:rsidRDefault="009B7BBF" w:rsidP="00C86CD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2.60%</w:t>
            </w:r>
          </w:p>
        </w:tc>
        <w:tc>
          <w:tcPr>
            <w:tcW w:w="706" w:type="pct"/>
            <w:noWrap/>
            <w:hideMark/>
          </w:tcPr>
          <w:p w14:paraId="4E1BB2B5" w14:textId="77777777" w:rsidR="00EB583C" w:rsidRPr="00EB583C" w:rsidRDefault="009B7BBF" w:rsidP="00C86CD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21.30%</w:t>
            </w:r>
          </w:p>
        </w:tc>
        <w:tc>
          <w:tcPr>
            <w:tcW w:w="901" w:type="pct"/>
            <w:noWrap/>
            <w:hideMark/>
          </w:tcPr>
          <w:p w14:paraId="17A3B3B5" w14:textId="77777777" w:rsidR="00EB583C" w:rsidRPr="00EB583C" w:rsidRDefault="009B7BBF" w:rsidP="00C86CD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22.00%</w:t>
            </w:r>
          </w:p>
        </w:tc>
      </w:tr>
      <w:tr w:rsidR="00913DFF" w14:paraId="7802BB57"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521" w:type="pct"/>
            <w:noWrap/>
            <w:hideMark/>
          </w:tcPr>
          <w:p w14:paraId="58A225B5" w14:textId="77777777" w:rsidR="00EB583C" w:rsidRPr="00EB583C" w:rsidRDefault="009B7BBF" w:rsidP="00C86CDA">
            <w:pPr>
              <w:jc w:val="left"/>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Ice Cream</w:t>
            </w:r>
          </w:p>
        </w:tc>
        <w:tc>
          <w:tcPr>
            <w:tcW w:w="1255" w:type="pct"/>
            <w:noWrap/>
            <w:hideMark/>
          </w:tcPr>
          <w:p w14:paraId="5F8D8929" w14:textId="77777777" w:rsidR="00EB583C" w:rsidRPr="00EB583C" w:rsidRDefault="009B7BBF" w:rsidP="00C86CD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€8.3bn</w:t>
            </w:r>
          </w:p>
        </w:tc>
        <w:tc>
          <w:tcPr>
            <w:tcW w:w="617" w:type="pct"/>
            <w:noWrap/>
            <w:hideMark/>
          </w:tcPr>
          <w:p w14:paraId="53D3E620"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3.70%</w:t>
            </w:r>
          </w:p>
        </w:tc>
        <w:tc>
          <w:tcPr>
            <w:tcW w:w="706" w:type="pct"/>
            <w:noWrap/>
            <w:hideMark/>
          </w:tcPr>
          <w:p w14:paraId="0330399D"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11.80%</w:t>
            </w:r>
          </w:p>
        </w:tc>
        <w:tc>
          <w:tcPr>
            <w:tcW w:w="901" w:type="pct"/>
            <w:noWrap/>
            <w:hideMark/>
          </w:tcPr>
          <w:p w14:paraId="6C1EE34C" w14:textId="77777777" w:rsidR="00EB583C" w:rsidRPr="00EB583C" w:rsidRDefault="009B7BBF" w:rsidP="00C86CD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B583C">
              <w:rPr>
                <w:rFonts w:eastAsia="Times New Roman" w:cs="Times New Roman"/>
                <w:kern w:val="0"/>
                <w:szCs w:val="24"/>
                <w:lang w:eastAsia="en-GB" w:bidi="bn-BD"/>
                <w14:ligatures w14:val="none"/>
              </w:rPr>
              <w:t>13.70%</w:t>
            </w:r>
          </w:p>
        </w:tc>
      </w:tr>
    </w:tbl>
    <w:p w14:paraId="1BD9FC8F" w14:textId="77777777" w:rsidR="00357AB2" w:rsidRPr="00C86CDA" w:rsidRDefault="009B7BBF" w:rsidP="00C86CDA">
      <w:pPr>
        <w:spacing w:after="0"/>
        <w:rPr>
          <w:b/>
          <w:bCs/>
          <w:szCs w:val="20"/>
        </w:rPr>
      </w:pPr>
      <w:r w:rsidRPr="00C86CDA">
        <w:rPr>
          <w:b/>
          <w:bCs/>
          <w:szCs w:val="20"/>
        </w:rPr>
        <w:t>Source: Unilever Annual Report and Accounts 2024 (Unilever, 2025). USG = Underlying Sales Growth; UOM = Underlying Operating Margin.</w:t>
      </w:r>
    </w:p>
    <w:p w14:paraId="14BAA87C" w14:textId="77777777" w:rsidR="00B44A8C" w:rsidRDefault="009B7BBF" w:rsidP="00C86CDA">
      <w:pPr>
        <w:pStyle w:val="Heading2"/>
      </w:pPr>
      <w:bookmarkStart w:id="47" w:name="_Toc223477714"/>
      <w:r w:rsidRPr="008715DC">
        <w:t>Appendix Table A3: Unilever Cash Flow Analysis (2023–2024, € million)</w:t>
      </w:r>
      <w:bookmarkEnd w:id="47"/>
    </w:p>
    <w:tbl>
      <w:tblPr>
        <w:tblStyle w:val="GridTable2-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04"/>
        <w:gridCol w:w="1279"/>
        <w:gridCol w:w="1279"/>
        <w:gridCol w:w="1388"/>
      </w:tblGrid>
      <w:tr w:rsidR="00913DFF" w14:paraId="08434F18" w14:textId="77777777" w:rsidTr="00913DFF">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890" w:type="pct"/>
            <w:tcBorders>
              <w:top w:val="none" w:sz="0" w:space="0" w:color="auto"/>
              <w:bottom w:val="none" w:sz="0" w:space="0" w:color="auto"/>
              <w:right w:val="none" w:sz="0" w:space="0" w:color="auto"/>
            </w:tcBorders>
            <w:noWrap/>
            <w:hideMark/>
          </w:tcPr>
          <w:p w14:paraId="57DE48CE" w14:textId="77777777" w:rsidR="007564E9" w:rsidRPr="007564E9" w:rsidRDefault="009B7BBF" w:rsidP="00C86CDA">
            <w:pPr>
              <w:jc w:val="center"/>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Cash Flow Item</w:t>
            </w:r>
          </w:p>
        </w:tc>
        <w:tc>
          <w:tcPr>
            <w:tcW w:w="684" w:type="pct"/>
            <w:tcBorders>
              <w:top w:val="none" w:sz="0" w:space="0" w:color="auto"/>
              <w:left w:val="none" w:sz="0" w:space="0" w:color="auto"/>
              <w:bottom w:val="none" w:sz="0" w:space="0" w:color="auto"/>
              <w:right w:val="none" w:sz="0" w:space="0" w:color="auto"/>
            </w:tcBorders>
            <w:noWrap/>
            <w:hideMark/>
          </w:tcPr>
          <w:p w14:paraId="059BE3AD" w14:textId="77777777" w:rsidR="007564E9" w:rsidRPr="007564E9"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2024</w:t>
            </w:r>
          </w:p>
        </w:tc>
        <w:tc>
          <w:tcPr>
            <w:tcW w:w="684" w:type="pct"/>
            <w:tcBorders>
              <w:top w:val="none" w:sz="0" w:space="0" w:color="auto"/>
              <w:left w:val="none" w:sz="0" w:space="0" w:color="auto"/>
              <w:bottom w:val="none" w:sz="0" w:space="0" w:color="auto"/>
              <w:right w:val="none" w:sz="0" w:space="0" w:color="auto"/>
            </w:tcBorders>
            <w:noWrap/>
            <w:hideMark/>
          </w:tcPr>
          <w:p w14:paraId="487A1959" w14:textId="77777777" w:rsidR="007564E9" w:rsidRPr="007564E9"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2023</w:t>
            </w:r>
          </w:p>
        </w:tc>
        <w:tc>
          <w:tcPr>
            <w:tcW w:w="742" w:type="pct"/>
            <w:tcBorders>
              <w:top w:val="none" w:sz="0" w:space="0" w:color="auto"/>
              <w:left w:val="none" w:sz="0" w:space="0" w:color="auto"/>
              <w:bottom w:val="none" w:sz="0" w:space="0" w:color="auto"/>
            </w:tcBorders>
            <w:noWrap/>
            <w:hideMark/>
          </w:tcPr>
          <w:p w14:paraId="0F2B3956" w14:textId="77777777" w:rsidR="007564E9" w:rsidRPr="007564E9"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Change</w:t>
            </w:r>
          </w:p>
        </w:tc>
      </w:tr>
      <w:tr w:rsidR="00913DFF" w14:paraId="5850D102"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890" w:type="pct"/>
            <w:noWrap/>
            <w:hideMark/>
          </w:tcPr>
          <w:p w14:paraId="193DFDB3" w14:textId="77777777" w:rsidR="007564E9" w:rsidRPr="007564E9" w:rsidRDefault="009B7BBF" w:rsidP="00C86CDA">
            <w:pPr>
              <w:jc w:val="left"/>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Operating Profit</w:t>
            </w:r>
          </w:p>
        </w:tc>
        <w:tc>
          <w:tcPr>
            <w:tcW w:w="684" w:type="pct"/>
            <w:noWrap/>
            <w:hideMark/>
          </w:tcPr>
          <w:p w14:paraId="7A3A756B"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9,400</w:t>
            </w:r>
          </w:p>
        </w:tc>
        <w:tc>
          <w:tcPr>
            <w:tcW w:w="684" w:type="pct"/>
            <w:noWrap/>
            <w:hideMark/>
          </w:tcPr>
          <w:p w14:paraId="2FB78F52"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9,758</w:t>
            </w:r>
          </w:p>
        </w:tc>
        <w:tc>
          <w:tcPr>
            <w:tcW w:w="742" w:type="pct"/>
            <w:noWrap/>
            <w:hideMark/>
          </w:tcPr>
          <w:p w14:paraId="30020399"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-358</w:t>
            </w:r>
          </w:p>
        </w:tc>
      </w:tr>
      <w:tr w:rsidR="00913DFF" w14:paraId="7D7866BC"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2890" w:type="pct"/>
            <w:noWrap/>
            <w:hideMark/>
          </w:tcPr>
          <w:p w14:paraId="2F6F1E0F" w14:textId="77777777" w:rsidR="007564E9" w:rsidRPr="007564E9" w:rsidRDefault="009B7BBF" w:rsidP="00C86CDA">
            <w:pPr>
              <w:jc w:val="left"/>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Cash Flow from Operating Activities</w:t>
            </w:r>
          </w:p>
        </w:tc>
        <w:tc>
          <w:tcPr>
            <w:tcW w:w="684" w:type="pct"/>
            <w:noWrap/>
            <w:hideMark/>
          </w:tcPr>
          <w:p w14:paraId="54E0E13E"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12,144</w:t>
            </w:r>
          </w:p>
        </w:tc>
        <w:tc>
          <w:tcPr>
            <w:tcW w:w="684" w:type="pct"/>
            <w:noWrap/>
            <w:hideMark/>
          </w:tcPr>
          <w:p w14:paraId="522DDF6A"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11,561</w:t>
            </w:r>
          </w:p>
        </w:tc>
        <w:tc>
          <w:tcPr>
            <w:tcW w:w="742" w:type="pct"/>
            <w:noWrap/>
            <w:hideMark/>
          </w:tcPr>
          <w:p w14:paraId="44E0C1D2"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583</w:t>
            </w:r>
          </w:p>
        </w:tc>
      </w:tr>
      <w:tr w:rsidR="00913DFF" w14:paraId="3AC06D71"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890" w:type="pct"/>
            <w:noWrap/>
            <w:hideMark/>
          </w:tcPr>
          <w:p w14:paraId="0F0A2526" w14:textId="77777777" w:rsidR="007564E9" w:rsidRPr="007564E9" w:rsidRDefault="009B7BBF" w:rsidP="00C86CDA">
            <w:pPr>
              <w:jc w:val="left"/>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Income Tax Paid</w:t>
            </w:r>
          </w:p>
        </w:tc>
        <w:tc>
          <w:tcPr>
            <w:tcW w:w="684" w:type="pct"/>
            <w:noWrap/>
            <w:hideMark/>
          </w:tcPr>
          <w:p w14:paraId="133FD72F"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-2,625</w:t>
            </w:r>
          </w:p>
        </w:tc>
        <w:tc>
          <w:tcPr>
            <w:tcW w:w="684" w:type="pct"/>
            <w:noWrap/>
            <w:hideMark/>
          </w:tcPr>
          <w:p w14:paraId="132ED847"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-2,135</w:t>
            </w:r>
          </w:p>
        </w:tc>
        <w:tc>
          <w:tcPr>
            <w:tcW w:w="742" w:type="pct"/>
            <w:noWrap/>
            <w:hideMark/>
          </w:tcPr>
          <w:p w14:paraId="072BEA19"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-490</w:t>
            </w:r>
          </w:p>
        </w:tc>
      </w:tr>
      <w:tr w:rsidR="00913DFF" w14:paraId="44D28594"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2890" w:type="pct"/>
            <w:noWrap/>
            <w:hideMark/>
          </w:tcPr>
          <w:p w14:paraId="03334FE9" w14:textId="77777777" w:rsidR="007564E9" w:rsidRPr="007564E9" w:rsidRDefault="009B7BBF" w:rsidP="00C86CDA">
            <w:pPr>
              <w:jc w:val="left"/>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Net Capital Expenditure</w:t>
            </w:r>
          </w:p>
        </w:tc>
        <w:tc>
          <w:tcPr>
            <w:tcW w:w="684" w:type="pct"/>
            <w:noWrap/>
            <w:hideMark/>
          </w:tcPr>
          <w:p w14:paraId="628D5889"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-1,934</w:t>
            </w:r>
          </w:p>
        </w:tc>
        <w:tc>
          <w:tcPr>
            <w:tcW w:w="684" w:type="pct"/>
            <w:noWrap/>
            <w:hideMark/>
          </w:tcPr>
          <w:p w14:paraId="638A7721"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-1,703</w:t>
            </w:r>
          </w:p>
        </w:tc>
        <w:tc>
          <w:tcPr>
            <w:tcW w:w="742" w:type="pct"/>
            <w:noWrap/>
            <w:hideMark/>
          </w:tcPr>
          <w:p w14:paraId="52092B64"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-231</w:t>
            </w:r>
          </w:p>
        </w:tc>
      </w:tr>
      <w:tr w:rsidR="00913DFF" w14:paraId="1FF33E54"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890" w:type="pct"/>
            <w:noWrap/>
            <w:hideMark/>
          </w:tcPr>
          <w:p w14:paraId="5B5B47F8" w14:textId="77777777" w:rsidR="007564E9" w:rsidRPr="007564E9" w:rsidRDefault="009B7BBF" w:rsidP="00C86CDA">
            <w:pPr>
              <w:jc w:val="left"/>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Free Cash Flow</w:t>
            </w:r>
          </w:p>
        </w:tc>
        <w:tc>
          <w:tcPr>
            <w:tcW w:w="684" w:type="pct"/>
            <w:noWrap/>
            <w:hideMark/>
          </w:tcPr>
          <w:p w14:paraId="57E4E0B1"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6,932</w:t>
            </w:r>
          </w:p>
        </w:tc>
        <w:tc>
          <w:tcPr>
            <w:tcW w:w="684" w:type="pct"/>
            <w:noWrap/>
            <w:hideMark/>
          </w:tcPr>
          <w:p w14:paraId="028CB9DA"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7,091</w:t>
            </w:r>
          </w:p>
        </w:tc>
        <w:tc>
          <w:tcPr>
            <w:tcW w:w="742" w:type="pct"/>
            <w:noWrap/>
            <w:hideMark/>
          </w:tcPr>
          <w:p w14:paraId="6BC2819C" w14:textId="77777777" w:rsidR="007564E9" w:rsidRPr="007564E9"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-159</w:t>
            </w:r>
          </w:p>
        </w:tc>
      </w:tr>
      <w:tr w:rsidR="00913DFF" w14:paraId="2684951A"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2890" w:type="pct"/>
            <w:noWrap/>
            <w:hideMark/>
          </w:tcPr>
          <w:p w14:paraId="51AAE246" w14:textId="77777777" w:rsidR="007564E9" w:rsidRPr="007564E9" w:rsidRDefault="009B7BBF" w:rsidP="00C86CDA">
            <w:pPr>
              <w:jc w:val="left"/>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Cash Conversion</w:t>
            </w:r>
          </w:p>
        </w:tc>
        <w:tc>
          <w:tcPr>
            <w:tcW w:w="684" w:type="pct"/>
            <w:noWrap/>
            <w:hideMark/>
          </w:tcPr>
          <w:p w14:paraId="23B77564"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106%</w:t>
            </w:r>
          </w:p>
        </w:tc>
        <w:tc>
          <w:tcPr>
            <w:tcW w:w="684" w:type="pct"/>
            <w:noWrap/>
            <w:hideMark/>
          </w:tcPr>
          <w:p w14:paraId="501F4EA0"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w:t>
            </w:r>
          </w:p>
        </w:tc>
        <w:tc>
          <w:tcPr>
            <w:tcW w:w="742" w:type="pct"/>
            <w:noWrap/>
            <w:hideMark/>
          </w:tcPr>
          <w:p w14:paraId="5C182D09" w14:textId="77777777" w:rsidR="007564E9" w:rsidRPr="007564E9"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7564E9">
              <w:rPr>
                <w:rFonts w:eastAsia="Times New Roman" w:cs="Times New Roman"/>
                <w:kern w:val="0"/>
                <w:szCs w:val="24"/>
                <w:lang w:eastAsia="en-GB" w:bidi="bn-BD"/>
                <w14:ligatures w14:val="none"/>
              </w:rPr>
              <w:t>Strong</w:t>
            </w:r>
          </w:p>
        </w:tc>
      </w:tr>
    </w:tbl>
    <w:p w14:paraId="4758D053" w14:textId="77777777" w:rsidR="008715DC" w:rsidRPr="00C86CDA" w:rsidRDefault="009B7BBF" w:rsidP="00C86CDA">
      <w:pPr>
        <w:spacing w:after="0"/>
        <w:jc w:val="center"/>
        <w:rPr>
          <w:b/>
          <w:bCs/>
          <w:szCs w:val="20"/>
        </w:rPr>
      </w:pPr>
      <w:r w:rsidRPr="00C86CDA">
        <w:rPr>
          <w:b/>
          <w:bCs/>
          <w:szCs w:val="20"/>
        </w:rPr>
        <w:t>Source: Unilever Annual Report and Accounts 2024 (Unilever, 2025)</w:t>
      </w:r>
    </w:p>
    <w:p w14:paraId="353CDDBD" w14:textId="77777777" w:rsidR="00265E7D" w:rsidRDefault="009B7BBF" w:rsidP="00C86CDA">
      <w:pPr>
        <w:pStyle w:val="Heading2"/>
      </w:pPr>
      <w:bookmarkStart w:id="48" w:name="_Toc223477715"/>
      <w:r w:rsidRPr="009E318D">
        <w:t>Appendix Table A4: Unilever 2025 Full Year Results (Continuing Basis, excl. Ice Cream)</w:t>
      </w:r>
      <w:bookmarkEnd w:id="48"/>
    </w:p>
    <w:tbl>
      <w:tblPr>
        <w:tblStyle w:val="GridTable2-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76"/>
        <w:gridCol w:w="1629"/>
        <w:gridCol w:w="2945"/>
      </w:tblGrid>
      <w:tr w:rsidR="00913DFF" w14:paraId="6CE46962" w14:textId="77777777" w:rsidTr="00913DFF">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4" w:type="pct"/>
            <w:tcBorders>
              <w:top w:val="none" w:sz="0" w:space="0" w:color="auto"/>
              <w:bottom w:val="none" w:sz="0" w:space="0" w:color="auto"/>
              <w:right w:val="none" w:sz="0" w:space="0" w:color="auto"/>
            </w:tcBorders>
            <w:noWrap/>
            <w:hideMark/>
          </w:tcPr>
          <w:p w14:paraId="7B13707A" w14:textId="77777777" w:rsidR="00C62077" w:rsidRPr="00C62077" w:rsidRDefault="009B7BBF" w:rsidP="00C86CDA">
            <w:pPr>
              <w:jc w:val="center"/>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Metric</w:t>
            </w:r>
          </w:p>
        </w:tc>
        <w:tc>
          <w:tcPr>
            <w:tcW w:w="871" w:type="pct"/>
            <w:tcBorders>
              <w:top w:val="none" w:sz="0" w:space="0" w:color="auto"/>
              <w:left w:val="none" w:sz="0" w:space="0" w:color="auto"/>
              <w:bottom w:val="none" w:sz="0" w:space="0" w:color="auto"/>
              <w:right w:val="none" w:sz="0" w:space="0" w:color="auto"/>
            </w:tcBorders>
            <w:noWrap/>
            <w:hideMark/>
          </w:tcPr>
          <w:p w14:paraId="33CEE9D6" w14:textId="77777777" w:rsidR="00C62077" w:rsidRPr="00C62077"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2025</w:t>
            </w:r>
          </w:p>
        </w:tc>
        <w:tc>
          <w:tcPr>
            <w:tcW w:w="1575" w:type="pct"/>
            <w:tcBorders>
              <w:top w:val="none" w:sz="0" w:space="0" w:color="auto"/>
              <w:left w:val="none" w:sz="0" w:space="0" w:color="auto"/>
              <w:bottom w:val="none" w:sz="0" w:space="0" w:color="auto"/>
            </w:tcBorders>
            <w:noWrap/>
            <w:hideMark/>
          </w:tcPr>
          <w:p w14:paraId="23ED97C7" w14:textId="77777777" w:rsidR="00C62077" w:rsidRPr="00C62077"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vs 2024</w:t>
            </w:r>
          </w:p>
        </w:tc>
      </w:tr>
      <w:tr w:rsidR="00913DFF" w14:paraId="455DBBDB"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4" w:type="pct"/>
            <w:noWrap/>
            <w:hideMark/>
          </w:tcPr>
          <w:p w14:paraId="11ABC85E" w14:textId="77777777" w:rsidR="00C62077" w:rsidRPr="00C62077" w:rsidRDefault="009B7BBF" w:rsidP="00C86CDA">
            <w:pPr>
              <w:jc w:val="left"/>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Turnover</w:t>
            </w:r>
          </w:p>
        </w:tc>
        <w:tc>
          <w:tcPr>
            <w:tcW w:w="871" w:type="pct"/>
            <w:noWrap/>
            <w:hideMark/>
          </w:tcPr>
          <w:p w14:paraId="06328A0E" w14:textId="77777777" w:rsidR="00C62077" w:rsidRPr="00C62077"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€50.5bn</w:t>
            </w:r>
          </w:p>
        </w:tc>
        <w:tc>
          <w:tcPr>
            <w:tcW w:w="1575" w:type="pct"/>
            <w:noWrap/>
            <w:hideMark/>
          </w:tcPr>
          <w:p w14:paraId="5BE6EEA3" w14:textId="77777777" w:rsidR="00C62077" w:rsidRPr="00C62077"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-3.80%</w:t>
            </w:r>
          </w:p>
        </w:tc>
      </w:tr>
      <w:tr w:rsidR="00913DFF" w14:paraId="079ED33A"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2554" w:type="pct"/>
            <w:noWrap/>
            <w:hideMark/>
          </w:tcPr>
          <w:p w14:paraId="37FC95D4" w14:textId="77777777" w:rsidR="00C62077" w:rsidRPr="00C62077" w:rsidRDefault="009B7BBF" w:rsidP="00C86CDA">
            <w:pPr>
              <w:jc w:val="left"/>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lastRenderedPageBreak/>
              <w:t>Underlying Sales Growth</w:t>
            </w:r>
          </w:p>
        </w:tc>
        <w:tc>
          <w:tcPr>
            <w:tcW w:w="871" w:type="pct"/>
            <w:noWrap/>
            <w:hideMark/>
          </w:tcPr>
          <w:p w14:paraId="700CB49D" w14:textId="77777777" w:rsidR="00C62077" w:rsidRPr="00C62077"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3.50%</w:t>
            </w:r>
          </w:p>
        </w:tc>
        <w:tc>
          <w:tcPr>
            <w:tcW w:w="1575" w:type="pct"/>
            <w:noWrap/>
            <w:hideMark/>
          </w:tcPr>
          <w:p w14:paraId="3279D9A1" w14:textId="77777777" w:rsidR="00C62077" w:rsidRPr="00C62077"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Slight moderation</w:t>
            </w:r>
          </w:p>
        </w:tc>
      </w:tr>
      <w:tr w:rsidR="00913DFF" w14:paraId="0B94FD57"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4" w:type="pct"/>
            <w:noWrap/>
            <w:hideMark/>
          </w:tcPr>
          <w:p w14:paraId="731A1476" w14:textId="77777777" w:rsidR="00C62077" w:rsidRPr="00C62077" w:rsidRDefault="009B7BBF" w:rsidP="00C86CDA">
            <w:pPr>
              <w:jc w:val="left"/>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Underlying Operating Margin</w:t>
            </w:r>
          </w:p>
        </w:tc>
        <w:tc>
          <w:tcPr>
            <w:tcW w:w="871" w:type="pct"/>
            <w:noWrap/>
            <w:hideMark/>
          </w:tcPr>
          <w:p w14:paraId="4A8FDC24" w14:textId="77777777" w:rsidR="00C62077" w:rsidRPr="00C62077"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20.00%</w:t>
            </w:r>
          </w:p>
        </w:tc>
        <w:tc>
          <w:tcPr>
            <w:tcW w:w="1575" w:type="pct"/>
            <w:noWrap/>
            <w:hideMark/>
          </w:tcPr>
          <w:p w14:paraId="0BFD32DD" w14:textId="77777777" w:rsidR="00C62077" w:rsidRPr="00C62077"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+60bps</w:t>
            </w:r>
          </w:p>
        </w:tc>
      </w:tr>
      <w:tr w:rsidR="00913DFF" w14:paraId="3358B863"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2554" w:type="pct"/>
            <w:noWrap/>
            <w:hideMark/>
          </w:tcPr>
          <w:p w14:paraId="6DC796CB" w14:textId="77777777" w:rsidR="00C62077" w:rsidRPr="00C62077" w:rsidRDefault="009B7BBF" w:rsidP="00C86CDA">
            <w:pPr>
              <w:jc w:val="left"/>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Underlying EPS</w:t>
            </w:r>
          </w:p>
        </w:tc>
        <w:tc>
          <w:tcPr>
            <w:tcW w:w="871" w:type="pct"/>
            <w:noWrap/>
            <w:hideMark/>
          </w:tcPr>
          <w:p w14:paraId="1CF0DFB0" w14:textId="77777777" w:rsidR="00C62077" w:rsidRPr="00C62077"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€ 3.08</w:t>
            </w:r>
          </w:p>
        </w:tc>
        <w:tc>
          <w:tcPr>
            <w:tcW w:w="1575" w:type="pct"/>
            <w:noWrap/>
            <w:hideMark/>
          </w:tcPr>
          <w:p w14:paraId="5FC212D1" w14:textId="77777777" w:rsidR="00C62077" w:rsidRPr="00C62077"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0.70%</w:t>
            </w:r>
          </w:p>
        </w:tc>
      </w:tr>
      <w:tr w:rsidR="00913DFF" w14:paraId="1F6001A1"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4" w:type="pct"/>
            <w:noWrap/>
            <w:hideMark/>
          </w:tcPr>
          <w:p w14:paraId="6DA68D59" w14:textId="77777777" w:rsidR="00C62077" w:rsidRPr="00C62077" w:rsidRDefault="009B7BBF" w:rsidP="00C86CDA">
            <w:pPr>
              <w:jc w:val="left"/>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Free Cash Flow</w:t>
            </w:r>
          </w:p>
        </w:tc>
        <w:tc>
          <w:tcPr>
            <w:tcW w:w="871" w:type="pct"/>
            <w:noWrap/>
            <w:hideMark/>
          </w:tcPr>
          <w:p w14:paraId="298971F0" w14:textId="77777777" w:rsidR="00C62077" w:rsidRPr="00C62077"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€5.9bn</w:t>
            </w:r>
          </w:p>
        </w:tc>
        <w:tc>
          <w:tcPr>
            <w:tcW w:w="1575" w:type="pct"/>
            <w:noWrap/>
            <w:hideMark/>
          </w:tcPr>
          <w:p w14:paraId="18E4DF87" w14:textId="77777777" w:rsidR="00C62077" w:rsidRPr="00C62077" w:rsidRDefault="009B7BBF" w:rsidP="00C86CD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proofErr w:type="gramStart"/>
            <w:r w:rsidRPr="00C62077">
              <w:rPr>
                <w:rFonts w:eastAsia="Times New Roman" w:cs="Times New Roman"/>
                <w:kern w:val="0"/>
                <w:szCs w:val="24"/>
                <w:lang w:eastAsia="en-GB" w:bidi="bn-BD"/>
                <w14:ligatures w14:val="none"/>
              </w:rPr>
              <w:t>€(0.4)bn</w:t>
            </w:r>
            <w:proofErr w:type="gramEnd"/>
          </w:p>
        </w:tc>
      </w:tr>
      <w:tr w:rsidR="00913DFF" w14:paraId="5409DF9D"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2554" w:type="pct"/>
            <w:noWrap/>
            <w:hideMark/>
          </w:tcPr>
          <w:p w14:paraId="412B512F" w14:textId="77777777" w:rsidR="00C62077" w:rsidRPr="00C62077" w:rsidRDefault="009B7BBF" w:rsidP="00C86CDA">
            <w:pPr>
              <w:jc w:val="left"/>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Gross Margin</w:t>
            </w:r>
          </w:p>
        </w:tc>
        <w:tc>
          <w:tcPr>
            <w:tcW w:w="871" w:type="pct"/>
            <w:noWrap/>
            <w:hideMark/>
          </w:tcPr>
          <w:p w14:paraId="35D64DCB" w14:textId="77777777" w:rsidR="00C62077" w:rsidRPr="00C62077"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46.90%</w:t>
            </w:r>
          </w:p>
        </w:tc>
        <w:tc>
          <w:tcPr>
            <w:tcW w:w="1575" w:type="pct"/>
            <w:noWrap/>
            <w:hideMark/>
          </w:tcPr>
          <w:p w14:paraId="797336CA" w14:textId="77777777" w:rsidR="00C62077" w:rsidRPr="00C62077" w:rsidRDefault="009B7BBF" w:rsidP="00C86CD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C62077">
              <w:rPr>
                <w:rFonts w:eastAsia="Times New Roman" w:cs="Times New Roman"/>
                <w:kern w:val="0"/>
                <w:szCs w:val="24"/>
                <w:lang w:eastAsia="en-GB" w:bidi="bn-BD"/>
                <w14:ligatures w14:val="none"/>
              </w:rPr>
              <w:t>+20bps</w:t>
            </w:r>
          </w:p>
        </w:tc>
      </w:tr>
    </w:tbl>
    <w:p w14:paraId="19D46A2C" w14:textId="77777777" w:rsidR="006E6E8C" w:rsidRPr="00DF4DE2" w:rsidRDefault="009B7BBF" w:rsidP="00DF4DE2">
      <w:pPr>
        <w:spacing w:after="0"/>
        <w:jc w:val="center"/>
        <w:rPr>
          <w:b/>
          <w:bCs/>
          <w:szCs w:val="20"/>
        </w:rPr>
      </w:pPr>
      <w:r w:rsidRPr="00DF4DE2">
        <w:rPr>
          <w:b/>
          <w:bCs/>
          <w:szCs w:val="20"/>
        </w:rPr>
        <w:t>Source: Unilever 2025 Full Year Results (Unilever, 2026)</w:t>
      </w:r>
    </w:p>
    <w:p w14:paraId="04F9CF30" w14:textId="77777777" w:rsidR="00B17B42" w:rsidRDefault="009B7BBF" w:rsidP="00C86CDA">
      <w:pPr>
        <w:pStyle w:val="Heading2"/>
      </w:pPr>
      <w:bookmarkStart w:id="49" w:name="_Toc223477716"/>
      <w:r w:rsidRPr="0093677B">
        <w:t>Appendix Table A5: Unilever Brand &amp; Marketing Investment and Productivity Programme</w:t>
      </w:r>
      <w:bookmarkEnd w:id="49"/>
    </w:p>
    <w:tbl>
      <w:tblPr>
        <w:tblStyle w:val="GridTable2-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05"/>
        <w:gridCol w:w="1851"/>
        <w:gridCol w:w="705"/>
        <w:gridCol w:w="3389"/>
      </w:tblGrid>
      <w:tr w:rsidR="00913DFF" w14:paraId="08E5D619" w14:textId="77777777" w:rsidTr="00913DFF">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802" w:type="pct"/>
            <w:tcBorders>
              <w:top w:val="none" w:sz="0" w:space="0" w:color="auto"/>
              <w:bottom w:val="none" w:sz="0" w:space="0" w:color="auto"/>
              <w:right w:val="none" w:sz="0" w:space="0" w:color="auto"/>
            </w:tcBorders>
            <w:noWrap/>
            <w:hideMark/>
          </w:tcPr>
          <w:p w14:paraId="7E8E1690" w14:textId="77777777" w:rsidR="00D930D8" w:rsidRPr="00D930D8" w:rsidRDefault="009B7BBF" w:rsidP="00C86CDA">
            <w:pPr>
              <w:jc w:val="center"/>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Investment Metric</w:t>
            </w:r>
          </w:p>
        </w:tc>
        <w:tc>
          <w:tcPr>
            <w:tcW w:w="1000" w:type="pct"/>
            <w:tcBorders>
              <w:top w:val="none" w:sz="0" w:space="0" w:color="auto"/>
              <w:left w:val="none" w:sz="0" w:space="0" w:color="auto"/>
              <w:bottom w:val="none" w:sz="0" w:space="0" w:color="auto"/>
              <w:right w:val="none" w:sz="0" w:space="0" w:color="auto"/>
            </w:tcBorders>
            <w:noWrap/>
            <w:hideMark/>
          </w:tcPr>
          <w:p w14:paraId="2C048002" w14:textId="77777777" w:rsidR="00D930D8" w:rsidRPr="00D930D8"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2024</w:t>
            </w:r>
          </w:p>
        </w:tc>
        <w:tc>
          <w:tcPr>
            <w:tcW w:w="365" w:type="pct"/>
            <w:tcBorders>
              <w:top w:val="none" w:sz="0" w:space="0" w:color="auto"/>
              <w:left w:val="none" w:sz="0" w:space="0" w:color="auto"/>
              <w:bottom w:val="none" w:sz="0" w:space="0" w:color="auto"/>
              <w:right w:val="none" w:sz="0" w:space="0" w:color="auto"/>
            </w:tcBorders>
            <w:noWrap/>
            <w:hideMark/>
          </w:tcPr>
          <w:p w14:paraId="43AFA392" w14:textId="77777777" w:rsidR="00D930D8" w:rsidRPr="00D930D8"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2023</w:t>
            </w:r>
          </w:p>
        </w:tc>
        <w:tc>
          <w:tcPr>
            <w:tcW w:w="1833" w:type="pct"/>
            <w:tcBorders>
              <w:top w:val="none" w:sz="0" w:space="0" w:color="auto"/>
              <w:left w:val="none" w:sz="0" w:space="0" w:color="auto"/>
              <w:bottom w:val="none" w:sz="0" w:space="0" w:color="auto"/>
            </w:tcBorders>
            <w:noWrap/>
            <w:hideMark/>
          </w:tcPr>
          <w:p w14:paraId="4422DF85" w14:textId="77777777" w:rsidR="00D930D8" w:rsidRPr="00D930D8" w:rsidRDefault="009B7BBF" w:rsidP="00C86CD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Analysis</w:t>
            </w:r>
          </w:p>
        </w:tc>
      </w:tr>
      <w:tr w:rsidR="00913DFF" w14:paraId="5112FB44"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802" w:type="pct"/>
            <w:noWrap/>
            <w:hideMark/>
          </w:tcPr>
          <w:p w14:paraId="74533C52" w14:textId="77777777" w:rsidR="00D930D8" w:rsidRPr="00D930D8" w:rsidRDefault="009B7BBF" w:rsidP="00C86CDA">
            <w:pPr>
              <w:jc w:val="left"/>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Brand &amp; Marketing Investment (% of Turnover)</w:t>
            </w:r>
          </w:p>
        </w:tc>
        <w:tc>
          <w:tcPr>
            <w:tcW w:w="1000" w:type="pct"/>
            <w:noWrap/>
            <w:hideMark/>
          </w:tcPr>
          <w:p w14:paraId="383DFB51"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15.50%</w:t>
            </w:r>
          </w:p>
        </w:tc>
        <w:tc>
          <w:tcPr>
            <w:tcW w:w="365" w:type="pct"/>
            <w:noWrap/>
            <w:hideMark/>
          </w:tcPr>
          <w:p w14:paraId="3CDF3110"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14.60%</w:t>
            </w:r>
          </w:p>
        </w:tc>
        <w:tc>
          <w:tcPr>
            <w:tcW w:w="1833" w:type="pct"/>
            <w:noWrap/>
            <w:hideMark/>
          </w:tcPr>
          <w:p w14:paraId="5969F619"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Highest ratio in a decade; €0.9bn increase</w:t>
            </w:r>
          </w:p>
        </w:tc>
      </w:tr>
      <w:tr w:rsidR="00913DFF" w14:paraId="00D30611"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1802" w:type="pct"/>
            <w:noWrap/>
            <w:hideMark/>
          </w:tcPr>
          <w:p w14:paraId="603E45E7" w14:textId="77777777" w:rsidR="00D930D8" w:rsidRPr="00D930D8" w:rsidRDefault="009B7BBF" w:rsidP="00C86CDA">
            <w:pPr>
              <w:jc w:val="left"/>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R&amp;D Investment</w:t>
            </w:r>
          </w:p>
        </w:tc>
        <w:tc>
          <w:tcPr>
            <w:tcW w:w="1000" w:type="pct"/>
            <w:noWrap/>
            <w:hideMark/>
          </w:tcPr>
          <w:p w14:paraId="500CA5D4" w14:textId="77777777" w:rsidR="00D930D8" w:rsidRPr="00D930D8" w:rsidRDefault="009B7BBF" w:rsidP="00DF4DE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€987m</w:t>
            </w:r>
          </w:p>
        </w:tc>
        <w:tc>
          <w:tcPr>
            <w:tcW w:w="365" w:type="pct"/>
            <w:noWrap/>
            <w:hideMark/>
          </w:tcPr>
          <w:p w14:paraId="104299F9" w14:textId="77777777" w:rsidR="00D930D8" w:rsidRPr="00D930D8" w:rsidRDefault="009B7BBF" w:rsidP="00DF4DE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w:t>
            </w:r>
          </w:p>
        </w:tc>
        <w:tc>
          <w:tcPr>
            <w:tcW w:w="1833" w:type="pct"/>
            <w:noWrap/>
            <w:hideMark/>
          </w:tcPr>
          <w:p w14:paraId="6619A4C5" w14:textId="77777777" w:rsidR="00D930D8" w:rsidRPr="00D930D8" w:rsidRDefault="009B7BBF" w:rsidP="00DF4DE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Focused on science-backed, scalable innovations</w:t>
            </w:r>
          </w:p>
        </w:tc>
      </w:tr>
      <w:tr w:rsidR="00913DFF" w14:paraId="37A40943"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802" w:type="pct"/>
            <w:noWrap/>
            <w:hideMark/>
          </w:tcPr>
          <w:p w14:paraId="3A9C6E40" w14:textId="77777777" w:rsidR="00D930D8" w:rsidRPr="00D930D8" w:rsidRDefault="009B7BBF" w:rsidP="00C86CDA">
            <w:pPr>
              <w:jc w:val="left"/>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Productivity Programme Savings (2024)</w:t>
            </w:r>
          </w:p>
        </w:tc>
        <w:tc>
          <w:tcPr>
            <w:tcW w:w="1000" w:type="pct"/>
            <w:noWrap/>
            <w:hideMark/>
          </w:tcPr>
          <w:p w14:paraId="1E3E704F"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~€200m</w:t>
            </w:r>
          </w:p>
        </w:tc>
        <w:tc>
          <w:tcPr>
            <w:tcW w:w="365" w:type="pct"/>
            <w:noWrap/>
            <w:hideMark/>
          </w:tcPr>
          <w:p w14:paraId="5C674A95"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w:t>
            </w:r>
          </w:p>
        </w:tc>
        <w:tc>
          <w:tcPr>
            <w:tcW w:w="1833" w:type="pct"/>
            <w:noWrap/>
            <w:hideMark/>
          </w:tcPr>
          <w:p w14:paraId="01A525B4"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Ahead of plan; 4,300 FTE reduction</w:t>
            </w:r>
          </w:p>
        </w:tc>
      </w:tr>
      <w:tr w:rsidR="00913DFF" w14:paraId="43E0B348" w14:textId="77777777" w:rsidTr="00913DFF">
        <w:trPr>
          <w:trHeight w:val="144"/>
        </w:trPr>
        <w:tc>
          <w:tcPr>
            <w:cnfStyle w:val="001000000000" w:firstRow="0" w:lastRow="0" w:firstColumn="1" w:lastColumn="0" w:oddVBand="0" w:evenVBand="0" w:oddHBand="0" w:evenHBand="0" w:firstRowFirstColumn="0" w:firstRowLastColumn="0" w:lastRowFirstColumn="0" w:lastRowLastColumn="0"/>
            <w:tcW w:w="1802" w:type="pct"/>
            <w:noWrap/>
            <w:hideMark/>
          </w:tcPr>
          <w:p w14:paraId="2B0422E3" w14:textId="77777777" w:rsidR="00D930D8" w:rsidRPr="00D930D8" w:rsidRDefault="009B7BBF" w:rsidP="00C86CDA">
            <w:pPr>
              <w:jc w:val="left"/>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Cumulative Programme Savings (by end 2025)</w:t>
            </w:r>
          </w:p>
        </w:tc>
        <w:tc>
          <w:tcPr>
            <w:tcW w:w="1000" w:type="pct"/>
            <w:noWrap/>
            <w:hideMark/>
          </w:tcPr>
          <w:p w14:paraId="58BB31B6" w14:textId="77777777" w:rsidR="00D930D8" w:rsidRPr="00D930D8" w:rsidRDefault="009B7BBF" w:rsidP="00DF4DE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~€670m</w:t>
            </w:r>
          </w:p>
        </w:tc>
        <w:tc>
          <w:tcPr>
            <w:tcW w:w="365" w:type="pct"/>
            <w:noWrap/>
            <w:hideMark/>
          </w:tcPr>
          <w:p w14:paraId="206EE564" w14:textId="77777777" w:rsidR="00D930D8" w:rsidRPr="00D930D8" w:rsidRDefault="009B7BBF" w:rsidP="00DF4DE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w:t>
            </w:r>
          </w:p>
        </w:tc>
        <w:tc>
          <w:tcPr>
            <w:tcW w:w="1833" w:type="pct"/>
            <w:noWrap/>
            <w:hideMark/>
          </w:tcPr>
          <w:p w14:paraId="5962F1BD" w14:textId="77777777" w:rsidR="00D930D8" w:rsidRPr="00D930D8" w:rsidRDefault="009B7BBF" w:rsidP="00DF4DE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Target €800m over three years</w:t>
            </w:r>
          </w:p>
        </w:tc>
      </w:tr>
      <w:tr w:rsidR="00913DFF" w14:paraId="5879FF45" w14:textId="77777777" w:rsidTr="00913DFF">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802" w:type="pct"/>
            <w:noWrap/>
            <w:hideMark/>
          </w:tcPr>
          <w:p w14:paraId="1E4A9FE9" w14:textId="77777777" w:rsidR="00D930D8" w:rsidRPr="00D930D8" w:rsidRDefault="009B7BBF" w:rsidP="00C86CDA">
            <w:pPr>
              <w:jc w:val="left"/>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Restructuring Costs (2024)</w:t>
            </w:r>
          </w:p>
        </w:tc>
        <w:tc>
          <w:tcPr>
            <w:tcW w:w="1000" w:type="pct"/>
            <w:noWrap/>
            <w:hideMark/>
          </w:tcPr>
          <w:p w14:paraId="2FE55D73"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€850m (1.4% of turnover)</w:t>
            </w:r>
          </w:p>
        </w:tc>
        <w:tc>
          <w:tcPr>
            <w:tcW w:w="365" w:type="pct"/>
            <w:noWrap/>
            <w:hideMark/>
          </w:tcPr>
          <w:p w14:paraId="0D3EDA46"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w:t>
            </w:r>
          </w:p>
        </w:tc>
        <w:tc>
          <w:tcPr>
            <w:tcW w:w="1833" w:type="pct"/>
            <w:noWrap/>
            <w:hideMark/>
          </w:tcPr>
          <w:p w14:paraId="3F486C92" w14:textId="77777777" w:rsidR="00D930D8" w:rsidRPr="00D930D8" w:rsidRDefault="009B7BBF" w:rsidP="00DF4DE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D930D8">
              <w:rPr>
                <w:rFonts w:eastAsia="Times New Roman" w:cs="Times New Roman"/>
                <w:kern w:val="0"/>
                <w:szCs w:val="24"/>
                <w:lang w:eastAsia="en-GB" w:bidi="bn-BD"/>
                <w14:ligatures w14:val="none"/>
              </w:rPr>
              <w:t>Higher due to the accelerated programme</w:t>
            </w:r>
          </w:p>
        </w:tc>
      </w:tr>
    </w:tbl>
    <w:p w14:paraId="5B42D8ED" w14:textId="77777777" w:rsidR="0093677B" w:rsidRPr="00B17B42" w:rsidRDefault="0093677B" w:rsidP="00C86CDA">
      <w:pPr>
        <w:spacing w:after="0"/>
      </w:pPr>
    </w:p>
    <w:p w14:paraId="2E88D44A" w14:textId="77777777" w:rsidR="00C86CDA" w:rsidRDefault="009B7BBF" w:rsidP="00C86CDA">
      <w:pPr>
        <w:jc w:val="left"/>
        <w:rPr>
          <w:i/>
          <w:iCs/>
          <w:szCs w:val="20"/>
        </w:rPr>
      </w:pPr>
      <w:r>
        <w:rPr>
          <w:i/>
          <w:iCs/>
          <w:szCs w:val="20"/>
        </w:rPr>
        <w:br w:type="page"/>
      </w:r>
    </w:p>
    <w:p w14:paraId="5244ECB4" w14:textId="77777777" w:rsidR="009E318D" w:rsidRDefault="009B7BBF" w:rsidP="00C86CDA">
      <w:pPr>
        <w:pStyle w:val="Heading2"/>
      </w:pPr>
      <w:bookmarkStart w:id="50" w:name="_Toc223477717"/>
      <w:r>
        <w:lastRenderedPageBreak/>
        <w:t>Appendix B: AI Declaration:</w:t>
      </w:r>
      <w:bookmarkEnd w:id="50"/>
    </w:p>
    <w:tbl>
      <w:tblPr>
        <w:tblStyle w:val="TableGrid"/>
        <w:tblW w:w="9679"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127"/>
        <w:gridCol w:w="6135"/>
        <w:gridCol w:w="1417"/>
      </w:tblGrid>
      <w:tr w:rsidR="00913DFF" w14:paraId="36ED4928" w14:textId="77777777" w:rsidTr="00DF4DE2">
        <w:trPr>
          <w:trHeight w:val="300"/>
        </w:trPr>
        <w:tc>
          <w:tcPr>
            <w:tcW w:w="2127" w:type="dxa"/>
            <w:tcMar>
              <w:left w:w="105" w:type="dxa"/>
              <w:right w:w="105" w:type="dxa"/>
            </w:tcMar>
          </w:tcPr>
          <w:p w14:paraId="39399CB8" w14:textId="77777777" w:rsidR="00C86CDA" w:rsidRPr="00FA7E96" w:rsidRDefault="009B7BBF" w:rsidP="00C86CDA">
            <w:pPr>
              <w:rPr>
                <w:rFonts w:eastAsia="Calibri" w:cs="Arial"/>
                <w:sz w:val="22"/>
                <w:szCs w:val="22"/>
              </w:rPr>
            </w:pPr>
            <w:r w:rsidRPr="00FA7E96">
              <w:rPr>
                <w:rFonts w:eastAsia="Calibri" w:cs="Arial"/>
                <w:sz w:val="22"/>
                <w:szCs w:val="22"/>
              </w:rPr>
              <w:t>RESEARCH</w:t>
            </w:r>
          </w:p>
        </w:tc>
        <w:tc>
          <w:tcPr>
            <w:tcW w:w="6135" w:type="dxa"/>
            <w:tcMar>
              <w:left w:w="105" w:type="dxa"/>
              <w:right w:w="105" w:type="dxa"/>
            </w:tcMar>
          </w:tcPr>
          <w:p w14:paraId="723E04D3" w14:textId="77777777" w:rsidR="00C86CDA" w:rsidRPr="00FA7E96" w:rsidRDefault="009B7BBF" w:rsidP="00C86CDA">
            <w:pPr>
              <w:rPr>
                <w:rFonts w:eastAsia="Calibri" w:cs="Arial"/>
                <w:sz w:val="22"/>
                <w:szCs w:val="22"/>
              </w:rPr>
            </w:pPr>
            <w:r w:rsidRPr="0087277F">
              <w:rPr>
                <w:rFonts w:eastAsia="Calibri" w:cs="Arial"/>
                <w:sz w:val="22"/>
                <w:szCs w:val="22"/>
              </w:rPr>
              <w:t>For this assessment, you can use Generative AI to support you in research and data analysis.</w:t>
            </w:r>
          </w:p>
        </w:tc>
        <w:tc>
          <w:tcPr>
            <w:tcW w:w="1417" w:type="dxa"/>
          </w:tcPr>
          <w:p w14:paraId="504C0584" w14:textId="77777777" w:rsidR="00C86CDA" w:rsidRDefault="009B7BBF" w:rsidP="00C86CDA">
            <w:pPr>
              <w:rPr>
                <w:rFonts w:eastAsia="Calibri" w:cs="Arial"/>
                <w:sz w:val="22"/>
                <w:szCs w:val="22"/>
              </w:rPr>
            </w:pPr>
            <w:r>
              <w:rPr>
                <w:rFonts w:eastAsia="Calibri" w:cs="Arial"/>
                <w:sz w:val="22"/>
                <w:szCs w:val="22"/>
              </w:rPr>
              <w:t xml:space="preserve">Yes </w:t>
            </w:r>
            <w:sdt>
              <w:sdtPr>
                <w:rPr>
                  <w:rFonts w:cs="Arial"/>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7C8454" w14:textId="77777777" w:rsidR="00C86CDA" w:rsidRPr="00FA7E96" w:rsidRDefault="009B7BBF" w:rsidP="00C86CDA">
            <w:pPr>
              <w:rPr>
                <w:rFonts w:eastAsia="Calibri" w:cs="Arial"/>
                <w:sz w:val="22"/>
                <w:szCs w:val="22"/>
              </w:rPr>
            </w:pPr>
            <w:r>
              <w:rPr>
                <w:rFonts w:eastAsia="Calibri" w:cs="Arial"/>
                <w:sz w:val="22"/>
                <w:szCs w:val="22"/>
              </w:rPr>
              <w:t xml:space="preserve">No  </w:t>
            </w:r>
            <w:sdt>
              <w:sdtPr>
                <w:rPr>
                  <w:rFonts w:cs="Arial"/>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3DFF" w14:paraId="34ADE937" w14:textId="77777777" w:rsidTr="00DF4DE2">
        <w:trPr>
          <w:trHeight w:val="300"/>
        </w:trPr>
        <w:tc>
          <w:tcPr>
            <w:tcW w:w="2127" w:type="dxa"/>
            <w:tcMar>
              <w:left w:w="105" w:type="dxa"/>
              <w:right w:w="105" w:type="dxa"/>
            </w:tcMar>
          </w:tcPr>
          <w:p w14:paraId="481C57AD" w14:textId="77777777" w:rsidR="00C86CDA" w:rsidRPr="00FA7E96" w:rsidRDefault="009B7BBF" w:rsidP="00C86CDA">
            <w:pPr>
              <w:rPr>
                <w:rFonts w:eastAsia="Calibri" w:cs="Arial"/>
                <w:sz w:val="22"/>
                <w:szCs w:val="22"/>
              </w:rPr>
            </w:pPr>
            <w:r w:rsidRPr="00FA7E96">
              <w:rPr>
                <w:rFonts w:eastAsia="Calibri" w:cs="Arial"/>
                <w:sz w:val="22"/>
                <w:szCs w:val="22"/>
              </w:rPr>
              <w:t>STRUCTURE</w:t>
            </w:r>
          </w:p>
        </w:tc>
        <w:tc>
          <w:tcPr>
            <w:tcW w:w="6135" w:type="dxa"/>
            <w:tcMar>
              <w:left w:w="105" w:type="dxa"/>
              <w:right w:w="105" w:type="dxa"/>
            </w:tcMar>
          </w:tcPr>
          <w:p w14:paraId="025C6104" w14:textId="77777777" w:rsidR="00C86CDA" w:rsidRPr="00FA7E96" w:rsidRDefault="009B7BBF" w:rsidP="00C86CDA">
            <w:pPr>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2D028FC6" w14:textId="77777777" w:rsidR="00C86CDA" w:rsidRDefault="009B7BBF" w:rsidP="00C86CDA">
            <w:pPr>
              <w:rPr>
                <w:rFonts w:eastAsia="Calibri" w:cs="Arial"/>
                <w:sz w:val="22"/>
                <w:szCs w:val="22"/>
              </w:rPr>
            </w:pPr>
            <w:r>
              <w:rPr>
                <w:rFonts w:eastAsia="Calibri" w:cs="Arial"/>
                <w:sz w:val="22"/>
                <w:szCs w:val="22"/>
              </w:rPr>
              <w:t xml:space="preserve">Yes </w:t>
            </w:r>
            <w:sdt>
              <w:sdtPr>
                <w:rPr>
                  <w:rFonts w:cs="Arial"/>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652770C" w14:textId="77777777" w:rsidR="00C86CDA" w:rsidRPr="00FA7E96" w:rsidRDefault="009B7BBF" w:rsidP="00C86CDA">
            <w:pPr>
              <w:rPr>
                <w:rFonts w:eastAsia="Calibri" w:cs="Arial"/>
                <w:sz w:val="22"/>
                <w:szCs w:val="22"/>
              </w:rPr>
            </w:pPr>
            <w:r>
              <w:rPr>
                <w:rFonts w:eastAsia="Calibri" w:cs="Arial"/>
                <w:sz w:val="22"/>
                <w:szCs w:val="22"/>
              </w:rPr>
              <w:t xml:space="preserve">No  </w:t>
            </w:r>
            <w:sdt>
              <w:sdtPr>
                <w:rPr>
                  <w:rFonts w:cs="Arial"/>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3DFF" w14:paraId="1A1EDC36" w14:textId="77777777" w:rsidTr="00DF4DE2">
        <w:trPr>
          <w:trHeight w:val="300"/>
        </w:trPr>
        <w:tc>
          <w:tcPr>
            <w:tcW w:w="2127" w:type="dxa"/>
            <w:tcMar>
              <w:left w:w="105" w:type="dxa"/>
              <w:right w:w="105" w:type="dxa"/>
            </w:tcMar>
          </w:tcPr>
          <w:p w14:paraId="0ED8C55D" w14:textId="77777777" w:rsidR="00C86CDA" w:rsidRPr="00FA7E96" w:rsidRDefault="009B7BBF" w:rsidP="00C86CDA">
            <w:pPr>
              <w:rPr>
                <w:rFonts w:eastAsia="Calibri" w:cs="Arial"/>
                <w:sz w:val="22"/>
                <w:szCs w:val="22"/>
              </w:rPr>
            </w:pPr>
            <w:r w:rsidRPr="00FA7E96">
              <w:rPr>
                <w:rFonts w:eastAsia="Calibri" w:cs="Arial"/>
                <w:sz w:val="22"/>
                <w:szCs w:val="22"/>
              </w:rPr>
              <w:t>PROOFREADING</w:t>
            </w:r>
          </w:p>
        </w:tc>
        <w:tc>
          <w:tcPr>
            <w:tcW w:w="6135" w:type="dxa"/>
            <w:tcMar>
              <w:left w:w="105" w:type="dxa"/>
              <w:right w:w="105" w:type="dxa"/>
            </w:tcMar>
          </w:tcPr>
          <w:p w14:paraId="2D184738" w14:textId="77777777" w:rsidR="00C86CDA" w:rsidRPr="00FA7E96" w:rsidRDefault="009B7BBF" w:rsidP="00C86CDA">
            <w:pPr>
              <w:rPr>
                <w:rFonts w:eastAsia="Calibri" w:cs="Arial"/>
                <w:sz w:val="22"/>
                <w:szCs w:val="22"/>
              </w:rPr>
            </w:pPr>
            <w:r w:rsidRPr="0087277F">
              <w:rPr>
                <w:rFonts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14:paraId="1770FF4C" w14:textId="77777777" w:rsidR="00C86CDA" w:rsidRDefault="009B7BBF" w:rsidP="00C86CDA">
            <w:pPr>
              <w:rPr>
                <w:rFonts w:eastAsia="Calibri" w:cs="Arial"/>
                <w:sz w:val="22"/>
                <w:szCs w:val="22"/>
              </w:rPr>
            </w:pPr>
            <w:r>
              <w:rPr>
                <w:rFonts w:eastAsia="Calibri" w:cs="Arial"/>
                <w:sz w:val="22"/>
                <w:szCs w:val="22"/>
              </w:rPr>
              <w:t xml:space="preserve">Yes </w:t>
            </w:r>
            <w:sdt>
              <w:sdtPr>
                <w:rPr>
                  <w:rFonts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4FEB2D1" w14:textId="77777777" w:rsidR="00C86CDA" w:rsidRPr="00FA7E96" w:rsidRDefault="009B7BBF" w:rsidP="00C86CDA">
            <w:pPr>
              <w:rPr>
                <w:rFonts w:eastAsia="Calibri" w:cs="Arial"/>
                <w:sz w:val="22"/>
                <w:szCs w:val="22"/>
              </w:rPr>
            </w:pPr>
            <w:r>
              <w:rPr>
                <w:rFonts w:eastAsia="Calibri" w:cs="Arial"/>
                <w:sz w:val="22"/>
                <w:szCs w:val="22"/>
              </w:rPr>
              <w:t xml:space="preserve">No  </w:t>
            </w:r>
            <w:sdt>
              <w:sdtPr>
                <w:rPr>
                  <w:rFonts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3DFF" w14:paraId="127C053B" w14:textId="77777777" w:rsidTr="00DF4DE2">
        <w:trPr>
          <w:trHeight w:val="300"/>
        </w:trPr>
        <w:tc>
          <w:tcPr>
            <w:tcW w:w="2127" w:type="dxa"/>
            <w:tcMar>
              <w:left w:w="105" w:type="dxa"/>
              <w:right w:w="105" w:type="dxa"/>
            </w:tcMar>
          </w:tcPr>
          <w:p w14:paraId="2CF2C6C1" w14:textId="77777777" w:rsidR="00C86CDA" w:rsidRPr="00FA7E96" w:rsidRDefault="009B7BBF" w:rsidP="00C86CDA">
            <w:pPr>
              <w:rPr>
                <w:rFonts w:eastAsia="Calibri" w:cs="Arial"/>
                <w:sz w:val="22"/>
                <w:szCs w:val="22"/>
              </w:rPr>
            </w:pPr>
            <w:r w:rsidRPr="00FA7E96">
              <w:rPr>
                <w:rFonts w:eastAsia="Calibri" w:cs="Arial"/>
                <w:sz w:val="22"/>
                <w:szCs w:val="22"/>
              </w:rPr>
              <w:t>WRITING</w:t>
            </w:r>
          </w:p>
        </w:tc>
        <w:tc>
          <w:tcPr>
            <w:tcW w:w="6135" w:type="dxa"/>
            <w:tcMar>
              <w:left w:w="105" w:type="dxa"/>
              <w:right w:w="105" w:type="dxa"/>
            </w:tcMar>
          </w:tcPr>
          <w:p w14:paraId="78BFAA5C" w14:textId="77777777" w:rsidR="00C86CDA" w:rsidRPr="00FA7E96" w:rsidRDefault="009B7BBF" w:rsidP="00C86CDA">
            <w:pPr>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6BF779DD" w14:textId="77777777" w:rsidR="00C86CDA" w:rsidRDefault="009B7BBF" w:rsidP="00C86CDA">
            <w:pPr>
              <w:rPr>
                <w:rFonts w:eastAsia="Calibri" w:cs="Arial"/>
                <w:sz w:val="22"/>
                <w:szCs w:val="22"/>
              </w:rPr>
            </w:pPr>
            <w:r>
              <w:rPr>
                <w:rFonts w:eastAsia="Calibri" w:cs="Arial"/>
                <w:sz w:val="22"/>
                <w:szCs w:val="22"/>
              </w:rPr>
              <w:t xml:space="preserve">Yes </w:t>
            </w:r>
            <w:sdt>
              <w:sdtPr>
                <w:rPr>
                  <w:rFonts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0B099A" w14:textId="77777777" w:rsidR="00C86CDA" w:rsidRPr="00FA7E96" w:rsidRDefault="009B7BBF" w:rsidP="00C86CDA">
            <w:pPr>
              <w:rPr>
                <w:rFonts w:eastAsia="Calibri" w:cs="Arial"/>
                <w:sz w:val="22"/>
                <w:szCs w:val="22"/>
              </w:rPr>
            </w:pPr>
            <w:r>
              <w:rPr>
                <w:rFonts w:eastAsia="Calibri" w:cs="Arial"/>
                <w:sz w:val="22"/>
                <w:szCs w:val="22"/>
              </w:rPr>
              <w:t xml:space="preserve">No  </w:t>
            </w:r>
            <w:sdt>
              <w:sdtPr>
                <w:rPr>
                  <w:rFonts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3DFF" w14:paraId="4A61ADF8" w14:textId="77777777" w:rsidTr="00DF4DE2">
        <w:trPr>
          <w:trHeight w:val="300"/>
        </w:trPr>
        <w:tc>
          <w:tcPr>
            <w:tcW w:w="2127" w:type="dxa"/>
            <w:tcMar>
              <w:left w:w="105" w:type="dxa"/>
              <w:right w:w="105" w:type="dxa"/>
            </w:tcMar>
          </w:tcPr>
          <w:p w14:paraId="3AE16952" w14:textId="77777777" w:rsidR="00C86CDA" w:rsidRPr="00FA7E96" w:rsidRDefault="009B7BBF" w:rsidP="00C86CDA">
            <w:pPr>
              <w:rPr>
                <w:rFonts w:eastAsia="Calibri" w:cs="Arial"/>
                <w:sz w:val="22"/>
                <w:szCs w:val="22"/>
              </w:rPr>
            </w:pPr>
            <w:r w:rsidRPr="00FA7E96">
              <w:rPr>
                <w:rFonts w:eastAsia="Calibri" w:cs="Arial"/>
                <w:sz w:val="22"/>
                <w:szCs w:val="22"/>
              </w:rPr>
              <w:t>CREATIVE</w:t>
            </w:r>
          </w:p>
        </w:tc>
        <w:tc>
          <w:tcPr>
            <w:tcW w:w="6135" w:type="dxa"/>
            <w:tcMar>
              <w:left w:w="105" w:type="dxa"/>
              <w:right w:w="105" w:type="dxa"/>
            </w:tcMar>
          </w:tcPr>
          <w:p w14:paraId="7492542A" w14:textId="77777777" w:rsidR="00C86CDA" w:rsidRPr="00FA7E96" w:rsidRDefault="009B7BBF" w:rsidP="00C86CDA">
            <w:pPr>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2CB3C63F" w14:textId="77777777" w:rsidR="00C86CDA" w:rsidRDefault="009B7BBF" w:rsidP="00C86CDA">
            <w:pPr>
              <w:rPr>
                <w:rFonts w:eastAsia="Calibri" w:cs="Arial"/>
                <w:sz w:val="22"/>
                <w:szCs w:val="22"/>
              </w:rPr>
            </w:pPr>
            <w:r>
              <w:rPr>
                <w:rFonts w:eastAsia="Calibri" w:cs="Arial"/>
                <w:sz w:val="22"/>
                <w:szCs w:val="22"/>
              </w:rPr>
              <w:t xml:space="preserve">Yes </w:t>
            </w:r>
            <w:sdt>
              <w:sdtPr>
                <w:rPr>
                  <w:rFonts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C92373" w14:textId="77777777" w:rsidR="00C86CDA" w:rsidRPr="00FA7E96" w:rsidRDefault="009B7BBF" w:rsidP="00C86CDA">
            <w:pPr>
              <w:rPr>
                <w:rFonts w:eastAsia="Calibri" w:cs="Arial"/>
                <w:sz w:val="22"/>
                <w:szCs w:val="22"/>
              </w:rPr>
            </w:pPr>
            <w:r>
              <w:rPr>
                <w:rFonts w:eastAsia="Calibri" w:cs="Arial"/>
                <w:sz w:val="22"/>
                <w:szCs w:val="22"/>
              </w:rPr>
              <w:t xml:space="preserve">No  </w:t>
            </w:r>
            <w:sdt>
              <w:sdtPr>
                <w:rPr>
                  <w:rFonts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3DFF" w14:paraId="122D9DA0" w14:textId="77777777" w:rsidTr="00DF4DE2">
        <w:trPr>
          <w:trHeight w:val="300"/>
        </w:trPr>
        <w:tc>
          <w:tcPr>
            <w:tcW w:w="2127" w:type="dxa"/>
            <w:tcMar>
              <w:left w:w="105" w:type="dxa"/>
              <w:right w:w="105" w:type="dxa"/>
            </w:tcMar>
          </w:tcPr>
          <w:p w14:paraId="205BEFF8" w14:textId="77777777" w:rsidR="00C86CDA" w:rsidRPr="00FA7E96" w:rsidRDefault="009B7BBF" w:rsidP="00C86CDA">
            <w:pPr>
              <w:rPr>
                <w:rFonts w:cs="Arial"/>
                <w:sz w:val="22"/>
                <w:szCs w:val="22"/>
              </w:rPr>
            </w:pPr>
            <w:r w:rsidRPr="00FA7E96">
              <w:rPr>
                <w:rFonts w:eastAsia="Calibri" w:cs="Arial"/>
                <w:sz w:val="22"/>
                <w:szCs w:val="22"/>
              </w:rPr>
              <w:t>PROGRAMING</w:t>
            </w:r>
          </w:p>
        </w:tc>
        <w:tc>
          <w:tcPr>
            <w:tcW w:w="6135" w:type="dxa"/>
            <w:tcMar>
              <w:left w:w="105" w:type="dxa"/>
              <w:right w:w="105" w:type="dxa"/>
            </w:tcMar>
          </w:tcPr>
          <w:p w14:paraId="0211ADA7" w14:textId="77777777" w:rsidR="00C86CDA" w:rsidRPr="00FA7E96" w:rsidRDefault="009B7BBF" w:rsidP="00C86CDA">
            <w:pPr>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7B3F87C0" w14:textId="77777777" w:rsidR="00C86CDA" w:rsidRDefault="009B7BBF" w:rsidP="00C86CDA">
            <w:pPr>
              <w:rPr>
                <w:rFonts w:eastAsia="Calibri" w:cs="Arial"/>
                <w:sz w:val="22"/>
                <w:szCs w:val="22"/>
              </w:rPr>
            </w:pPr>
            <w:r>
              <w:rPr>
                <w:rFonts w:eastAsia="Calibri" w:cs="Arial"/>
                <w:sz w:val="22"/>
                <w:szCs w:val="22"/>
              </w:rPr>
              <w:t xml:space="preserve">Yes </w:t>
            </w:r>
            <w:sdt>
              <w:sdtPr>
                <w:rPr>
                  <w:rFonts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47D7C6" w14:textId="77777777" w:rsidR="00C86CDA" w:rsidRPr="00FA7E96" w:rsidRDefault="009B7BBF" w:rsidP="00C86CDA">
            <w:pPr>
              <w:rPr>
                <w:rFonts w:eastAsia="Calibri" w:cs="Arial"/>
                <w:sz w:val="22"/>
                <w:szCs w:val="22"/>
              </w:rPr>
            </w:pPr>
            <w:r>
              <w:rPr>
                <w:rFonts w:eastAsia="Calibri" w:cs="Arial"/>
                <w:sz w:val="22"/>
                <w:szCs w:val="22"/>
              </w:rPr>
              <w:t xml:space="preserve">No  </w:t>
            </w:r>
            <w:sdt>
              <w:sdtPr>
                <w:rPr>
                  <w:rFonts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3DFF" w14:paraId="30035CFB" w14:textId="77777777" w:rsidTr="00DF4DE2">
        <w:trPr>
          <w:trHeight w:val="300"/>
        </w:trPr>
        <w:tc>
          <w:tcPr>
            <w:tcW w:w="2127" w:type="dxa"/>
            <w:tcMar>
              <w:left w:w="105" w:type="dxa"/>
              <w:right w:w="105" w:type="dxa"/>
            </w:tcMar>
          </w:tcPr>
          <w:p w14:paraId="7B04BCAB" w14:textId="77777777" w:rsidR="00C86CDA" w:rsidRPr="00FA7E96" w:rsidRDefault="009B7BBF" w:rsidP="00C86CDA">
            <w:pPr>
              <w:rPr>
                <w:rFonts w:eastAsia="Calibri" w:cs="Arial"/>
                <w:sz w:val="22"/>
                <w:szCs w:val="22"/>
              </w:rPr>
            </w:pPr>
            <w:r w:rsidRPr="00FA7E96">
              <w:rPr>
                <w:rFonts w:eastAsia="Calibri" w:cs="Arial"/>
                <w:sz w:val="22"/>
                <w:szCs w:val="22"/>
              </w:rPr>
              <w:t>NONE</w:t>
            </w:r>
          </w:p>
        </w:tc>
        <w:tc>
          <w:tcPr>
            <w:tcW w:w="6135" w:type="dxa"/>
            <w:tcMar>
              <w:left w:w="105" w:type="dxa"/>
              <w:right w:w="105" w:type="dxa"/>
            </w:tcMar>
          </w:tcPr>
          <w:p w14:paraId="7FC6D923" w14:textId="77777777" w:rsidR="00C86CDA" w:rsidRPr="00FA7E96" w:rsidRDefault="009B7BBF" w:rsidP="00C86CDA">
            <w:pPr>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0A851F03" w14:textId="77777777" w:rsidR="00C86CDA" w:rsidRPr="00FA7E96" w:rsidRDefault="00000000" w:rsidP="00C86CDA">
            <w:pPr>
              <w:rPr>
                <w:rFonts w:eastAsia="Calibri" w:cs="Arial"/>
                <w:sz w:val="22"/>
                <w:szCs w:val="22"/>
              </w:rPr>
            </w:pPr>
            <w:sdt>
              <w:sdtPr>
                <w:rPr>
                  <w:rFonts w:cs="Arial"/>
                </w:rPr>
                <w:id w:val="1628280607"/>
                <w14:checkbox>
                  <w14:checked w14:val="0"/>
                  <w14:checkedState w14:val="2612" w14:font="MS Gothic"/>
                  <w14:uncheckedState w14:val="2610" w14:font="MS Gothic"/>
                </w14:checkbox>
              </w:sdtPr>
              <w:sdtContent>
                <w:r w:rsidR="009B7BBF">
                  <w:rPr>
                    <w:rFonts w:ascii="MS Gothic" w:eastAsia="MS Gothic" w:hAnsi="MS Gothic" w:cs="Arial" w:hint="eastAsia"/>
                    <w:sz w:val="22"/>
                    <w:szCs w:val="22"/>
                  </w:rPr>
                  <w:t>☐</w:t>
                </w:r>
              </w:sdtContent>
            </w:sdt>
          </w:p>
        </w:tc>
      </w:tr>
    </w:tbl>
    <w:p w14:paraId="0C12C714" w14:textId="77777777" w:rsidR="00C86CDA" w:rsidRPr="00C86CDA" w:rsidRDefault="00C86CDA" w:rsidP="00C86CDA"/>
    <w:sectPr w:rsidR="00C86CDA" w:rsidRPr="00C86CDA" w:rsidSect="0027080D">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284A5" w14:textId="77777777" w:rsidR="003360B8" w:rsidRDefault="003360B8">
      <w:pPr>
        <w:spacing w:after="0" w:line="240" w:lineRule="auto"/>
      </w:pPr>
      <w:r>
        <w:separator/>
      </w:r>
    </w:p>
  </w:endnote>
  <w:endnote w:type="continuationSeparator" w:id="0">
    <w:p w14:paraId="23AF34AF" w14:textId="77777777" w:rsidR="003360B8" w:rsidRDefault="00336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730922"/>
      <w:docPartObj>
        <w:docPartGallery w:val="Page Numbers (Bottom of Page)"/>
        <w:docPartUnique/>
      </w:docPartObj>
    </w:sdtPr>
    <w:sdtEndPr>
      <w:rPr>
        <w:color w:val="7F7F7F" w:themeColor="background1" w:themeShade="7F"/>
        <w:spacing w:val="60"/>
      </w:rPr>
    </w:sdtEndPr>
    <w:sdtContent>
      <w:p w14:paraId="4EE81128" w14:textId="77777777" w:rsidR="002D5B5B" w:rsidRDefault="009B7B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E6F928" w14:textId="77777777" w:rsidR="0027080D" w:rsidRDefault="00270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02073" w14:textId="77777777" w:rsidR="003360B8" w:rsidRDefault="003360B8">
      <w:pPr>
        <w:spacing w:after="0" w:line="240" w:lineRule="auto"/>
      </w:pPr>
      <w:r>
        <w:separator/>
      </w:r>
    </w:p>
  </w:footnote>
  <w:footnote w:type="continuationSeparator" w:id="0">
    <w:p w14:paraId="64EE2202" w14:textId="77777777" w:rsidR="003360B8" w:rsidRDefault="00336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033B3"/>
    <w:multiLevelType w:val="hybridMultilevel"/>
    <w:tmpl w:val="35324B9E"/>
    <w:lvl w:ilvl="0" w:tplc="17E86962">
      <w:start w:val="1"/>
      <w:numFmt w:val="decimal"/>
      <w:lvlText w:val="%1."/>
      <w:lvlJc w:val="left"/>
      <w:pPr>
        <w:ind w:left="360" w:hanging="360"/>
      </w:pPr>
    </w:lvl>
    <w:lvl w:ilvl="1" w:tplc="39782ACE" w:tentative="1">
      <w:start w:val="1"/>
      <w:numFmt w:val="lowerLetter"/>
      <w:lvlText w:val="%2."/>
      <w:lvlJc w:val="left"/>
      <w:pPr>
        <w:ind w:left="1440" w:hanging="360"/>
      </w:pPr>
    </w:lvl>
    <w:lvl w:ilvl="2" w:tplc="6BDC3674" w:tentative="1">
      <w:start w:val="1"/>
      <w:numFmt w:val="lowerRoman"/>
      <w:lvlText w:val="%3."/>
      <w:lvlJc w:val="right"/>
      <w:pPr>
        <w:ind w:left="2160" w:hanging="180"/>
      </w:pPr>
    </w:lvl>
    <w:lvl w:ilvl="3" w:tplc="46C4362A" w:tentative="1">
      <w:start w:val="1"/>
      <w:numFmt w:val="decimal"/>
      <w:lvlText w:val="%4."/>
      <w:lvlJc w:val="left"/>
      <w:pPr>
        <w:ind w:left="2880" w:hanging="360"/>
      </w:pPr>
    </w:lvl>
    <w:lvl w:ilvl="4" w:tplc="44D87B96" w:tentative="1">
      <w:start w:val="1"/>
      <w:numFmt w:val="lowerLetter"/>
      <w:lvlText w:val="%5."/>
      <w:lvlJc w:val="left"/>
      <w:pPr>
        <w:ind w:left="3600" w:hanging="360"/>
      </w:pPr>
    </w:lvl>
    <w:lvl w:ilvl="5" w:tplc="CA327D16" w:tentative="1">
      <w:start w:val="1"/>
      <w:numFmt w:val="lowerRoman"/>
      <w:lvlText w:val="%6."/>
      <w:lvlJc w:val="right"/>
      <w:pPr>
        <w:ind w:left="4320" w:hanging="180"/>
      </w:pPr>
    </w:lvl>
    <w:lvl w:ilvl="6" w:tplc="3F004174" w:tentative="1">
      <w:start w:val="1"/>
      <w:numFmt w:val="decimal"/>
      <w:lvlText w:val="%7."/>
      <w:lvlJc w:val="left"/>
      <w:pPr>
        <w:ind w:left="5040" w:hanging="360"/>
      </w:pPr>
    </w:lvl>
    <w:lvl w:ilvl="7" w:tplc="499A09A8" w:tentative="1">
      <w:start w:val="1"/>
      <w:numFmt w:val="lowerLetter"/>
      <w:lvlText w:val="%8."/>
      <w:lvlJc w:val="left"/>
      <w:pPr>
        <w:ind w:left="5760" w:hanging="360"/>
      </w:pPr>
    </w:lvl>
    <w:lvl w:ilvl="8" w:tplc="E960CC26" w:tentative="1">
      <w:start w:val="1"/>
      <w:numFmt w:val="lowerRoman"/>
      <w:lvlText w:val="%9."/>
      <w:lvlJc w:val="right"/>
      <w:pPr>
        <w:ind w:left="6480" w:hanging="180"/>
      </w:pPr>
    </w:lvl>
  </w:abstractNum>
  <w:abstractNum w:abstractNumId="1" w15:restartNumberingAfterBreak="0">
    <w:nsid w:val="2DBA7724"/>
    <w:multiLevelType w:val="hybridMultilevel"/>
    <w:tmpl w:val="DB6EBCAE"/>
    <w:lvl w:ilvl="0" w:tplc="E0940778">
      <w:start w:val="1"/>
      <w:numFmt w:val="bullet"/>
      <w:lvlText w:val=""/>
      <w:lvlJc w:val="left"/>
      <w:pPr>
        <w:ind w:left="360" w:hanging="360"/>
      </w:pPr>
      <w:rPr>
        <w:rFonts w:ascii="Wingdings" w:hAnsi="Wingdings" w:hint="default"/>
      </w:rPr>
    </w:lvl>
    <w:lvl w:ilvl="1" w:tplc="033A1A14" w:tentative="1">
      <w:start w:val="1"/>
      <w:numFmt w:val="lowerLetter"/>
      <w:lvlText w:val="%2."/>
      <w:lvlJc w:val="left"/>
      <w:pPr>
        <w:ind w:left="1440" w:hanging="360"/>
      </w:pPr>
    </w:lvl>
    <w:lvl w:ilvl="2" w:tplc="B6A8D87A" w:tentative="1">
      <w:start w:val="1"/>
      <w:numFmt w:val="lowerRoman"/>
      <w:lvlText w:val="%3."/>
      <w:lvlJc w:val="right"/>
      <w:pPr>
        <w:ind w:left="2160" w:hanging="180"/>
      </w:pPr>
    </w:lvl>
    <w:lvl w:ilvl="3" w:tplc="502E834A" w:tentative="1">
      <w:start w:val="1"/>
      <w:numFmt w:val="decimal"/>
      <w:lvlText w:val="%4."/>
      <w:lvlJc w:val="left"/>
      <w:pPr>
        <w:ind w:left="2880" w:hanging="360"/>
      </w:pPr>
    </w:lvl>
    <w:lvl w:ilvl="4" w:tplc="46C8E8F6" w:tentative="1">
      <w:start w:val="1"/>
      <w:numFmt w:val="lowerLetter"/>
      <w:lvlText w:val="%5."/>
      <w:lvlJc w:val="left"/>
      <w:pPr>
        <w:ind w:left="3600" w:hanging="360"/>
      </w:pPr>
    </w:lvl>
    <w:lvl w:ilvl="5" w:tplc="AED6FAD0" w:tentative="1">
      <w:start w:val="1"/>
      <w:numFmt w:val="lowerRoman"/>
      <w:lvlText w:val="%6."/>
      <w:lvlJc w:val="right"/>
      <w:pPr>
        <w:ind w:left="4320" w:hanging="180"/>
      </w:pPr>
    </w:lvl>
    <w:lvl w:ilvl="6" w:tplc="ACEA0568" w:tentative="1">
      <w:start w:val="1"/>
      <w:numFmt w:val="decimal"/>
      <w:lvlText w:val="%7."/>
      <w:lvlJc w:val="left"/>
      <w:pPr>
        <w:ind w:left="5040" w:hanging="360"/>
      </w:pPr>
    </w:lvl>
    <w:lvl w:ilvl="7" w:tplc="B3E00BCC" w:tentative="1">
      <w:start w:val="1"/>
      <w:numFmt w:val="lowerLetter"/>
      <w:lvlText w:val="%8."/>
      <w:lvlJc w:val="left"/>
      <w:pPr>
        <w:ind w:left="5760" w:hanging="360"/>
      </w:pPr>
    </w:lvl>
    <w:lvl w:ilvl="8" w:tplc="01125DB8" w:tentative="1">
      <w:start w:val="1"/>
      <w:numFmt w:val="lowerRoman"/>
      <w:lvlText w:val="%9."/>
      <w:lvlJc w:val="right"/>
      <w:pPr>
        <w:ind w:left="6480" w:hanging="180"/>
      </w:pPr>
    </w:lvl>
  </w:abstractNum>
  <w:num w:numId="1" w16cid:durableId="482937477">
    <w:abstractNumId w:val="0"/>
  </w:num>
  <w:num w:numId="2" w16cid:durableId="1744058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DDD"/>
    <w:rsid w:val="00034E89"/>
    <w:rsid w:val="00040E60"/>
    <w:rsid w:val="000423DB"/>
    <w:rsid w:val="000442D7"/>
    <w:rsid w:val="00044986"/>
    <w:rsid w:val="00045BCE"/>
    <w:rsid w:val="00080EB7"/>
    <w:rsid w:val="00081944"/>
    <w:rsid w:val="00086433"/>
    <w:rsid w:val="000D33D3"/>
    <w:rsid w:val="000F2B4C"/>
    <w:rsid w:val="00102BAB"/>
    <w:rsid w:val="00130DE9"/>
    <w:rsid w:val="00134379"/>
    <w:rsid w:val="001571C2"/>
    <w:rsid w:val="00164900"/>
    <w:rsid w:val="00164D2B"/>
    <w:rsid w:val="0017077A"/>
    <w:rsid w:val="00175E2A"/>
    <w:rsid w:val="00192A37"/>
    <w:rsid w:val="001B6D64"/>
    <w:rsid w:val="001D574C"/>
    <w:rsid w:val="001E14FA"/>
    <w:rsid w:val="001E4D5C"/>
    <w:rsid w:val="002319BD"/>
    <w:rsid w:val="0023602D"/>
    <w:rsid w:val="00242CE8"/>
    <w:rsid w:val="00246F94"/>
    <w:rsid w:val="0025459E"/>
    <w:rsid w:val="00264AA0"/>
    <w:rsid w:val="00265E7D"/>
    <w:rsid w:val="0027080D"/>
    <w:rsid w:val="002747DD"/>
    <w:rsid w:val="002C31FE"/>
    <w:rsid w:val="002D5B5B"/>
    <w:rsid w:val="002F1659"/>
    <w:rsid w:val="002F2725"/>
    <w:rsid w:val="00315304"/>
    <w:rsid w:val="003270E3"/>
    <w:rsid w:val="003360B8"/>
    <w:rsid w:val="00355F84"/>
    <w:rsid w:val="00357AB2"/>
    <w:rsid w:val="00357C7E"/>
    <w:rsid w:val="00363E98"/>
    <w:rsid w:val="003A1F22"/>
    <w:rsid w:val="003B1117"/>
    <w:rsid w:val="003D0261"/>
    <w:rsid w:val="003D6910"/>
    <w:rsid w:val="003F6D3B"/>
    <w:rsid w:val="00420B6A"/>
    <w:rsid w:val="00433073"/>
    <w:rsid w:val="004427B8"/>
    <w:rsid w:val="00466042"/>
    <w:rsid w:val="00484ACD"/>
    <w:rsid w:val="00491333"/>
    <w:rsid w:val="004C1F04"/>
    <w:rsid w:val="004F124D"/>
    <w:rsid w:val="004F2F55"/>
    <w:rsid w:val="0051031B"/>
    <w:rsid w:val="00536625"/>
    <w:rsid w:val="005427DD"/>
    <w:rsid w:val="00544057"/>
    <w:rsid w:val="005555FC"/>
    <w:rsid w:val="00562AC5"/>
    <w:rsid w:val="005645D3"/>
    <w:rsid w:val="00582769"/>
    <w:rsid w:val="005B591A"/>
    <w:rsid w:val="005C7966"/>
    <w:rsid w:val="005D4C68"/>
    <w:rsid w:val="005F0A76"/>
    <w:rsid w:val="00625574"/>
    <w:rsid w:val="00632809"/>
    <w:rsid w:val="00651FBA"/>
    <w:rsid w:val="00661FF7"/>
    <w:rsid w:val="00681BDA"/>
    <w:rsid w:val="00687927"/>
    <w:rsid w:val="0069025D"/>
    <w:rsid w:val="006C286B"/>
    <w:rsid w:val="006C3EF1"/>
    <w:rsid w:val="006C7EC6"/>
    <w:rsid w:val="006D636B"/>
    <w:rsid w:val="006E6E8C"/>
    <w:rsid w:val="006F27C9"/>
    <w:rsid w:val="006F3E8F"/>
    <w:rsid w:val="006F4F0F"/>
    <w:rsid w:val="007006CF"/>
    <w:rsid w:val="007564E9"/>
    <w:rsid w:val="007B3589"/>
    <w:rsid w:val="007B687C"/>
    <w:rsid w:val="007C3A12"/>
    <w:rsid w:val="007C60A0"/>
    <w:rsid w:val="007E2BEC"/>
    <w:rsid w:val="007E5A1F"/>
    <w:rsid w:val="0080759C"/>
    <w:rsid w:val="00812FA3"/>
    <w:rsid w:val="00813E72"/>
    <w:rsid w:val="00817A98"/>
    <w:rsid w:val="0082287B"/>
    <w:rsid w:val="00827905"/>
    <w:rsid w:val="008715DC"/>
    <w:rsid w:val="00871B5C"/>
    <w:rsid w:val="0087277F"/>
    <w:rsid w:val="0089063C"/>
    <w:rsid w:val="008A6183"/>
    <w:rsid w:val="008B04C0"/>
    <w:rsid w:val="008C64AE"/>
    <w:rsid w:val="008D5928"/>
    <w:rsid w:val="008D6E3C"/>
    <w:rsid w:val="008E15C0"/>
    <w:rsid w:val="00900600"/>
    <w:rsid w:val="00903A50"/>
    <w:rsid w:val="0090693D"/>
    <w:rsid w:val="00913DFF"/>
    <w:rsid w:val="0093677B"/>
    <w:rsid w:val="00943378"/>
    <w:rsid w:val="00961320"/>
    <w:rsid w:val="009821D6"/>
    <w:rsid w:val="00983358"/>
    <w:rsid w:val="009A37C6"/>
    <w:rsid w:val="009A79CC"/>
    <w:rsid w:val="009B7BBF"/>
    <w:rsid w:val="009C7F40"/>
    <w:rsid w:val="009D302A"/>
    <w:rsid w:val="009D74E6"/>
    <w:rsid w:val="009E318D"/>
    <w:rsid w:val="009E3C11"/>
    <w:rsid w:val="00A0393E"/>
    <w:rsid w:val="00A040E3"/>
    <w:rsid w:val="00A303A8"/>
    <w:rsid w:val="00A37AD8"/>
    <w:rsid w:val="00A51CF4"/>
    <w:rsid w:val="00A65AE1"/>
    <w:rsid w:val="00A754A2"/>
    <w:rsid w:val="00A840AC"/>
    <w:rsid w:val="00AD2DFC"/>
    <w:rsid w:val="00AE1547"/>
    <w:rsid w:val="00B17118"/>
    <w:rsid w:val="00B17B42"/>
    <w:rsid w:val="00B3501F"/>
    <w:rsid w:val="00B44A8C"/>
    <w:rsid w:val="00B87DEB"/>
    <w:rsid w:val="00BA4F7B"/>
    <w:rsid w:val="00BC0966"/>
    <w:rsid w:val="00BC2333"/>
    <w:rsid w:val="00C17BB9"/>
    <w:rsid w:val="00C45186"/>
    <w:rsid w:val="00C62077"/>
    <w:rsid w:val="00C66DDD"/>
    <w:rsid w:val="00C74DD1"/>
    <w:rsid w:val="00C835F3"/>
    <w:rsid w:val="00C86CDA"/>
    <w:rsid w:val="00CA7AB5"/>
    <w:rsid w:val="00CB6B4F"/>
    <w:rsid w:val="00CD2CE9"/>
    <w:rsid w:val="00CD33FD"/>
    <w:rsid w:val="00D0430C"/>
    <w:rsid w:val="00D053CE"/>
    <w:rsid w:val="00D0649B"/>
    <w:rsid w:val="00D103D7"/>
    <w:rsid w:val="00D15E0B"/>
    <w:rsid w:val="00D235B3"/>
    <w:rsid w:val="00D277E3"/>
    <w:rsid w:val="00D376EE"/>
    <w:rsid w:val="00D430B5"/>
    <w:rsid w:val="00D62FE8"/>
    <w:rsid w:val="00D74B98"/>
    <w:rsid w:val="00D930D8"/>
    <w:rsid w:val="00DB32B5"/>
    <w:rsid w:val="00DC2D4C"/>
    <w:rsid w:val="00DF4DE2"/>
    <w:rsid w:val="00E07872"/>
    <w:rsid w:val="00E10873"/>
    <w:rsid w:val="00E72657"/>
    <w:rsid w:val="00E81A36"/>
    <w:rsid w:val="00E91A07"/>
    <w:rsid w:val="00E937E8"/>
    <w:rsid w:val="00E96949"/>
    <w:rsid w:val="00EB4EC8"/>
    <w:rsid w:val="00EB583C"/>
    <w:rsid w:val="00ED01A9"/>
    <w:rsid w:val="00ED1882"/>
    <w:rsid w:val="00EE796B"/>
    <w:rsid w:val="00EF2630"/>
    <w:rsid w:val="00F25901"/>
    <w:rsid w:val="00F6457C"/>
    <w:rsid w:val="00F70852"/>
    <w:rsid w:val="00F95042"/>
    <w:rsid w:val="00FA7E96"/>
    <w:rsid w:val="00FB2265"/>
    <w:rsid w:val="00FC58F7"/>
    <w:rsid w:val="00FE1F41"/>
    <w:rsid w:val="00FF2FD3"/>
    <w:rsid w:val="0F4517A1"/>
    <w:rsid w:val="23F06CAB"/>
    <w:rsid w:val="30703C02"/>
    <w:rsid w:val="6D1B3428"/>
    <w:rsid w:val="7497E3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FC92F"/>
  <w15:chartTrackingRefBased/>
  <w15:docId w15:val="{6C2F6D48-9C6A-42C1-A5EE-6829654AA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CDA"/>
    <w:pPr>
      <w:spacing w:line="360" w:lineRule="auto"/>
      <w:jc w:val="both"/>
    </w:pPr>
    <w:rPr>
      <w:rFonts w:ascii="Arial" w:hAnsi="Arial"/>
    </w:rPr>
  </w:style>
  <w:style w:type="paragraph" w:styleId="Heading1">
    <w:name w:val="heading 1"/>
    <w:basedOn w:val="Normal"/>
    <w:next w:val="Normal"/>
    <w:link w:val="Heading1Char"/>
    <w:autoRedefine/>
    <w:uiPriority w:val="9"/>
    <w:qFormat/>
    <w:rsid w:val="00C86CDA"/>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C86CDA"/>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C86CDA"/>
    <w:pPr>
      <w:keepNext/>
      <w:keepLines/>
      <w:spacing w:after="80"/>
      <w:outlineLvl w:val="2"/>
    </w:pPr>
    <w:rPr>
      <w:rFonts w:eastAsiaTheme="majorEastAsia" w:cstheme="majorBidi"/>
      <w:b/>
      <w:sz w:val="24"/>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eastAsiaTheme="majorEastAsia"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C66D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66D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6D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6DD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6DD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CDA"/>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C86CDA"/>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C86CDA"/>
    <w:rPr>
      <w:rFonts w:ascii="Arial" w:eastAsiaTheme="majorEastAsia" w:hAnsi="Arial" w:cstheme="majorBidi"/>
      <w:b/>
      <w:sz w:val="24"/>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C66DDD"/>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C66DD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66DD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66DD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66DD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66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D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DDD"/>
    <w:pPr>
      <w:spacing w:before="160"/>
      <w:jc w:val="center"/>
    </w:pPr>
    <w:rPr>
      <w:i/>
      <w:iCs/>
      <w:color w:val="404040" w:themeColor="text1" w:themeTint="BF"/>
    </w:rPr>
  </w:style>
  <w:style w:type="character" w:customStyle="1" w:styleId="QuoteChar">
    <w:name w:val="Quote Char"/>
    <w:basedOn w:val="DefaultParagraphFont"/>
    <w:link w:val="Quote"/>
    <w:uiPriority w:val="29"/>
    <w:rsid w:val="00C66DDD"/>
    <w:rPr>
      <w:rFonts w:ascii="Times New Roman" w:hAnsi="Times New Roman"/>
      <w:i/>
      <w:iCs/>
      <w:color w:val="404040" w:themeColor="text1" w:themeTint="BF"/>
      <w:sz w:val="24"/>
    </w:rPr>
  </w:style>
  <w:style w:type="paragraph" w:styleId="ListParagraph">
    <w:name w:val="List Paragraph"/>
    <w:basedOn w:val="Normal"/>
    <w:uiPriority w:val="34"/>
    <w:qFormat/>
    <w:rsid w:val="00C66DDD"/>
    <w:pPr>
      <w:ind w:left="720"/>
      <w:contextualSpacing/>
    </w:pPr>
  </w:style>
  <w:style w:type="character" w:styleId="IntenseEmphasis">
    <w:name w:val="Intense Emphasis"/>
    <w:basedOn w:val="DefaultParagraphFont"/>
    <w:uiPriority w:val="21"/>
    <w:qFormat/>
    <w:rsid w:val="00C66DDD"/>
    <w:rPr>
      <w:i/>
      <w:iCs/>
      <w:color w:val="0F4761" w:themeColor="accent1" w:themeShade="BF"/>
    </w:rPr>
  </w:style>
  <w:style w:type="paragraph" w:styleId="IntenseQuote">
    <w:name w:val="Intense Quote"/>
    <w:basedOn w:val="Normal"/>
    <w:next w:val="Normal"/>
    <w:link w:val="IntenseQuoteChar"/>
    <w:uiPriority w:val="30"/>
    <w:qFormat/>
    <w:rsid w:val="00C66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DDD"/>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C66DDD"/>
    <w:rPr>
      <w:b/>
      <w:bCs/>
      <w:smallCaps/>
      <w:color w:val="0F4761" w:themeColor="accent1" w:themeShade="BF"/>
      <w:spacing w:val="5"/>
    </w:rPr>
  </w:style>
  <w:style w:type="paragraph" w:styleId="Header">
    <w:name w:val="header"/>
    <w:basedOn w:val="Normal"/>
    <w:link w:val="HeaderChar"/>
    <w:uiPriority w:val="99"/>
    <w:unhideWhenUsed/>
    <w:rsid w:val="00270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80D"/>
    <w:rPr>
      <w:rFonts w:ascii="Times New Roman" w:hAnsi="Times New Roman"/>
      <w:sz w:val="24"/>
    </w:rPr>
  </w:style>
  <w:style w:type="paragraph" w:styleId="Footer">
    <w:name w:val="footer"/>
    <w:basedOn w:val="Normal"/>
    <w:link w:val="FooterChar"/>
    <w:uiPriority w:val="99"/>
    <w:unhideWhenUsed/>
    <w:rsid w:val="00270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80D"/>
    <w:rPr>
      <w:rFonts w:ascii="Times New Roman" w:hAnsi="Times New Roman"/>
      <w:sz w:val="24"/>
    </w:rPr>
  </w:style>
  <w:style w:type="table" w:styleId="GridTable2-Accent1">
    <w:name w:val="Grid Table 2 Accent 1"/>
    <w:basedOn w:val="TableNormal"/>
    <w:uiPriority w:val="47"/>
    <w:rsid w:val="00687927"/>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6">
    <w:name w:val="Grid Table 2 Accent 6"/>
    <w:basedOn w:val="TableNormal"/>
    <w:uiPriority w:val="47"/>
    <w:rsid w:val="00687927"/>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Caption">
    <w:name w:val="caption"/>
    <w:basedOn w:val="Normal"/>
    <w:next w:val="Normal"/>
    <w:uiPriority w:val="35"/>
    <w:unhideWhenUsed/>
    <w:qFormat/>
    <w:rsid w:val="00687927"/>
    <w:pPr>
      <w:spacing w:after="200" w:line="240" w:lineRule="auto"/>
    </w:pPr>
    <w:rPr>
      <w:i/>
      <w:iCs/>
      <w:color w:val="0E2841" w:themeColor="text2"/>
      <w:sz w:val="18"/>
      <w:szCs w:val="18"/>
    </w:rPr>
  </w:style>
  <w:style w:type="paragraph" w:styleId="NormalWeb">
    <w:name w:val="Normal (Web)"/>
    <w:basedOn w:val="Normal"/>
    <w:uiPriority w:val="99"/>
    <w:semiHidden/>
    <w:unhideWhenUsed/>
    <w:rsid w:val="008C64AE"/>
    <w:pPr>
      <w:spacing w:before="100" w:beforeAutospacing="1" w:after="100" w:afterAutospacing="1" w:line="240" w:lineRule="auto"/>
      <w:jc w:val="left"/>
    </w:pPr>
    <w:rPr>
      <w:rFonts w:eastAsia="Times New Roman" w:cs="Times New Roman"/>
      <w:kern w:val="0"/>
      <w:szCs w:val="24"/>
      <w:lang w:eastAsia="en-GB" w:bidi="bn-BD"/>
      <w14:ligatures w14:val="none"/>
    </w:rPr>
  </w:style>
  <w:style w:type="paragraph" w:styleId="TableofFigures">
    <w:name w:val="table of figures"/>
    <w:basedOn w:val="Normal"/>
    <w:next w:val="Normal"/>
    <w:uiPriority w:val="99"/>
    <w:unhideWhenUsed/>
    <w:rsid w:val="0080759C"/>
    <w:pPr>
      <w:spacing w:after="0"/>
    </w:pPr>
  </w:style>
  <w:style w:type="character" w:styleId="Hyperlink">
    <w:name w:val="Hyperlink"/>
    <w:basedOn w:val="DefaultParagraphFont"/>
    <w:uiPriority w:val="99"/>
    <w:unhideWhenUsed/>
    <w:rsid w:val="0080759C"/>
    <w:rPr>
      <w:color w:val="467886" w:themeColor="hyperlink"/>
      <w:u w:val="single"/>
    </w:rPr>
  </w:style>
  <w:style w:type="paragraph" w:styleId="TOCHeading">
    <w:name w:val="TOC Heading"/>
    <w:basedOn w:val="Heading1"/>
    <w:next w:val="Normal"/>
    <w:uiPriority w:val="39"/>
    <w:unhideWhenUsed/>
    <w:qFormat/>
    <w:rsid w:val="0080759C"/>
    <w:pPr>
      <w:spacing w:before="24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80759C"/>
    <w:pPr>
      <w:spacing w:after="100"/>
    </w:pPr>
  </w:style>
  <w:style w:type="paragraph" w:styleId="TOC2">
    <w:name w:val="toc 2"/>
    <w:basedOn w:val="Normal"/>
    <w:next w:val="Normal"/>
    <w:autoRedefine/>
    <w:uiPriority w:val="39"/>
    <w:unhideWhenUsed/>
    <w:rsid w:val="0080759C"/>
    <w:pPr>
      <w:spacing w:after="100"/>
      <w:ind w:left="240"/>
    </w:pPr>
  </w:style>
  <w:style w:type="paragraph" w:styleId="TOC3">
    <w:name w:val="toc 3"/>
    <w:basedOn w:val="Normal"/>
    <w:next w:val="Normal"/>
    <w:autoRedefine/>
    <w:uiPriority w:val="39"/>
    <w:unhideWhenUsed/>
    <w:rsid w:val="0080759C"/>
    <w:pPr>
      <w:spacing w:after="100"/>
      <w:ind w:left="480"/>
    </w:pPr>
  </w:style>
  <w:style w:type="character" w:styleId="UnresolvedMention">
    <w:name w:val="Unresolved Mention"/>
    <w:basedOn w:val="DefaultParagraphFont"/>
    <w:uiPriority w:val="99"/>
    <w:semiHidden/>
    <w:unhideWhenUsed/>
    <w:rsid w:val="00C86CDA"/>
    <w:rPr>
      <w:color w:val="605E5C"/>
      <w:shd w:val="clear" w:color="auto" w:fill="E1DFDD"/>
    </w:rPr>
  </w:style>
  <w:style w:type="table" w:styleId="TableGrid">
    <w:name w:val="Table Grid"/>
    <w:basedOn w:val="TableNormal"/>
    <w:uiPriority w:val="39"/>
    <w:rsid w:val="00C86CD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unilever.com/files/ir-q4-2025-full-announcement.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y.com/en_uk/insights/consumer-products/uk-retail-spending-grows-despite-cost-of-living-crisis" TargetMode="External"/><Relationship Id="rId2" Type="http://schemas.openxmlformats.org/officeDocument/2006/relationships/numbering" Target="numbering.xml"/><Relationship Id="rId16" Type="http://schemas.openxmlformats.org/officeDocument/2006/relationships/hyperlink" Target="https://hbr.org/2012/05/managing-your-innovation-portfoli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srilanka.com/casl/images/stories/2017/2017_pdfs/sab_portal/course_material/strategies_for_diversification.pd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1B065-FA7D-4030-854A-661EDD90C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23</Pages>
  <Words>6004</Words>
  <Characters>34226</Characters>
  <Application>Microsoft Office Word</Application>
  <DocSecurity>0</DocSecurity>
  <Lines>285</Lines>
  <Paragraphs>80</Paragraphs>
  <ScaleCrop>false</ScaleCrop>
  <Company/>
  <LinksUpToDate>false</LinksUpToDate>
  <CharactersWithSpaces>40150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Nicoleta Radu (2312044)</cp:lastModifiedBy>
  <cp:revision>5</cp:revision>
  <dcterms:created xsi:type="dcterms:W3CDTF">2026-03-03T18:38:00Z</dcterms:created>
  <dcterms:modified xsi:type="dcterms:W3CDTF">2026-03-13T11:09:00Z</dcterms:modified>
</cp:coreProperties>
</file>