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005AB4" w14:textId="2CCD1854" w:rsidR="00E564CA" w:rsidRDefault="00D9145D" w:rsidP="00DB2D1B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>Reference page</w:t>
      </w:r>
    </w:p>
    <w:p w14:paraId="532B2B33" w14:textId="3A2537D1" w:rsidR="00FF303D" w:rsidRDefault="00FF303D" w:rsidP="00DB2D1B">
      <w:pPr>
        <w:spacing w:line="360" w:lineRule="auto"/>
        <w:rPr>
          <w:rFonts w:ascii="Arial" w:hAnsi="Arial" w:cs="Arial"/>
        </w:rPr>
      </w:pPr>
    </w:p>
    <w:p w14:paraId="55FB13B2" w14:textId="4F0E091D" w:rsidR="00FF303D" w:rsidRDefault="00FF303D" w:rsidP="00FF303D">
      <w:pPr>
        <w:spacing w:line="360" w:lineRule="auto"/>
        <w:rPr>
          <w:rFonts w:ascii="Arial" w:hAnsi="Arial" w:cs="Arial"/>
        </w:rPr>
      </w:pPr>
      <w:r w:rsidRPr="00FF303D">
        <w:rPr>
          <w:rFonts w:ascii="Arial" w:hAnsi="Arial" w:cs="Arial"/>
        </w:rPr>
        <w:t>Armbruster, Bonnie B., Ph.D. and Fran Lehr (2010) Put Reading First: The Research Building Blocks for Teaching Children to Read: Kindergarten Through Grade 3</w:t>
      </w:r>
    </w:p>
    <w:p w14:paraId="688088AE" w14:textId="385FBA50" w:rsidR="00FB76D6" w:rsidRDefault="00FB76D6" w:rsidP="00FF303D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Bruner, J. S. (1983) Childs talk: </w:t>
      </w:r>
      <w:r w:rsidRPr="00DB2D1B">
        <w:rPr>
          <w:rFonts w:ascii="Arial" w:hAnsi="Arial" w:cs="Arial"/>
          <w:i/>
        </w:rPr>
        <w:t>Learning to use language</w:t>
      </w:r>
      <w:r w:rsidRPr="00DB2D1B">
        <w:rPr>
          <w:rFonts w:ascii="Arial" w:hAnsi="Arial" w:cs="Arial"/>
        </w:rPr>
        <w:t>. Oxford: Oxford University press.</w:t>
      </w:r>
    </w:p>
    <w:p w14:paraId="49859D57" w14:textId="77777777" w:rsidR="00025B21" w:rsidRPr="00DB2D1B" w:rsidRDefault="00025B21" w:rsidP="00025B21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>Crystal, D (1998) Language Play. London: Penguin.</w:t>
      </w:r>
    </w:p>
    <w:p w14:paraId="6AA7D8BE" w14:textId="27C23319" w:rsidR="00FF303D" w:rsidRDefault="00FF303D" w:rsidP="00FF303D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Cullinan, B. And </w:t>
      </w:r>
      <w:proofErr w:type="spellStart"/>
      <w:r w:rsidRPr="00DB2D1B">
        <w:rPr>
          <w:rFonts w:ascii="Arial" w:hAnsi="Arial" w:cs="Arial"/>
        </w:rPr>
        <w:t>Bagert</w:t>
      </w:r>
      <w:proofErr w:type="spellEnd"/>
      <w:r w:rsidRPr="00DB2D1B">
        <w:rPr>
          <w:rFonts w:ascii="Arial" w:hAnsi="Arial" w:cs="Arial"/>
        </w:rPr>
        <w:t xml:space="preserve">, B. (2017) </w:t>
      </w:r>
      <w:r w:rsidRPr="00DB2D1B">
        <w:rPr>
          <w:rFonts w:ascii="Arial" w:hAnsi="Arial" w:cs="Arial"/>
          <w:i/>
        </w:rPr>
        <w:t>Helping your child learn to read</w:t>
      </w:r>
      <w:r w:rsidRPr="00DB2D1B">
        <w:rPr>
          <w:rFonts w:ascii="Arial" w:hAnsi="Arial" w:cs="Arial"/>
        </w:rPr>
        <w:t>.</w:t>
      </w:r>
    </w:p>
    <w:p w14:paraId="0AF9B1A2" w14:textId="5BDF234F" w:rsidR="00FB76D6" w:rsidRDefault="00FB76D6" w:rsidP="00FB76D6">
      <w:pPr>
        <w:spacing w:line="360" w:lineRule="auto"/>
        <w:rPr>
          <w:rFonts w:ascii="Arial" w:eastAsiaTheme="minorEastAsia" w:hAnsi="Arial" w:cs="Arial"/>
          <w:kern w:val="24"/>
        </w:rPr>
      </w:pPr>
      <w:r w:rsidRPr="00DB2D1B">
        <w:rPr>
          <w:rFonts w:ascii="Arial" w:eastAsiaTheme="minorEastAsia" w:hAnsi="Arial" w:cs="Arial"/>
          <w:kern w:val="24"/>
        </w:rPr>
        <w:t>Department for education, (2017) statutory framework for the early years foundation stage Available</w:t>
      </w:r>
      <w:r w:rsidR="003A6277">
        <w:rPr>
          <w:rFonts w:ascii="Arial" w:eastAsiaTheme="minorEastAsia" w:hAnsi="Arial" w:cs="Arial"/>
          <w:kern w:val="24"/>
        </w:rPr>
        <w:t xml:space="preserve"> </w:t>
      </w:r>
      <w:r w:rsidRPr="00DB2D1B">
        <w:rPr>
          <w:rFonts w:ascii="Arial" w:eastAsiaTheme="minorEastAsia" w:hAnsi="Arial" w:cs="Arial"/>
          <w:kern w:val="24"/>
        </w:rPr>
        <w:t>at</w:t>
      </w:r>
      <w:r w:rsidRPr="003A6277">
        <w:rPr>
          <w:rFonts w:ascii="Arial" w:eastAsiaTheme="minorEastAsia" w:hAnsi="Arial" w:cs="Arial"/>
          <w:kern w:val="24"/>
        </w:rPr>
        <w:t>:</w:t>
      </w:r>
      <w:hyperlink r:id="rId5" w:history="1">
        <w:r w:rsidR="003A6277" w:rsidRPr="003A6277">
          <w:rPr>
            <w:rStyle w:val="Hyperlink"/>
            <w:rFonts w:ascii="Arial" w:eastAsiaTheme="minorEastAsia" w:hAnsi="Arial" w:cs="Arial"/>
            <w:color w:val="auto"/>
            <w:kern w:val="24"/>
            <w:u w:val="none"/>
          </w:rPr>
          <w:t>https://assets.publishing.service.gov.uk/government/uploads/system/uploads/attachment_data/file/596629/EYFS_STATUTORY_FRAMEWORK_2017.pdf</w:t>
        </w:r>
      </w:hyperlink>
      <w:r w:rsidRPr="00DB2D1B">
        <w:rPr>
          <w:rFonts w:ascii="Arial" w:eastAsiaTheme="minorEastAsia" w:hAnsi="Arial" w:cs="Arial"/>
          <w:kern w:val="24"/>
        </w:rPr>
        <w:t xml:space="preserve"> [Accessed on 29/11/2018]</w:t>
      </w:r>
    </w:p>
    <w:p w14:paraId="1B4573A8" w14:textId="06310007" w:rsidR="003A6277" w:rsidRDefault="003A6277" w:rsidP="003A6277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Forest school association (No Date) Available at: </w:t>
      </w:r>
      <w:hyperlink r:id="rId6" w:history="1">
        <w:r w:rsidRPr="00DB2D1B">
          <w:rPr>
            <w:rStyle w:val="Hyperlink"/>
            <w:rFonts w:ascii="Arial" w:hAnsi="Arial" w:cs="Arial"/>
            <w:color w:val="auto"/>
            <w:u w:val="none"/>
          </w:rPr>
          <w:t>https://www.forestschoolassociation.org/full-principles-and-criteria-for-good-practice/</w:t>
        </w:r>
      </w:hyperlink>
      <w:r w:rsidRPr="00DB2D1B">
        <w:rPr>
          <w:rFonts w:ascii="Arial" w:hAnsi="Arial" w:cs="Arial"/>
        </w:rPr>
        <w:t xml:space="preserve"> [Accessed on 29/11/2018]</w:t>
      </w:r>
    </w:p>
    <w:p w14:paraId="04D6FC8B" w14:textId="3F24387A" w:rsidR="006304FB" w:rsidRDefault="006304FB" w:rsidP="006304FB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>Grainger, T. (1997) Traditional Storytelling: In the primary Classroom: Glasgow.</w:t>
      </w:r>
    </w:p>
    <w:p w14:paraId="2E195E5A" w14:textId="0BFD3EA5" w:rsidR="006304FB" w:rsidRDefault="006304FB" w:rsidP="006304FB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Julie Ernst (2014) Early childhood educators’ </w:t>
      </w:r>
      <w:r w:rsidRPr="00DB2D1B">
        <w:rPr>
          <w:rFonts w:ascii="Arial" w:hAnsi="Arial" w:cs="Arial"/>
          <w:i/>
        </w:rPr>
        <w:t>use of natural outdoor settings as learning environments</w:t>
      </w:r>
      <w:r w:rsidRPr="00DB2D1B">
        <w:rPr>
          <w:rFonts w:ascii="Arial" w:hAnsi="Arial" w:cs="Arial"/>
        </w:rPr>
        <w:t xml:space="preserve">: an exploratory study of beliefs, practices, and barriers, Environmental Education Research, 20:6, 735-752, DOI: </w:t>
      </w:r>
      <w:hyperlink r:id="rId7" w:history="1">
        <w:r w:rsidRPr="00DB2D1B">
          <w:rPr>
            <w:rFonts w:ascii="Arial" w:hAnsi="Arial" w:cs="Arial"/>
          </w:rPr>
          <w:t>10.1080/13504622.2013.833596</w:t>
        </w:r>
      </w:hyperlink>
    </w:p>
    <w:p w14:paraId="269C3746" w14:textId="1231F2A1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>Lockwood, M (2011</w:t>
      </w:r>
      <w:r w:rsidRPr="00DB2D1B">
        <w:rPr>
          <w:rFonts w:ascii="Arial" w:hAnsi="Arial" w:cs="Arial"/>
          <w:i/>
        </w:rPr>
        <w:t>) Promoting Reading for pleasure in the primary school</w:t>
      </w:r>
      <w:r w:rsidRPr="00DB2D1B">
        <w:rPr>
          <w:rFonts w:ascii="Arial" w:hAnsi="Arial" w:cs="Arial"/>
        </w:rPr>
        <w:t>. London: SAGE.</w:t>
      </w:r>
    </w:p>
    <w:p w14:paraId="2615FAC8" w14:textId="57782F46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Montessori cited in GILDER, S.A., 2009. Montessori by Nature. </w:t>
      </w:r>
      <w:r w:rsidRPr="00DB2D1B">
        <w:rPr>
          <w:rFonts w:ascii="Arial" w:hAnsi="Arial" w:cs="Arial"/>
          <w:i/>
          <w:iCs/>
        </w:rPr>
        <w:t xml:space="preserve">Montessori Life, </w:t>
      </w:r>
      <w:r w:rsidRPr="00DB2D1B">
        <w:rPr>
          <w:rFonts w:ascii="Arial" w:hAnsi="Arial" w:cs="Arial"/>
          <w:b/>
          <w:bCs/>
        </w:rPr>
        <w:t>21</w:t>
      </w:r>
      <w:r w:rsidRPr="00DB2D1B">
        <w:rPr>
          <w:rFonts w:ascii="Arial" w:hAnsi="Arial" w:cs="Arial"/>
        </w:rPr>
        <w:t>(4), pp. 34-37.</w:t>
      </w:r>
    </w:p>
    <w:p w14:paraId="65FB432A" w14:textId="517D2432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National literacy trust (2017) Available at: </w:t>
      </w:r>
      <w:hyperlink r:id="rId8" w:history="1">
        <w:r w:rsidRPr="00DB2D1B">
          <w:rPr>
            <w:rStyle w:val="Hyperlink"/>
            <w:rFonts w:ascii="Arial" w:hAnsi="Arial" w:cs="Arial"/>
            <w:color w:val="auto"/>
            <w:u w:val="none"/>
          </w:rPr>
          <w:t>https://literacytrust.org.uk/programmes/early-words-together/</w:t>
        </w:r>
      </w:hyperlink>
      <w:r w:rsidRPr="00DB2D1B">
        <w:rPr>
          <w:rFonts w:ascii="Arial" w:hAnsi="Arial" w:cs="Arial"/>
        </w:rPr>
        <w:t xml:space="preserve"> [Accessed on 27/11/2018]</w:t>
      </w:r>
    </w:p>
    <w:p w14:paraId="32B4E442" w14:textId="77777777" w:rsidR="003303CC" w:rsidRPr="00DB2D1B" w:rsidRDefault="003303CC" w:rsidP="003303CC">
      <w:pPr>
        <w:spacing w:line="360" w:lineRule="auto"/>
        <w:rPr>
          <w:rFonts w:ascii="Arial" w:hAnsi="Arial" w:cs="Arial"/>
        </w:rPr>
      </w:pPr>
      <w:proofErr w:type="spellStart"/>
      <w:r w:rsidRPr="00DB2D1B">
        <w:rPr>
          <w:rFonts w:ascii="Arial" w:hAnsi="Arial" w:cs="Arial"/>
        </w:rPr>
        <w:t>Neaum</w:t>
      </w:r>
      <w:proofErr w:type="spellEnd"/>
      <w:r w:rsidRPr="00DB2D1B">
        <w:rPr>
          <w:rFonts w:ascii="Arial" w:hAnsi="Arial" w:cs="Arial"/>
        </w:rPr>
        <w:t xml:space="preserve">, S. (2012) </w:t>
      </w:r>
      <w:r w:rsidRPr="00DB2D1B">
        <w:rPr>
          <w:rFonts w:ascii="Arial" w:hAnsi="Arial" w:cs="Arial"/>
          <w:i/>
          <w:iCs/>
        </w:rPr>
        <w:t xml:space="preserve">Language and literacy for the early years. </w:t>
      </w:r>
      <w:r w:rsidRPr="00DB2D1B">
        <w:rPr>
          <w:rFonts w:ascii="Arial" w:hAnsi="Arial" w:cs="Arial"/>
        </w:rPr>
        <w:t>London: Sage Publications Ltd.</w:t>
      </w:r>
    </w:p>
    <w:p w14:paraId="1222BC00" w14:textId="29581B2A" w:rsidR="003303CC" w:rsidRDefault="003303CC" w:rsidP="003303CC">
      <w:pPr>
        <w:spacing w:line="360" w:lineRule="auto"/>
        <w:rPr>
          <w:rFonts w:ascii="Arial" w:hAnsi="Arial" w:cs="Arial"/>
        </w:rPr>
      </w:pPr>
      <w:proofErr w:type="spellStart"/>
      <w:r w:rsidRPr="00DB2D1B">
        <w:rPr>
          <w:rFonts w:ascii="Arial" w:hAnsi="Arial" w:cs="Arial"/>
        </w:rPr>
        <w:t>Nekane</w:t>
      </w:r>
      <w:proofErr w:type="spellEnd"/>
      <w:r w:rsidRPr="00DB2D1B">
        <w:rPr>
          <w:rFonts w:ascii="Arial" w:hAnsi="Arial" w:cs="Arial"/>
        </w:rPr>
        <w:t xml:space="preserve"> Miranda, </w:t>
      </w:r>
      <w:proofErr w:type="spellStart"/>
      <w:r w:rsidRPr="00DB2D1B">
        <w:rPr>
          <w:rFonts w:ascii="Arial" w:hAnsi="Arial" w:cs="Arial"/>
        </w:rPr>
        <w:t>Inaki</w:t>
      </w:r>
      <w:proofErr w:type="spellEnd"/>
      <w:r w:rsidRPr="00DB2D1B">
        <w:rPr>
          <w:rFonts w:ascii="Arial" w:hAnsi="Arial" w:cs="Arial"/>
        </w:rPr>
        <w:t xml:space="preserve"> </w:t>
      </w:r>
      <w:proofErr w:type="spellStart"/>
      <w:r w:rsidRPr="00DB2D1B">
        <w:rPr>
          <w:rFonts w:ascii="Arial" w:hAnsi="Arial" w:cs="Arial"/>
        </w:rPr>
        <w:t>Larrea</w:t>
      </w:r>
      <w:proofErr w:type="spellEnd"/>
      <w:r w:rsidRPr="00DB2D1B">
        <w:rPr>
          <w:rFonts w:ascii="Arial" w:hAnsi="Arial" w:cs="Arial"/>
        </w:rPr>
        <w:t xml:space="preserve">, Alexander </w:t>
      </w:r>
      <w:proofErr w:type="spellStart"/>
      <w:r w:rsidRPr="00DB2D1B">
        <w:rPr>
          <w:rFonts w:ascii="Arial" w:hAnsi="Arial" w:cs="Arial"/>
        </w:rPr>
        <w:t>Muela</w:t>
      </w:r>
      <w:proofErr w:type="spellEnd"/>
      <w:r w:rsidRPr="00DB2D1B">
        <w:rPr>
          <w:rFonts w:ascii="Arial" w:hAnsi="Arial" w:cs="Arial"/>
        </w:rPr>
        <w:t xml:space="preserve"> &amp; Alexander </w:t>
      </w:r>
      <w:proofErr w:type="spellStart"/>
      <w:r w:rsidRPr="00DB2D1B">
        <w:rPr>
          <w:rFonts w:ascii="Arial" w:hAnsi="Arial" w:cs="Arial"/>
        </w:rPr>
        <w:t>Barandiaran</w:t>
      </w:r>
      <w:proofErr w:type="spellEnd"/>
      <w:r w:rsidRPr="00DB2D1B">
        <w:rPr>
          <w:rFonts w:ascii="Arial" w:hAnsi="Arial" w:cs="Arial"/>
        </w:rPr>
        <w:t xml:space="preserve"> (2017) </w:t>
      </w:r>
      <w:r w:rsidRPr="00DB2D1B">
        <w:rPr>
          <w:rFonts w:ascii="Arial" w:hAnsi="Arial" w:cs="Arial"/>
          <w:i/>
        </w:rPr>
        <w:t>Preschool Children’s Social Play and Involvement in the Outdoor Environment</w:t>
      </w:r>
      <w:r w:rsidRPr="00DB2D1B">
        <w:rPr>
          <w:rFonts w:ascii="Arial" w:hAnsi="Arial" w:cs="Arial"/>
        </w:rPr>
        <w:t xml:space="preserve">, Early Education and Development, 28:5, 525-540, DOI: </w:t>
      </w:r>
      <w:hyperlink r:id="rId9" w:history="1">
        <w:r w:rsidRPr="00DB2D1B">
          <w:rPr>
            <w:rFonts w:ascii="Arial" w:hAnsi="Arial" w:cs="Arial"/>
          </w:rPr>
          <w:t>10.1080/10409289.2016.1250550</w:t>
        </w:r>
      </w:hyperlink>
    </w:p>
    <w:p w14:paraId="4ACA07EF" w14:textId="77777777" w:rsidR="003303CC" w:rsidRDefault="003303CC" w:rsidP="003303CC">
      <w:pPr>
        <w:spacing w:line="360" w:lineRule="auto"/>
        <w:rPr>
          <w:rFonts w:ascii="Arial" w:hAnsi="Arial" w:cs="Arial"/>
        </w:rPr>
      </w:pPr>
    </w:p>
    <w:p w14:paraId="4CE6376C" w14:textId="77777777" w:rsidR="003303CC" w:rsidRDefault="003303CC" w:rsidP="003303CC">
      <w:pPr>
        <w:spacing w:line="360" w:lineRule="auto"/>
        <w:rPr>
          <w:rFonts w:ascii="Arial" w:hAnsi="Arial" w:cs="Arial"/>
        </w:rPr>
      </w:pPr>
    </w:p>
    <w:p w14:paraId="6FC1B333" w14:textId="439F2F4B" w:rsidR="003303CC" w:rsidRDefault="003303CC" w:rsidP="003303CC">
      <w:pPr>
        <w:spacing w:line="360" w:lineRule="auto"/>
        <w:rPr>
          <w:rFonts w:ascii="Arial" w:hAnsi="Arial" w:cs="Arial"/>
        </w:rPr>
      </w:pPr>
      <w:bookmarkStart w:id="0" w:name="_GoBack"/>
      <w:bookmarkEnd w:id="0"/>
      <w:r w:rsidRPr="00DB2D1B">
        <w:rPr>
          <w:rFonts w:ascii="Arial" w:hAnsi="Arial" w:cs="Arial"/>
        </w:rPr>
        <w:lastRenderedPageBreak/>
        <w:t xml:space="preserve">Peterson, Shelley Stagg; McIntyre, Laureen J and Forsyth, Donna. Supporting young children's oral language and writing development: Teachers' and early childhood educators' goals and practices [online]. </w:t>
      </w:r>
      <w:r w:rsidRPr="00DB2D1B">
        <w:rPr>
          <w:rFonts w:ascii="Arial" w:hAnsi="Arial" w:cs="Arial"/>
          <w:bdr w:val="none" w:sz="0" w:space="0" w:color="auto" w:frame="1"/>
        </w:rPr>
        <w:t>Australasian Journal of Early Childhood</w:t>
      </w:r>
      <w:r w:rsidRPr="00DB2D1B">
        <w:rPr>
          <w:rFonts w:ascii="Arial" w:hAnsi="Arial" w:cs="Arial"/>
        </w:rPr>
        <w:t>, Vol. 41, No. 3, Sep 2016: 11-19.</w:t>
      </w:r>
    </w:p>
    <w:p w14:paraId="29CDCC89" w14:textId="77777777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Pullen, P. C. and Justice, L. M. (2003) ‘Enhancing Phonological Awareness, Print Awareness, and Oral Language Skills in Preschool Children’, </w:t>
      </w:r>
      <w:r w:rsidRPr="00DB2D1B">
        <w:rPr>
          <w:rFonts w:ascii="Arial" w:hAnsi="Arial" w:cs="Arial"/>
          <w:i/>
          <w:iCs/>
          <w:bdr w:val="none" w:sz="0" w:space="0" w:color="auto" w:frame="1"/>
        </w:rPr>
        <w:t>Intervention in School and Clinic</w:t>
      </w:r>
      <w:r w:rsidRPr="00DB2D1B">
        <w:rPr>
          <w:rFonts w:ascii="Arial" w:hAnsi="Arial" w:cs="Arial"/>
        </w:rPr>
        <w:t>, 39(2), pp. 87–98.</w:t>
      </w:r>
    </w:p>
    <w:p w14:paraId="572C7C2F" w14:textId="44BBC98C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Rosen, M. (1989) </w:t>
      </w:r>
      <w:r w:rsidRPr="00DB2D1B">
        <w:rPr>
          <w:rFonts w:ascii="Arial" w:hAnsi="Arial" w:cs="Arial"/>
          <w:i/>
        </w:rPr>
        <w:t>were going on a bear hunt</w:t>
      </w:r>
      <w:r w:rsidRPr="00DB2D1B">
        <w:rPr>
          <w:rFonts w:ascii="Arial" w:hAnsi="Arial" w:cs="Arial"/>
        </w:rPr>
        <w:t>. London:</w:t>
      </w:r>
    </w:p>
    <w:p w14:paraId="0B585561" w14:textId="77777777" w:rsidR="003303CC" w:rsidRPr="00DB2D1B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Sally Goddard-Blythe (2016) Available at: </w:t>
      </w:r>
      <w:hyperlink r:id="rId10" w:history="1">
        <w:r w:rsidRPr="00DB2D1B">
          <w:rPr>
            <w:rStyle w:val="Hyperlink"/>
            <w:rFonts w:ascii="Arial" w:hAnsi="Arial" w:cs="Arial"/>
            <w:color w:val="auto"/>
            <w:u w:val="none"/>
          </w:rPr>
          <w:t>http://blog.ican.org.uk/2016/11/why-nursery-rhymes-are-important-this-national-nursery-rhyme-week/</w:t>
        </w:r>
      </w:hyperlink>
      <w:r w:rsidRPr="00DB2D1B">
        <w:rPr>
          <w:rFonts w:ascii="Arial" w:hAnsi="Arial" w:cs="Arial"/>
        </w:rPr>
        <w:t xml:space="preserve"> [Accessed on 29/11/2018]</w:t>
      </w:r>
    </w:p>
    <w:p w14:paraId="55C0A30C" w14:textId="57F1FB57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Saxton, M (2010) </w:t>
      </w:r>
      <w:r w:rsidRPr="00DB2D1B">
        <w:rPr>
          <w:rFonts w:ascii="Arial" w:hAnsi="Arial" w:cs="Arial"/>
          <w:i/>
        </w:rPr>
        <w:t>Child Language. Acquisition and development</w:t>
      </w:r>
      <w:r w:rsidRPr="00DB2D1B">
        <w:rPr>
          <w:rFonts w:ascii="Arial" w:hAnsi="Arial" w:cs="Arial"/>
        </w:rPr>
        <w:t>. London: Sage.</w:t>
      </w:r>
    </w:p>
    <w:p w14:paraId="4430E954" w14:textId="77777777" w:rsidR="003303CC" w:rsidRPr="00DB2D1B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Skinner, D. (2010) </w:t>
      </w:r>
      <w:r w:rsidRPr="00DB2D1B">
        <w:rPr>
          <w:rFonts w:ascii="Arial" w:hAnsi="Arial" w:cs="Arial"/>
          <w:i/>
          <w:iCs/>
        </w:rPr>
        <w:t>Effective teaching and learning in practice</w:t>
      </w:r>
      <w:r w:rsidRPr="00DB2D1B">
        <w:rPr>
          <w:rFonts w:ascii="Arial" w:hAnsi="Arial" w:cs="Arial"/>
        </w:rPr>
        <w:t>. London: New York: Continuum International Pub. Group.</w:t>
      </w:r>
    </w:p>
    <w:p w14:paraId="5670B88B" w14:textId="25D289B1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Sylva, K. (1976) ‘Problem Solving in young children’ in J. Bruner, A. Jolly and K. Sylva (eds) </w:t>
      </w:r>
      <w:r w:rsidRPr="00DB2D1B">
        <w:rPr>
          <w:rFonts w:ascii="Arial" w:hAnsi="Arial" w:cs="Arial"/>
          <w:i/>
        </w:rPr>
        <w:t xml:space="preserve">Play: its role in development and evolution </w:t>
      </w:r>
      <w:r w:rsidRPr="00DB2D1B">
        <w:rPr>
          <w:rFonts w:ascii="Arial" w:hAnsi="Arial" w:cs="Arial"/>
        </w:rPr>
        <w:t>Harmondsworth: Penguin.</w:t>
      </w:r>
    </w:p>
    <w:p w14:paraId="4F584CC9" w14:textId="4E2B45F8" w:rsidR="003303CC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Vygotsky, L. S. (1978) Mind in Society: </w:t>
      </w:r>
      <w:r w:rsidRPr="00DB2D1B">
        <w:rPr>
          <w:rFonts w:ascii="Arial" w:hAnsi="Arial" w:cs="Arial"/>
          <w:i/>
        </w:rPr>
        <w:t>The Development of higher psychological processes</w:t>
      </w:r>
      <w:r w:rsidRPr="00DB2D1B">
        <w:rPr>
          <w:rFonts w:ascii="Arial" w:hAnsi="Arial" w:cs="Arial"/>
        </w:rPr>
        <w:t>. Cambridge, MA: Harvard University Press.</w:t>
      </w:r>
    </w:p>
    <w:p w14:paraId="4F0E3CF8" w14:textId="77777777" w:rsidR="003303CC" w:rsidRPr="00DB2D1B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Whitehead, M (2010) </w:t>
      </w:r>
      <w:r w:rsidRPr="00DB2D1B">
        <w:rPr>
          <w:rFonts w:ascii="Arial" w:hAnsi="Arial" w:cs="Arial"/>
          <w:i/>
        </w:rPr>
        <w:t xml:space="preserve">Language and literacy in the early years </w:t>
      </w:r>
      <w:r w:rsidRPr="00DB2D1B">
        <w:rPr>
          <w:rFonts w:ascii="Arial" w:hAnsi="Arial" w:cs="Arial"/>
        </w:rPr>
        <w:t>0-7, 4</w:t>
      </w:r>
      <w:r w:rsidRPr="00DB2D1B">
        <w:rPr>
          <w:rFonts w:ascii="Arial" w:hAnsi="Arial" w:cs="Arial"/>
          <w:vertAlign w:val="superscript"/>
        </w:rPr>
        <w:t>th</w:t>
      </w:r>
      <w:r w:rsidRPr="00DB2D1B">
        <w:rPr>
          <w:rFonts w:ascii="Arial" w:hAnsi="Arial" w:cs="Arial"/>
        </w:rPr>
        <w:t xml:space="preserve"> Edition. London: SAGE.</w:t>
      </w:r>
    </w:p>
    <w:p w14:paraId="749D2043" w14:textId="77777777" w:rsidR="003303CC" w:rsidRPr="00DB2D1B" w:rsidRDefault="003303CC" w:rsidP="003303CC">
      <w:pPr>
        <w:spacing w:line="360" w:lineRule="auto"/>
        <w:rPr>
          <w:rFonts w:ascii="Arial" w:hAnsi="Arial" w:cs="Arial"/>
        </w:rPr>
      </w:pPr>
      <w:r w:rsidRPr="00DB2D1B">
        <w:rPr>
          <w:rFonts w:ascii="Arial" w:hAnsi="Arial" w:cs="Arial"/>
        </w:rPr>
        <w:t xml:space="preserve">Wood, D., Bruner, J. and Ross, G (1976) The role of tutoring in problem solving </w:t>
      </w:r>
      <w:r w:rsidRPr="00DB2D1B">
        <w:rPr>
          <w:rFonts w:ascii="Arial" w:hAnsi="Arial" w:cs="Arial"/>
          <w:i/>
        </w:rPr>
        <w:t>Journal of child psychology and psychiatry</w:t>
      </w:r>
      <w:r w:rsidRPr="00DB2D1B">
        <w:rPr>
          <w:rFonts w:ascii="Arial" w:hAnsi="Arial" w:cs="Arial"/>
        </w:rPr>
        <w:t xml:space="preserve"> 17, 2, p. 89-100.</w:t>
      </w:r>
    </w:p>
    <w:p w14:paraId="69CA6202" w14:textId="62CDEE5F" w:rsidR="00D9145D" w:rsidRPr="00DB2D1B" w:rsidRDefault="00D9145D" w:rsidP="00DB2D1B">
      <w:pPr>
        <w:spacing w:line="360" w:lineRule="auto"/>
        <w:rPr>
          <w:rFonts w:ascii="Arial" w:hAnsi="Arial" w:cs="Arial"/>
        </w:rPr>
      </w:pPr>
    </w:p>
    <w:sectPr w:rsidR="00D9145D" w:rsidRPr="00DB2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BF0518"/>
    <w:multiLevelType w:val="hybridMultilevel"/>
    <w:tmpl w:val="3800D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45D"/>
    <w:rsid w:val="00025B21"/>
    <w:rsid w:val="00034600"/>
    <w:rsid w:val="0006203B"/>
    <w:rsid w:val="000751BF"/>
    <w:rsid w:val="00115CC2"/>
    <w:rsid w:val="002834E0"/>
    <w:rsid w:val="002D1ABB"/>
    <w:rsid w:val="002F13DF"/>
    <w:rsid w:val="0032082D"/>
    <w:rsid w:val="00326EC5"/>
    <w:rsid w:val="003278AF"/>
    <w:rsid w:val="003303CC"/>
    <w:rsid w:val="003775DB"/>
    <w:rsid w:val="00395B6B"/>
    <w:rsid w:val="003A6277"/>
    <w:rsid w:val="003D068A"/>
    <w:rsid w:val="003D4F19"/>
    <w:rsid w:val="00440BE1"/>
    <w:rsid w:val="0046330E"/>
    <w:rsid w:val="004C25E0"/>
    <w:rsid w:val="004E22AF"/>
    <w:rsid w:val="00540A5C"/>
    <w:rsid w:val="00546495"/>
    <w:rsid w:val="005907AB"/>
    <w:rsid w:val="005D754D"/>
    <w:rsid w:val="006304FB"/>
    <w:rsid w:val="006A00A9"/>
    <w:rsid w:val="006A3574"/>
    <w:rsid w:val="006D484E"/>
    <w:rsid w:val="00772B5C"/>
    <w:rsid w:val="00785413"/>
    <w:rsid w:val="00792295"/>
    <w:rsid w:val="007C5974"/>
    <w:rsid w:val="007F4508"/>
    <w:rsid w:val="00801FBA"/>
    <w:rsid w:val="008046F2"/>
    <w:rsid w:val="00877E73"/>
    <w:rsid w:val="0088256C"/>
    <w:rsid w:val="008A2C57"/>
    <w:rsid w:val="008F7E52"/>
    <w:rsid w:val="00932046"/>
    <w:rsid w:val="00A10D2B"/>
    <w:rsid w:val="00A20578"/>
    <w:rsid w:val="00A44772"/>
    <w:rsid w:val="00A50DCF"/>
    <w:rsid w:val="00A5123B"/>
    <w:rsid w:val="00A85FBE"/>
    <w:rsid w:val="00A96E55"/>
    <w:rsid w:val="00AD413F"/>
    <w:rsid w:val="00B30968"/>
    <w:rsid w:val="00B57025"/>
    <w:rsid w:val="00B87371"/>
    <w:rsid w:val="00B9240E"/>
    <w:rsid w:val="00BA3720"/>
    <w:rsid w:val="00BC6D1B"/>
    <w:rsid w:val="00BD1AA4"/>
    <w:rsid w:val="00C01487"/>
    <w:rsid w:val="00CE7040"/>
    <w:rsid w:val="00D9145D"/>
    <w:rsid w:val="00DB2D1B"/>
    <w:rsid w:val="00DC6FA8"/>
    <w:rsid w:val="00E564CA"/>
    <w:rsid w:val="00E805A2"/>
    <w:rsid w:val="00E80F09"/>
    <w:rsid w:val="00EA6625"/>
    <w:rsid w:val="00F15810"/>
    <w:rsid w:val="00F63722"/>
    <w:rsid w:val="00FA07A8"/>
    <w:rsid w:val="00FB76D6"/>
    <w:rsid w:val="00FF3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3CEAD7"/>
  <w15:chartTrackingRefBased/>
  <w15:docId w15:val="{A9EA9ABF-4F8C-4892-BAFF-794E8DEAD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14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6F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A66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698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8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teracytrust.org.uk/programmes/early-words-togethe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3504622.2013.833596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orestschoolassociation.org/full-principles-and-criteria-for-good-practice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ssets.publishing.service.gov.uk/government/uploads/system/uploads/attachment_data/file/596629/EYFS_STATUTORY_FRAMEWORK_2017.pdf" TargetMode="External"/><Relationship Id="rId10" Type="http://schemas.openxmlformats.org/officeDocument/2006/relationships/hyperlink" Target="http://blog.ican.org.uk/2016/11/why-nursery-rhymes-are-important-this-national-nursery-rhyme-wee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0409289.2016.12505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2</Pages>
  <Words>562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Briggs</dc:creator>
  <cp:keywords/>
  <dc:description/>
  <cp:lastModifiedBy>Samantha Briggs</cp:lastModifiedBy>
  <cp:revision>69</cp:revision>
  <dcterms:created xsi:type="dcterms:W3CDTF">2018-11-26T19:36:00Z</dcterms:created>
  <dcterms:modified xsi:type="dcterms:W3CDTF">2018-12-05T15:34:00Z</dcterms:modified>
</cp:coreProperties>
</file>