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4C9CD9" w14:textId="77777777" w:rsidR="00041D1C" w:rsidRDefault="00000000">
      <w:pPr>
        <w:spacing w:line="360" w:lineRule="auto"/>
        <w:jc w:val="both"/>
        <w:rPr>
          <w:rFonts w:ascii="Times New Roman" w:eastAsia="Times New Roman" w:hAnsi="Times New Roman" w:cs="Times New Roman"/>
          <w:b/>
          <w:i/>
          <w:sz w:val="40"/>
          <w:szCs w:val="40"/>
        </w:rPr>
      </w:pPr>
      <w:r>
        <w:rPr>
          <w:rFonts w:ascii="Times New Roman" w:eastAsia="Times New Roman" w:hAnsi="Times New Roman" w:cs="Times New Roman"/>
          <w:b/>
          <w:noProof/>
          <w:sz w:val="36"/>
          <w:szCs w:val="36"/>
        </w:rPr>
        <w:drawing>
          <wp:inline distT="114300" distB="114300" distL="114300" distR="114300" wp14:anchorId="1EF6B373" wp14:editId="794EF846">
            <wp:extent cx="2286000" cy="9525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6"/>
                    <a:srcRect/>
                    <a:stretch>
                      <a:fillRect/>
                    </a:stretch>
                  </pic:blipFill>
                  <pic:spPr>
                    <a:xfrm>
                      <a:off x="0" y="0"/>
                      <a:ext cx="2286000" cy="952500"/>
                    </a:xfrm>
                    <a:prstGeom prst="rect">
                      <a:avLst/>
                    </a:prstGeom>
                    <a:ln/>
                  </pic:spPr>
                </pic:pic>
              </a:graphicData>
            </a:graphic>
          </wp:inline>
        </w:drawing>
      </w:r>
    </w:p>
    <w:p w14:paraId="472A165C" w14:textId="77777777" w:rsidR="00041D1C" w:rsidRDefault="00041D1C">
      <w:pPr>
        <w:spacing w:line="360" w:lineRule="auto"/>
        <w:jc w:val="both"/>
        <w:rPr>
          <w:rFonts w:ascii="Times New Roman" w:eastAsia="Times New Roman" w:hAnsi="Times New Roman" w:cs="Times New Roman"/>
          <w:b/>
          <w:sz w:val="36"/>
          <w:szCs w:val="36"/>
        </w:rPr>
      </w:pPr>
    </w:p>
    <w:p w14:paraId="34A8A5FB" w14:textId="77777777" w:rsidR="00041D1C" w:rsidRDefault="00000000">
      <w:pPr>
        <w:spacing w:line="360" w:lineRule="auto"/>
        <w:jc w:val="both"/>
        <w:rPr>
          <w:rFonts w:ascii="Times New Roman" w:eastAsia="Times New Roman" w:hAnsi="Times New Roman" w:cs="Times New Roman"/>
          <w:b/>
          <w:i/>
          <w:sz w:val="44"/>
          <w:szCs w:val="44"/>
        </w:rPr>
      </w:pPr>
      <w:r>
        <w:rPr>
          <w:rFonts w:ascii="Times New Roman" w:eastAsia="Times New Roman" w:hAnsi="Times New Roman" w:cs="Times New Roman"/>
          <w:b/>
          <w:sz w:val="36"/>
          <w:szCs w:val="36"/>
        </w:rPr>
        <w:t xml:space="preserve">                                </w:t>
      </w:r>
      <w:r>
        <w:rPr>
          <w:rFonts w:ascii="Times New Roman" w:eastAsia="Times New Roman" w:hAnsi="Times New Roman" w:cs="Times New Roman"/>
          <w:b/>
          <w:i/>
          <w:sz w:val="44"/>
          <w:szCs w:val="44"/>
        </w:rPr>
        <w:t>Individual Report</w:t>
      </w:r>
    </w:p>
    <w:p w14:paraId="44F470DD" w14:textId="77777777" w:rsidR="00041D1C" w:rsidRDefault="00041D1C">
      <w:pPr>
        <w:spacing w:line="360" w:lineRule="auto"/>
        <w:jc w:val="center"/>
        <w:rPr>
          <w:rFonts w:ascii="Times New Roman" w:eastAsia="Times New Roman" w:hAnsi="Times New Roman" w:cs="Times New Roman"/>
          <w:b/>
          <w:sz w:val="36"/>
          <w:szCs w:val="36"/>
        </w:rPr>
      </w:pPr>
    </w:p>
    <w:p w14:paraId="709AB097" w14:textId="77777777" w:rsidR="00041D1C" w:rsidRDefault="00041D1C">
      <w:pPr>
        <w:spacing w:line="360" w:lineRule="auto"/>
        <w:jc w:val="center"/>
        <w:rPr>
          <w:rFonts w:ascii="Times New Roman" w:eastAsia="Times New Roman" w:hAnsi="Times New Roman" w:cs="Times New Roman"/>
          <w:b/>
          <w:i/>
          <w:sz w:val="36"/>
          <w:szCs w:val="36"/>
        </w:rPr>
      </w:pPr>
    </w:p>
    <w:p w14:paraId="279EAABE" w14:textId="77777777" w:rsidR="00B122A2" w:rsidRDefault="00000000">
      <w:pPr>
        <w:spacing w:line="360" w:lineRule="auto"/>
        <w:jc w:val="center"/>
        <w:rPr>
          <w:rFonts w:ascii="Times New Roman" w:eastAsia="Times New Roman" w:hAnsi="Times New Roman" w:cs="Times New Roman"/>
          <w:b/>
          <w:i/>
          <w:sz w:val="36"/>
          <w:szCs w:val="36"/>
        </w:rPr>
      </w:pPr>
      <w:r>
        <w:rPr>
          <w:rFonts w:ascii="Times New Roman" w:eastAsia="Times New Roman" w:hAnsi="Times New Roman" w:cs="Times New Roman"/>
          <w:b/>
          <w:i/>
          <w:sz w:val="36"/>
          <w:szCs w:val="36"/>
        </w:rPr>
        <w:t>Module Title: Leadership &amp; Management</w:t>
      </w:r>
    </w:p>
    <w:p w14:paraId="797576AE" w14:textId="6FF86745" w:rsidR="00041D1C" w:rsidRDefault="00000000">
      <w:pPr>
        <w:spacing w:line="360" w:lineRule="auto"/>
        <w:jc w:val="center"/>
        <w:rPr>
          <w:rFonts w:ascii="Times New Roman" w:eastAsia="Times New Roman" w:hAnsi="Times New Roman" w:cs="Times New Roman"/>
          <w:b/>
          <w:i/>
          <w:sz w:val="36"/>
          <w:szCs w:val="36"/>
        </w:rPr>
      </w:pPr>
      <w:r>
        <w:rPr>
          <w:rFonts w:ascii="Times New Roman" w:eastAsia="Times New Roman" w:hAnsi="Times New Roman" w:cs="Times New Roman"/>
          <w:b/>
          <w:i/>
          <w:sz w:val="36"/>
          <w:szCs w:val="36"/>
        </w:rPr>
        <w:t xml:space="preserve"> Theory &amp; Practice</w:t>
      </w:r>
    </w:p>
    <w:p w14:paraId="2A56EBB8" w14:textId="77777777" w:rsidR="00041D1C" w:rsidRPr="00593FF2" w:rsidRDefault="00000000">
      <w:pPr>
        <w:spacing w:before="240" w:after="240" w:line="360" w:lineRule="auto"/>
        <w:jc w:val="center"/>
        <w:rPr>
          <w:rFonts w:ascii="Times New Roman" w:eastAsia="Times New Roman" w:hAnsi="Times New Roman" w:cs="Times New Roman"/>
          <w:b/>
          <w:i/>
          <w:sz w:val="36"/>
          <w:szCs w:val="36"/>
        </w:rPr>
      </w:pPr>
      <w:r w:rsidRPr="00593FF2">
        <w:rPr>
          <w:rFonts w:ascii="Times New Roman" w:eastAsia="Times New Roman" w:hAnsi="Times New Roman" w:cs="Times New Roman"/>
          <w:b/>
          <w:i/>
          <w:sz w:val="36"/>
          <w:szCs w:val="36"/>
        </w:rPr>
        <w:t>Module Code: LCBB6003</w:t>
      </w:r>
    </w:p>
    <w:p w14:paraId="639DCB15" w14:textId="77777777" w:rsidR="00041D1C" w:rsidRPr="00593FF2" w:rsidRDefault="00000000">
      <w:pPr>
        <w:spacing w:before="240" w:after="240" w:line="360" w:lineRule="auto"/>
        <w:jc w:val="center"/>
        <w:rPr>
          <w:rFonts w:ascii="Times New Roman" w:eastAsia="Times New Roman" w:hAnsi="Times New Roman" w:cs="Times New Roman"/>
          <w:b/>
          <w:i/>
          <w:sz w:val="36"/>
          <w:szCs w:val="36"/>
        </w:rPr>
      </w:pPr>
      <w:r w:rsidRPr="00593FF2">
        <w:rPr>
          <w:rFonts w:ascii="Times New Roman" w:eastAsia="Times New Roman" w:hAnsi="Times New Roman" w:cs="Times New Roman"/>
          <w:b/>
          <w:i/>
          <w:sz w:val="36"/>
          <w:szCs w:val="36"/>
        </w:rPr>
        <w:t xml:space="preserve">Module Lecturer: Dr Laila </w:t>
      </w:r>
      <w:proofErr w:type="spellStart"/>
      <w:r w:rsidRPr="00593FF2">
        <w:rPr>
          <w:rFonts w:ascii="Times New Roman" w:eastAsia="Times New Roman" w:hAnsi="Times New Roman" w:cs="Times New Roman"/>
          <w:b/>
          <w:i/>
          <w:sz w:val="36"/>
          <w:szCs w:val="36"/>
        </w:rPr>
        <w:t>Maazouz</w:t>
      </w:r>
      <w:proofErr w:type="spellEnd"/>
    </w:p>
    <w:p w14:paraId="3784CB48" w14:textId="77777777" w:rsidR="00041D1C" w:rsidRPr="00593FF2" w:rsidRDefault="00000000">
      <w:pPr>
        <w:spacing w:before="240" w:after="240" w:line="360" w:lineRule="auto"/>
        <w:jc w:val="center"/>
        <w:rPr>
          <w:rFonts w:ascii="Times New Roman" w:eastAsia="Times New Roman" w:hAnsi="Times New Roman" w:cs="Times New Roman"/>
          <w:b/>
          <w:i/>
          <w:sz w:val="36"/>
          <w:szCs w:val="36"/>
        </w:rPr>
      </w:pPr>
      <w:r w:rsidRPr="00593FF2">
        <w:rPr>
          <w:rFonts w:ascii="Times New Roman" w:eastAsia="Times New Roman" w:hAnsi="Times New Roman" w:cs="Times New Roman"/>
          <w:b/>
          <w:i/>
          <w:sz w:val="36"/>
          <w:szCs w:val="36"/>
        </w:rPr>
        <w:t>Student Name: Valentina Vladimirova</w:t>
      </w:r>
    </w:p>
    <w:p w14:paraId="7C775D26" w14:textId="172B42AF" w:rsidR="00041D1C" w:rsidRPr="00593FF2" w:rsidRDefault="00000000">
      <w:pPr>
        <w:spacing w:before="240" w:after="240" w:line="360" w:lineRule="auto"/>
        <w:jc w:val="center"/>
        <w:rPr>
          <w:rFonts w:ascii="Times New Roman" w:eastAsia="Times New Roman" w:hAnsi="Times New Roman" w:cs="Times New Roman"/>
          <w:b/>
          <w:i/>
          <w:sz w:val="36"/>
          <w:szCs w:val="36"/>
        </w:rPr>
      </w:pPr>
      <w:r w:rsidRPr="00593FF2">
        <w:rPr>
          <w:rFonts w:ascii="Times New Roman" w:eastAsia="Times New Roman" w:hAnsi="Times New Roman" w:cs="Times New Roman"/>
          <w:b/>
          <w:i/>
          <w:sz w:val="36"/>
          <w:szCs w:val="36"/>
        </w:rPr>
        <w:t>Student ID: 1818405</w:t>
      </w:r>
    </w:p>
    <w:p w14:paraId="71A9F416" w14:textId="3B54AD18" w:rsidR="00593FF2" w:rsidRPr="00593FF2" w:rsidRDefault="00593FF2">
      <w:pPr>
        <w:spacing w:before="240" w:after="240" w:line="360" w:lineRule="auto"/>
        <w:jc w:val="center"/>
        <w:rPr>
          <w:rFonts w:ascii="Times New Roman" w:eastAsia="Times New Roman" w:hAnsi="Times New Roman" w:cs="Times New Roman"/>
          <w:b/>
          <w:i/>
          <w:sz w:val="36"/>
          <w:szCs w:val="36"/>
        </w:rPr>
      </w:pPr>
      <w:r>
        <w:rPr>
          <w:rFonts w:ascii="Times New Roman" w:eastAsia="Times New Roman" w:hAnsi="Times New Roman" w:cs="Times New Roman"/>
          <w:b/>
          <w:i/>
          <w:sz w:val="36"/>
          <w:szCs w:val="36"/>
        </w:rPr>
        <w:t>Group 1</w:t>
      </w:r>
    </w:p>
    <w:p w14:paraId="0A3D6C66" w14:textId="77777777" w:rsidR="00041D1C" w:rsidRPr="00593FF2" w:rsidRDefault="00041D1C">
      <w:pPr>
        <w:spacing w:before="240" w:after="240" w:line="360" w:lineRule="auto"/>
        <w:jc w:val="center"/>
        <w:rPr>
          <w:rFonts w:ascii="Times New Roman" w:eastAsia="Times New Roman" w:hAnsi="Times New Roman" w:cs="Times New Roman"/>
          <w:b/>
          <w:sz w:val="36"/>
          <w:szCs w:val="36"/>
        </w:rPr>
      </w:pPr>
    </w:p>
    <w:p w14:paraId="7174469D" w14:textId="77777777" w:rsidR="00041D1C" w:rsidRPr="00593FF2" w:rsidRDefault="00041D1C">
      <w:pPr>
        <w:spacing w:before="240" w:after="240" w:line="360" w:lineRule="auto"/>
        <w:jc w:val="center"/>
        <w:rPr>
          <w:rFonts w:ascii="Times New Roman" w:eastAsia="Times New Roman" w:hAnsi="Times New Roman" w:cs="Times New Roman"/>
          <w:b/>
          <w:sz w:val="36"/>
          <w:szCs w:val="36"/>
        </w:rPr>
      </w:pPr>
    </w:p>
    <w:p w14:paraId="14C5F2C5" w14:textId="77777777" w:rsidR="00041D1C" w:rsidRPr="00593FF2" w:rsidRDefault="00041D1C">
      <w:pPr>
        <w:spacing w:after="160" w:line="360" w:lineRule="auto"/>
        <w:jc w:val="center"/>
        <w:rPr>
          <w:rFonts w:ascii="Times New Roman" w:eastAsia="Times New Roman" w:hAnsi="Times New Roman" w:cs="Times New Roman"/>
          <w:b/>
          <w:sz w:val="28"/>
          <w:szCs w:val="28"/>
        </w:rPr>
      </w:pPr>
    </w:p>
    <w:p w14:paraId="08FF1B41" w14:textId="77777777" w:rsidR="00041D1C" w:rsidRPr="00593FF2" w:rsidRDefault="00000000">
      <w:pPr>
        <w:spacing w:line="360" w:lineRule="auto"/>
        <w:jc w:val="both"/>
      </w:pPr>
      <w:r w:rsidRPr="00593FF2">
        <w:br w:type="page"/>
      </w:r>
    </w:p>
    <w:p w14:paraId="3DC53C1E" w14:textId="77777777" w:rsidR="00041D1C" w:rsidRDefault="00000000">
      <w:pPr>
        <w:keepNext/>
        <w:keepLines/>
        <w:pBdr>
          <w:top w:val="nil"/>
          <w:left w:val="nil"/>
          <w:bottom w:val="nil"/>
          <w:right w:val="nil"/>
          <w:between w:val="nil"/>
        </w:pBdr>
        <w:spacing w:before="480" w:line="360" w:lineRule="auto"/>
        <w:jc w:val="center"/>
        <w:rPr>
          <w:rFonts w:ascii="Times New Roman" w:eastAsia="Times New Roman" w:hAnsi="Times New Roman" w:cs="Times New Roman"/>
          <w:b/>
          <w:color w:val="366091"/>
          <w:sz w:val="28"/>
          <w:szCs w:val="28"/>
        </w:rPr>
      </w:pPr>
      <w:bookmarkStart w:id="0" w:name="_gjdgxs" w:colFirst="0" w:colLast="0"/>
      <w:bookmarkEnd w:id="0"/>
      <w:r>
        <w:rPr>
          <w:rFonts w:ascii="Times New Roman" w:eastAsia="Times New Roman" w:hAnsi="Times New Roman" w:cs="Times New Roman"/>
          <w:b/>
          <w:color w:val="000000"/>
          <w:sz w:val="28"/>
          <w:szCs w:val="28"/>
        </w:rPr>
        <w:lastRenderedPageBreak/>
        <w:t>Table of Contents</w:t>
      </w:r>
    </w:p>
    <w:p w14:paraId="52A02AE1" w14:textId="77777777" w:rsidR="00041D1C" w:rsidRDefault="00041D1C">
      <w:pPr>
        <w:pBdr>
          <w:top w:val="nil"/>
          <w:left w:val="nil"/>
          <w:bottom w:val="nil"/>
          <w:right w:val="nil"/>
          <w:between w:val="nil"/>
        </w:pBdr>
        <w:tabs>
          <w:tab w:val="right" w:leader="dot" w:pos="9019"/>
        </w:tabs>
        <w:spacing w:after="100" w:line="360" w:lineRule="auto"/>
        <w:rPr>
          <w:rFonts w:ascii="Times New Roman" w:eastAsia="Times New Roman" w:hAnsi="Times New Roman" w:cs="Times New Roman"/>
          <w:color w:val="000000"/>
        </w:rPr>
      </w:pPr>
    </w:p>
    <w:p w14:paraId="6599EDBA" w14:textId="77777777" w:rsidR="00041D1C" w:rsidRDefault="00000000">
      <w:pPr>
        <w:pBdr>
          <w:top w:val="nil"/>
          <w:left w:val="nil"/>
          <w:bottom w:val="nil"/>
          <w:right w:val="nil"/>
          <w:between w:val="nil"/>
        </w:pBdr>
        <w:tabs>
          <w:tab w:val="right" w:leader="dot" w:pos="9019"/>
        </w:tabs>
        <w:spacing w:after="100" w:line="360" w:lineRule="auto"/>
        <w:rPr>
          <w:rFonts w:ascii="Times New Roman" w:eastAsia="Times New Roman" w:hAnsi="Times New Roman" w:cs="Times New Roman"/>
          <w:color w:val="000000"/>
        </w:rPr>
      </w:pPr>
      <w:hyperlink w:anchor="_1fob9te">
        <w:r>
          <w:rPr>
            <w:rFonts w:ascii="Times New Roman" w:eastAsia="Times New Roman" w:hAnsi="Times New Roman" w:cs="Times New Roman"/>
            <w:color w:val="0000FF"/>
            <w:u w:val="single"/>
          </w:rPr>
          <w:t>Speaker Note</w:t>
        </w:r>
      </w:hyperlink>
      <w:hyperlink w:anchor="_1fob9te">
        <w:r>
          <w:rPr>
            <w:rFonts w:ascii="Times New Roman" w:eastAsia="Times New Roman" w:hAnsi="Times New Roman" w:cs="Times New Roman"/>
            <w:color w:val="000000"/>
          </w:rPr>
          <w:tab/>
          <w:t>3</w:t>
        </w:r>
      </w:hyperlink>
    </w:p>
    <w:p w14:paraId="5D41D94D" w14:textId="77777777" w:rsidR="00041D1C" w:rsidRDefault="00000000">
      <w:pPr>
        <w:pBdr>
          <w:top w:val="nil"/>
          <w:left w:val="nil"/>
          <w:bottom w:val="nil"/>
          <w:right w:val="nil"/>
          <w:between w:val="nil"/>
        </w:pBdr>
        <w:tabs>
          <w:tab w:val="right" w:leader="dot" w:pos="9019"/>
        </w:tabs>
        <w:spacing w:after="100" w:line="360" w:lineRule="auto"/>
        <w:rPr>
          <w:rFonts w:ascii="Times New Roman" w:eastAsia="Times New Roman" w:hAnsi="Times New Roman" w:cs="Times New Roman"/>
          <w:color w:val="000000"/>
        </w:rPr>
      </w:pPr>
      <w:hyperlink w:anchor="_3znysh7">
        <w:r>
          <w:rPr>
            <w:rFonts w:ascii="Times New Roman" w:eastAsia="Times New Roman" w:hAnsi="Times New Roman" w:cs="Times New Roman"/>
            <w:color w:val="0000FF"/>
            <w:u w:val="single"/>
          </w:rPr>
          <w:t>References</w:t>
        </w:r>
      </w:hyperlink>
      <w:hyperlink w:anchor="_3znysh7">
        <w:r>
          <w:rPr>
            <w:rFonts w:ascii="Times New Roman" w:eastAsia="Times New Roman" w:hAnsi="Times New Roman" w:cs="Times New Roman"/>
            <w:color w:val="000000"/>
          </w:rPr>
          <w:tab/>
          <w:t>5</w:t>
        </w:r>
      </w:hyperlink>
    </w:p>
    <w:p w14:paraId="423A4BEB" w14:textId="77777777" w:rsidR="00041D1C" w:rsidRDefault="00041D1C">
      <w:pPr>
        <w:spacing w:line="360" w:lineRule="auto"/>
        <w:rPr>
          <w:rFonts w:ascii="Times New Roman" w:eastAsia="Times New Roman" w:hAnsi="Times New Roman" w:cs="Times New Roman"/>
        </w:rPr>
      </w:pPr>
    </w:p>
    <w:p w14:paraId="517F5441" w14:textId="77777777" w:rsidR="00041D1C" w:rsidRDefault="00000000">
      <w:pPr>
        <w:rPr>
          <w:rFonts w:ascii="Times New Roman" w:eastAsia="Times New Roman" w:hAnsi="Times New Roman" w:cs="Times New Roman"/>
          <w:b/>
          <w:sz w:val="28"/>
          <w:szCs w:val="28"/>
        </w:rPr>
      </w:pPr>
      <w:r>
        <w:br w:type="page"/>
      </w:r>
    </w:p>
    <w:p w14:paraId="1CD0324F" w14:textId="77777777" w:rsidR="00041D1C" w:rsidRDefault="00041D1C">
      <w:pPr>
        <w:pStyle w:val="Heading1"/>
      </w:pPr>
      <w:bookmarkStart w:id="1" w:name="_30j0zll" w:colFirst="0" w:colLast="0"/>
      <w:bookmarkEnd w:id="1"/>
    </w:p>
    <w:p w14:paraId="7A26BB5D" w14:textId="77777777" w:rsidR="00041D1C" w:rsidRDefault="00000000">
      <w:pPr>
        <w:pStyle w:val="Heading1"/>
      </w:pPr>
      <w:bookmarkStart w:id="2" w:name="_1fob9te" w:colFirst="0" w:colLast="0"/>
      <w:bookmarkEnd w:id="2"/>
      <w:r>
        <w:t>Speaker Note</w:t>
      </w:r>
    </w:p>
    <w:p w14:paraId="3AEEE79B" w14:textId="1F1D891C" w:rsidR="00041D1C"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Jack Welch, who served as CEO of GE from 1981 to 2001, was one of the most significant and successful </w:t>
      </w:r>
      <w:r w:rsidR="001023B4">
        <w:rPr>
          <w:rFonts w:ascii="Times New Roman" w:eastAsia="Times New Roman" w:hAnsi="Times New Roman" w:cs="Times New Roman"/>
          <w:sz w:val="24"/>
          <w:szCs w:val="24"/>
        </w:rPr>
        <w:t>businesspeople</w:t>
      </w:r>
      <w:r>
        <w:rPr>
          <w:rFonts w:ascii="Times New Roman" w:eastAsia="Times New Roman" w:hAnsi="Times New Roman" w:cs="Times New Roman"/>
          <w:sz w:val="24"/>
          <w:szCs w:val="24"/>
        </w:rPr>
        <w:t xml:space="preserve"> of his time. Welch's leadership style was founded on decentralisation, breaking down silos, a stringent performance management system, and a Leadership by Objectives (LBO) philosophy. </w:t>
      </w:r>
      <w:r w:rsidR="001023B4">
        <w:rPr>
          <w:rFonts w:ascii="Times New Roman" w:eastAsia="Times New Roman" w:hAnsi="Times New Roman" w:cs="Times New Roman"/>
          <w:sz w:val="24"/>
          <w:szCs w:val="24"/>
        </w:rPr>
        <w:t>He also implemented an open-door policy to promote open communication among the team members</w:t>
      </w:r>
      <w:r>
        <w:rPr>
          <w:rFonts w:ascii="Times New Roman" w:eastAsia="Times New Roman" w:hAnsi="Times New Roman" w:cs="Times New Roman"/>
          <w:sz w:val="24"/>
          <w:szCs w:val="24"/>
        </w:rPr>
        <w:t xml:space="preserve"> (</w:t>
      </w:r>
      <w:r>
        <w:rPr>
          <w:rFonts w:ascii="Times New Roman" w:eastAsia="Times New Roman" w:hAnsi="Times New Roman" w:cs="Times New Roman"/>
          <w:color w:val="222222"/>
          <w:sz w:val="24"/>
          <w:szCs w:val="24"/>
        </w:rPr>
        <w:t>Van de Poll and Kroese, 2022</w:t>
      </w:r>
      <w:r>
        <w:rPr>
          <w:rFonts w:ascii="Times New Roman" w:eastAsia="Times New Roman" w:hAnsi="Times New Roman" w:cs="Times New Roman"/>
          <w:sz w:val="24"/>
          <w:szCs w:val="24"/>
        </w:rPr>
        <w:t>). His charisma encouraged the organisation to take calculated risks, promote more creative thinking among the team members, and reward high performers. Finally, Welch's managerial approach led to GE's market value rising sharply by more than 4,000%.</w:t>
      </w:r>
    </w:p>
    <w:p w14:paraId="7A37F2DB" w14:textId="77777777" w:rsidR="00041D1C"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decentralisation of decision-making authority allowed employees to take ownership of their actions, which resulted in a more dedicated workforce. Welch's initiatives to dismantle silos allowed teams to share information and examine new opportunities for collaboration. Thanks to the performance management system, talented workers were also identified and given promotions, while unproductive individuals were fired (</w:t>
      </w:r>
      <w:r>
        <w:rPr>
          <w:rFonts w:ascii="Times New Roman" w:eastAsia="Times New Roman" w:hAnsi="Times New Roman" w:cs="Times New Roman"/>
          <w:color w:val="222222"/>
          <w:sz w:val="24"/>
          <w:szCs w:val="24"/>
        </w:rPr>
        <w:t xml:space="preserve">Berthelot, </w:t>
      </w:r>
      <w:proofErr w:type="spellStart"/>
      <w:r>
        <w:rPr>
          <w:rFonts w:ascii="Times New Roman" w:eastAsia="Times New Roman" w:hAnsi="Times New Roman" w:cs="Times New Roman"/>
          <w:color w:val="222222"/>
          <w:sz w:val="24"/>
          <w:szCs w:val="24"/>
        </w:rPr>
        <w:t>Lasensky</w:t>
      </w:r>
      <w:proofErr w:type="spellEnd"/>
      <w:r>
        <w:rPr>
          <w:rFonts w:ascii="Times New Roman" w:eastAsia="Times New Roman" w:hAnsi="Times New Roman" w:cs="Times New Roman"/>
          <w:color w:val="222222"/>
          <w:sz w:val="24"/>
          <w:szCs w:val="24"/>
        </w:rPr>
        <w:t xml:space="preserve"> and Somers, 2019</w:t>
      </w:r>
      <w:r>
        <w:rPr>
          <w:rFonts w:ascii="Times New Roman" w:eastAsia="Times New Roman" w:hAnsi="Times New Roman" w:cs="Times New Roman"/>
          <w:sz w:val="24"/>
          <w:szCs w:val="24"/>
        </w:rPr>
        <w:t>). The team was able to focus on objectives and develop original strategies for accomplishing them thanks to the LBO framework. Finding answers to issues as they developed and identifying them as they arose were made feasible through an open communication policy. Finally, Welch's bold decisions inspired his team to take risks and seek out novel solutions.</w:t>
      </w:r>
    </w:p>
    <w:p w14:paraId="4F6CBBAF" w14:textId="77777777" w:rsidR="00041D1C"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 deeper examination of Welch's management style would lead one to the conclusion that his charm and audacity were the key ingredients in his success (</w:t>
      </w:r>
      <w:r>
        <w:rPr>
          <w:rFonts w:ascii="Times New Roman" w:eastAsia="Times New Roman" w:hAnsi="Times New Roman" w:cs="Times New Roman"/>
          <w:color w:val="222222"/>
          <w:sz w:val="24"/>
          <w:szCs w:val="24"/>
        </w:rPr>
        <w:t>Lohr, 2020</w:t>
      </w:r>
      <w:r>
        <w:rPr>
          <w:rFonts w:ascii="Times New Roman" w:eastAsia="Times New Roman" w:hAnsi="Times New Roman" w:cs="Times New Roman"/>
          <w:sz w:val="24"/>
          <w:szCs w:val="24"/>
        </w:rPr>
        <w:t xml:space="preserve">). Welch's appeal made the team members more eager to cooperate and keen to work together. The team was encouraged to take calculated risks, which enhanced problem-solving, and was therefore motivated to take more creative chances. Welch, on the other hand, made audacious choices that enabled speedy and inventive problem-solving while always bearing in mind GE's mega-successes. </w:t>
      </w:r>
    </w:p>
    <w:p w14:paraId="196919CB" w14:textId="77777777" w:rsidR="00041D1C"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Welch's leadership style, which supported innovation and growth, inspired and empowered his team. Welch accelerated the process by giving managers the freedom to make their own decisions (</w:t>
      </w:r>
      <w:r>
        <w:rPr>
          <w:rFonts w:ascii="Times New Roman" w:eastAsia="Times New Roman" w:hAnsi="Times New Roman" w:cs="Times New Roman"/>
          <w:color w:val="222222"/>
          <w:sz w:val="24"/>
          <w:szCs w:val="24"/>
        </w:rPr>
        <w:t>Welch, 2019</w:t>
      </w:r>
      <w:r>
        <w:rPr>
          <w:rFonts w:ascii="Times New Roman" w:eastAsia="Times New Roman" w:hAnsi="Times New Roman" w:cs="Times New Roman"/>
          <w:sz w:val="24"/>
          <w:szCs w:val="24"/>
        </w:rPr>
        <w:t>). Finally, the company's performance significantly improved because of his innovative and forward-thinking mentality, allowing it to succeed to heights that would have previously seemed impossible. The great success of the company under Welch's leadership is thus clearly attributable to his managerial style.</w:t>
      </w:r>
    </w:p>
    <w:p w14:paraId="700F45D4" w14:textId="77777777" w:rsidR="00041D1C"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The </w:t>
      </w:r>
      <w:r>
        <w:rPr>
          <w:rFonts w:ascii="Times New Roman" w:eastAsia="Times New Roman" w:hAnsi="Times New Roman" w:cs="Times New Roman"/>
          <w:b/>
          <w:i/>
          <w:sz w:val="24"/>
          <w:szCs w:val="24"/>
        </w:rPr>
        <w:t>performance management system</w:t>
      </w:r>
      <w:r>
        <w:rPr>
          <w:rFonts w:ascii="Times New Roman" w:eastAsia="Times New Roman" w:hAnsi="Times New Roman" w:cs="Times New Roman"/>
          <w:sz w:val="24"/>
          <w:szCs w:val="24"/>
        </w:rPr>
        <w:t xml:space="preserve"> that Jack Welch implemented was a major factor in GE's success under his direction. He developed the 'Rank and Yank' system, which was particularly notable since it allowed the business to quickly identify and elevate excellent performers while simultaneously letting go of less capable employees. Despite being controversial, this strategy boosted performance among employees due to the increased incentive (</w:t>
      </w:r>
      <w:r>
        <w:rPr>
          <w:rFonts w:ascii="Times New Roman" w:eastAsia="Times New Roman" w:hAnsi="Times New Roman" w:cs="Times New Roman"/>
          <w:color w:val="222222"/>
          <w:sz w:val="24"/>
          <w:szCs w:val="24"/>
        </w:rPr>
        <w:t xml:space="preserve">Jordan and </w:t>
      </w:r>
      <w:proofErr w:type="spellStart"/>
      <w:r>
        <w:rPr>
          <w:rFonts w:ascii="Times New Roman" w:eastAsia="Times New Roman" w:hAnsi="Times New Roman" w:cs="Times New Roman"/>
          <w:color w:val="222222"/>
          <w:sz w:val="24"/>
          <w:szCs w:val="24"/>
        </w:rPr>
        <w:t>Sorell</w:t>
      </w:r>
      <w:proofErr w:type="spellEnd"/>
      <w:r>
        <w:rPr>
          <w:rFonts w:ascii="Times New Roman" w:eastAsia="Times New Roman" w:hAnsi="Times New Roman" w:cs="Times New Roman"/>
          <w:color w:val="222222"/>
          <w:sz w:val="24"/>
          <w:szCs w:val="24"/>
        </w:rPr>
        <w:t>, 2019</w:t>
      </w:r>
      <w:r>
        <w:rPr>
          <w:rFonts w:ascii="Times New Roman" w:eastAsia="Times New Roman" w:hAnsi="Times New Roman" w:cs="Times New Roman"/>
          <w:sz w:val="24"/>
          <w:szCs w:val="24"/>
        </w:rPr>
        <w:t>). In addition, receiving direct input from peers enabled the identification of both strengths and weaknesses, allowing improvements. Senior management also praised the strategy highly since it allowed them to better assess the effectiveness of their teams and make personal choices. When used in combination with the other tactics Welch used, the performance management system ultimately helped to make feasible the tremendous progress he helped bring about during his tenure.</w:t>
      </w:r>
    </w:p>
    <w:p w14:paraId="14F6C1FE" w14:textId="77777777" w:rsidR="00041D1C" w:rsidRDefault="00041D1C">
      <w:pPr>
        <w:spacing w:line="360" w:lineRule="auto"/>
        <w:jc w:val="both"/>
        <w:rPr>
          <w:rFonts w:ascii="Times New Roman" w:eastAsia="Times New Roman" w:hAnsi="Times New Roman" w:cs="Times New Roman"/>
          <w:sz w:val="24"/>
          <w:szCs w:val="24"/>
        </w:rPr>
      </w:pPr>
    </w:p>
    <w:p w14:paraId="597CD702" w14:textId="77777777" w:rsidR="00041D1C" w:rsidRDefault="00041D1C">
      <w:pPr>
        <w:spacing w:line="360" w:lineRule="auto"/>
        <w:jc w:val="both"/>
        <w:rPr>
          <w:rFonts w:ascii="Times New Roman" w:eastAsia="Times New Roman" w:hAnsi="Times New Roman" w:cs="Times New Roman"/>
          <w:b/>
          <w:sz w:val="28"/>
          <w:szCs w:val="28"/>
        </w:rPr>
      </w:pPr>
    </w:p>
    <w:p w14:paraId="2551483C" w14:textId="77777777" w:rsidR="00041D1C" w:rsidRDefault="00041D1C">
      <w:pPr>
        <w:spacing w:line="360" w:lineRule="auto"/>
        <w:jc w:val="both"/>
        <w:rPr>
          <w:rFonts w:ascii="Times New Roman" w:eastAsia="Times New Roman" w:hAnsi="Times New Roman" w:cs="Times New Roman"/>
          <w:b/>
          <w:sz w:val="28"/>
          <w:szCs w:val="28"/>
        </w:rPr>
      </w:pPr>
    </w:p>
    <w:p w14:paraId="3A4CFDD7" w14:textId="77777777" w:rsidR="00041D1C" w:rsidRDefault="00000000">
      <w:pPr>
        <w:spacing w:line="360" w:lineRule="auto"/>
        <w:jc w:val="both"/>
        <w:rPr>
          <w:rFonts w:ascii="Times New Roman" w:eastAsia="Times New Roman" w:hAnsi="Times New Roman" w:cs="Times New Roman"/>
          <w:b/>
          <w:sz w:val="28"/>
          <w:szCs w:val="28"/>
        </w:rPr>
      </w:pPr>
      <w:r>
        <w:br w:type="page"/>
      </w:r>
    </w:p>
    <w:p w14:paraId="36B2E4FE" w14:textId="77777777" w:rsidR="00041D1C" w:rsidRDefault="00000000">
      <w:pPr>
        <w:pStyle w:val="Heading1"/>
      </w:pPr>
      <w:bookmarkStart w:id="3" w:name="_3znysh7" w:colFirst="0" w:colLast="0"/>
      <w:bookmarkEnd w:id="3"/>
      <w:r>
        <w:lastRenderedPageBreak/>
        <w:t xml:space="preserve">References </w:t>
      </w:r>
    </w:p>
    <w:p w14:paraId="0807AD7B" w14:textId="77777777" w:rsidR="00041D1C" w:rsidRDefault="00000000">
      <w:pPr>
        <w:spacing w:line="360" w:lineRule="auto"/>
        <w:jc w:val="both"/>
        <w:rPr>
          <w:rFonts w:ascii="Times New Roman" w:eastAsia="Times New Roman" w:hAnsi="Times New Roman" w:cs="Times New Roman"/>
          <w:i/>
          <w:color w:val="222222"/>
          <w:sz w:val="24"/>
          <w:szCs w:val="24"/>
        </w:rPr>
      </w:pPr>
      <w:r>
        <w:rPr>
          <w:rFonts w:ascii="Times New Roman" w:eastAsia="Times New Roman" w:hAnsi="Times New Roman" w:cs="Times New Roman"/>
          <w:color w:val="222222"/>
          <w:sz w:val="24"/>
          <w:szCs w:val="24"/>
        </w:rPr>
        <w:t xml:space="preserve">Berthelot, M.J., </w:t>
      </w:r>
      <w:proofErr w:type="spellStart"/>
      <w:r>
        <w:rPr>
          <w:rFonts w:ascii="Times New Roman" w:eastAsia="Times New Roman" w:hAnsi="Times New Roman" w:cs="Times New Roman"/>
          <w:color w:val="222222"/>
          <w:sz w:val="24"/>
          <w:szCs w:val="24"/>
        </w:rPr>
        <w:t>Lasensky</w:t>
      </w:r>
      <w:proofErr w:type="spellEnd"/>
      <w:r>
        <w:rPr>
          <w:rFonts w:ascii="Times New Roman" w:eastAsia="Times New Roman" w:hAnsi="Times New Roman" w:cs="Times New Roman"/>
          <w:color w:val="222222"/>
          <w:sz w:val="24"/>
          <w:szCs w:val="24"/>
        </w:rPr>
        <w:t xml:space="preserve">, N. and Somers, P., (2019). </w:t>
      </w:r>
      <w:r>
        <w:rPr>
          <w:rFonts w:ascii="Times New Roman" w:eastAsia="Times New Roman" w:hAnsi="Times New Roman" w:cs="Times New Roman"/>
          <w:i/>
          <w:color w:val="222222"/>
          <w:sz w:val="24"/>
          <w:szCs w:val="24"/>
        </w:rPr>
        <w:t>The Board’s Role in Monitoring Strategy: Lessons Learned from General Electric.</w:t>
      </w:r>
    </w:p>
    <w:p w14:paraId="29970CEB" w14:textId="77777777" w:rsidR="00041D1C" w:rsidRDefault="00041D1C">
      <w:pPr>
        <w:spacing w:line="360" w:lineRule="auto"/>
        <w:jc w:val="both"/>
        <w:rPr>
          <w:rFonts w:ascii="Times New Roman" w:eastAsia="Times New Roman" w:hAnsi="Times New Roman" w:cs="Times New Roman"/>
          <w:i/>
          <w:color w:val="222222"/>
          <w:sz w:val="24"/>
          <w:szCs w:val="24"/>
        </w:rPr>
      </w:pPr>
    </w:p>
    <w:p w14:paraId="22D766EB" w14:textId="77777777" w:rsidR="00041D1C" w:rsidRDefault="00000000">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Jordan, J. and </w:t>
      </w:r>
      <w:proofErr w:type="spellStart"/>
      <w:r>
        <w:rPr>
          <w:rFonts w:ascii="Times New Roman" w:eastAsia="Times New Roman" w:hAnsi="Times New Roman" w:cs="Times New Roman"/>
          <w:color w:val="222222"/>
          <w:sz w:val="24"/>
          <w:szCs w:val="24"/>
        </w:rPr>
        <w:t>Sorell</w:t>
      </w:r>
      <w:proofErr w:type="spellEnd"/>
      <w:r>
        <w:rPr>
          <w:rFonts w:ascii="Times New Roman" w:eastAsia="Times New Roman" w:hAnsi="Times New Roman" w:cs="Times New Roman"/>
          <w:color w:val="222222"/>
          <w:sz w:val="24"/>
          <w:szCs w:val="24"/>
        </w:rPr>
        <w:t xml:space="preserve">, M., (2019). </w:t>
      </w:r>
      <w:r>
        <w:rPr>
          <w:rFonts w:ascii="Times New Roman" w:eastAsia="Times New Roman" w:hAnsi="Times New Roman" w:cs="Times New Roman"/>
          <w:i/>
          <w:color w:val="222222"/>
          <w:sz w:val="24"/>
          <w:szCs w:val="24"/>
        </w:rPr>
        <w:t>Why reverse mentoring works and how to do it right</w:t>
      </w:r>
      <w:r>
        <w:rPr>
          <w:rFonts w:ascii="Times New Roman" w:eastAsia="Times New Roman" w:hAnsi="Times New Roman" w:cs="Times New Roman"/>
          <w:color w:val="222222"/>
          <w:sz w:val="24"/>
          <w:szCs w:val="24"/>
        </w:rPr>
        <w:t>. Harvard Business Review, 3.</w:t>
      </w:r>
    </w:p>
    <w:p w14:paraId="3C940D27" w14:textId="77777777" w:rsidR="00041D1C" w:rsidRDefault="00041D1C">
      <w:pPr>
        <w:spacing w:line="360" w:lineRule="auto"/>
        <w:jc w:val="both"/>
        <w:rPr>
          <w:rFonts w:ascii="Times New Roman" w:eastAsia="Times New Roman" w:hAnsi="Times New Roman" w:cs="Times New Roman"/>
          <w:i/>
          <w:color w:val="222222"/>
          <w:sz w:val="24"/>
          <w:szCs w:val="24"/>
        </w:rPr>
      </w:pPr>
    </w:p>
    <w:p w14:paraId="16C96B76" w14:textId="77777777" w:rsidR="00041D1C" w:rsidRDefault="00000000">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Lohr, S., (2020). </w:t>
      </w:r>
      <w:r>
        <w:rPr>
          <w:rFonts w:ascii="Times New Roman" w:eastAsia="Times New Roman" w:hAnsi="Times New Roman" w:cs="Times New Roman"/>
          <w:i/>
          <w:color w:val="222222"/>
          <w:sz w:val="24"/>
          <w:szCs w:val="24"/>
        </w:rPr>
        <w:t>Jack Welch, GE Chief Who Became a Business Superstar, Dies at 84.</w:t>
      </w:r>
      <w:r>
        <w:rPr>
          <w:rFonts w:ascii="Times New Roman" w:eastAsia="Times New Roman" w:hAnsi="Times New Roman" w:cs="Times New Roman"/>
          <w:color w:val="222222"/>
          <w:sz w:val="24"/>
          <w:szCs w:val="24"/>
        </w:rPr>
        <w:t xml:space="preserve"> New York Times. March, 2.</w:t>
      </w:r>
    </w:p>
    <w:p w14:paraId="482C3C9F" w14:textId="77777777" w:rsidR="00041D1C" w:rsidRDefault="00041D1C">
      <w:pPr>
        <w:spacing w:line="360" w:lineRule="auto"/>
        <w:jc w:val="both"/>
        <w:rPr>
          <w:rFonts w:ascii="Times New Roman" w:eastAsia="Times New Roman" w:hAnsi="Times New Roman" w:cs="Times New Roman"/>
          <w:color w:val="222222"/>
          <w:sz w:val="24"/>
          <w:szCs w:val="24"/>
        </w:rPr>
      </w:pPr>
    </w:p>
    <w:p w14:paraId="641E86C9" w14:textId="77777777" w:rsidR="00041D1C" w:rsidRDefault="00000000">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Van de Poll, J. and Kroese, T., (2022). </w:t>
      </w:r>
      <w:r>
        <w:rPr>
          <w:rFonts w:ascii="Times New Roman" w:eastAsia="Times New Roman" w:hAnsi="Times New Roman" w:cs="Times New Roman"/>
          <w:i/>
          <w:color w:val="222222"/>
          <w:sz w:val="24"/>
          <w:szCs w:val="24"/>
        </w:rPr>
        <w:t>A new approach in extending the vitality curve to teams.</w:t>
      </w:r>
      <w:r>
        <w:rPr>
          <w:rFonts w:ascii="Times New Roman" w:eastAsia="Times New Roman" w:hAnsi="Times New Roman" w:cs="Times New Roman"/>
          <w:color w:val="222222"/>
          <w:sz w:val="24"/>
          <w:szCs w:val="24"/>
        </w:rPr>
        <w:t xml:space="preserve"> International Journal of Business Management and Economic Research (IJBMER), 13(1), pp.2005-2012.</w:t>
      </w:r>
    </w:p>
    <w:p w14:paraId="0225C3DC" w14:textId="77777777" w:rsidR="00041D1C" w:rsidRDefault="00041D1C">
      <w:pPr>
        <w:spacing w:line="360" w:lineRule="auto"/>
        <w:jc w:val="both"/>
        <w:rPr>
          <w:rFonts w:ascii="Times New Roman" w:eastAsia="Times New Roman" w:hAnsi="Times New Roman" w:cs="Times New Roman"/>
          <w:color w:val="222222"/>
          <w:sz w:val="24"/>
          <w:szCs w:val="24"/>
        </w:rPr>
      </w:pPr>
    </w:p>
    <w:p w14:paraId="7DD7858B" w14:textId="77777777" w:rsidR="00041D1C" w:rsidRDefault="00000000">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Welch, J.R., (2019). </w:t>
      </w:r>
      <w:r>
        <w:rPr>
          <w:rFonts w:ascii="Times New Roman" w:eastAsia="Times New Roman" w:hAnsi="Times New Roman" w:cs="Times New Roman"/>
          <w:i/>
          <w:color w:val="222222"/>
          <w:sz w:val="24"/>
          <w:szCs w:val="24"/>
        </w:rPr>
        <w:t xml:space="preserve">Conserving contested ground: Sovereignty-Driven stewardship by the White Mountain </w:t>
      </w:r>
      <w:proofErr w:type="spellStart"/>
      <w:r>
        <w:rPr>
          <w:rFonts w:ascii="Times New Roman" w:eastAsia="Times New Roman" w:hAnsi="Times New Roman" w:cs="Times New Roman"/>
          <w:i/>
          <w:color w:val="222222"/>
          <w:sz w:val="24"/>
          <w:szCs w:val="24"/>
        </w:rPr>
        <w:t>apache</w:t>
      </w:r>
      <w:proofErr w:type="spellEnd"/>
      <w:r>
        <w:rPr>
          <w:rFonts w:ascii="Times New Roman" w:eastAsia="Times New Roman" w:hAnsi="Times New Roman" w:cs="Times New Roman"/>
          <w:i/>
          <w:color w:val="222222"/>
          <w:sz w:val="24"/>
          <w:szCs w:val="24"/>
        </w:rPr>
        <w:t xml:space="preserve"> tribe and the fort </w:t>
      </w:r>
      <w:proofErr w:type="spellStart"/>
      <w:r>
        <w:rPr>
          <w:rFonts w:ascii="Times New Roman" w:eastAsia="Times New Roman" w:hAnsi="Times New Roman" w:cs="Times New Roman"/>
          <w:i/>
          <w:color w:val="222222"/>
          <w:sz w:val="24"/>
          <w:szCs w:val="24"/>
        </w:rPr>
        <w:t>apache</w:t>
      </w:r>
      <w:proofErr w:type="spellEnd"/>
      <w:r>
        <w:rPr>
          <w:rFonts w:ascii="Times New Roman" w:eastAsia="Times New Roman" w:hAnsi="Times New Roman" w:cs="Times New Roman"/>
          <w:i/>
          <w:color w:val="222222"/>
          <w:sz w:val="24"/>
          <w:szCs w:val="24"/>
        </w:rPr>
        <w:t xml:space="preserve"> heritage foundation.</w:t>
      </w:r>
      <w:r>
        <w:rPr>
          <w:rFonts w:ascii="Times New Roman" w:eastAsia="Times New Roman" w:hAnsi="Times New Roman" w:cs="Times New Roman"/>
          <w:color w:val="222222"/>
          <w:sz w:val="24"/>
          <w:szCs w:val="24"/>
        </w:rPr>
        <w:t xml:space="preserve"> Activism on the Ground, p.73.</w:t>
      </w:r>
    </w:p>
    <w:p w14:paraId="502B0F4C" w14:textId="77777777" w:rsidR="00041D1C" w:rsidRDefault="00041D1C">
      <w:pPr>
        <w:spacing w:line="360" w:lineRule="auto"/>
        <w:jc w:val="both"/>
        <w:rPr>
          <w:rFonts w:ascii="Times New Roman" w:eastAsia="Times New Roman" w:hAnsi="Times New Roman" w:cs="Times New Roman"/>
          <w:color w:val="222222"/>
          <w:sz w:val="24"/>
          <w:szCs w:val="24"/>
        </w:rPr>
      </w:pPr>
    </w:p>
    <w:sectPr w:rsidR="00041D1C">
      <w:footerReference w:type="default" r:id="rId7"/>
      <w:footerReference w:type="first" r:id="rId8"/>
      <w:pgSz w:w="11909" w:h="16834"/>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C7D5C0" w14:textId="77777777" w:rsidR="00BE040D" w:rsidRDefault="00BE040D">
      <w:pPr>
        <w:spacing w:line="240" w:lineRule="auto"/>
      </w:pPr>
      <w:r>
        <w:separator/>
      </w:r>
    </w:p>
  </w:endnote>
  <w:endnote w:type="continuationSeparator" w:id="0">
    <w:p w14:paraId="1BA776AB" w14:textId="77777777" w:rsidR="00BE040D" w:rsidRDefault="00BE040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CFFF81" w14:textId="77777777" w:rsidR="00041D1C" w:rsidRDefault="00000000">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fldChar w:fldCharType="begin"/>
    </w:r>
    <w:r>
      <w:rPr>
        <w:rFonts w:ascii="Times New Roman" w:eastAsia="Times New Roman" w:hAnsi="Times New Roman" w:cs="Times New Roman"/>
        <w:sz w:val="24"/>
        <w:szCs w:val="24"/>
      </w:rPr>
      <w:instrText>PAGE</w:instrText>
    </w:r>
    <w:r>
      <w:rPr>
        <w:rFonts w:ascii="Times New Roman" w:eastAsia="Times New Roman" w:hAnsi="Times New Roman" w:cs="Times New Roman"/>
        <w:sz w:val="24"/>
        <w:szCs w:val="24"/>
      </w:rPr>
      <w:fldChar w:fldCharType="separate"/>
    </w:r>
    <w:r w:rsidR="00B122A2">
      <w:rPr>
        <w:rFonts w:ascii="Times New Roman" w:eastAsia="Times New Roman" w:hAnsi="Times New Roman" w:cs="Times New Roman"/>
        <w:noProof/>
        <w:sz w:val="24"/>
        <w:szCs w:val="24"/>
      </w:rPr>
      <w:t>2</w:t>
    </w:r>
    <w:r>
      <w:rPr>
        <w:rFonts w:ascii="Times New Roman" w:eastAsia="Times New Roman" w:hAnsi="Times New Roman" w:cs="Times New Roman"/>
        <w:sz w:val="24"/>
        <w:szCs w:val="24"/>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E675A0" w14:textId="77777777" w:rsidR="00041D1C" w:rsidRDefault="00041D1C"/>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C2FA04" w14:textId="77777777" w:rsidR="00BE040D" w:rsidRDefault="00BE040D">
      <w:pPr>
        <w:spacing w:line="240" w:lineRule="auto"/>
      </w:pPr>
      <w:r>
        <w:separator/>
      </w:r>
    </w:p>
  </w:footnote>
  <w:footnote w:type="continuationSeparator" w:id="0">
    <w:p w14:paraId="2D859E33" w14:textId="77777777" w:rsidR="00BE040D" w:rsidRDefault="00BE040D">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41D1C"/>
    <w:rsid w:val="00041D1C"/>
    <w:rsid w:val="001023B4"/>
    <w:rsid w:val="00510BB9"/>
    <w:rsid w:val="00593FF2"/>
    <w:rsid w:val="00B122A2"/>
    <w:rsid w:val="00BE04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26E12E"/>
  <w15:docId w15:val="{A87A48B2-201C-43F6-9309-33A1AEE30F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line="360" w:lineRule="auto"/>
      <w:jc w:val="both"/>
      <w:outlineLvl w:val="0"/>
    </w:pPr>
    <w:rPr>
      <w:rFonts w:ascii="Times New Roman" w:eastAsia="Times New Roman" w:hAnsi="Times New Roman" w:cs="Times New Roman"/>
      <w:b/>
      <w:sz w:val="28"/>
      <w:szCs w:val="28"/>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5</Pages>
  <Words>697</Words>
  <Characters>3973</Characters>
  <Application>Microsoft Office Word</Application>
  <DocSecurity>0</DocSecurity>
  <Lines>33</Lines>
  <Paragraphs>9</Paragraphs>
  <ScaleCrop>false</ScaleCrop>
  <Company/>
  <LinksUpToDate>false</LinksUpToDate>
  <CharactersWithSpaces>4661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Valentina Vladimirova</cp:lastModifiedBy>
  <cp:revision>2</cp:revision>
  <dcterms:created xsi:type="dcterms:W3CDTF">2023-07-26T23:23:00Z</dcterms:created>
  <dcterms:modified xsi:type="dcterms:W3CDTF">2023-07-26T23:23:00Z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767fa1b8aec5ee7f5b14f6bffeada9be588e23031a42f99cfcd3b9ea2673c3a1</vt:lpwstr>
  </property>
</Properties>
</file>