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7085E9" w14:textId="323036E9" w:rsidR="003D2015" w:rsidRPr="000B06B6" w:rsidRDefault="003D2015">
      <w:pPr>
        <w:rPr>
          <w:b/>
          <w:bCs/>
        </w:rPr>
      </w:pPr>
      <w:r w:rsidRPr="000B06B6">
        <w:rPr>
          <w:rStyle w:val="Emphasis"/>
          <w:rFonts w:ascii="Arial" w:hAnsi="Arial" w:cs="Arial"/>
          <w:b/>
          <w:bCs/>
        </w:rPr>
        <w:t>After Alfred: Anglo-Saxon Chronicles and Chroniclers, 900–1150</w:t>
      </w:r>
      <w:r w:rsidRPr="000B06B6">
        <w:rPr>
          <w:b/>
          <w:bCs/>
        </w:rPr>
        <w:t>. By Pauline Stafford. Oxford: Oxford University Press, 2020. xviii + 3</w:t>
      </w:r>
      <w:r w:rsidR="00BE6387" w:rsidRPr="000B06B6">
        <w:rPr>
          <w:b/>
          <w:bCs/>
        </w:rPr>
        <w:t>39</w:t>
      </w:r>
      <w:r w:rsidRPr="000B06B6">
        <w:rPr>
          <w:b/>
          <w:bCs/>
        </w:rPr>
        <w:t xml:space="preserve"> pp. £85.00.</w:t>
      </w:r>
      <w:r w:rsidR="00D4730E" w:rsidRPr="000B06B6">
        <w:rPr>
          <w:rFonts w:ascii="Arial" w:eastAsia="Times New Roman" w:hAnsi="Arial" w:cs="Arial"/>
          <w:b/>
          <w:bCs/>
          <w:kern w:val="0"/>
          <w:lang w:eastAsia="en-GB"/>
          <w14:ligatures w14:val="none"/>
        </w:rPr>
        <w:t xml:space="preserve"> </w:t>
      </w:r>
      <w:r w:rsidR="00D4730E" w:rsidRPr="000B06B6">
        <w:rPr>
          <w:b/>
          <w:bCs/>
        </w:rPr>
        <w:t>ISBN 978-0-19-885964-2</w:t>
      </w:r>
      <w:r w:rsidRPr="000B06B6">
        <w:rPr>
          <w:b/>
          <w:bCs/>
        </w:rPr>
        <w:t>.</w:t>
      </w:r>
      <w:r w:rsidR="004816F1" w:rsidRPr="000B06B6">
        <w:rPr>
          <w:rStyle w:val="FootnoteReference"/>
          <w:b/>
          <w:bCs/>
        </w:rPr>
        <w:footnoteReference w:id="1"/>
      </w:r>
    </w:p>
    <w:p w14:paraId="2CAEBD97" w14:textId="7E73D087" w:rsidR="001E3DFA" w:rsidRDefault="00630317" w:rsidP="00B25AC6">
      <w:r w:rsidRPr="00630317">
        <w:t xml:space="preserve">This volume marks the culmination of a distinguished career during which Pauline Stafford has consistently advanced research </w:t>
      </w:r>
      <w:r w:rsidR="001D7AD5">
        <w:t>within</w:t>
      </w:r>
      <w:r w:rsidRPr="00630317">
        <w:t xml:space="preserve"> Anglo-Saxon history</w:t>
      </w:r>
      <w:r w:rsidR="00CD1740">
        <w:t>.</w:t>
      </w:r>
      <w:r w:rsidR="00DF3E08">
        <w:rPr>
          <w:rStyle w:val="FootnoteReference"/>
        </w:rPr>
        <w:footnoteReference w:id="2"/>
      </w:r>
      <w:r w:rsidR="00265ACE">
        <w:t xml:space="preserve"> It is entirely fitting, therefore, that her subject should be a complex study of the development of vernacular chronicling</w:t>
      </w:r>
      <w:r w:rsidR="00D5529C">
        <w:t xml:space="preserve"> </w:t>
      </w:r>
      <w:r w:rsidR="000D50DF">
        <w:t xml:space="preserve">in the </w:t>
      </w:r>
      <w:r w:rsidR="000D50DF" w:rsidRPr="007F75D0">
        <w:rPr>
          <w:i/>
          <w:iCs/>
        </w:rPr>
        <w:t>Anglo</w:t>
      </w:r>
      <w:r w:rsidR="00D8243F" w:rsidRPr="007F75D0">
        <w:rPr>
          <w:i/>
          <w:iCs/>
        </w:rPr>
        <w:t>-</w:t>
      </w:r>
      <w:r w:rsidR="000D50DF" w:rsidRPr="007F75D0">
        <w:rPr>
          <w:i/>
          <w:iCs/>
        </w:rPr>
        <w:t>Saxon Chronicle</w:t>
      </w:r>
      <w:r w:rsidR="000D50DF">
        <w:t xml:space="preserve"> (</w:t>
      </w:r>
      <w:r w:rsidR="00943931" w:rsidRPr="00FF1C7B">
        <w:t>the</w:t>
      </w:r>
      <w:r w:rsidR="00943931" w:rsidRPr="00981528">
        <w:rPr>
          <w:i/>
          <w:iCs/>
        </w:rPr>
        <w:t xml:space="preserve"> Chronicle</w:t>
      </w:r>
      <w:r w:rsidR="000D50DF">
        <w:t>)</w:t>
      </w:r>
      <w:r w:rsidR="00265ACE">
        <w:t xml:space="preserve">, tracing its </w:t>
      </w:r>
      <w:r w:rsidR="00187033">
        <w:t>evolution</w:t>
      </w:r>
      <w:r w:rsidR="00265ACE">
        <w:t xml:space="preserve"> over two and a half centuries from the reign of Alfred the Great to the conclusion of the </w:t>
      </w:r>
      <w:r w:rsidR="00265ACE" w:rsidRPr="00837200">
        <w:rPr>
          <w:i/>
          <w:iCs/>
        </w:rPr>
        <w:t>Peterborough Chronicle</w:t>
      </w:r>
      <w:r w:rsidR="00265ACE">
        <w:t>.</w:t>
      </w:r>
      <w:r w:rsidR="00D74534">
        <w:t xml:space="preserve"> </w:t>
      </w:r>
      <w:r w:rsidR="00FF1C7B" w:rsidRPr="00FF1C7B">
        <w:t xml:space="preserve">By exploring how the </w:t>
      </w:r>
      <w:r w:rsidR="00FF1C7B" w:rsidRPr="00FF1C7B">
        <w:rPr>
          <w:i/>
          <w:iCs/>
        </w:rPr>
        <w:t>Chronicle</w:t>
      </w:r>
      <w:r w:rsidR="00FF1C7B" w:rsidRPr="00FF1C7B">
        <w:t xml:space="preserve"> was produced, transmitted, and rewritten, Stafford demonstrates that these texts were inherently dynamic and locali</w:t>
      </w:r>
      <w:r w:rsidR="0018465E">
        <w:t>s</w:t>
      </w:r>
      <w:r w:rsidR="00FF1C7B" w:rsidRPr="00FF1C7B">
        <w:t>ed</w:t>
      </w:r>
      <w:r w:rsidR="0018465E">
        <w:t xml:space="preserve"> whilst </w:t>
      </w:r>
      <w:r w:rsidR="00FF1C7B" w:rsidRPr="00FF1C7B">
        <w:t>con</w:t>
      </w:r>
      <w:r w:rsidR="0018465E">
        <w:t>tinually</w:t>
      </w:r>
      <w:r w:rsidR="00FF1C7B" w:rsidRPr="00FF1C7B">
        <w:t xml:space="preserve"> reshaped by the political motives of their authors and audiences.</w:t>
      </w:r>
      <w:r w:rsidR="0018465E">
        <w:t xml:space="preserve"> </w:t>
      </w:r>
      <w:r w:rsidR="00B25AC6" w:rsidRPr="00B25AC6">
        <w:t xml:space="preserve">Ultimately, she </w:t>
      </w:r>
      <w:r w:rsidR="00F462ED">
        <w:t>argues</w:t>
      </w:r>
      <w:r w:rsidR="00B25AC6" w:rsidRPr="00B25AC6">
        <w:t xml:space="preserve"> that the historian</w:t>
      </w:r>
      <w:r w:rsidR="00704061">
        <w:t>’</w:t>
      </w:r>
      <w:r w:rsidR="00B25AC6" w:rsidRPr="00B25AC6">
        <w:t xml:space="preserve">s aim should not be to harvest raw facts, or to reconstruct </w:t>
      </w:r>
      <w:r w:rsidR="00F462ED">
        <w:t>one</w:t>
      </w:r>
      <w:r w:rsidR="00B25AC6" w:rsidRPr="00B25AC6">
        <w:t xml:space="preserve"> elusive ‘urtext’, but rather to value the plurality of the </w:t>
      </w:r>
      <w:r w:rsidR="009660D2" w:rsidRPr="009660D2">
        <w:rPr>
          <w:i/>
          <w:iCs/>
        </w:rPr>
        <w:t>Chronicles</w:t>
      </w:r>
      <w:r w:rsidR="00B25AC6" w:rsidRPr="00B25AC6">
        <w:t xml:space="preserve">, treating the </w:t>
      </w:r>
      <w:r w:rsidR="009660D2">
        <w:t>text</w:t>
      </w:r>
      <w:r w:rsidR="00B25AC6" w:rsidRPr="00B25AC6">
        <w:t xml:space="preserve"> itself as </w:t>
      </w:r>
      <w:r w:rsidR="005426CA">
        <w:t>‘</w:t>
      </w:r>
      <w:r w:rsidR="00B25AC6" w:rsidRPr="00B25AC6">
        <w:t>a partner in a dialogue with the historian</w:t>
      </w:r>
      <w:r w:rsidR="005426CA">
        <w:t>’</w:t>
      </w:r>
      <w:r w:rsidR="000F385B">
        <w:t xml:space="preserve"> </w:t>
      </w:r>
      <w:r w:rsidR="009A6C40">
        <w:t>(p</w:t>
      </w:r>
      <w:r w:rsidR="00513B9A">
        <w:t>.</w:t>
      </w:r>
      <w:r w:rsidR="007C4D70">
        <w:t xml:space="preserve"> </w:t>
      </w:r>
      <w:r w:rsidR="00112428">
        <w:t>20</w:t>
      </w:r>
      <w:r w:rsidR="009A6C40">
        <w:t>)</w:t>
      </w:r>
      <w:r w:rsidR="00F1188E">
        <w:t>.</w:t>
      </w:r>
    </w:p>
    <w:p w14:paraId="06BA922A" w14:textId="20DC4560" w:rsidR="0055550F" w:rsidRPr="0055550F" w:rsidRDefault="00042E7D" w:rsidP="0055550F">
      <w:pPr>
        <w:rPr>
          <w:rFonts w:eastAsia="Times New Roman" w:cs="Arial"/>
          <w:kern w:val="0"/>
          <w:lang w:eastAsia="en-GB"/>
          <w14:ligatures w14:val="none"/>
        </w:rPr>
      </w:pPr>
      <w:r>
        <w:t>Stafford’s</w:t>
      </w:r>
      <w:r w:rsidR="00F00996" w:rsidRPr="00F00996">
        <w:t xml:space="preserve"> work build</w:t>
      </w:r>
      <w:r w:rsidR="00F21888">
        <w:t>s</w:t>
      </w:r>
      <w:r w:rsidR="00F00996" w:rsidRPr="00F00996">
        <w:t xml:space="preserve"> upo</w:t>
      </w:r>
      <w:r w:rsidR="00E166E7">
        <w:t>n</w:t>
      </w:r>
      <w:r w:rsidR="00E166E7" w:rsidRPr="00E166E7">
        <w:t xml:space="preserve"> </w:t>
      </w:r>
      <w:r w:rsidR="00E166E7" w:rsidRPr="00F00996">
        <w:t>a breadth of preceding scholarship</w:t>
      </w:r>
      <w:r w:rsidR="00995882">
        <w:t xml:space="preserve">, </w:t>
      </w:r>
      <w:r w:rsidR="00F00996" w:rsidRPr="00F00996">
        <w:t>moving from Charles Plummer</w:t>
      </w:r>
      <w:r w:rsidR="00AC2068">
        <w:t>’</w:t>
      </w:r>
      <w:r w:rsidR="00F00996" w:rsidRPr="00F00996">
        <w:t xml:space="preserve">s parallel editions and the contextual frameworks of Stenton and Whitelock to the text-critical studies of Keynes and </w:t>
      </w:r>
      <w:proofErr w:type="spellStart"/>
      <w:r w:rsidR="00F00996" w:rsidRPr="00F00996">
        <w:t>Dumvill</w:t>
      </w:r>
      <w:r w:rsidR="0054785C">
        <w:t>e</w:t>
      </w:r>
      <w:proofErr w:type="spellEnd"/>
      <w:r w:rsidR="0054785C">
        <w:t>, whilst also</w:t>
      </w:r>
      <w:r w:rsidR="00F00996" w:rsidRPr="00F00996">
        <w:t xml:space="preserve"> integrating recent </w:t>
      </w:r>
      <w:r w:rsidR="00023DE4">
        <w:t>work</w:t>
      </w:r>
      <w:r w:rsidR="00F00996" w:rsidRPr="00F00996">
        <w:t xml:space="preserve"> on locali</w:t>
      </w:r>
      <w:r w:rsidR="007C6167">
        <w:t>s</w:t>
      </w:r>
      <w:r w:rsidR="00F00996" w:rsidRPr="00F00996">
        <w:t>ed production from scholars like Janet Bately. Stafford acknowledges that whil</w:t>
      </w:r>
      <w:r w:rsidR="00F11F0C">
        <w:t>st</w:t>
      </w:r>
      <w:r w:rsidR="00F00996" w:rsidRPr="00F00996">
        <w:t xml:space="preserve"> </w:t>
      </w:r>
      <w:r w:rsidR="00CA6C2C">
        <w:t>assessing</w:t>
      </w:r>
      <w:r w:rsidR="00F00996" w:rsidRPr="00F00996">
        <w:t xml:space="preserve"> lost sources is necessary, the quest for vanished texts can appear hopeless, even describing this search as </w:t>
      </w:r>
      <w:r w:rsidR="00AB708B">
        <w:t>‘</w:t>
      </w:r>
      <w:r w:rsidR="00F00996" w:rsidRPr="00F00996">
        <w:t>a textual perversion</w:t>
      </w:r>
      <w:r w:rsidR="00AB708B">
        <w:t>’</w:t>
      </w:r>
      <w:r w:rsidR="00F00996" w:rsidRPr="00F00996">
        <w:t xml:space="preserve"> (p. 78). </w:t>
      </w:r>
      <w:r w:rsidR="00F11F0C">
        <w:t>Such</w:t>
      </w:r>
      <w:r w:rsidR="00F00996" w:rsidRPr="00F00996">
        <w:t xml:space="preserve"> commentary can at times appear overly cautious</w:t>
      </w:r>
      <w:r w:rsidR="008A21F1">
        <w:t>;</w:t>
      </w:r>
      <w:r w:rsidR="00F00996" w:rsidRPr="00F00996">
        <w:t xml:space="preserve"> </w:t>
      </w:r>
      <w:r w:rsidR="00B6455F">
        <w:t>however</w:t>
      </w:r>
      <w:r w:rsidR="001A2748">
        <w:t>, s</w:t>
      </w:r>
      <w:r w:rsidR="00F37638">
        <w:t>he</w:t>
      </w:r>
      <w:r w:rsidR="00F00996" w:rsidRPr="00F00996">
        <w:t xml:space="preserve"> successfully synthesises a vast complexity of sources into a cohesive understanding of the </w:t>
      </w:r>
      <w:r w:rsidR="00F00996" w:rsidRPr="005C165B">
        <w:rPr>
          <w:i/>
          <w:iCs/>
        </w:rPr>
        <w:t>Chronicle’s</w:t>
      </w:r>
      <w:r w:rsidR="00F00996" w:rsidRPr="00F00996">
        <w:t xml:space="preserve"> significance as far more than a mere chronology of facts (p. 334).</w:t>
      </w:r>
      <w:r w:rsidR="0055550F">
        <w:t xml:space="preserve"> </w:t>
      </w:r>
      <w:r w:rsidR="0055550F" w:rsidRPr="0055550F">
        <w:rPr>
          <w:rFonts w:eastAsia="Times New Roman" w:cs="Arial"/>
          <w:kern w:val="0"/>
          <w:lang w:eastAsia="en-GB"/>
          <w14:ligatures w14:val="none"/>
        </w:rPr>
        <w:t>The volume</w:t>
      </w:r>
      <w:r w:rsidR="00372CE3">
        <w:rPr>
          <w:rFonts w:eastAsia="Times New Roman" w:cs="Arial"/>
          <w:kern w:val="0"/>
          <w:lang w:eastAsia="en-GB"/>
          <w14:ligatures w14:val="none"/>
        </w:rPr>
        <w:t xml:space="preserve"> also</w:t>
      </w:r>
      <w:r w:rsidR="0055550F" w:rsidRPr="0055550F">
        <w:rPr>
          <w:rFonts w:eastAsia="Times New Roman" w:cs="Arial"/>
          <w:kern w:val="0"/>
          <w:lang w:eastAsia="en-GB"/>
          <w14:ligatures w14:val="none"/>
        </w:rPr>
        <w:t xml:space="preserve"> includes ten detailed manuscript images</w:t>
      </w:r>
      <w:r w:rsidR="007003A3">
        <w:rPr>
          <w:rFonts w:eastAsia="Times New Roman" w:cs="Arial"/>
          <w:kern w:val="0"/>
          <w:lang w:eastAsia="en-GB"/>
          <w14:ligatures w14:val="none"/>
        </w:rPr>
        <w:t xml:space="preserve"> which</w:t>
      </w:r>
      <w:r w:rsidR="0055550F" w:rsidRPr="0055550F">
        <w:rPr>
          <w:rFonts w:eastAsia="Times New Roman" w:cs="Arial"/>
          <w:kern w:val="0"/>
          <w:lang w:eastAsia="en-GB"/>
          <w14:ligatures w14:val="none"/>
        </w:rPr>
        <w:t xml:space="preserve"> are of high quality, exceptionally clear and accessible</w:t>
      </w:r>
      <w:r w:rsidR="00D87BEB">
        <w:rPr>
          <w:rFonts w:eastAsia="Times New Roman" w:cs="Arial"/>
          <w:kern w:val="0"/>
          <w:lang w:eastAsia="en-GB"/>
          <w14:ligatures w14:val="none"/>
        </w:rPr>
        <w:t>,</w:t>
      </w:r>
      <w:r w:rsidR="0055550F" w:rsidRPr="0055550F">
        <w:rPr>
          <w:rFonts w:eastAsia="Times New Roman" w:cs="Arial"/>
          <w:kern w:val="0"/>
          <w:lang w:eastAsia="en-GB"/>
          <w14:ligatures w14:val="none"/>
        </w:rPr>
        <w:t xml:space="preserve"> and will prove helpful for the reader wishing to examine the precise scribal details, layouts, and </w:t>
      </w:r>
      <w:r w:rsidR="00260CC3">
        <w:rPr>
          <w:rFonts w:eastAsia="Times New Roman" w:cs="Arial"/>
          <w:kern w:val="0"/>
          <w:lang w:eastAsia="en-GB"/>
          <w14:ligatures w14:val="none"/>
        </w:rPr>
        <w:t>variations</w:t>
      </w:r>
      <w:r w:rsidR="0055550F" w:rsidRPr="0055550F">
        <w:rPr>
          <w:rFonts w:eastAsia="Times New Roman" w:cs="Arial"/>
          <w:kern w:val="0"/>
          <w:lang w:eastAsia="en-GB"/>
          <w14:ligatures w14:val="none"/>
        </w:rPr>
        <w:t xml:space="preserve"> of the </w:t>
      </w:r>
      <w:r w:rsidR="000F21AC">
        <w:rPr>
          <w:rFonts w:eastAsia="Times New Roman" w:cs="Arial"/>
          <w:kern w:val="0"/>
          <w:lang w:eastAsia="en-GB"/>
          <w14:ligatures w14:val="none"/>
        </w:rPr>
        <w:t>manuscript</w:t>
      </w:r>
      <w:r w:rsidR="0055550F" w:rsidRPr="0055550F">
        <w:rPr>
          <w:rFonts w:eastAsia="Times New Roman" w:cs="Arial"/>
          <w:kern w:val="0"/>
          <w:lang w:eastAsia="en-GB"/>
          <w14:ligatures w14:val="none"/>
        </w:rPr>
        <w:t xml:space="preserve"> under discussion.</w:t>
      </w:r>
    </w:p>
    <w:p w14:paraId="59B2D5F7" w14:textId="296CA16F" w:rsidR="000F6566" w:rsidRDefault="000F6566" w:rsidP="000F6566">
      <w:r w:rsidRPr="000F6566">
        <w:t xml:space="preserve">The first two chapters of </w:t>
      </w:r>
      <w:r w:rsidRPr="00C900BB">
        <w:rPr>
          <w:i/>
          <w:iCs/>
        </w:rPr>
        <w:t>After Alfred</w:t>
      </w:r>
      <w:r w:rsidRPr="000F6566">
        <w:t xml:space="preserve"> establish the book</w:t>
      </w:r>
      <w:r w:rsidR="00237857">
        <w:t>’</w:t>
      </w:r>
      <w:r w:rsidRPr="000F6566">
        <w:t xml:space="preserve">s methodological framework. Chapter 1 introduces the surviving vernacular manuscripts, </w:t>
      </w:r>
      <w:r w:rsidR="000866F4">
        <w:t>establishing</w:t>
      </w:r>
      <w:r w:rsidRPr="000F6566">
        <w:t xml:space="preserve"> the act of writing history as a</w:t>
      </w:r>
      <w:r w:rsidR="00FD42DB">
        <w:t>n</w:t>
      </w:r>
      <w:r w:rsidRPr="000F6566">
        <w:t xml:space="preserve"> exercise of power used to shape political realities. </w:t>
      </w:r>
      <w:r w:rsidR="00504EF3" w:rsidRPr="00624A3D">
        <w:t>Chapter 2 builds on this by examining how these texts were studied from the early modern period onwards, arguing that past scholarship was far from neutral</w:t>
      </w:r>
      <w:r w:rsidR="006716DE">
        <w:t xml:space="preserve"> with</w:t>
      </w:r>
      <w:r w:rsidR="00504EF3" w:rsidRPr="00624A3D">
        <w:t xml:space="preserve"> early editors us</w:t>
      </w:r>
      <w:r w:rsidR="006716DE">
        <w:t>ing</w:t>
      </w:r>
      <w:r w:rsidR="00504EF3" w:rsidRPr="00624A3D">
        <w:t xml:space="preserve"> the manuscripts to promote the myth of a single </w:t>
      </w:r>
      <w:r w:rsidR="00504EF3" w:rsidRPr="0024072F">
        <w:rPr>
          <w:i/>
          <w:iCs/>
        </w:rPr>
        <w:t xml:space="preserve">‘English National Chronicle’ </w:t>
      </w:r>
      <w:r w:rsidR="00504EF3" w:rsidRPr="00624A3D">
        <w:t>tied to evolving definitions of English identity.</w:t>
      </w:r>
      <w:r w:rsidR="006716DE">
        <w:t xml:space="preserve"> </w:t>
      </w:r>
      <w:r w:rsidR="003E5286" w:rsidRPr="00624A3D">
        <w:t xml:space="preserve">Stafford notes that modern research now rejects </w:t>
      </w:r>
      <w:r w:rsidR="00A727D9">
        <w:t>such</w:t>
      </w:r>
      <w:r w:rsidR="003E5286" w:rsidRPr="00624A3D">
        <w:t xml:space="preserve"> nationalistic framing</w:t>
      </w:r>
      <w:r w:rsidR="003E5286">
        <w:t>,</w:t>
      </w:r>
      <w:r w:rsidR="00BC2A0E">
        <w:t xml:space="preserve"> regarding the</w:t>
      </w:r>
      <w:r w:rsidR="003E5286">
        <w:rPr>
          <w:i/>
          <w:iCs/>
        </w:rPr>
        <w:t xml:space="preserve"> </w:t>
      </w:r>
      <w:r w:rsidR="00896E4E">
        <w:rPr>
          <w:i/>
          <w:iCs/>
        </w:rPr>
        <w:t>C</w:t>
      </w:r>
      <w:r w:rsidRPr="00896E4E">
        <w:rPr>
          <w:i/>
          <w:iCs/>
        </w:rPr>
        <w:t>hronicles</w:t>
      </w:r>
      <w:r w:rsidRPr="000F6566">
        <w:t xml:space="preserve"> as tools </w:t>
      </w:r>
      <w:r w:rsidR="005426CA">
        <w:t>‘</w:t>
      </w:r>
      <w:r w:rsidR="00524866">
        <w:t xml:space="preserve">…engaged in the </w:t>
      </w:r>
      <w:r w:rsidR="005426CA">
        <w:t>“</w:t>
      </w:r>
      <w:r w:rsidR="00524866">
        <w:t xml:space="preserve">art of </w:t>
      </w:r>
      <w:r w:rsidR="00524866">
        <w:lastRenderedPageBreak/>
        <w:t>truth</w:t>
      </w:r>
      <w:r w:rsidR="00B630B5">
        <w:t>”’</w:t>
      </w:r>
      <w:r w:rsidR="007C0CEB">
        <w:t xml:space="preserve"> (p.</w:t>
      </w:r>
      <w:r w:rsidR="007C4D70">
        <w:t xml:space="preserve"> </w:t>
      </w:r>
      <w:r w:rsidR="007C0CEB">
        <w:t>51)</w:t>
      </w:r>
      <w:r w:rsidRPr="000F6566">
        <w:t xml:space="preserve"> </w:t>
      </w:r>
      <w:r w:rsidR="00532294">
        <w:t xml:space="preserve">that </w:t>
      </w:r>
      <w:r w:rsidR="00BB2181">
        <w:t xml:space="preserve">simultaneously </w:t>
      </w:r>
      <w:r w:rsidRPr="000F6566">
        <w:t>invent</w:t>
      </w:r>
      <w:r w:rsidR="00BB2181">
        <w:t>ed</w:t>
      </w:r>
      <w:r w:rsidRPr="000F6566">
        <w:t xml:space="preserve"> an English identity</w:t>
      </w:r>
      <w:r w:rsidR="00BB2181">
        <w:t xml:space="preserve"> and</w:t>
      </w:r>
      <w:r w:rsidR="000A1EEC">
        <w:t xml:space="preserve"> celebrated</w:t>
      </w:r>
      <w:r w:rsidRPr="000F6566">
        <w:t xml:space="preserve"> and legitimise</w:t>
      </w:r>
      <w:r w:rsidR="000A1EEC">
        <w:t>d</w:t>
      </w:r>
      <w:r w:rsidRPr="000F6566">
        <w:t xml:space="preserve"> West Saxon rule.</w:t>
      </w:r>
    </w:p>
    <w:p w14:paraId="3CC75280" w14:textId="52192010" w:rsidR="000F6566" w:rsidRDefault="000F6566" w:rsidP="000F6566">
      <w:r w:rsidRPr="000F6566">
        <w:t>Moving from broad historiography to specific manuscript analysis, Chapters 3 t</w:t>
      </w:r>
      <w:r w:rsidR="00B80841">
        <w:t>o</w:t>
      </w:r>
      <w:r w:rsidRPr="000F6566">
        <w:t xml:space="preserve"> 5 trace early textual evolution and regional diversification. Stafford </w:t>
      </w:r>
      <w:r w:rsidR="00494207">
        <w:t>only briefly</w:t>
      </w:r>
      <w:r w:rsidR="00821993">
        <w:t xml:space="preserve"> reviews the</w:t>
      </w:r>
      <w:r w:rsidRPr="000F6566">
        <w:t xml:space="preserve"> late </w:t>
      </w:r>
      <w:proofErr w:type="gramStart"/>
      <w:r w:rsidR="00E37F76" w:rsidRPr="000F6566">
        <w:t>ninth</w:t>
      </w:r>
      <w:r w:rsidR="00327BA4">
        <w:t>-</w:t>
      </w:r>
      <w:r w:rsidR="00E37F76" w:rsidRPr="000F6566">
        <w:t>century</w:t>
      </w:r>
      <w:proofErr w:type="gramEnd"/>
      <w:r w:rsidRPr="000F6566">
        <w:t xml:space="preserve"> </w:t>
      </w:r>
      <w:r w:rsidR="002D6016">
        <w:t>‘</w:t>
      </w:r>
      <w:r w:rsidRPr="000F6566">
        <w:t>common stock</w:t>
      </w:r>
      <w:r w:rsidR="002D6016">
        <w:t>’,</w:t>
      </w:r>
      <w:r w:rsidRPr="000F6566">
        <w:t xml:space="preserve"> </w:t>
      </w:r>
      <w:r w:rsidR="00A66850">
        <w:t>often</w:t>
      </w:r>
      <w:r w:rsidRPr="000F6566">
        <w:t xml:space="preserve"> </w:t>
      </w:r>
      <w:r w:rsidR="000A0013">
        <w:t>called</w:t>
      </w:r>
      <w:r w:rsidRPr="000F6566">
        <w:t xml:space="preserve"> </w:t>
      </w:r>
      <w:r w:rsidR="002D6016">
        <w:rPr>
          <w:i/>
          <w:iCs/>
        </w:rPr>
        <w:t>‘</w:t>
      </w:r>
      <w:r w:rsidRPr="00390B12">
        <w:rPr>
          <w:i/>
          <w:iCs/>
        </w:rPr>
        <w:t>Alfred</w:t>
      </w:r>
      <w:r w:rsidR="009E51A0">
        <w:rPr>
          <w:i/>
          <w:iCs/>
        </w:rPr>
        <w:t>’</w:t>
      </w:r>
      <w:r w:rsidRPr="00390B12">
        <w:rPr>
          <w:i/>
          <w:iCs/>
        </w:rPr>
        <w:t>s Chronicle</w:t>
      </w:r>
      <w:r w:rsidR="002D6016">
        <w:rPr>
          <w:i/>
          <w:iCs/>
        </w:rPr>
        <w:t>’,</w:t>
      </w:r>
      <w:r w:rsidRPr="000F6566">
        <w:t xml:space="preserve"> noting that this text is not </w:t>
      </w:r>
      <w:r w:rsidR="000A13AC">
        <w:t>her</w:t>
      </w:r>
      <w:r w:rsidRPr="000F6566">
        <w:t xml:space="preserve"> central concern</w:t>
      </w:r>
      <w:r w:rsidR="00ED2073">
        <w:t xml:space="preserve">, </w:t>
      </w:r>
      <w:r w:rsidR="00ED2073" w:rsidRPr="00ED2073">
        <w:t xml:space="preserve">as </w:t>
      </w:r>
      <w:r w:rsidR="009D6500">
        <w:t>the</w:t>
      </w:r>
      <w:r w:rsidR="00556AC1">
        <w:t xml:space="preserve"> work’s</w:t>
      </w:r>
      <w:r w:rsidR="00ED2073" w:rsidRPr="00ED2073">
        <w:t xml:space="preserve"> title, </w:t>
      </w:r>
      <w:r w:rsidR="00ED2073" w:rsidRPr="00ED2073">
        <w:rPr>
          <w:i/>
          <w:iCs/>
        </w:rPr>
        <w:t>After Alfred</w:t>
      </w:r>
      <w:r w:rsidR="00ED2073" w:rsidRPr="00ED2073">
        <w:t xml:space="preserve">, pointedly reminds the reader. </w:t>
      </w:r>
      <w:r w:rsidRPr="000F6566">
        <w:t xml:space="preserve">Chapter 4 provides a detailed analysis of </w:t>
      </w:r>
      <w:r w:rsidRPr="00C64F7C">
        <w:rPr>
          <w:i/>
          <w:iCs/>
        </w:rPr>
        <w:t>Chronicle A</w:t>
      </w:r>
      <w:r w:rsidRPr="000F6566">
        <w:t>, the earliest surviving physical manuscript, show</w:t>
      </w:r>
      <w:r w:rsidR="00836384">
        <w:t>ing</w:t>
      </w:r>
      <w:r w:rsidRPr="000F6566">
        <w:t xml:space="preserve"> how its early tenth-century West Saxon focus under Edward the Elder directly contested a contemporary, lost </w:t>
      </w:r>
      <w:r w:rsidR="0030772C">
        <w:rPr>
          <w:i/>
          <w:iCs/>
        </w:rPr>
        <w:t>‘</w:t>
      </w:r>
      <w:r w:rsidRPr="0024072F">
        <w:rPr>
          <w:i/>
          <w:iCs/>
        </w:rPr>
        <w:t>Mercian Register</w:t>
      </w:r>
      <w:r w:rsidR="00996540">
        <w:rPr>
          <w:i/>
          <w:iCs/>
        </w:rPr>
        <w:t>’</w:t>
      </w:r>
      <w:r w:rsidRPr="000F6566">
        <w:t xml:space="preserve"> </w:t>
      </w:r>
      <w:r w:rsidR="000D5049">
        <w:t>cele</w:t>
      </w:r>
      <w:r w:rsidR="00217639">
        <w:t>brating</w:t>
      </w:r>
      <w:r w:rsidRPr="000F6566">
        <w:t xml:space="preserve"> the </w:t>
      </w:r>
      <w:r w:rsidR="00181C32">
        <w:t>achievem</w:t>
      </w:r>
      <w:r w:rsidR="007902ED">
        <w:t>ents</w:t>
      </w:r>
      <w:r w:rsidRPr="000F6566">
        <w:t xml:space="preserve"> of Æthelflæd. Chapter 5 </w:t>
      </w:r>
      <w:r w:rsidR="007902ED">
        <w:t>examines</w:t>
      </w:r>
      <w:r w:rsidRPr="000F6566">
        <w:t xml:space="preserve"> mid-tenth-century chronicling by uncovering the close textual relationship between </w:t>
      </w:r>
      <w:r w:rsidRPr="00C64F7C">
        <w:rPr>
          <w:i/>
          <w:iCs/>
        </w:rPr>
        <w:t>Chronicles B</w:t>
      </w:r>
      <w:r w:rsidRPr="000F6566">
        <w:t xml:space="preserve"> </w:t>
      </w:r>
      <w:r w:rsidRPr="00D35F54">
        <w:t>and</w:t>
      </w:r>
      <w:r w:rsidRPr="00C64F7C">
        <w:rPr>
          <w:i/>
          <w:iCs/>
        </w:rPr>
        <w:t xml:space="preserve"> C</w:t>
      </w:r>
      <w:r w:rsidRPr="000F6566">
        <w:t xml:space="preserve"> and their shared lost ancestor, </w:t>
      </w:r>
      <w:r w:rsidR="00DA6532">
        <w:t>‘</w:t>
      </w:r>
      <w:r w:rsidRPr="00436E64">
        <w:rPr>
          <w:i/>
          <w:iCs/>
        </w:rPr>
        <w:t>BC</w:t>
      </w:r>
      <w:r w:rsidR="00DA6532">
        <w:t>’</w:t>
      </w:r>
      <w:r w:rsidRPr="000F6566">
        <w:t>, illustrating how these were leveraged to assert political legitimacy during eras of volatile royal succession.</w:t>
      </w:r>
    </w:p>
    <w:p w14:paraId="45B4D64F" w14:textId="095568B7" w:rsidR="000F6566" w:rsidRDefault="00073DEA" w:rsidP="000F6566">
      <w:r w:rsidRPr="00073DEA">
        <w:t xml:space="preserve">Chapters 6 and 7 focus on the reconstruction of lost </w:t>
      </w:r>
      <w:r w:rsidRPr="000621FF">
        <w:rPr>
          <w:i/>
          <w:iCs/>
        </w:rPr>
        <w:t>Chronicles</w:t>
      </w:r>
      <w:r w:rsidRPr="00073DEA">
        <w:t xml:space="preserve">, offering some of the most compelling analysis in the volume. </w:t>
      </w:r>
      <w:r w:rsidR="000F6566" w:rsidRPr="000F6566">
        <w:t xml:space="preserve">Chapter 6 examines the </w:t>
      </w:r>
      <w:r w:rsidR="00827F92">
        <w:rPr>
          <w:i/>
          <w:iCs/>
        </w:rPr>
        <w:t>‘</w:t>
      </w:r>
      <w:r w:rsidR="000F6566" w:rsidRPr="00C277F4">
        <w:rPr>
          <w:i/>
          <w:iCs/>
        </w:rPr>
        <w:t>Northern Recension</w:t>
      </w:r>
      <w:r w:rsidR="00827F92">
        <w:rPr>
          <w:i/>
          <w:iCs/>
        </w:rPr>
        <w:t>’</w:t>
      </w:r>
      <w:r w:rsidR="000F6566" w:rsidRPr="000F6566">
        <w:t>, arguing</w:t>
      </w:r>
      <w:r w:rsidR="00105552">
        <w:t xml:space="preserve"> that</w:t>
      </w:r>
      <w:r w:rsidR="000F6566" w:rsidRPr="000F6566">
        <w:t xml:space="preserve"> it was used to extend southern royal control northwards by blending the political goals of York</w:t>
      </w:r>
      <w:r w:rsidR="00787C9C">
        <w:t>’</w:t>
      </w:r>
      <w:r w:rsidR="000F6566" w:rsidRPr="000F6566">
        <w:t>s southern-appointed archbishops with distinct</w:t>
      </w:r>
      <w:r w:rsidR="00105552">
        <w:t>ly</w:t>
      </w:r>
      <w:r w:rsidR="000F6566" w:rsidRPr="000F6566">
        <w:t xml:space="preserve"> local Northumbrian voices. Chapter 7 identifies a lost </w:t>
      </w:r>
      <w:r w:rsidR="000F6566" w:rsidRPr="0024072F">
        <w:rPr>
          <w:i/>
          <w:iCs/>
        </w:rPr>
        <w:t xml:space="preserve">Worcester </w:t>
      </w:r>
      <w:r w:rsidR="0024072F" w:rsidRPr="0024072F">
        <w:rPr>
          <w:i/>
          <w:iCs/>
        </w:rPr>
        <w:t>C</w:t>
      </w:r>
      <w:r w:rsidR="000F6566" w:rsidRPr="0024072F">
        <w:rPr>
          <w:i/>
          <w:iCs/>
        </w:rPr>
        <w:t>hronicle</w:t>
      </w:r>
      <w:r w:rsidR="000F6566" w:rsidRPr="000F6566">
        <w:t xml:space="preserve"> by </w:t>
      </w:r>
      <w:r w:rsidR="00827F92">
        <w:t>‘</w:t>
      </w:r>
      <w:r w:rsidR="000F6566" w:rsidRPr="000F6566">
        <w:t>reverse engineering</w:t>
      </w:r>
      <w:r w:rsidR="00827F92">
        <w:t>’</w:t>
      </w:r>
      <w:r w:rsidR="000F6566" w:rsidRPr="000F6566">
        <w:t xml:space="preserve"> later medieval annals </w:t>
      </w:r>
      <w:r w:rsidR="00A6351F">
        <w:t>using</w:t>
      </w:r>
      <w:r w:rsidR="000F6566" w:rsidRPr="000F6566">
        <w:t xml:space="preserve"> forensic textual analysis. Closely tied to Worcester</w:t>
      </w:r>
      <w:r w:rsidR="00CA0B4E">
        <w:t>’</w:t>
      </w:r>
      <w:r w:rsidR="000F6566" w:rsidRPr="000F6566">
        <w:t xml:space="preserve">s local bishops, this missing text challenged standard histories by offering a more positive view of the early reign of </w:t>
      </w:r>
      <w:proofErr w:type="spellStart"/>
      <w:r w:rsidR="000F6566" w:rsidRPr="000F6566">
        <w:t>Æthelred</w:t>
      </w:r>
      <w:proofErr w:type="spellEnd"/>
      <w:r w:rsidR="000F6566" w:rsidRPr="000F6566">
        <w:t xml:space="preserve"> II and a</w:t>
      </w:r>
      <w:r w:rsidR="00D06722">
        <w:t>n alternative</w:t>
      </w:r>
      <w:r w:rsidR="000F6566" w:rsidRPr="000F6566">
        <w:t xml:space="preserve"> assessment of Edgar.</w:t>
      </w:r>
    </w:p>
    <w:p w14:paraId="786CD142" w14:textId="6701B600" w:rsidR="00AD7621" w:rsidRDefault="00AD7621" w:rsidP="000F6566">
      <w:r w:rsidRPr="00AD7621">
        <w:t xml:space="preserve">Chapters 8 and 9 explore how the </w:t>
      </w:r>
      <w:r w:rsidRPr="002A4763">
        <w:rPr>
          <w:i/>
          <w:iCs/>
        </w:rPr>
        <w:t>Chronicles</w:t>
      </w:r>
      <w:r w:rsidRPr="00AD7621">
        <w:t xml:space="preserve"> </w:t>
      </w:r>
      <w:r w:rsidR="002A2BD3">
        <w:t>took account of</w:t>
      </w:r>
      <w:r w:rsidRPr="00AD7621">
        <w:t xml:space="preserve"> the Monastic Reform and subsequent Danish conquests. Stafford analy</w:t>
      </w:r>
      <w:r w:rsidR="008A5E69">
        <w:t>s</w:t>
      </w:r>
      <w:r w:rsidRPr="00AD7621">
        <w:t xml:space="preserve">es </w:t>
      </w:r>
      <w:r w:rsidR="008A5E69" w:rsidRPr="008A5E69">
        <w:rPr>
          <w:i/>
          <w:iCs/>
        </w:rPr>
        <w:t>Chronicles</w:t>
      </w:r>
      <w:r w:rsidRPr="00AD7621">
        <w:t xml:space="preserve"> </w:t>
      </w:r>
      <w:r w:rsidRPr="00F704E7">
        <w:rPr>
          <w:i/>
          <w:iCs/>
        </w:rPr>
        <w:t xml:space="preserve">A </w:t>
      </w:r>
      <w:r w:rsidRPr="00EC3109">
        <w:t>and</w:t>
      </w:r>
      <w:r w:rsidRPr="00F704E7">
        <w:rPr>
          <w:i/>
          <w:iCs/>
        </w:rPr>
        <w:t xml:space="preserve"> G</w:t>
      </w:r>
      <w:r w:rsidRPr="00AD7621">
        <w:t xml:space="preserve"> to link their physical settings to </w:t>
      </w:r>
      <w:r w:rsidR="008A5E69">
        <w:t xml:space="preserve">connections with </w:t>
      </w:r>
      <w:r w:rsidRPr="00AD7621">
        <w:t xml:space="preserve">Winchester bishops, arguing that as the Danish threat intensified, entries in </w:t>
      </w:r>
      <w:r w:rsidRPr="00F704E7">
        <w:rPr>
          <w:i/>
          <w:iCs/>
        </w:rPr>
        <w:t>C, D</w:t>
      </w:r>
      <w:r w:rsidRPr="00AD7621">
        <w:t>, and</w:t>
      </w:r>
      <w:r w:rsidRPr="00F704E7">
        <w:rPr>
          <w:i/>
          <w:iCs/>
        </w:rPr>
        <w:t xml:space="preserve"> E</w:t>
      </w:r>
      <w:r w:rsidRPr="00AD7621">
        <w:t xml:space="preserve"> shifted </w:t>
      </w:r>
      <w:r w:rsidR="00161C29">
        <w:t>towards</w:t>
      </w:r>
      <w:r w:rsidRPr="00AD7621">
        <w:t xml:space="preserve"> a</w:t>
      </w:r>
      <w:r w:rsidR="00CA3EE9">
        <w:t>n</w:t>
      </w:r>
      <w:r w:rsidRPr="00AD7621">
        <w:t xml:space="preserve"> </w:t>
      </w:r>
      <w:r w:rsidR="00EC3109">
        <w:t>impassioned</w:t>
      </w:r>
      <w:r w:rsidRPr="00AD7621">
        <w:t>, retrospective narrative. This altered the traditional Alfredian framework by prioriti</w:t>
      </w:r>
      <w:r w:rsidR="00CA0B4E">
        <w:t>s</w:t>
      </w:r>
      <w:r w:rsidRPr="00AD7621">
        <w:t>ing actions</w:t>
      </w:r>
      <w:r w:rsidR="00161C29">
        <w:t xml:space="preserve"> of archbishops</w:t>
      </w:r>
      <w:r w:rsidRPr="00AD7621">
        <w:t xml:space="preserve"> over the royal court.</w:t>
      </w:r>
    </w:p>
    <w:p w14:paraId="19283FF4" w14:textId="0D1F68D8" w:rsidR="00C94F71" w:rsidRDefault="00C94F71" w:rsidP="00CA2546">
      <w:r w:rsidRPr="00C94F71">
        <w:t xml:space="preserve">Focusing on the mid-eleventh century and the 1066 Conquest, Chapters 10 to 12 </w:t>
      </w:r>
      <w:r w:rsidR="00E03A65">
        <w:t>examine</w:t>
      </w:r>
      <w:r w:rsidRPr="00C94F71">
        <w:t xml:space="preserve"> major political upheavals. Chapter 10 ties a surge in historical writing to Edward the Confessor’s restoration, with Stafford suggesting that manuscript overlaps</w:t>
      </w:r>
      <w:r w:rsidR="00965A79">
        <w:t xml:space="preserve"> and con</w:t>
      </w:r>
      <w:r w:rsidR="00EB1588">
        <w:t>tradictions</w:t>
      </w:r>
      <w:r w:rsidRPr="00C94F71">
        <w:t xml:space="preserve"> reveal an active scribal network of communication and debate. Chapter 11 argues that entries from the 1040s and 1050s were contemporary records written as events unfolded. In Chapter 12, Stafford examines how </w:t>
      </w:r>
      <w:r w:rsidRPr="00CA2546">
        <w:rPr>
          <w:i/>
          <w:iCs/>
        </w:rPr>
        <w:t>Chronicle</w:t>
      </w:r>
      <w:r w:rsidRPr="00C94F71">
        <w:t xml:space="preserve"> D straddled the Conquest divide</w:t>
      </w:r>
      <w:r w:rsidR="00E62841">
        <w:t>.</w:t>
      </w:r>
      <w:r w:rsidRPr="00C94F71">
        <w:t xml:space="preserve"> </w:t>
      </w:r>
      <w:r w:rsidR="00E62841">
        <w:t>Alt</w:t>
      </w:r>
      <w:r w:rsidRPr="00C94F71">
        <w:t xml:space="preserve">hough mostly written before 1066, it was revised afterwards to reflect English experiences under Norman rule. </w:t>
      </w:r>
      <w:r w:rsidR="003F220D">
        <w:t>S</w:t>
      </w:r>
      <w:r w:rsidRPr="00C94F71">
        <w:t>he highlights the use of northern dialects and Norse vocabulary, noting</w:t>
      </w:r>
      <w:r w:rsidR="00F96616">
        <w:t xml:space="preserve"> that</w:t>
      </w:r>
      <w:r w:rsidRPr="00C94F71">
        <w:t xml:space="preserve"> the final annal potentially represents the first recorded Lowland Scots</w:t>
      </w:r>
      <w:r w:rsidR="00CA2546">
        <w:t xml:space="preserve"> text</w:t>
      </w:r>
      <w:r w:rsidRPr="00C94F71">
        <w:t>, demonstrating</w:t>
      </w:r>
      <w:r w:rsidR="00CA2546">
        <w:t xml:space="preserve"> how far</w:t>
      </w:r>
      <w:r w:rsidRPr="00C94F71">
        <w:t xml:space="preserve"> the</w:t>
      </w:r>
      <w:r w:rsidRPr="00CA2546">
        <w:rPr>
          <w:i/>
          <w:iCs/>
        </w:rPr>
        <w:t xml:space="preserve"> Chronicle</w:t>
      </w:r>
      <w:r w:rsidR="00CA2546">
        <w:t xml:space="preserve"> had travelled</w:t>
      </w:r>
      <w:r w:rsidRPr="00C94F71">
        <w:t xml:space="preserve"> from the West Saxon court.</w:t>
      </w:r>
    </w:p>
    <w:p w14:paraId="4164E7C6" w14:textId="7A6F43BB" w:rsidR="00201806" w:rsidRDefault="0067724A" w:rsidP="00201806">
      <w:r w:rsidRPr="000F6566">
        <w:lastRenderedPageBreak/>
        <w:t xml:space="preserve">The final section examines the </w:t>
      </w:r>
      <w:r>
        <w:t>last years</w:t>
      </w:r>
      <w:r w:rsidRPr="000F6566">
        <w:t xml:space="preserve"> of the vernacular </w:t>
      </w:r>
      <w:r w:rsidRPr="00BB438E">
        <w:rPr>
          <w:i/>
          <w:iCs/>
        </w:rPr>
        <w:t>Chronicle</w:t>
      </w:r>
      <w:r w:rsidRPr="000F6566">
        <w:t xml:space="preserve"> tradition as it adapted to a post-Conquest world. </w:t>
      </w:r>
      <w:r w:rsidR="001644BC" w:rsidRPr="001644BC">
        <w:t xml:space="preserve">Chapter 13 highlights Canterbury’s bilingual </w:t>
      </w:r>
      <w:r w:rsidR="001644BC" w:rsidRPr="002F1BAE">
        <w:rPr>
          <w:i/>
          <w:iCs/>
        </w:rPr>
        <w:t>Chronicle F</w:t>
      </w:r>
      <w:r w:rsidR="001644BC" w:rsidRPr="001644BC">
        <w:t xml:space="preserve">, which Stafford argues intentionally used a mixed </w:t>
      </w:r>
      <w:r w:rsidR="006A465D" w:rsidRPr="001644BC">
        <w:t>English</w:t>
      </w:r>
      <w:r w:rsidR="006A465D">
        <w:t>/</w:t>
      </w:r>
      <w:r w:rsidR="006A465D" w:rsidRPr="001644BC">
        <w:t>Latin</w:t>
      </w:r>
      <w:r w:rsidR="001644BC" w:rsidRPr="001644BC">
        <w:t xml:space="preserve"> format </w:t>
      </w:r>
      <w:r w:rsidR="007A033C">
        <w:t>with</w:t>
      </w:r>
      <w:r w:rsidR="001644BC" w:rsidRPr="001644BC">
        <w:t xml:space="preserve"> Norman history</w:t>
      </w:r>
      <w:r w:rsidR="007A033C">
        <w:t xml:space="preserve"> included</w:t>
      </w:r>
      <w:r w:rsidR="001644BC" w:rsidRPr="001644BC">
        <w:t xml:space="preserve"> to </w:t>
      </w:r>
      <w:r w:rsidR="00AB1F9A">
        <w:t>address</w:t>
      </w:r>
      <w:r w:rsidR="001644BC" w:rsidRPr="001644BC">
        <w:t xml:space="preserve"> a changing audience. Finally, Chapter 14 explores the end of the tradition through Peterborough</w:t>
      </w:r>
      <w:r w:rsidR="00931C77">
        <w:t>’</w:t>
      </w:r>
      <w:r w:rsidR="001644BC" w:rsidRPr="001644BC">
        <w:t xml:space="preserve">s </w:t>
      </w:r>
      <w:r w:rsidR="001644BC" w:rsidRPr="00EF55CB">
        <w:rPr>
          <w:i/>
          <w:iCs/>
        </w:rPr>
        <w:t>Chronicle E</w:t>
      </w:r>
      <w:r w:rsidR="001644BC" w:rsidRPr="001644BC">
        <w:t xml:space="preserve">, </w:t>
      </w:r>
      <w:r w:rsidR="001F0D47" w:rsidRPr="001F0D47">
        <w:t xml:space="preserve">showing how it </w:t>
      </w:r>
      <w:r w:rsidR="000334CC">
        <w:t xml:space="preserve">increasingly </w:t>
      </w:r>
      <w:r w:rsidR="001F0D47" w:rsidRPr="001F0D47">
        <w:t xml:space="preserve">converged with the Latin histories that </w:t>
      </w:r>
      <w:r w:rsidR="00E85FB0">
        <w:t>were replacing</w:t>
      </w:r>
      <w:r w:rsidR="001F0D47" w:rsidRPr="001F0D47">
        <w:t xml:space="preserve"> it</w:t>
      </w:r>
      <w:r w:rsidR="00135B52">
        <w:t xml:space="preserve">, eventually </w:t>
      </w:r>
      <w:r w:rsidR="001644BC" w:rsidRPr="001644BC">
        <w:t xml:space="preserve">vanishing alongside the Anglo-Saxon elite. </w:t>
      </w:r>
      <w:r w:rsidR="00201806">
        <w:t>The final chapter</w:t>
      </w:r>
      <w:r w:rsidR="00201806" w:rsidRPr="000F6566">
        <w:t xml:space="preserve"> reviews the book</w:t>
      </w:r>
      <w:r w:rsidR="00735D5D">
        <w:t>’</w:t>
      </w:r>
      <w:r w:rsidR="00201806" w:rsidRPr="000F6566">
        <w:t xml:space="preserve">s core themes, re-evaluating the critical roles played by the royal court, prominent archbishops, and anonymous </w:t>
      </w:r>
      <w:r w:rsidR="00201806">
        <w:t>scribes.</w:t>
      </w:r>
      <w:r w:rsidR="00201806" w:rsidRPr="000F6566">
        <w:t xml:space="preserve"> </w:t>
      </w:r>
      <w:r w:rsidR="00201806">
        <w:t xml:space="preserve">It </w:t>
      </w:r>
      <w:r w:rsidR="00201806" w:rsidRPr="000F6566">
        <w:t>conclu</w:t>
      </w:r>
      <w:r w:rsidR="00201806">
        <w:t>des</w:t>
      </w:r>
      <w:r w:rsidR="00201806" w:rsidRPr="000F6566">
        <w:t xml:space="preserve"> that</w:t>
      </w:r>
      <w:r w:rsidR="00201806">
        <w:t>,</w:t>
      </w:r>
      <w:r w:rsidR="00201806" w:rsidRPr="000F6566">
        <w:t xml:space="preserve"> whil</w:t>
      </w:r>
      <w:r w:rsidR="00201806">
        <w:t>st</w:t>
      </w:r>
      <w:r w:rsidR="00201806" w:rsidRPr="000F6566">
        <w:t xml:space="preserve"> these diverse manuscripts operated within a shared tradition, </w:t>
      </w:r>
      <w:r w:rsidR="00201806">
        <w:t>a</w:t>
      </w:r>
      <w:r w:rsidR="00201806" w:rsidRPr="000F6566">
        <w:t xml:space="preserve"> changed political and linguistic landscape ultimately brought an end to native English vernacular</w:t>
      </w:r>
      <w:r w:rsidR="00201806">
        <w:t xml:space="preserve"> chronicling.</w:t>
      </w:r>
    </w:p>
    <w:p w14:paraId="67387D29" w14:textId="3317F324" w:rsidR="00866AEB" w:rsidRDefault="00866AEB" w:rsidP="000F6566">
      <w:r w:rsidRPr="00866AEB">
        <w:t xml:space="preserve">Ultimately, </w:t>
      </w:r>
      <w:r w:rsidRPr="00866AEB">
        <w:rPr>
          <w:i/>
          <w:iCs/>
        </w:rPr>
        <w:t>After Alfred</w:t>
      </w:r>
      <w:r w:rsidRPr="00866AEB">
        <w:t xml:space="preserve"> stands as a seminal piece of scholarship that </w:t>
      </w:r>
      <w:r w:rsidR="00EA14F8">
        <w:t>expertly</w:t>
      </w:r>
      <w:r w:rsidRPr="00866AEB">
        <w:t xml:space="preserve"> captures plurality and regionality across the various </w:t>
      </w:r>
      <w:r w:rsidR="00F43E86">
        <w:t>versions</w:t>
      </w:r>
      <w:r w:rsidRPr="00866AEB">
        <w:t xml:space="preserve"> of the </w:t>
      </w:r>
      <w:r w:rsidRPr="00F43E86">
        <w:rPr>
          <w:i/>
          <w:iCs/>
        </w:rPr>
        <w:t>Anglo-Saxon Chronicle</w:t>
      </w:r>
      <w:r w:rsidRPr="00866AEB">
        <w:t xml:space="preserve">. It is </w:t>
      </w:r>
      <w:r w:rsidR="00961A25">
        <w:t>both</w:t>
      </w:r>
      <w:r w:rsidRPr="00866AEB">
        <w:t xml:space="preserve"> an impeccably researched academic work </w:t>
      </w:r>
      <w:r w:rsidR="00B71C7B">
        <w:t>and</w:t>
      </w:r>
      <w:r w:rsidRPr="00866AEB">
        <w:t xml:space="preserve"> an accessible, engaging guide for </w:t>
      </w:r>
      <w:r w:rsidR="00E97D9F">
        <w:t>any</w:t>
      </w:r>
      <w:r w:rsidRPr="00866AEB">
        <w:t xml:space="preserve"> reader </w:t>
      </w:r>
      <w:r w:rsidR="00CD3012">
        <w:t>keen</w:t>
      </w:r>
      <w:r w:rsidRPr="00866AEB">
        <w:t xml:space="preserve"> to understand how history was written, recorded, and disseminated from</w:t>
      </w:r>
      <w:r w:rsidR="002F16EB">
        <w:t xml:space="preserve"> the time of Alfred</w:t>
      </w:r>
      <w:r w:rsidRPr="00866AEB">
        <w:t xml:space="preserve"> to the decades following the Norman Conquest.</w:t>
      </w:r>
    </w:p>
    <w:p w14:paraId="5FC4991D" w14:textId="77777777" w:rsidR="00AF47B7" w:rsidRPr="00711D0C" w:rsidRDefault="00AF47B7" w:rsidP="00711D0C"/>
    <w:p w14:paraId="7C3EC73E" w14:textId="77777777" w:rsidR="00711D0C" w:rsidRPr="000F6566" w:rsidRDefault="00711D0C" w:rsidP="000F6566"/>
    <w:p w14:paraId="4D41C095" w14:textId="77777777" w:rsidR="000F6566" w:rsidRDefault="000F6566" w:rsidP="00320820"/>
    <w:p w14:paraId="4914042B" w14:textId="77777777" w:rsidR="00635FC9" w:rsidRDefault="00635FC9" w:rsidP="00320820"/>
    <w:p w14:paraId="72B9FA5B" w14:textId="77777777" w:rsidR="00635FC9" w:rsidRDefault="00635FC9" w:rsidP="00320820"/>
    <w:p w14:paraId="4BE1674D" w14:textId="77777777" w:rsidR="00635FC9" w:rsidRDefault="00635FC9" w:rsidP="00320820"/>
    <w:p w14:paraId="68686B9A" w14:textId="77777777" w:rsidR="00635FC9" w:rsidRDefault="00635FC9" w:rsidP="00320820"/>
    <w:p w14:paraId="361E41A0" w14:textId="77777777" w:rsidR="00635FC9" w:rsidRDefault="00635FC9" w:rsidP="00320820"/>
    <w:p w14:paraId="653FFDF6" w14:textId="77777777" w:rsidR="00DD320A" w:rsidRDefault="00DD320A" w:rsidP="000D796D">
      <w:pPr>
        <w:ind w:left="720"/>
      </w:pPr>
    </w:p>
    <w:p w14:paraId="5F742A7B" w14:textId="77777777" w:rsidR="00DD320A" w:rsidRDefault="00DD320A" w:rsidP="000D796D">
      <w:pPr>
        <w:ind w:left="720"/>
      </w:pPr>
    </w:p>
    <w:p w14:paraId="2955FAF6" w14:textId="77777777" w:rsidR="00DD320A" w:rsidRPr="00665FBD" w:rsidRDefault="00DD320A" w:rsidP="000D796D">
      <w:pPr>
        <w:ind w:left="720"/>
      </w:pPr>
    </w:p>
    <w:p w14:paraId="15B74AE7" w14:textId="77777777" w:rsidR="00665FBD" w:rsidRDefault="00665FBD" w:rsidP="00B25AC6"/>
    <w:sectPr w:rsidR="00665FB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9E417F" w14:textId="77777777" w:rsidR="006E712B" w:rsidRDefault="006E712B" w:rsidP="003518CB">
      <w:pPr>
        <w:spacing w:after="0" w:line="240" w:lineRule="auto"/>
      </w:pPr>
      <w:r>
        <w:separator/>
      </w:r>
    </w:p>
  </w:endnote>
  <w:endnote w:type="continuationSeparator" w:id="0">
    <w:p w14:paraId="770E6496" w14:textId="77777777" w:rsidR="006E712B" w:rsidRDefault="006E712B" w:rsidP="003518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17B305" w14:textId="77777777" w:rsidR="006E712B" w:rsidRDefault="006E712B" w:rsidP="003518CB">
      <w:pPr>
        <w:spacing w:after="0" w:line="240" w:lineRule="auto"/>
      </w:pPr>
      <w:r>
        <w:separator/>
      </w:r>
    </w:p>
  </w:footnote>
  <w:footnote w:type="continuationSeparator" w:id="0">
    <w:p w14:paraId="2F7D8876" w14:textId="77777777" w:rsidR="006E712B" w:rsidRDefault="006E712B" w:rsidP="003518CB">
      <w:pPr>
        <w:spacing w:after="0" w:line="240" w:lineRule="auto"/>
      </w:pPr>
      <w:r>
        <w:continuationSeparator/>
      </w:r>
    </w:p>
  </w:footnote>
  <w:footnote w:id="1">
    <w:p w14:paraId="6E9103C4" w14:textId="093CE700" w:rsidR="004816F1" w:rsidRDefault="004816F1">
      <w:pPr>
        <w:pStyle w:val="FootnoteText"/>
      </w:pPr>
      <w:r>
        <w:rPr>
          <w:rStyle w:val="FootnoteReference"/>
        </w:rPr>
        <w:footnoteRef/>
      </w:r>
      <w:r>
        <w:t xml:space="preserve"> </w:t>
      </w:r>
      <w:r>
        <w:fldChar w:fldCharType="begin"/>
      </w:r>
      <w:r>
        <w:instrText xml:space="preserve"> ADDIN ZOTERO_ITEM CSL_CITATION {"citationID":"hWTKBX36","properties":{"formattedCitation":"Pauline Stafford, {\\i{}After Alfred: Anglo-Saxon Chronicles and Chroniclers, 900-1150} (Oxford University Press, 2020), doi:10.1093/oso/9780198859642.001.0001.","plainCitation":"Pauline Stafford, After Alfred: Anglo-Saxon Chronicles and Chroniclers, 900-1150 (Oxford University Press, 2020), doi:10.1093/oso/9780198859642.001.0001.","noteIndex":1},"citationItems":[{"id":533,"uris":["http://zotero.org/users/local/l3RS6WXl/items/VV3EZAFL"],"itemData":{"id":533,"type":"book","abstract":"This book traces the development of a group of anonymous, vernacular, annalistic chronicles—‘the Anglo-Saxon chronicles’—from their genesis at the court of King Alfred to their end at the Fenland monastery of Peterborough. It reconsiders them in the light of wider European scholarship on the politics of history-writing. It covers all surviving manuscript chronicles, with detailed attention being paid to palaeography, layout, and content, and identifies key lost texts. It is concerned with production, scribe-authors, patrons, and audiences. The centuries these chronicles cover were critical to the making of England and saw its conquest by Scandinavians and Normans. They have long been part of the English national story. The book considers the impact of this on their study and editing. It stresses their multiplicity, whilst identifying a tradition of writing vernacular history. It sees that tradition as an expression of the ideology of a southern elite engaged in the conquest and assimilation of old kingdoms north of the Thames, Trent, and Humber. The book connects many chronicles to bishops and especially to archbishops of York and Canterbury. Vernacular chronicling is seen, not as propaganda, but as engaged history-writing closely connected to the court, whose networks and personnel were central to the production of chronicles and their continuation. The disappearance of the English-speaking elite after the Norman Conquest had profound impacts on them, repositioning their authors in relation to the court and royal power, and ultimately resulting in the end of the tradition of vernacular chronicling.","DOI":"10.1093/oso/9780198859642.001.0001","ISBN":"978-0-19-885964-2","publisher":"Oxford University Press","source":"Silverchair","title":"After Alfred: Anglo-Saxon Chronicles and Chroniclers, 900-1150","title-short":"After Alfred","URL":"https://doi.org/10.1093/oso/9780198859642.001.0001","author":[{"family":"Stafford","given":"Pauline"}],"accessed":{"date-parts":[["2026",10,24]]},"issued":{"date-parts":[["2020",6,5]]}}}],"schema":"https://github.com/citation-style-language/schema/raw/master/csl-citation.json"} </w:instrText>
      </w:r>
      <w:r>
        <w:fldChar w:fldCharType="separate"/>
      </w:r>
      <w:r w:rsidRPr="004816F1">
        <w:rPr>
          <w:rFonts w:ascii="Aptos" w:hAnsi="Aptos" w:cs="Times New Roman"/>
          <w:kern w:val="0"/>
        </w:rPr>
        <w:t xml:space="preserve">Pauline Stafford, </w:t>
      </w:r>
      <w:r w:rsidRPr="004816F1">
        <w:rPr>
          <w:rFonts w:ascii="Aptos" w:hAnsi="Aptos" w:cs="Times New Roman"/>
          <w:i/>
          <w:iCs/>
          <w:kern w:val="0"/>
        </w:rPr>
        <w:t>After Alfred: Anglo-Saxon Chronicles and Chroniclers, 900-1150</w:t>
      </w:r>
      <w:r w:rsidRPr="004816F1">
        <w:rPr>
          <w:rFonts w:ascii="Aptos" w:hAnsi="Aptos" w:cs="Times New Roman"/>
          <w:kern w:val="0"/>
        </w:rPr>
        <w:t xml:space="preserve"> (Oxford University Press, 2020), doi:10.1093/oso/9780198859642.001.0001.</w:t>
      </w:r>
      <w:r>
        <w:fldChar w:fldCharType="end"/>
      </w:r>
    </w:p>
  </w:footnote>
  <w:footnote w:id="2">
    <w:p w14:paraId="7CC61FDE" w14:textId="39905626" w:rsidR="00DF3E08" w:rsidRDefault="00DF3E08">
      <w:pPr>
        <w:pStyle w:val="FootnoteText"/>
      </w:pPr>
      <w:r>
        <w:rPr>
          <w:rStyle w:val="FootnoteReference"/>
        </w:rPr>
        <w:footnoteRef/>
      </w:r>
      <w:r>
        <w:t xml:space="preserve"> </w:t>
      </w:r>
      <w:r>
        <w:fldChar w:fldCharType="begin"/>
      </w:r>
      <w:r w:rsidR="004816F1">
        <w:instrText xml:space="preserve"> ADDIN ZOTERO_ITEM CSL_CITATION {"citationID":"Uv9uCByH","properties":{"formattedCitation":"{\\i{}Gender and Historiography: Studies in the Earlier Middle Ages in Honour of Pauline Stafford}, IHR Conference Series (University of London Press, 2012), JSTOR &lt;http://www.jstor.org/stable/j.ctv5139fw&gt; [accessed 18 October 2026].","plainCitation":"Gender and Historiography: Studies in the Earlier Middle Ages in Honour of Pauline Stafford, IHR Conference Series (University of London Press, 2012), JSTOR &lt;http://www.jstor.org/stable/j.ctv5139fw&gt; [accessed 18 October 2026].","noteIndex":2},"citationItems":[{"id":531,"uris":["http://zotero.org/users/local/l3RS6WXl/items/2HDQG5ZM"],"itemData":{"id":531,"type":"book","abstract":"The chapters in this volume celebrate the work of Pauline Stafford,\nhighlighting the ways in which it has advanced research in the\nfields of both Anglo-Saxon history and the history of medieval\nwomen and gender. Ranging across the period, and over much of the\nold Carolingian world as well as Anglo-Saxon England, they deal\nwith such questions as the nature of kingship and queenship,\nfatherhood, elite gender relations, the transmission of property,\nthe participation of women in lordship, slavery and warfare, and\nthe nature of assemblies. &lt;em&gt;Gender and historiography&lt;/em&gt;\npresents the fruits of groundbreaking research, inspired by Pauline\nStafford's own interests over a long and influential career.","archive":"JSTOR","collection-title":"IHR Conference Series","ISBN":"978-1-905165-79-7","number-of-pages":"228","publisher":"University of London Press","publisher-place":"London","title":"Gender and Historiography: Studies in the earlier middle ages in honour of Pauline Stafford","URL":"http://www.jstor.org/stable/j.ctv5139fw","collection-editor":[{"family":"Nelson","given":"Janet L."},{"family":"Reynolds","given":"Susan"},{"family":"Johns","given":"Susan M."}],"accessed":{"date-parts":[["2026",10,18]]},"issued":{"date-parts":[["2012"]]}}}],"schema":"https://github.com/citation-style-language/schema/raw/master/csl-citation.json"} </w:instrText>
      </w:r>
      <w:r>
        <w:fldChar w:fldCharType="separate"/>
      </w:r>
      <w:r w:rsidR="004816F1" w:rsidRPr="004816F1">
        <w:rPr>
          <w:rFonts w:ascii="Aptos" w:hAnsi="Aptos" w:cs="Times New Roman"/>
          <w:i/>
          <w:iCs/>
          <w:kern w:val="0"/>
        </w:rPr>
        <w:t>Gender and Historiography: Studies in the Earlier Middle Ages in Honour of Pauline Stafford</w:t>
      </w:r>
      <w:r w:rsidR="004816F1" w:rsidRPr="004816F1">
        <w:rPr>
          <w:rFonts w:ascii="Aptos" w:hAnsi="Aptos" w:cs="Times New Roman"/>
          <w:kern w:val="0"/>
        </w:rPr>
        <w:t>, IHR Conference Series (University of London Press, 2012), JSTOR &lt;http://www.jstor.org/stable/j.ctv5139fw&gt; [accessed 18 October 2026].</w:t>
      </w:r>
      <w:r>
        <w:fldChar w:fldCharType="end"/>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65D5624"/>
    <w:multiLevelType w:val="multilevel"/>
    <w:tmpl w:val="CE4EF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EB125CE"/>
    <w:multiLevelType w:val="hybridMultilevel"/>
    <w:tmpl w:val="34DC39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07078517">
    <w:abstractNumId w:val="0"/>
  </w:num>
  <w:num w:numId="2" w16cid:durableId="313493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2015"/>
    <w:rsid w:val="00007D2C"/>
    <w:rsid w:val="00010AC0"/>
    <w:rsid w:val="00021142"/>
    <w:rsid w:val="00023DE4"/>
    <w:rsid w:val="000334CC"/>
    <w:rsid w:val="000349F3"/>
    <w:rsid w:val="00035DBF"/>
    <w:rsid w:val="00042E7D"/>
    <w:rsid w:val="00046405"/>
    <w:rsid w:val="00046D27"/>
    <w:rsid w:val="00047483"/>
    <w:rsid w:val="000621FF"/>
    <w:rsid w:val="00073DEA"/>
    <w:rsid w:val="00084CB2"/>
    <w:rsid w:val="000866F4"/>
    <w:rsid w:val="000A0013"/>
    <w:rsid w:val="000A13AC"/>
    <w:rsid w:val="000A1B84"/>
    <w:rsid w:val="000A1EEC"/>
    <w:rsid w:val="000A4A7B"/>
    <w:rsid w:val="000B06B6"/>
    <w:rsid w:val="000B1EEB"/>
    <w:rsid w:val="000B41B9"/>
    <w:rsid w:val="000C3834"/>
    <w:rsid w:val="000D1D28"/>
    <w:rsid w:val="000D5049"/>
    <w:rsid w:val="000D50DF"/>
    <w:rsid w:val="000D613B"/>
    <w:rsid w:val="000D796D"/>
    <w:rsid w:val="000F21AC"/>
    <w:rsid w:val="000F385B"/>
    <w:rsid w:val="000F58E7"/>
    <w:rsid w:val="000F6566"/>
    <w:rsid w:val="00105552"/>
    <w:rsid w:val="00111377"/>
    <w:rsid w:val="00112428"/>
    <w:rsid w:val="0011284E"/>
    <w:rsid w:val="00132A7F"/>
    <w:rsid w:val="00135B52"/>
    <w:rsid w:val="00146FE1"/>
    <w:rsid w:val="00152121"/>
    <w:rsid w:val="00157411"/>
    <w:rsid w:val="00157CD3"/>
    <w:rsid w:val="00161C29"/>
    <w:rsid w:val="001644BC"/>
    <w:rsid w:val="001803ED"/>
    <w:rsid w:val="00181773"/>
    <w:rsid w:val="00181A1E"/>
    <w:rsid w:val="00181C32"/>
    <w:rsid w:val="0018465E"/>
    <w:rsid w:val="001848E2"/>
    <w:rsid w:val="00187033"/>
    <w:rsid w:val="001872D1"/>
    <w:rsid w:val="00196BB5"/>
    <w:rsid w:val="001A2748"/>
    <w:rsid w:val="001A5E9D"/>
    <w:rsid w:val="001B4B91"/>
    <w:rsid w:val="001B6750"/>
    <w:rsid w:val="001C6896"/>
    <w:rsid w:val="001D29CA"/>
    <w:rsid w:val="001D7AD5"/>
    <w:rsid w:val="001E0635"/>
    <w:rsid w:val="001E3DFA"/>
    <w:rsid w:val="001F0D47"/>
    <w:rsid w:val="001F5CDA"/>
    <w:rsid w:val="00201806"/>
    <w:rsid w:val="002026E6"/>
    <w:rsid w:val="00204472"/>
    <w:rsid w:val="00204498"/>
    <w:rsid w:val="00217639"/>
    <w:rsid w:val="00221D2C"/>
    <w:rsid w:val="00237857"/>
    <w:rsid w:val="0024072F"/>
    <w:rsid w:val="002429AD"/>
    <w:rsid w:val="00253C3A"/>
    <w:rsid w:val="00260CC3"/>
    <w:rsid w:val="002649A1"/>
    <w:rsid w:val="00265ACE"/>
    <w:rsid w:val="0026793F"/>
    <w:rsid w:val="00271C07"/>
    <w:rsid w:val="002A2BD3"/>
    <w:rsid w:val="002A3612"/>
    <w:rsid w:val="002A4763"/>
    <w:rsid w:val="002A4DD7"/>
    <w:rsid w:val="002A5DE9"/>
    <w:rsid w:val="002C294F"/>
    <w:rsid w:val="002D6016"/>
    <w:rsid w:val="002F16EB"/>
    <w:rsid w:val="002F1BAE"/>
    <w:rsid w:val="002F57D7"/>
    <w:rsid w:val="003045C8"/>
    <w:rsid w:val="00304A68"/>
    <w:rsid w:val="0030772C"/>
    <w:rsid w:val="0031020A"/>
    <w:rsid w:val="00320820"/>
    <w:rsid w:val="003210DC"/>
    <w:rsid w:val="00323C8A"/>
    <w:rsid w:val="00326036"/>
    <w:rsid w:val="00327BA4"/>
    <w:rsid w:val="00334062"/>
    <w:rsid w:val="003518CB"/>
    <w:rsid w:val="00362538"/>
    <w:rsid w:val="003647C7"/>
    <w:rsid w:val="00372CE3"/>
    <w:rsid w:val="0037799A"/>
    <w:rsid w:val="00390B12"/>
    <w:rsid w:val="003A4C0E"/>
    <w:rsid w:val="003D2015"/>
    <w:rsid w:val="003E4915"/>
    <w:rsid w:val="003E5286"/>
    <w:rsid w:val="003E7DC4"/>
    <w:rsid w:val="003F220D"/>
    <w:rsid w:val="003F268D"/>
    <w:rsid w:val="003F3418"/>
    <w:rsid w:val="003F5A6A"/>
    <w:rsid w:val="003F6F10"/>
    <w:rsid w:val="00401DA5"/>
    <w:rsid w:val="00410D74"/>
    <w:rsid w:val="0041386A"/>
    <w:rsid w:val="00425F8F"/>
    <w:rsid w:val="00430160"/>
    <w:rsid w:val="0043337E"/>
    <w:rsid w:val="00436E64"/>
    <w:rsid w:val="004377DB"/>
    <w:rsid w:val="00446533"/>
    <w:rsid w:val="00453341"/>
    <w:rsid w:val="0045758E"/>
    <w:rsid w:val="004603C5"/>
    <w:rsid w:val="00461EB4"/>
    <w:rsid w:val="0047649F"/>
    <w:rsid w:val="00476AB3"/>
    <w:rsid w:val="004816F1"/>
    <w:rsid w:val="0049171E"/>
    <w:rsid w:val="00494207"/>
    <w:rsid w:val="004A277C"/>
    <w:rsid w:val="004C2821"/>
    <w:rsid w:val="004D0249"/>
    <w:rsid w:val="004D0ED5"/>
    <w:rsid w:val="004E02A5"/>
    <w:rsid w:val="004F71FE"/>
    <w:rsid w:val="00500153"/>
    <w:rsid w:val="005032E7"/>
    <w:rsid w:val="00504EF3"/>
    <w:rsid w:val="005138A4"/>
    <w:rsid w:val="00513B9A"/>
    <w:rsid w:val="00524866"/>
    <w:rsid w:val="005257B1"/>
    <w:rsid w:val="00530D2B"/>
    <w:rsid w:val="00532294"/>
    <w:rsid w:val="005323FB"/>
    <w:rsid w:val="0053271F"/>
    <w:rsid w:val="005426CA"/>
    <w:rsid w:val="005438FA"/>
    <w:rsid w:val="005455E7"/>
    <w:rsid w:val="0054785C"/>
    <w:rsid w:val="0055550F"/>
    <w:rsid w:val="00556AC1"/>
    <w:rsid w:val="00567BFA"/>
    <w:rsid w:val="00571E9E"/>
    <w:rsid w:val="00585EEE"/>
    <w:rsid w:val="0058713D"/>
    <w:rsid w:val="005A6772"/>
    <w:rsid w:val="005A6A67"/>
    <w:rsid w:val="005B0705"/>
    <w:rsid w:val="005C165B"/>
    <w:rsid w:val="005C17A6"/>
    <w:rsid w:val="005C2655"/>
    <w:rsid w:val="005D3F62"/>
    <w:rsid w:val="005D4069"/>
    <w:rsid w:val="005F46D9"/>
    <w:rsid w:val="00613DF8"/>
    <w:rsid w:val="00624A3D"/>
    <w:rsid w:val="00626DAB"/>
    <w:rsid w:val="00630317"/>
    <w:rsid w:val="00632E31"/>
    <w:rsid w:val="00635FC9"/>
    <w:rsid w:val="00636302"/>
    <w:rsid w:val="00641C33"/>
    <w:rsid w:val="006560D4"/>
    <w:rsid w:val="00660F40"/>
    <w:rsid w:val="00665FBD"/>
    <w:rsid w:val="00666B37"/>
    <w:rsid w:val="00667A36"/>
    <w:rsid w:val="006716DE"/>
    <w:rsid w:val="0067724A"/>
    <w:rsid w:val="00683A4C"/>
    <w:rsid w:val="0068704A"/>
    <w:rsid w:val="006A465D"/>
    <w:rsid w:val="006A5135"/>
    <w:rsid w:val="006C4247"/>
    <w:rsid w:val="006D06F4"/>
    <w:rsid w:val="006D1DBB"/>
    <w:rsid w:val="006D35B2"/>
    <w:rsid w:val="006E4723"/>
    <w:rsid w:val="006E712B"/>
    <w:rsid w:val="006F51A4"/>
    <w:rsid w:val="006F5649"/>
    <w:rsid w:val="007003A3"/>
    <w:rsid w:val="00704061"/>
    <w:rsid w:val="0071124A"/>
    <w:rsid w:val="00711D0C"/>
    <w:rsid w:val="00721177"/>
    <w:rsid w:val="0072707F"/>
    <w:rsid w:val="00735D5D"/>
    <w:rsid w:val="00740DD7"/>
    <w:rsid w:val="00745B0C"/>
    <w:rsid w:val="0075000C"/>
    <w:rsid w:val="00750BCC"/>
    <w:rsid w:val="007558B4"/>
    <w:rsid w:val="0078519D"/>
    <w:rsid w:val="00787C9C"/>
    <w:rsid w:val="007902ED"/>
    <w:rsid w:val="007A033C"/>
    <w:rsid w:val="007B2B51"/>
    <w:rsid w:val="007B773F"/>
    <w:rsid w:val="007C0CEB"/>
    <w:rsid w:val="007C4D70"/>
    <w:rsid w:val="007C6167"/>
    <w:rsid w:val="007D3205"/>
    <w:rsid w:val="007D340E"/>
    <w:rsid w:val="007E417B"/>
    <w:rsid w:val="007E5329"/>
    <w:rsid w:val="007F655F"/>
    <w:rsid w:val="007F75D0"/>
    <w:rsid w:val="007F76BC"/>
    <w:rsid w:val="008014EC"/>
    <w:rsid w:val="00806FD9"/>
    <w:rsid w:val="008160B4"/>
    <w:rsid w:val="0082134B"/>
    <w:rsid w:val="00821993"/>
    <w:rsid w:val="00823FA7"/>
    <w:rsid w:val="00827265"/>
    <w:rsid w:val="00827F92"/>
    <w:rsid w:val="00836384"/>
    <w:rsid w:val="00837200"/>
    <w:rsid w:val="00860AAE"/>
    <w:rsid w:val="00866A31"/>
    <w:rsid w:val="00866AEB"/>
    <w:rsid w:val="0088091A"/>
    <w:rsid w:val="00896E4E"/>
    <w:rsid w:val="008A1E55"/>
    <w:rsid w:val="008A21F1"/>
    <w:rsid w:val="008A5E69"/>
    <w:rsid w:val="008A7C25"/>
    <w:rsid w:val="008B226E"/>
    <w:rsid w:val="008B36EF"/>
    <w:rsid w:val="008B393D"/>
    <w:rsid w:val="008C3CD0"/>
    <w:rsid w:val="008D76C7"/>
    <w:rsid w:val="008E360F"/>
    <w:rsid w:val="008E3D41"/>
    <w:rsid w:val="008E5825"/>
    <w:rsid w:val="008E7A6C"/>
    <w:rsid w:val="008F68D9"/>
    <w:rsid w:val="00910676"/>
    <w:rsid w:val="00931C77"/>
    <w:rsid w:val="00943931"/>
    <w:rsid w:val="009571DA"/>
    <w:rsid w:val="00960228"/>
    <w:rsid w:val="00961A25"/>
    <w:rsid w:val="00963169"/>
    <w:rsid w:val="00965A79"/>
    <w:rsid w:val="009660D2"/>
    <w:rsid w:val="00981528"/>
    <w:rsid w:val="00993637"/>
    <w:rsid w:val="00995882"/>
    <w:rsid w:val="00996540"/>
    <w:rsid w:val="00997BFF"/>
    <w:rsid w:val="009A357F"/>
    <w:rsid w:val="009A6252"/>
    <w:rsid w:val="009A6C40"/>
    <w:rsid w:val="009A7B8A"/>
    <w:rsid w:val="009B1EEF"/>
    <w:rsid w:val="009C1CCD"/>
    <w:rsid w:val="009C586F"/>
    <w:rsid w:val="009D55C3"/>
    <w:rsid w:val="009D6500"/>
    <w:rsid w:val="009E51A0"/>
    <w:rsid w:val="00A041BC"/>
    <w:rsid w:val="00A1031D"/>
    <w:rsid w:val="00A24316"/>
    <w:rsid w:val="00A27CE8"/>
    <w:rsid w:val="00A31556"/>
    <w:rsid w:val="00A6351F"/>
    <w:rsid w:val="00A66850"/>
    <w:rsid w:val="00A66AA1"/>
    <w:rsid w:val="00A703C4"/>
    <w:rsid w:val="00A727D9"/>
    <w:rsid w:val="00A80E64"/>
    <w:rsid w:val="00A90EBE"/>
    <w:rsid w:val="00AA124B"/>
    <w:rsid w:val="00AA57DD"/>
    <w:rsid w:val="00AA7A63"/>
    <w:rsid w:val="00AB1F9A"/>
    <w:rsid w:val="00AB708B"/>
    <w:rsid w:val="00AC0BC3"/>
    <w:rsid w:val="00AC2068"/>
    <w:rsid w:val="00AC4801"/>
    <w:rsid w:val="00AD18FC"/>
    <w:rsid w:val="00AD6AD7"/>
    <w:rsid w:val="00AD7621"/>
    <w:rsid w:val="00AE1BF6"/>
    <w:rsid w:val="00AF3E89"/>
    <w:rsid w:val="00AF47B7"/>
    <w:rsid w:val="00AF69FA"/>
    <w:rsid w:val="00B0313E"/>
    <w:rsid w:val="00B0354F"/>
    <w:rsid w:val="00B07F7E"/>
    <w:rsid w:val="00B25AC6"/>
    <w:rsid w:val="00B33731"/>
    <w:rsid w:val="00B4246B"/>
    <w:rsid w:val="00B52622"/>
    <w:rsid w:val="00B630B5"/>
    <w:rsid w:val="00B6455F"/>
    <w:rsid w:val="00B71C7B"/>
    <w:rsid w:val="00B72653"/>
    <w:rsid w:val="00B7661E"/>
    <w:rsid w:val="00B80841"/>
    <w:rsid w:val="00B905CE"/>
    <w:rsid w:val="00BA3F83"/>
    <w:rsid w:val="00BB14E8"/>
    <w:rsid w:val="00BB2181"/>
    <w:rsid w:val="00BB438E"/>
    <w:rsid w:val="00BC2A0E"/>
    <w:rsid w:val="00BC3BC7"/>
    <w:rsid w:val="00BD0B22"/>
    <w:rsid w:val="00BD185F"/>
    <w:rsid w:val="00BD5A2C"/>
    <w:rsid w:val="00BE2000"/>
    <w:rsid w:val="00BE45BF"/>
    <w:rsid w:val="00BE6387"/>
    <w:rsid w:val="00BF3261"/>
    <w:rsid w:val="00C20E15"/>
    <w:rsid w:val="00C20EF2"/>
    <w:rsid w:val="00C277F4"/>
    <w:rsid w:val="00C364D5"/>
    <w:rsid w:val="00C44FA3"/>
    <w:rsid w:val="00C52677"/>
    <w:rsid w:val="00C64F7C"/>
    <w:rsid w:val="00C66997"/>
    <w:rsid w:val="00C67D71"/>
    <w:rsid w:val="00C71CF1"/>
    <w:rsid w:val="00C76E7D"/>
    <w:rsid w:val="00C900BB"/>
    <w:rsid w:val="00C92C9F"/>
    <w:rsid w:val="00C94F71"/>
    <w:rsid w:val="00CA06CE"/>
    <w:rsid w:val="00CA0B4E"/>
    <w:rsid w:val="00CA2546"/>
    <w:rsid w:val="00CA3EE9"/>
    <w:rsid w:val="00CA6C2C"/>
    <w:rsid w:val="00CB39F5"/>
    <w:rsid w:val="00CB7E52"/>
    <w:rsid w:val="00CC1205"/>
    <w:rsid w:val="00CD1740"/>
    <w:rsid w:val="00CD3012"/>
    <w:rsid w:val="00CD7A34"/>
    <w:rsid w:val="00CE01D4"/>
    <w:rsid w:val="00CE14CC"/>
    <w:rsid w:val="00CF0CC9"/>
    <w:rsid w:val="00CF7F14"/>
    <w:rsid w:val="00D06722"/>
    <w:rsid w:val="00D13219"/>
    <w:rsid w:val="00D1329E"/>
    <w:rsid w:val="00D35F54"/>
    <w:rsid w:val="00D46442"/>
    <w:rsid w:val="00D4730E"/>
    <w:rsid w:val="00D5529C"/>
    <w:rsid w:val="00D55431"/>
    <w:rsid w:val="00D61090"/>
    <w:rsid w:val="00D62B7E"/>
    <w:rsid w:val="00D647FB"/>
    <w:rsid w:val="00D74534"/>
    <w:rsid w:val="00D7697B"/>
    <w:rsid w:val="00D8243F"/>
    <w:rsid w:val="00D87BEB"/>
    <w:rsid w:val="00DA5B81"/>
    <w:rsid w:val="00DA6532"/>
    <w:rsid w:val="00DB4E2E"/>
    <w:rsid w:val="00DB726B"/>
    <w:rsid w:val="00DC74BE"/>
    <w:rsid w:val="00DC77AE"/>
    <w:rsid w:val="00DD320A"/>
    <w:rsid w:val="00DD61C6"/>
    <w:rsid w:val="00DE1B03"/>
    <w:rsid w:val="00DE600C"/>
    <w:rsid w:val="00DF07C8"/>
    <w:rsid w:val="00DF3E08"/>
    <w:rsid w:val="00E03A65"/>
    <w:rsid w:val="00E048E4"/>
    <w:rsid w:val="00E05D78"/>
    <w:rsid w:val="00E1022C"/>
    <w:rsid w:val="00E166E7"/>
    <w:rsid w:val="00E37F76"/>
    <w:rsid w:val="00E53B85"/>
    <w:rsid w:val="00E6045B"/>
    <w:rsid w:val="00E62841"/>
    <w:rsid w:val="00E703D8"/>
    <w:rsid w:val="00E71FE3"/>
    <w:rsid w:val="00E74752"/>
    <w:rsid w:val="00E76F85"/>
    <w:rsid w:val="00E80672"/>
    <w:rsid w:val="00E84A69"/>
    <w:rsid w:val="00E85FB0"/>
    <w:rsid w:val="00E87DFA"/>
    <w:rsid w:val="00E90198"/>
    <w:rsid w:val="00E91F56"/>
    <w:rsid w:val="00E9426F"/>
    <w:rsid w:val="00E95EC7"/>
    <w:rsid w:val="00E97D9F"/>
    <w:rsid w:val="00EA14F8"/>
    <w:rsid w:val="00EA5211"/>
    <w:rsid w:val="00EA728F"/>
    <w:rsid w:val="00EB1588"/>
    <w:rsid w:val="00EC3109"/>
    <w:rsid w:val="00EC5794"/>
    <w:rsid w:val="00ED2073"/>
    <w:rsid w:val="00EE25B4"/>
    <w:rsid w:val="00EE5D87"/>
    <w:rsid w:val="00EF55CB"/>
    <w:rsid w:val="00F00996"/>
    <w:rsid w:val="00F02063"/>
    <w:rsid w:val="00F0346F"/>
    <w:rsid w:val="00F05081"/>
    <w:rsid w:val="00F1188E"/>
    <w:rsid w:val="00F11F0C"/>
    <w:rsid w:val="00F12ADE"/>
    <w:rsid w:val="00F14F81"/>
    <w:rsid w:val="00F17717"/>
    <w:rsid w:val="00F21888"/>
    <w:rsid w:val="00F25B4E"/>
    <w:rsid w:val="00F37638"/>
    <w:rsid w:val="00F43E86"/>
    <w:rsid w:val="00F4565A"/>
    <w:rsid w:val="00F456B1"/>
    <w:rsid w:val="00F462ED"/>
    <w:rsid w:val="00F5219F"/>
    <w:rsid w:val="00F54FF2"/>
    <w:rsid w:val="00F55DDA"/>
    <w:rsid w:val="00F704E7"/>
    <w:rsid w:val="00F70BD1"/>
    <w:rsid w:val="00F767EE"/>
    <w:rsid w:val="00F80E3D"/>
    <w:rsid w:val="00F959D6"/>
    <w:rsid w:val="00F96616"/>
    <w:rsid w:val="00F96776"/>
    <w:rsid w:val="00FA0598"/>
    <w:rsid w:val="00FA4EC4"/>
    <w:rsid w:val="00FA53AE"/>
    <w:rsid w:val="00FB1B2F"/>
    <w:rsid w:val="00FB76FA"/>
    <w:rsid w:val="00FC28A5"/>
    <w:rsid w:val="00FC3F6D"/>
    <w:rsid w:val="00FC6500"/>
    <w:rsid w:val="00FD42DB"/>
    <w:rsid w:val="00FE1ACF"/>
    <w:rsid w:val="00FE5A2C"/>
    <w:rsid w:val="00FE70BF"/>
    <w:rsid w:val="00FE7248"/>
    <w:rsid w:val="00FF1AC7"/>
    <w:rsid w:val="00FF1C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EF3AF4"/>
  <w15:chartTrackingRefBased/>
  <w15:docId w15:val="{89CB7DEE-8A35-44E6-9624-5305C6646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201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D20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D201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D201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D201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D201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201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201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201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201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D201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D201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D201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D201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D20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D20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D20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D2015"/>
    <w:rPr>
      <w:rFonts w:eastAsiaTheme="majorEastAsia" w:cstheme="majorBidi"/>
      <w:color w:val="272727" w:themeColor="text1" w:themeTint="D8"/>
    </w:rPr>
  </w:style>
  <w:style w:type="paragraph" w:styleId="Title">
    <w:name w:val="Title"/>
    <w:basedOn w:val="Normal"/>
    <w:next w:val="Normal"/>
    <w:link w:val="TitleChar"/>
    <w:uiPriority w:val="10"/>
    <w:qFormat/>
    <w:rsid w:val="003D20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20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201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20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2015"/>
    <w:pPr>
      <w:spacing w:before="160"/>
      <w:jc w:val="center"/>
    </w:pPr>
    <w:rPr>
      <w:i/>
      <w:iCs/>
      <w:color w:val="404040" w:themeColor="text1" w:themeTint="BF"/>
    </w:rPr>
  </w:style>
  <w:style w:type="character" w:customStyle="1" w:styleId="QuoteChar">
    <w:name w:val="Quote Char"/>
    <w:basedOn w:val="DefaultParagraphFont"/>
    <w:link w:val="Quote"/>
    <w:uiPriority w:val="29"/>
    <w:rsid w:val="003D2015"/>
    <w:rPr>
      <w:i/>
      <w:iCs/>
      <w:color w:val="404040" w:themeColor="text1" w:themeTint="BF"/>
    </w:rPr>
  </w:style>
  <w:style w:type="paragraph" w:styleId="ListParagraph">
    <w:name w:val="List Paragraph"/>
    <w:basedOn w:val="Normal"/>
    <w:uiPriority w:val="34"/>
    <w:qFormat/>
    <w:rsid w:val="003D2015"/>
    <w:pPr>
      <w:ind w:left="720"/>
      <w:contextualSpacing/>
    </w:pPr>
  </w:style>
  <w:style w:type="character" w:styleId="IntenseEmphasis">
    <w:name w:val="Intense Emphasis"/>
    <w:basedOn w:val="DefaultParagraphFont"/>
    <w:uiPriority w:val="21"/>
    <w:qFormat/>
    <w:rsid w:val="003D2015"/>
    <w:rPr>
      <w:i/>
      <w:iCs/>
      <w:color w:val="0F4761" w:themeColor="accent1" w:themeShade="BF"/>
    </w:rPr>
  </w:style>
  <w:style w:type="paragraph" w:styleId="IntenseQuote">
    <w:name w:val="Intense Quote"/>
    <w:basedOn w:val="Normal"/>
    <w:next w:val="Normal"/>
    <w:link w:val="IntenseQuoteChar"/>
    <w:uiPriority w:val="30"/>
    <w:qFormat/>
    <w:rsid w:val="003D20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D2015"/>
    <w:rPr>
      <w:i/>
      <w:iCs/>
      <w:color w:val="0F4761" w:themeColor="accent1" w:themeShade="BF"/>
    </w:rPr>
  </w:style>
  <w:style w:type="character" w:styleId="IntenseReference">
    <w:name w:val="Intense Reference"/>
    <w:basedOn w:val="DefaultParagraphFont"/>
    <w:uiPriority w:val="32"/>
    <w:qFormat/>
    <w:rsid w:val="003D2015"/>
    <w:rPr>
      <w:b/>
      <w:bCs/>
      <w:smallCaps/>
      <w:color w:val="0F4761" w:themeColor="accent1" w:themeShade="BF"/>
      <w:spacing w:val="5"/>
    </w:rPr>
  </w:style>
  <w:style w:type="character" w:styleId="Emphasis">
    <w:name w:val="Emphasis"/>
    <w:basedOn w:val="DefaultParagraphFont"/>
    <w:uiPriority w:val="20"/>
    <w:qFormat/>
    <w:rsid w:val="003D2015"/>
    <w:rPr>
      <w:i/>
      <w:iCs/>
    </w:rPr>
  </w:style>
  <w:style w:type="paragraph" w:styleId="FootnoteText">
    <w:name w:val="footnote text"/>
    <w:basedOn w:val="Normal"/>
    <w:link w:val="FootnoteTextChar"/>
    <w:uiPriority w:val="99"/>
    <w:semiHidden/>
    <w:unhideWhenUsed/>
    <w:rsid w:val="003518C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518CB"/>
    <w:rPr>
      <w:sz w:val="20"/>
      <w:szCs w:val="20"/>
    </w:rPr>
  </w:style>
  <w:style w:type="character" w:styleId="FootnoteReference">
    <w:name w:val="footnote reference"/>
    <w:basedOn w:val="DefaultParagraphFont"/>
    <w:uiPriority w:val="99"/>
    <w:semiHidden/>
    <w:unhideWhenUsed/>
    <w:rsid w:val="003518CB"/>
    <w:rPr>
      <w:vertAlign w:val="superscript"/>
    </w:rPr>
  </w:style>
  <w:style w:type="character" w:styleId="PlaceholderText">
    <w:name w:val="Placeholder Text"/>
    <w:basedOn w:val="DefaultParagraphFont"/>
    <w:uiPriority w:val="99"/>
    <w:semiHidden/>
    <w:rsid w:val="00FC6500"/>
    <w:rPr>
      <w:color w:val="666666"/>
    </w:rPr>
  </w:style>
  <w:style w:type="character" w:styleId="Hyperlink">
    <w:name w:val="Hyperlink"/>
    <w:basedOn w:val="DefaultParagraphFont"/>
    <w:uiPriority w:val="99"/>
    <w:unhideWhenUsed/>
    <w:rsid w:val="00665FBD"/>
    <w:rPr>
      <w:color w:val="467886" w:themeColor="hyperlink"/>
      <w:u w:val="single"/>
    </w:rPr>
  </w:style>
  <w:style w:type="character" w:styleId="UnresolvedMention">
    <w:name w:val="Unresolved Mention"/>
    <w:basedOn w:val="DefaultParagraphFont"/>
    <w:uiPriority w:val="99"/>
    <w:semiHidden/>
    <w:unhideWhenUsed/>
    <w:rsid w:val="00665F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7732CB4-CD55-421E-920E-128E8F9BEA8B}">
  <we:reference id="wa200007520" version="4.0.0.0" store="en-GB" storeType="OMEX"/>
  <we:alternateReferences>
    <we:reference id="WA200007520" version="4.0.0.0" store="WA200007520" storeType="OMEX"/>
  </we:alternateReferences>
  <we:properties>
    <we:property name="citations" value="{&quot;190194487&quot;:{&quot;referencesIds&quot;:[&quot;doc:6ad5267e73d2794a196fb475&quot;],&quot;referencesOptions&quot;:{&quot;doc:6ad5267e73d2794a196fb47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quot;190194487&quot;,&quot;citationText&quot;:&quot;(Anonymous 2012:)&quot;}}"/>
    <we:property name="currentFolder" value="{&quot;depth&quot;:0,&quot;id&quot;:&quot;all&quot;,&quot;name&quot;:&quot;All references&quot;,&quot;parentId&quot;:null,&quot;position&quot;:-2,&quot;isShared&quot;:false}"/>
    <we:property name="currentStyle" value="{&quot;id&quot;:&quot;rwuserstyle:5aa2745ddbf33207d332016a&quot;,&quot;styleType&quot;:&quot;refworks&quot;,&quot;name&quot;:&quot;MHRA-Modern Humanities Research Association (Notes &amp; Bibliography)&quot;,&quot;userId&quot;:&quot;user:59e9b3ede4b0e70d30447d67&quot;,&quot;isInstitutional&quot;:true,&quot;citeStyle&quot;:&quot;INTEXT_ONLY&quot;,&quot;isSorted&quot;:true,&quot;usesNumbers&quot;:false,&quot;authorDisambiguation&quot;:&quot;surname_firstname&quot;}"/>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C308755D-E81E-4464-A298-292F5652A7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942</TotalTime>
  <Pages>3</Pages>
  <Words>1068</Words>
  <Characters>6092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Teresa Clerck</dc:creator>
  <cp:keywords/>
  <dc:description/>
  <cp:lastModifiedBy>Teresa Clerck</cp:lastModifiedBy>
  <cp:revision>427</cp:revision>
  <dcterms:created xsi:type="dcterms:W3CDTF">2026-10-18T16:10:00Z</dcterms:created>
  <dcterms:modified xsi:type="dcterms:W3CDTF">2026-10-25T19:42:00Z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zotero-version="10.0.6"&gt;&lt;session id="oY3pqzex"/&gt;&lt;style id="http://www.zotero.org/styles/mhra-notes-subsequent-ibid" hasBibliography="1" bibliographyStyleHasBeenSet="0"/&gt;&lt;prefs&gt;&lt;pref name="fieldType" value="Field"/&gt;&lt;pref name="noteTy</vt:lpwstr>
  </property>
  <property fmtid="{D5CDD505-2E9C-101B-9397-08002B2CF9AE}" pid="3" name="ZOTERO_PREF_2">
    <vt:lpwstr>pe" value="1"/&gt;&lt;/prefs&gt;&lt;/data&gt;</vt:lpwstr>
  </property>
</Properties>
</file>