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8F243D" w14:textId="77777777" w:rsidR="00AF017E" w:rsidRDefault="00B74F1A">
      <w:pPr>
        <w:tabs>
          <w:tab w:val="left" w:pos="6540"/>
        </w:tabs>
        <w:spacing w:line="360" w:lineRule="auto"/>
      </w:pPr>
      <w:bookmarkStart w:id="0" w:name="_Hlk119323191"/>
      <w:r>
        <w:rPr>
          <w:rFonts w:ascii="Arial" w:hAnsi="Arial" w:cs="Arial"/>
          <w:noProof/>
          <w:szCs w:val="24"/>
        </w:rPr>
        <w:drawing>
          <wp:anchor distT="0" distB="0" distL="114300" distR="114300" simplePos="0" relativeHeight="251659264" behindDoc="0" locked="0" layoutInCell="1" allowOverlap="1" wp14:anchorId="13B05741" wp14:editId="6F1026D6">
            <wp:simplePos x="0" y="0"/>
            <wp:positionH relativeFrom="margin">
              <wp:align>left</wp:align>
            </wp:positionH>
            <wp:positionV relativeFrom="paragraph">
              <wp:posOffset>6345</wp:posOffset>
            </wp:positionV>
            <wp:extent cx="1809753" cy="723903"/>
            <wp:effectExtent l="0" t="0" r="0" b="0"/>
            <wp:wrapSquare wrapText="bothSides"/>
            <wp:docPr id="1272797515"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1809753" cy="723903"/>
                    </a:xfrm>
                    <a:prstGeom prst="rect">
                      <a:avLst/>
                    </a:prstGeom>
                    <a:noFill/>
                    <a:ln>
                      <a:noFill/>
                      <a:prstDash/>
                    </a:ln>
                  </pic:spPr>
                </pic:pic>
              </a:graphicData>
            </a:graphic>
          </wp:anchor>
        </w:drawing>
      </w:r>
    </w:p>
    <w:p w14:paraId="1F6E239C" w14:textId="77777777" w:rsidR="00AF017E" w:rsidRDefault="00AF017E">
      <w:pPr>
        <w:tabs>
          <w:tab w:val="left" w:pos="6540"/>
        </w:tabs>
        <w:spacing w:line="360" w:lineRule="auto"/>
        <w:rPr>
          <w:rFonts w:ascii="Arial" w:hAnsi="Arial" w:cs="Arial"/>
          <w:b/>
          <w:bCs/>
          <w:sz w:val="28"/>
          <w:szCs w:val="28"/>
        </w:rPr>
      </w:pPr>
    </w:p>
    <w:p w14:paraId="5F58DD47" w14:textId="77777777" w:rsidR="00AF017E" w:rsidRDefault="00AF017E">
      <w:pPr>
        <w:tabs>
          <w:tab w:val="left" w:pos="6540"/>
        </w:tabs>
        <w:spacing w:line="360" w:lineRule="auto"/>
        <w:rPr>
          <w:rFonts w:ascii="Arial" w:hAnsi="Arial" w:cs="Arial"/>
          <w:b/>
          <w:bCs/>
          <w:sz w:val="28"/>
          <w:szCs w:val="28"/>
        </w:rPr>
      </w:pPr>
    </w:p>
    <w:p w14:paraId="6F2DE32D" w14:textId="77777777" w:rsidR="00AF017E" w:rsidRDefault="00AF017E">
      <w:pPr>
        <w:tabs>
          <w:tab w:val="left" w:pos="6540"/>
        </w:tabs>
        <w:spacing w:line="360" w:lineRule="auto"/>
        <w:rPr>
          <w:rFonts w:ascii="Arial" w:hAnsi="Arial" w:cs="Arial"/>
          <w:b/>
          <w:bCs/>
          <w:sz w:val="28"/>
          <w:szCs w:val="28"/>
        </w:rPr>
      </w:pPr>
    </w:p>
    <w:p w14:paraId="4E713540" w14:textId="77777777" w:rsidR="00AF017E" w:rsidRDefault="00B74F1A">
      <w:pPr>
        <w:tabs>
          <w:tab w:val="left" w:pos="6540"/>
        </w:tabs>
        <w:spacing w:line="360" w:lineRule="auto"/>
      </w:pPr>
      <w:r>
        <w:rPr>
          <w:rFonts w:ascii="Arial" w:hAnsi="Arial" w:cs="Arial"/>
          <w:b/>
          <w:bCs/>
          <w:sz w:val="28"/>
          <w:szCs w:val="28"/>
        </w:rPr>
        <w:t>Student name</w:t>
      </w:r>
      <w:r>
        <w:rPr>
          <w:rFonts w:ascii="Arial" w:hAnsi="Arial" w:cs="Arial"/>
          <w:sz w:val="28"/>
          <w:szCs w:val="28"/>
        </w:rPr>
        <w:t xml:space="preserve">:  Paola Diaz </w:t>
      </w:r>
    </w:p>
    <w:p w14:paraId="6814B47C" w14:textId="77777777" w:rsidR="00AF017E" w:rsidRDefault="00B74F1A">
      <w:pPr>
        <w:tabs>
          <w:tab w:val="left" w:pos="6540"/>
        </w:tabs>
        <w:spacing w:line="360" w:lineRule="auto"/>
      </w:pPr>
      <w:r>
        <w:rPr>
          <w:rFonts w:ascii="Arial" w:hAnsi="Arial" w:cs="Arial"/>
          <w:b/>
          <w:bCs/>
          <w:sz w:val="28"/>
          <w:szCs w:val="28"/>
        </w:rPr>
        <w:t>Student ID</w:t>
      </w:r>
      <w:r>
        <w:rPr>
          <w:rFonts w:ascii="Arial" w:hAnsi="Arial" w:cs="Arial"/>
          <w:sz w:val="28"/>
          <w:szCs w:val="28"/>
        </w:rPr>
        <w:t>:2438263</w:t>
      </w:r>
    </w:p>
    <w:p w14:paraId="7D5CE9E3" w14:textId="77777777" w:rsidR="00AF017E" w:rsidRDefault="00AF017E">
      <w:pPr>
        <w:tabs>
          <w:tab w:val="left" w:pos="6540"/>
        </w:tabs>
        <w:spacing w:line="360" w:lineRule="auto"/>
        <w:rPr>
          <w:rFonts w:ascii="Arial" w:hAnsi="Arial" w:cs="Arial"/>
          <w:sz w:val="28"/>
          <w:szCs w:val="28"/>
        </w:rPr>
      </w:pPr>
    </w:p>
    <w:p w14:paraId="7085986E" w14:textId="77777777" w:rsidR="00AF017E" w:rsidRDefault="00B74F1A">
      <w:pPr>
        <w:tabs>
          <w:tab w:val="left" w:pos="6540"/>
        </w:tabs>
        <w:spacing w:line="360" w:lineRule="auto"/>
      </w:pPr>
      <w:r>
        <w:rPr>
          <w:rFonts w:ascii="Arial" w:hAnsi="Arial" w:cs="Arial"/>
          <w:b/>
          <w:bCs/>
          <w:sz w:val="28"/>
          <w:szCs w:val="28"/>
        </w:rPr>
        <w:t>Module name</w:t>
      </w:r>
      <w:r>
        <w:rPr>
          <w:rFonts w:ascii="Arial" w:hAnsi="Arial" w:cs="Arial"/>
          <w:sz w:val="28"/>
          <w:szCs w:val="28"/>
        </w:rPr>
        <w:t xml:space="preserve">:  </w:t>
      </w:r>
      <w:r>
        <w:t>Introduction to Public Health</w:t>
      </w:r>
    </w:p>
    <w:p w14:paraId="5035B49D" w14:textId="77777777" w:rsidR="00AF017E" w:rsidRDefault="00B74F1A">
      <w:pPr>
        <w:tabs>
          <w:tab w:val="left" w:pos="6540"/>
        </w:tabs>
        <w:spacing w:line="360" w:lineRule="auto"/>
      </w:pPr>
      <w:r>
        <w:rPr>
          <w:rFonts w:ascii="Arial" w:hAnsi="Arial" w:cs="Arial"/>
          <w:b/>
          <w:bCs/>
          <w:sz w:val="28"/>
          <w:szCs w:val="28"/>
        </w:rPr>
        <w:t>Module code</w:t>
      </w:r>
      <w:r>
        <w:rPr>
          <w:rFonts w:ascii="Arial" w:hAnsi="Arial" w:cs="Arial"/>
          <w:sz w:val="28"/>
          <w:szCs w:val="28"/>
        </w:rPr>
        <w:t xml:space="preserve">: </w:t>
      </w:r>
      <w:r>
        <w:t>LCHS4008</w:t>
      </w:r>
    </w:p>
    <w:p w14:paraId="375EC03B" w14:textId="77777777" w:rsidR="00AF017E" w:rsidRDefault="00B74F1A">
      <w:pPr>
        <w:tabs>
          <w:tab w:val="left" w:pos="3780"/>
        </w:tabs>
        <w:rPr>
          <w:rFonts w:ascii="Arial" w:hAnsi="Arial" w:cs="Arial"/>
          <w:b/>
          <w:bCs/>
          <w:sz w:val="28"/>
          <w:szCs w:val="28"/>
        </w:rPr>
      </w:pPr>
      <w:r>
        <w:rPr>
          <w:rFonts w:ascii="Arial" w:hAnsi="Arial" w:cs="Arial"/>
          <w:b/>
          <w:bCs/>
          <w:sz w:val="28"/>
          <w:szCs w:val="28"/>
        </w:rPr>
        <w:t>Lecturer name: Pascal Navalle</w:t>
      </w:r>
    </w:p>
    <w:p w14:paraId="49015F11" w14:textId="77777777" w:rsidR="00AF017E" w:rsidRDefault="00AF017E">
      <w:pPr>
        <w:pageBreakBefore/>
        <w:spacing w:line="276" w:lineRule="auto"/>
        <w:rPr>
          <w:rFonts w:ascii="Arial" w:hAnsi="Arial" w:cs="Arial"/>
          <w:b/>
          <w:bCs/>
          <w:sz w:val="28"/>
          <w:szCs w:val="28"/>
        </w:rPr>
      </w:pPr>
    </w:p>
    <w:p w14:paraId="54A8DB87" w14:textId="77777777" w:rsidR="00AF017E" w:rsidRDefault="00AF017E">
      <w:pPr>
        <w:tabs>
          <w:tab w:val="left" w:pos="3780"/>
        </w:tabs>
      </w:pPr>
    </w:p>
    <w:p w14:paraId="2431C5F3" w14:textId="77777777" w:rsidR="000D3023" w:rsidRDefault="00B74F1A">
      <w:pPr>
        <w:spacing w:line="276" w:lineRule="auto"/>
      </w:pPr>
      <w:r>
        <w:t xml:space="preserve">                                                                                    </w:t>
      </w:r>
    </w:p>
    <w:p w14:paraId="6CFAA767" w14:textId="7C92BB8B" w:rsidR="00AF017E" w:rsidRDefault="00B74F1A">
      <w:pPr>
        <w:spacing w:line="276" w:lineRule="auto"/>
      </w:pPr>
      <w:r>
        <w:t xml:space="preserve"> </w:t>
      </w:r>
      <w:r>
        <w:rPr>
          <w:rFonts w:ascii="Arial" w:hAnsi="Arial" w:cs="Arial"/>
          <w:sz w:val="40"/>
          <w:szCs w:val="40"/>
        </w:rPr>
        <w:t>Type 2 Diabetes</w:t>
      </w:r>
      <w:r>
        <w:rPr>
          <w:sz w:val="40"/>
          <w:szCs w:val="40"/>
        </w:rPr>
        <w:t xml:space="preserve"> </w:t>
      </w:r>
    </w:p>
    <w:p w14:paraId="66F500B1" w14:textId="77777777" w:rsidR="00AF017E" w:rsidRDefault="00AF017E">
      <w:pPr>
        <w:tabs>
          <w:tab w:val="left" w:pos="3780"/>
        </w:tabs>
      </w:pPr>
    </w:p>
    <w:p w14:paraId="60288441" w14:textId="77777777" w:rsidR="00AF017E" w:rsidRDefault="00B74F1A">
      <w:pPr>
        <w:spacing w:line="276" w:lineRule="auto"/>
        <w:rPr>
          <w:sz w:val="32"/>
          <w:szCs w:val="32"/>
        </w:rPr>
      </w:pPr>
      <w:r>
        <w:rPr>
          <w:sz w:val="32"/>
          <w:szCs w:val="32"/>
        </w:rPr>
        <w:t xml:space="preserve">Introduction </w:t>
      </w:r>
    </w:p>
    <w:p w14:paraId="0D66986B" w14:textId="77777777" w:rsidR="00AF017E" w:rsidRDefault="00B74F1A">
      <w:pPr>
        <w:spacing w:line="276" w:lineRule="auto"/>
        <w:rPr>
          <w:rFonts w:ascii="Arial" w:hAnsi="Arial" w:cs="Arial"/>
        </w:rPr>
      </w:pPr>
      <w:r>
        <w:rPr>
          <w:rFonts w:ascii="Arial" w:hAnsi="Arial" w:cs="Arial"/>
        </w:rPr>
        <w:t xml:space="preserve">type 2 diabetes is a chronic disease characterised by high levels of glucose in the blood due to insulin resistance or insufficient insulin production by the pancreas. Insulin is essential for allowing glucose to enter cells and be used for energy; therefore, when its function is impaired, blood sugar levels rise and lead to multiple complications. </w:t>
      </w:r>
    </w:p>
    <w:p w14:paraId="33F1FC71" w14:textId="77777777" w:rsidR="00AF017E" w:rsidRDefault="00B74F1A">
      <w:pPr>
        <w:spacing w:line="276" w:lineRule="auto"/>
      </w:pPr>
      <w:r>
        <w:rPr>
          <w:b/>
          <w:bCs/>
          <w:sz w:val="28"/>
          <w:szCs w:val="28"/>
        </w:rPr>
        <w:t>Sing and symptoms</w:t>
      </w:r>
      <w:r>
        <w:t xml:space="preserve">: </w:t>
      </w:r>
      <w:r>
        <w:rPr>
          <w:rFonts w:ascii="Arial" w:hAnsi="Arial" w:cs="Arial"/>
        </w:rPr>
        <w:t>The most common signs and symptoms include increased thirst, frequent urination, fatigue, blurred vision and unintentional weight loss.</w:t>
      </w:r>
      <w:r>
        <w:t xml:space="preserve"> </w:t>
      </w:r>
    </w:p>
    <w:p w14:paraId="656E3E09" w14:textId="77777777" w:rsidR="00AF017E" w:rsidRDefault="00B74F1A">
      <w:pPr>
        <w:spacing w:line="276" w:lineRule="auto"/>
      </w:pPr>
      <w:r>
        <w:rPr>
          <w:b/>
          <w:bCs/>
          <w:sz w:val="24"/>
          <w:szCs w:val="24"/>
        </w:rPr>
        <w:t xml:space="preserve">Level of incident that demonstrate the severity of health issue: </w:t>
      </w:r>
      <w:r>
        <w:rPr>
          <w:rFonts w:ascii="Arial" w:hAnsi="Arial" w:cs="Arial"/>
          <w:sz w:val="24"/>
          <w:szCs w:val="24"/>
        </w:rPr>
        <w:t>In</w:t>
      </w:r>
      <w:r>
        <w:rPr>
          <w:rFonts w:ascii="Arial" w:hAnsi="Arial" w:cs="Arial"/>
        </w:rPr>
        <w:t xml:space="preserve"> many cases, the disease progresses slowly and can go unnoticed for years. Type 2 diabetes is a significant public health problem worldwide. According to international statistics, it affects more than 460 million people globally, while in the United Kingdom an estimated 4.3 million people live with this condition. These figures demonstrate the severity and continuous rise of this health issue.</w:t>
      </w:r>
    </w:p>
    <w:p w14:paraId="514EC7F2" w14:textId="77777777" w:rsidR="00AF017E" w:rsidRDefault="00B74F1A">
      <w:pPr>
        <w:pageBreakBefore/>
        <w:tabs>
          <w:tab w:val="left" w:pos="3780"/>
        </w:tabs>
        <w:rPr>
          <w:b/>
          <w:bCs/>
          <w:sz w:val="32"/>
          <w:szCs w:val="32"/>
        </w:rPr>
      </w:pPr>
      <w:r>
        <w:rPr>
          <w:b/>
          <w:bCs/>
          <w:sz w:val="32"/>
          <w:szCs w:val="32"/>
        </w:rPr>
        <w:lastRenderedPageBreak/>
        <w:t xml:space="preserve">Main body </w:t>
      </w:r>
    </w:p>
    <w:bookmarkEnd w:id="0"/>
    <w:p w14:paraId="56595F3C" w14:textId="77777777" w:rsidR="00AF017E" w:rsidRDefault="00B74F1A">
      <w:pPr>
        <w:rPr>
          <w:b/>
          <w:bCs/>
        </w:rPr>
      </w:pPr>
      <w:r>
        <w:rPr>
          <w:b/>
          <w:bCs/>
        </w:rPr>
        <w:t>Consequences of Type 2 Diabetes for the Community and the NHS</w:t>
      </w:r>
    </w:p>
    <w:p w14:paraId="3DA77636" w14:textId="77777777" w:rsidR="00AF017E" w:rsidRDefault="00B74F1A">
      <w:pPr>
        <w:rPr>
          <w:rFonts w:ascii="Arial" w:hAnsi="Arial" w:cs="Arial"/>
        </w:rPr>
      </w:pPr>
      <w:r>
        <w:rPr>
          <w:rFonts w:ascii="Arial" w:hAnsi="Arial" w:cs="Arial"/>
        </w:rPr>
        <w:t>Type 2 diabetes has a profound impact on both the community and healthcare services, especially the NHS. At the community level, this disease affects the quality of life of the individuals who live with it. People may experience physical limitations due to symptoms, complications and the ongoing treatment they require. This can influence their ability to carry out daily activities, work, or participate fully in social life. In addition, complications such as cardiovascular disease, kidney damage or vision problems can lead to long-term disabilities that affect not only the patient but also their families and carers, who often must take on greater responsibilities</w:t>
      </w:r>
    </w:p>
    <w:p w14:paraId="5C6EC14B" w14:textId="77777777" w:rsidR="00AF017E" w:rsidRDefault="00B74F1A">
      <w:pPr>
        <w:rPr>
          <w:b/>
          <w:bCs/>
        </w:rPr>
      </w:pPr>
      <w:r>
        <w:rPr>
          <w:b/>
          <w:bCs/>
        </w:rPr>
        <w:t>How this disease is controlled</w:t>
      </w:r>
    </w:p>
    <w:p w14:paraId="1FFA459F" w14:textId="77777777" w:rsidR="00AF017E" w:rsidRDefault="00B74F1A">
      <w:pPr>
        <w:rPr>
          <w:rFonts w:ascii="Arial" w:hAnsi="Arial" w:cs="Arial"/>
        </w:rPr>
      </w:pPr>
      <w:r>
        <w:rPr>
          <w:rFonts w:ascii="Arial" w:hAnsi="Arial" w:cs="Arial"/>
        </w:rPr>
        <w:t>If you have type 2 diabetes or have been told that you may get it in the future (</w:t>
      </w:r>
      <w:proofErr w:type="spellStart"/>
      <w:r>
        <w:rPr>
          <w:rFonts w:ascii="Arial" w:hAnsi="Arial" w:cs="Arial"/>
        </w:rPr>
        <w:t>prediabetes</w:t>
      </w:r>
      <w:proofErr w:type="spellEnd"/>
      <w:r>
        <w:rPr>
          <w:rFonts w:ascii="Arial" w:hAnsi="Arial" w:cs="Arial"/>
        </w:rPr>
        <w:t>), lifestyle changes can help lower your blood glucose (sugar) levels. This can help to manage diabetes and possibly avoid having to take medicine.</w:t>
      </w:r>
    </w:p>
    <w:p w14:paraId="5F4DA366" w14:textId="77777777" w:rsidR="00AF017E" w:rsidRDefault="00B74F1A">
      <w:pPr>
        <w:rPr>
          <w:rFonts w:ascii="Arial" w:hAnsi="Arial" w:cs="Arial"/>
        </w:rPr>
      </w:pPr>
      <w:r>
        <w:rPr>
          <w:rFonts w:ascii="Arial" w:hAnsi="Arial" w:cs="Arial"/>
        </w:rPr>
        <w:t>Lifestyle changes can sometimes lower your blood glucose to a normal level and stop diabetes (remission).</w:t>
      </w:r>
    </w:p>
    <w:p w14:paraId="40827A90" w14:textId="77777777" w:rsidR="00AF017E" w:rsidRDefault="00B74F1A">
      <w:pPr>
        <w:rPr>
          <w:rFonts w:ascii="Arial" w:hAnsi="Arial" w:cs="Arial"/>
        </w:rPr>
      </w:pPr>
      <w:proofErr w:type="spellStart"/>
      <w:r>
        <w:rPr>
          <w:rFonts w:ascii="Arial" w:hAnsi="Arial" w:cs="Arial"/>
        </w:rPr>
        <w:t>Constand</w:t>
      </w:r>
      <w:proofErr w:type="spellEnd"/>
      <w:r>
        <w:rPr>
          <w:rFonts w:ascii="Arial" w:hAnsi="Arial" w:cs="Arial"/>
        </w:rPr>
        <w:t xml:space="preserve"> need to monitor blood glucose levels-controlled diet and take medication </w:t>
      </w:r>
    </w:p>
    <w:p w14:paraId="68A4BF7A" w14:textId="77777777" w:rsidR="00AF017E" w:rsidRDefault="00B74F1A">
      <w:r>
        <w:rPr>
          <w:b/>
          <w:bCs/>
        </w:rPr>
        <w:t>the factors influencing the health and well-being of people affected by the disease/condition and people around them</w:t>
      </w:r>
    </w:p>
    <w:p w14:paraId="13528B02" w14:textId="77777777" w:rsidR="00AF017E" w:rsidRDefault="00B74F1A">
      <w:pPr>
        <w:rPr>
          <w:rFonts w:ascii="Arial" w:hAnsi="Arial" w:cs="Arial"/>
        </w:rPr>
      </w:pPr>
      <w:r>
        <w:rPr>
          <w:rFonts w:ascii="Arial" w:hAnsi="Arial" w:cs="Arial"/>
        </w:rPr>
        <w:t>Many different factors influence the health and well-being of people affected by type 2 diabetes. One of the most significant is lifestyle. Poor dietary habits, physical inactivity and smoking can worsen the condition and increase the risk of complications. Individuals who struggle to maintain a healthy lifestyle often find it more difficult to control their blood sugar levels, which in turn affects their physical and emotional well-being</w:t>
      </w:r>
    </w:p>
    <w:p w14:paraId="60AB7D7A" w14:textId="77777777" w:rsidR="00AF017E" w:rsidRDefault="00B74F1A">
      <w:pPr>
        <w:rPr>
          <w:rFonts w:ascii="Arial" w:hAnsi="Arial" w:cs="Arial"/>
        </w:rPr>
      </w:pPr>
      <w:r>
        <w:rPr>
          <w:rFonts w:ascii="Arial" w:hAnsi="Arial" w:cs="Arial"/>
        </w:rPr>
        <w:t>People from lower-income backgrounds may have limited access to healthy food options, safe places for exercise or regular healthcare appointments. This can lead to poorer health outcomes and higher rates of complications. Additionally, cultural beliefs and language barriers can influence how individuals understand and manage their condition. Some communities may have traditional diets that are high in sugar or fat, making lifestyle changes more challenging, Mental health is another key factor. As type 2 diabetes is a long-term condition, it can cause emotional distress. Depression, anxiety and diabetes burnout are common among individuals with this condition. These mental health issues can reduce motivation, making it harder for people to follow treatment plans or maintain healthy habits. Support from healthcare professionals, family and peers is essential to help individuals cope with these emotional challenges.</w:t>
      </w:r>
    </w:p>
    <w:p w14:paraId="2DF9A28A" w14:textId="77777777" w:rsidR="00AF017E" w:rsidRDefault="00B74F1A">
      <w:pPr>
        <w:rPr>
          <w:rFonts w:ascii="Arial" w:hAnsi="Arial" w:cs="Arial"/>
        </w:rPr>
      </w:pPr>
      <w:r>
        <w:rPr>
          <w:rFonts w:ascii="Arial" w:hAnsi="Arial" w:cs="Arial"/>
        </w:rPr>
        <w:t>Genetics also influence the development and progression of type 2 diabetes. Individuals with a family history of the condition are at a higher risk of developing it. While genetics cannot be changed, awareness of this risk factor can encourage earlier screening and lifestyle adjustments to prevent or delay the disease.</w:t>
      </w:r>
    </w:p>
    <w:p w14:paraId="5CDD4D37" w14:textId="77777777" w:rsidR="00AF017E" w:rsidRDefault="00B74F1A">
      <w:pPr>
        <w:rPr>
          <w:rFonts w:ascii="Arial" w:hAnsi="Arial" w:cs="Arial"/>
        </w:rPr>
      </w:pPr>
      <w:r>
        <w:rPr>
          <w:rFonts w:ascii="Arial" w:hAnsi="Arial" w:cs="Arial"/>
        </w:rPr>
        <w:t>Environmental factors such as access to healthcare services, community support programmes and educational resources also shape health outcomes. People who live in areas with strong healthcare systems and supportive community services are more likely to receive early diagnoses and effective treatment. In contrast, those living in more deprived areas may have fewer opportunities for preventive care and diabetes education.</w:t>
      </w:r>
    </w:p>
    <w:p w14:paraId="30E822F4" w14:textId="77777777" w:rsidR="00AF017E" w:rsidRDefault="00B74F1A">
      <w:pPr>
        <w:rPr>
          <w:rFonts w:ascii="Arial" w:hAnsi="Arial" w:cs="Arial"/>
        </w:rPr>
      </w:pPr>
      <w:r>
        <w:rPr>
          <w:rFonts w:ascii="Arial" w:hAnsi="Arial" w:cs="Arial"/>
        </w:rPr>
        <w:lastRenderedPageBreak/>
        <w:t>The well-being of people with type 2 diabetes is also influenced by social support. Family members and friends who provide encouragement and assistance can make a significant difference in a patient’s ability to manage their condition. Support groups and community organisations can also play an important role by offering information, motivation and a sense of belonging. In addition, the presence of other health conditions—such as obesity, hypertension or high cholesterol—can complicate diabetes management. These conditions often require additional medications and lifestyle changes, making treatment more complex. Effective management requires a holistic approach that considers all aspects of a patient’s physical, emotional and social circumstances.</w:t>
      </w:r>
    </w:p>
    <w:p w14:paraId="5491BAAA" w14:textId="77777777" w:rsidR="00AF017E" w:rsidRDefault="00B74F1A">
      <w:pPr>
        <w:rPr>
          <w:b/>
          <w:bCs/>
          <w:sz w:val="32"/>
          <w:szCs w:val="32"/>
        </w:rPr>
      </w:pPr>
      <w:r>
        <w:rPr>
          <w:b/>
          <w:bCs/>
          <w:sz w:val="32"/>
          <w:szCs w:val="32"/>
        </w:rPr>
        <w:t xml:space="preserve">Conclusion </w:t>
      </w:r>
    </w:p>
    <w:p w14:paraId="75B2E54B" w14:textId="77777777" w:rsidR="00AF017E" w:rsidRDefault="00B74F1A">
      <w:pPr>
        <w:rPr>
          <w:rFonts w:ascii="Arial" w:hAnsi="Arial" w:cs="Arial"/>
        </w:rPr>
      </w:pPr>
      <w:r>
        <w:rPr>
          <w:rFonts w:ascii="Arial" w:hAnsi="Arial" w:cs="Arial"/>
        </w:rPr>
        <w:t>Environmental factors such as access to healthcare services, community support programmes and educational resources also shape health outcomes. People who live in areas with strong healthcare systems and supportive community services are more likely to receive early diagnoses and effective treatment. In contrast, those living in more deprived areas may have fewer opportunities for preventive care and diabetes education.</w:t>
      </w:r>
    </w:p>
    <w:p w14:paraId="6B1370C5" w14:textId="77777777" w:rsidR="00AF017E" w:rsidRDefault="00B74F1A">
      <w:pPr>
        <w:rPr>
          <w:rFonts w:ascii="Arial" w:hAnsi="Arial" w:cs="Arial"/>
        </w:rPr>
      </w:pPr>
      <w:r>
        <w:rPr>
          <w:rFonts w:ascii="Arial" w:hAnsi="Arial" w:cs="Arial"/>
        </w:rPr>
        <w:t>The well-being of people with type 2 diabetes is also influenced by social support. Family members and friends who provide encouragement and assistance can make a significant difference in a patient’s ability to manage their condition. Support groups and community organisations can also play an important role by offering information, motivation and a sense of belonging.</w:t>
      </w:r>
    </w:p>
    <w:p w14:paraId="63DA1F70" w14:textId="77777777" w:rsidR="00AF017E" w:rsidRDefault="00B74F1A">
      <w:pPr>
        <w:rPr>
          <w:rFonts w:ascii="Arial" w:hAnsi="Arial" w:cs="Arial"/>
        </w:rPr>
      </w:pPr>
      <w:r>
        <w:rPr>
          <w:rFonts w:ascii="Arial" w:hAnsi="Arial" w:cs="Arial"/>
        </w:rPr>
        <w:t>In addition, the presence of other health conditions—such as obesity, hypertension or high cholesterol—can complicate diabetes management. These conditions often require additional medications and lifestyle changes, making treatment more complex. Effective management requires a holistic approach that considers all aspects of a patient’s physical, emotional and social circumstances.</w:t>
      </w:r>
    </w:p>
    <w:p w14:paraId="41F4FEDA" w14:textId="77777777" w:rsidR="00AF017E" w:rsidRDefault="00B74F1A">
      <w:r>
        <w:rPr>
          <w:b/>
          <w:bCs/>
          <w:sz w:val="32"/>
          <w:szCs w:val="32"/>
        </w:rPr>
        <w:t xml:space="preserve">References </w:t>
      </w:r>
    </w:p>
    <w:p w14:paraId="6EE1D200" w14:textId="77777777" w:rsidR="00AF017E" w:rsidRDefault="00B74F1A">
      <w:pPr>
        <w:pStyle w:val="ListParagraph"/>
        <w:numPr>
          <w:ilvl w:val="0"/>
          <w:numId w:val="1"/>
        </w:numPr>
        <w:rPr>
          <w:rFonts w:ascii="Arial" w:hAnsi="Arial" w:cs="Arial"/>
          <w:sz w:val="22"/>
          <w:szCs w:val="22"/>
        </w:rPr>
      </w:pPr>
      <w:r>
        <w:rPr>
          <w:rFonts w:ascii="Arial" w:hAnsi="Arial" w:cs="Arial"/>
          <w:sz w:val="22"/>
          <w:szCs w:val="22"/>
        </w:rPr>
        <w:t xml:space="preserve">diabetes UK (2025) One in five adults now live with diabetes or </w:t>
      </w:r>
      <w:proofErr w:type="spellStart"/>
      <w:r>
        <w:rPr>
          <w:rFonts w:ascii="Arial" w:hAnsi="Arial" w:cs="Arial"/>
          <w:sz w:val="22"/>
          <w:szCs w:val="22"/>
        </w:rPr>
        <w:t>prediabetes</w:t>
      </w:r>
      <w:proofErr w:type="spellEnd"/>
      <w:r>
        <w:rPr>
          <w:rFonts w:ascii="Arial" w:hAnsi="Arial" w:cs="Arial"/>
          <w:sz w:val="22"/>
          <w:szCs w:val="22"/>
        </w:rPr>
        <w:t xml:space="preserve"> in the UK. Available at: https://www.diabetes.org.uk/about-us/news-and-views/one-five-adults-now-live-diabetes-or-prediabetes-uk (Accessed: 12 December 2025).</w:t>
      </w:r>
    </w:p>
    <w:p w14:paraId="68423DE9" w14:textId="77777777" w:rsidR="00AF017E" w:rsidRDefault="00B74F1A">
      <w:pPr>
        <w:pStyle w:val="ListParagraph"/>
        <w:numPr>
          <w:ilvl w:val="0"/>
          <w:numId w:val="1"/>
        </w:numPr>
        <w:rPr>
          <w:rFonts w:ascii="Arial" w:hAnsi="Arial" w:cs="Arial"/>
          <w:sz w:val="22"/>
          <w:szCs w:val="22"/>
        </w:rPr>
      </w:pPr>
      <w:r>
        <w:rPr>
          <w:rFonts w:ascii="Arial" w:hAnsi="Arial" w:cs="Arial"/>
          <w:sz w:val="22"/>
          <w:szCs w:val="22"/>
        </w:rPr>
        <w:t>GOV.UK (2025) Diabetes profile: statistical commentary, March 2025. Available at: https://www.gov.uk/government/statistics/diabetes-profile-update-march-2025/diabetes-profile-statistical-commentary-march-2025 (Accessed: 12 December 2025).</w:t>
      </w:r>
    </w:p>
    <w:p w14:paraId="504E13D9" w14:textId="77777777" w:rsidR="00AF017E" w:rsidRDefault="00B74F1A">
      <w:pPr>
        <w:pStyle w:val="ListParagraph"/>
        <w:numPr>
          <w:ilvl w:val="0"/>
          <w:numId w:val="1"/>
        </w:numPr>
        <w:rPr>
          <w:rFonts w:ascii="Arial" w:hAnsi="Arial" w:cs="Arial"/>
          <w:sz w:val="22"/>
          <w:szCs w:val="22"/>
        </w:rPr>
      </w:pPr>
      <w:r>
        <w:rPr>
          <w:rFonts w:ascii="Arial" w:hAnsi="Arial" w:cs="Arial"/>
          <w:sz w:val="22"/>
          <w:szCs w:val="22"/>
        </w:rPr>
        <w:t>Office for National Statistics (2024) Risk factors for pre-diabetes and undiagnosed type 2 diabetes in England: 2013 to 2019. Available at: https://www.ons.gov.uk (Accessed: 12 December 2025).</w:t>
      </w:r>
    </w:p>
    <w:p w14:paraId="5E5C3D81" w14:textId="77777777" w:rsidR="00AF017E" w:rsidRDefault="00B74F1A">
      <w:pPr>
        <w:pStyle w:val="ListParagraph"/>
        <w:numPr>
          <w:ilvl w:val="0"/>
          <w:numId w:val="1"/>
        </w:numPr>
      </w:pPr>
      <w:r>
        <w:rPr>
          <w:rFonts w:ascii="Arial" w:hAnsi="Arial" w:cs="Arial"/>
          <w:sz w:val="22"/>
          <w:szCs w:val="22"/>
        </w:rPr>
        <w:t>NHS England (2024) NHS identifies over half a million more people at risk of type 2 diabetes in a year. Available at: https://www.england.nhs.uk/2024/06/nhs-identifies-over-half-a-million-more-people-at-risk-of-type-2-diabetes-in-a-year/ (Accessed: 12 December 2025).</w:t>
      </w:r>
    </w:p>
    <w:sectPr w:rsidR="00AF017E">
      <w:headerReference w:type="default" r:id="rId8"/>
      <w:footerReference w:type="default" r:id="rId9"/>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BEACC0" w14:textId="77777777" w:rsidR="00B74F1A" w:rsidRDefault="00B74F1A">
      <w:pPr>
        <w:spacing w:after="0" w:line="240" w:lineRule="auto"/>
      </w:pPr>
      <w:r>
        <w:separator/>
      </w:r>
    </w:p>
  </w:endnote>
  <w:endnote w:type="continuationSeparator" w:id="0">
    <w:p w14:paraId="73AA82C3" w14:textId="77777777" w:rsidR="00B74F1A" w:rsidRDefault="00B74F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7218CB" w14:textId="77777777" w:rsidR="00B74F1A" w:rsidRDefault="00B74F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53284F" w14:textId="77777777" w:rsidR="00B74F1A" w:rsidRDefault="00B74F1A">
      <w:pPr>
        <w:spacing w:after="0" w:line="240" w:lineRule="auto"/>
      </w:pPr>
      <w:r>
        <w:rPr>
          <w:color w:val="000000"/>
        </w:rPr>
        <w:separator/>
      </w:r>
    </w:p>
  </w:footnote>
  <w:footnote w:type="continuationSeparator" w:id="0">
    <w:p w14:paraId="00A1A81B" w14:textId="77777777" w:rsidR="00B74F1A" w:rsidRDefault="00B74F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623970" w14:textId="77777777" w:rsidR="00B74F1A" w:rsidRDefault="00B74F1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DE1675C"/>
    <w:multiLevelType w:val="multilevel"/>
    <w:tmpl w:val="ED86B20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18754612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017E"/>
    <w:rsid w:val="000D3023"/>
    <w:rsid w:val="0045615E"/>
    <w:rsid w:val="00490930"/>
    <w:rsid w:val="00982D3D"/>
    <w:rsid w:val="00AF017E"/>
    <w:rsid w:val="00B74F1A"/>
    <w:rsid w:val="00BB0F6F"/>
    <w:rsid w:val="00ED382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5786BC8"/>
  <w15:docId w15:val="{C33254B7-4FBF-4F71-AFBC-F4CEEDE28E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254" w:lineRule="auto"/>
    </w:pPr>
    <w:rPr>
      <w:rFonts w:eastAsia="Times New Roman"/>
      <w:kern w:val="0"/>
      <w:sz w:val="22"/>
      <w:szCs w:val="22"/>
      <w:lang w:eastAsia="zh-CN"/>
    </w:rPr>
  </w:style>
  <w:style w:type="paragraph" w:styleId="Heading1">
    <w:name w:val="heading 1"/>
    <w:basedOn w:val="Normal"/>
    <w:next w:val="Normal"/>
    <w:uiPriority w:val="9"/>
    <w:qFormat/>
    <w:pPr>
      <w:keepNext/>
      <w:keepLines/>
      <w:spacing w:before="360" w:after="80" w:line="276" w:lineRule="auto"/>
      <w:outlineLvl w:val="0"/>
    </w:pPr>
    <w:rPr>
      <w:rFonts w:ascii="Aptos Display" w:hAnsi="Aptos Display"/>
      <w:color w:val="0F4761"/>
      <w:kern w:val="3"/>
      <w:sz w:val="40"/>
      <w:szCs w:val="40"/>
      <w:lang w:eastAsia="en-US"/>
    </w:rPr>
  </w:style>
  <w:style w:type="paragraph" w:styleId="Heading2">
    <w:name w:val="heading 2"/>
    <w:basedOn w:val="Normal"/>
    <w:next w:val="Normal"/>
    <w:uiPriority w:val="9"/>
    <w:semiHidden/>
    <w:unhideWhenUsed/>
    <w:qFormat/>
    <w:pPr>
      <w:keepNext/>
      <w:keepLines/>
      <w:spacing w:before="160" w:after="80" w:line="276" w:lineRule="auto"/>
      <w:outlineLvl w:val="1"/>
    </w:pPr>
    <w:rPr>
      <w:rFonts w:ascii="Aptos Display" w:hAnsi="Aptos Display"/>
      <w:color w:val="0F4761"/>
      <w:kern w:val="3"/>
      <w:sz w:val="32"/>
      <w:szCs w:val="32"/>
      <w:lang w:eastAsia="en-US"/>
    </w:rPr>
  </w:style>
  <w:style w:type="paragraph" w:styleId="Heading3">
    <w:name w:val="heading 3"/>
    <w:basedOn w:val="Normal"/>
    <w:next w:val="Normal"/>
    <w:uiPriority w:val="9"/>
    <w:semiHidden/>
    <w:unhideWhenUsed/>
    <w:qFormat/>
    <w:pPr>
      <w:keepNext/>
      <w:keepLines/>
      <w:spacing w:before="160" w:after="80" w:line="276" w:lineRule="auto"/>
      <w:outlineLvl w:val="2"/>
    </w:pPr>
    <w:rPr>
      <w:color w:val="0F4761"/>
      <w:kern w:val="3"/>
      <w:sz w:val="28"/>
      <w:szCs w:val="28"/>
      <w:lang w:eastAsia="en-US"/>
    </w:rPr>
  </w:style>
  <w:style w:type="paragraph" w:styleId="Heading4">
    <w:name w:val="heading 4"/>
    <w:basedOn w:val="Normal"/>
    <w:next w:val="Normal"/>
    <w:uiPriority w:val="9"/>
    <w:semiHidden/>
    <w:unhideWhenUsed/>
    <w:qFormat/>
    <w:pPr>
      <w:keepNext/>
      <w:keepLines/>
      <w:spacing w:before="80" w:after="40" w:line="276" w:lineRule="auto"/>
      <w:outlineLvl w:val="3"/>
    </w:pPr>
    <w:rPr>
      <w:i/>
      <w:iCs/>
      <w:color w:val="0F4761"/>
      <w:kern w:val="3"/>
      <w:sz w:val="24"/>
      <w:szCs w:val="24"/>
      <w:lang w:eastAsia="en-US"/>
    </w:rPr>
  </w:style>
  <w:style w:type="paragraph" w:styleId="Heading5">
    <w:name w:val="heading 5"/>
    <w:basedOn w:val="Normal"/>
    <w:next w:val="Normal"/>
    <w:uiPriority w:val="9"/>
    <w:semiHidden/>
    <w:unhideWhenUsed/>
    <w:qFormat/>
    <w:pPr>
      <w:keepNext/>
      <w:keepLines/>
      <w:spacing w:before="80" w:after="40" w:line="276" w:lineRule="auto"/>
      <w:outlineLvl w:val="4"/>
    </w:pPr>
    <w:rPr>
      <w:color w:val="0F4761"/>
      <w:kern w:val="3"/>
      <w:sz w:val="24"/>
      <w:szCs w:val="24"/>
      <w:lang w:eastAsia="en-US"/>
    </w:rPr>
  </w:style>
  <w:style w:type="paragraph" w:styleId="Heading6">
    <w:name w:val="heading 6"/>
    <w:basedOn w:val="Normal"/>
    <w:next w:val="Normal"/>
    <w:uiPriority w:val="9"/>
    <w:semiHidden/>
    <w:unhideWhenUsed/>
    <w:qFormat/>
    <w:pPr>
      <w:keepNext/>
      <w:keepLines/>
      <w:spacing w:before="40" w:after="0" w:line="276" w:lineRule="auto"/>
      <w:outlineLvl w:val="5"/>
    </w:pPr>
    <w:rPr>
      <w:i/>
      <w:iCs/>
      <w:color w:val="595959"/>
      <w:kern w:val="3"/>
      <w:sz w:val="24"/>
      <w:szCs w:val="24"/>
      <w:lang w:eastAsia="en-US"/>
    </w:rPr>
  </w:style>
  <w:style w:type="paragraph" w:styleId="Heading7">
    <w:name w:val="heading 7"/>
    <w:basedOn w:val="Normal"/>
    <w:next w:val="Normal"/>
    <w:pPr>
      <w:keepNext/>
      <w:keepLines/>
      <w:spacing w:before="40" w:after="0" w:line="276" w:lineRule="auto"/>
      <w:outlineLvl w:val="6"/>
    </w:pPr>
    <w:rPr>
      <w:color w:val="595959"/>
      <w:kern w:val="3"/>
      <w:sz w:val="24"/>
      <w:szCs w:val="24"/>
      <w:lang w:eastAsia="en-US"/>
    </w:rPr>
  </w:style>
  <w:style w:type="paragraph" w:styleId="Heading8">
    <w:name w:val="heading 8"/>
    <w:basedOn w:val="Normal"/>
    <w:next w:val="Normal"/>
    <w:pPr>
      <w:keepNext/>
      <w:keepLines/>
      <w:spacing w:after="0" w:line="276" w:lineRule="auto"/>
      <w:outlineLvl w:val="7"/>
    </w:pPr>
    <w:rPr>
      <w:i/>
      <w:iCs/>
      <w:color w:val="272727"/>
      <w:kern w:val="3"/>
      <w:sz w:val="24"/>
      <w:szCs w:val="24"/>
      <w:lang w:eastAsia="en-US"/>
    </w:rPr>
  </w:style>
  <w:style w:type="paragraph" w:styleId="Heading9">
    <w:name w:val="heading 9"/>
    <w:basedOn w:val="Normal"/>
    <w:next w:val="Normal"/>
    <w:pPr>
      <w:keepNext/>
      <w:keepLines/>
      <w:spacing w:after="0" w:line="276" w:lineRule="auto"/>
      <w:outlineLvl w:val="8"/>
    </w:pPr>
    <w:rPr>
      <w:color w:val="272727"/>
      <w:kern w:val="3"/>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pPr>
    <w:rPr>
      <w:rFonts w:ascii="Aptos Display" w:hAnsi="Aptos Display"/>
      <w:spacing w:val="-10"/>
      <w:kern w:val="3"/>
      <w:sz w:val="56"/>
      <w:szCs w:val="56"/>
      <w:lang w:eastAsia="en-US"/>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pPr>
      <w:spacing w:line="276" w:lineRule="auto"/>
    </w:pPr>
    <w:rPr>
      <w:color w:val="595959"/>
      <w:spacing w:val="15"/>
      <w:kern w:val="3"/>
      <w:sz w:val="28"/>
      <w:szCs w:val="28"/>
      <w:lang w:eastAsia="en-US"/>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line="276" w:lineRule="auto"/>
      <w:jc w:val="center"/>
    </w:pPr>
    <w:rPr>
      <w:rFonts w:eastAsia="Aptos"/>
      <w:i/>
      <w:iCs/>
      <w:color w:val="404040"/>
      <w:kern w:val="3"/>
      <w:sz w:val="24"/>
      <w:szCs w:val="24"/>
      <w:lang w:eastAsia="en-US"/>
    </w:rPr>
  </w:style>
  <w:style w:type="character" w:customStyle="1" w:styleId="QuoteChar">
    <w:name w:val="Quote Char"/>
    <w:basedOn w:val="DefaultParagraphFont"/>
    <w:rPr>
      <w:i/>
      <w:iCs/>
      <w:color w:val="404040"/>
    </w:rPr>
  </w:style>
  <w:style w:type="paragraph" w:styleId="ListParagraph">
    <w:name w:val="List Paragraph"/>
    <w:basedOn w:val="Normal"/>
    <w:pPr>
      <w:spacing w:line="276" w:lineRule="auto"/>
      <w:ind w:left="720"/>
    </w:pPr>
    <w:rPr>
      <w:rFonts w:eastAsia="Aptos"/>
      <w:kern w:val="3"/>
      <w:sz w:val="24"/>
      <w:szCs w:val="24"/>
      <w:lang w:eastAsia="en-US"/>
    </w:r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line="276" w:lineRule="auto"/>
      <w:ind w:left="864" w:right="864"/>
      <w:jc w:val="center"/>
    </w:pPr>
    <w:rPr>
      <w:rFonts w:eastAsia="Aptos"/>
      <w:i/>
      <w:iCs/>
      <w:color w:val="0F4761"/>
      <w:kern w:val="3"/>
      <w:sz w:val="24"/>
      <w:szCs w:val="24"/>
      <w:lang w:eastAsia="en-US"/>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rPr>
      <w:rFonts w:eastAsia="Times New Roman"/>
      <w:kern w:val="0"/>
      <w:sz w:val="22"/>
      <w:szCs w:val="22"/>
      <w:lang w:eastAsia="zh-CN"/>
    </w:rPr>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rPr>
      <w:rFonts w:eastAsia="Times New Roman"/>
      <w:kern w:val="0"/>
      <w:sz w:val="22"/>
      <w:szCs w:val="22"/>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1130</Words>
  <Characters>6446</Characters>
  <Application>Microsoft Office Word</Application>
  <DocSecurity>0</DocSecurity>
  <Lines>53</Lines>
  <Paragraphs>15</Paragraphs>
  <ScaleCrop>false</ScaleCrop>
  <Company/>
  <LinksUpToDate>false</LinksUpToDate>
  <CharactersWithSpaces>7561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paola diaz</dc:creator>
  <dc:description/>
  <cp:lastModifiedBy>paola diaz</cp:lastModifiedBy>
  <cp:revision>2</cp:revision>
  <dcterms:created xsi:type="dcterms:W3CDTF">2025-12-12T20:22:00Z</dcterms:created>
  <dcterms:modified xsi:type="dcterms:W3CDTF">2025-12-12T20:22:00Z</dcterms:modified>
</cp:coreProperties>
</file>