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240EF" w14:textId="0ED95CB1" w:rsidR="0081498B" w:rsidRPr="0081498B" w:rsidRDefault="0081498B" w:rsidP="0081498B">
      <w:pPr>
        <w:jc w:val="center"/>
      </w:pPr>
      <w:r w:rsidRPr="0081498B">
        <w:fldChar w:fldCharType="begin"/>
      </w:r>
      <w:r w:rsidRPr="0081498B">
        <w:instrText xml:space="preserve"> INCLUDEPICTURE "/var/folders/zk/ykclbdd54y15ng1tk0v29_mh0000gn/T/com.microsoft.Word/WebArchiveCopyPasteTempFiles/page1image29788400" \* MERGEFORMATINET </w:instrText>
      </w:r>
      <w:r w:rsidRPr="0081498B">
        <w:fldChar w:fldCharType="separate"/>
      </w:r>
      <w:r w:rsidRPr="0081498B">
        <w:rPr>
          <w:noProof/>
        </w:rPr>
        <w:drawing>
          <wp:inline distT="0" distB="0" distL="0" distR="0" wp14:anchorId="0B59042F" wp14:editId="7D7BBB9C">
            <wp:extent cx="3517900" cy="1398270"/>
            <wp:effectExtent l="0" t="0" r="0" b="0"/>
            <wp:docPr id="1" name="Picture 1" descr="page1image29788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97884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17900" cy="1398270"/>
                    </a:xfrm>
                    <a:prstGeom prst="rect">
                      <a:avLst/>
                    </a:prstGeom>
                    <a:noFill/>
                    <a:ln>
                      <a:noFill/>
                    </a:ln>
                  </pic:spPr>
                </pic:pic>
              </a:graphicData>
            </a:graphic>
          </wp:inline>
        </w:drawing>
      </w:r>
      <w:r w:rsidRPr="0081498B">
        <w:fldChar w:fldCharType="end"/>
      </w:r>
    </w:p>
    <w:p w14:paraId="6C7B982D" w14:textId="77777777" w:rsidR="0081498B" w:rsidRDefault="0081498B" w:rsidP="00714C13">
      <w:pPr>
        <w:pStyle w:val="NormalWeb"/>
        <w:jc w:val="center"/>
        <w:rPr>
          <w:rFonts w:asciiTheme="majorHAnsi" w:hAnsiTheme="majorHAnsi" w:cstheme="majorHAnsi"/>
          <w:u w:val="single"/>
        </w:rPr>
      </w:pPr>
    </w:p>
    <w:p w14:paraId="6127D9A6" w14:textId="2CE1249B" w:rsidR="0081498B" w:rsidRPr="005147A3" w:rsidRDefault="00714C13" w:rsidP="0081498B">
      <w:pPr>
        <w:pStyle w:val="Heading1"/>
        <w:spacing w:before="0"/>
        <w:rPr>
          <w:rFonts w:ascii="Segoe UI Historic" w:hAnsi="Segoe UI Historic" w:cs="Segoe UI Historic"/>
          <w:color w:val="000000" w:themeColor="text1"/>
          <w:sz w:val="24"/>
          <w:szCs w:val="24"/>
        </w:rPr>
      </w:pPr>
      <w:r w:rsidRPr="005147A3">
        <w:rPr>
          <w:rFonts w:ascii="Segoe UI Historic" w:hAnsi="Segoe UI Historic" w:cs="Segoe UI Historic"/>
          <w:color w:val="000000" w:themeColor="text1"/>
          <w:sz w:val="24"/>
          <w:szCs w:val="24"/>
          <w:u w:val="single"/>
        </w:rPr>
        <w:t>Module Code:</w:t>
      </w:r>
      <w:r w:rsidR="0081498B" w:rsidRPr="005147A3">
        <w:rPr>
          <w:rFonts w:ascii="Segoe UI Historic" w:hAnsi="Segoe UI Historic" w:cs="Segoe UI Historic"/>
          <w:color w:val="000000" w:themeColor="text1"/>
          <w:sz w:val="24"/>
          <w:szCs w:val="24"/>
        </w:rPr>
        <w:t xml:space="preserve"> ECAD6016-C</w:t>
      </w:r>
    </w:p>
    <w:p w14:paraId="46E3B433" w14:textId="50D595D0" w:rsidR="00714C13" w:rsidRPr="005147A3" w:rsidRDefault="00714C13" w:rsidP="0081498B">
      <w:pPr>
        <w:pStyle w:val="NormalWeb"/>
        <w:rPr>
          <w:rFonts w:ascii="Segoe UI Historic" w:hAnsi="Segoe UI Historic" w:cs="Segoe UI Historic"/>
          <w:u w:val="single"/>
        </w:rPr>
      </w:pPr>
    </w:p>
    <w:p w14:paraId="1E9E758B" w14:textId="79A54F3B" w:rsidR="00714C13" w:rsidRPr="005147A3" w:rsidRDefault="00714C13" w:rsidP="00714C13">
      <w:pPr>
        <w:pStyle w:val="NormalWeb"/>
        <w:jc w:val="center"/>
        <w:rPr>
          <w:rFonts w:ascii="Segoe UI Historic" w:hAnsi="Segoe UI Historic" w:cs="Segoe UI Historic"/>
          <w:u w:val="single"/>
        </w:rPr>
      </w:pPr>
      <w:r w:rsidRPr="005147A3">
        <w:rPr>
          <w:rFonts w:ascii="Segoe UI Historic" w:hAnsi="Segoe UI Historic" w:cs="Segoe UI Historic"/>
          <w:u w:val="single"/>
        </w:rPr>
        <w:t>Assignment Title: A Critical Evaluation of the Development of a Strategic Target in a School Development Plan: Actions, Impact, and Evidence-Based Reflection</w:t>
      </w:r>
    </w:p>
    <w:p w14:paraId="7E01EB45" w14:textId="55DD8504" w:rsidR="00F442A2" w:rsidRPr="005147A3" w:rsidRDefault="00F442A2" w:rsidP="00714C13">
      <w:pPr>
        <w:spacing w:before="100" w:beforeAutospacing="1" w:after="100" w:afterAutospacing="1"/>
        <w:outlineLvl w:val="1"/>
        <w:rPr>
          <w:rFonts w:ascii="Segoe UI Historic" w:hAnsi="Segoe UI Historic" w:cs="Segoe UI Historic"/>
          <w:b/>
          <w:bCs/>
          <w:color w:val="000000" w:themeColor="text1"/>
          <w:u w:val="single"/>
        </w:rPr>
      </w:pPr>
      <w:r w:rsidRPr="005147A3">
        <w:rPr>
          <w:rFonts w:ascii="Segoe UI Historic" w:hAnsi="Segoe UI Historic" w:cs="Segoe UI Historic"/>
          <w:b/>
          <w:bCs/>
          <w:color w:val="000000" w:themeColor="text1"/>
          <w:u w:val="single"/>
        </w:rPr>
        <w:t>Critically Evaluating the Development of Diversity within the School</w:t>
      </w:r>
    </w:p>
    <w:p w14:paraId="2E44CA96" w14:textId="70645075" w:rsidR="00714C13" w:rsidRPr="005147A3" w:rsidRDefault="00714C13" w:rsidP="00714C13">
      <w:pPr>
        <w:spacing w:before="100" w:beforeAutospacing="1" w:after="100" w:afterAutospacing="1"/>
        <w:outlineLvl w:val="1"/>
        <w:rPr>
          <w:rFonts w:ascii="Segoe UI Historic" w:hAnsi="Segoe UI Historic" w:cs="Segoe UI Historic"/>
          <w:b/>
          <w:bCs/>
          <w:color w:val="000000" w:themeColor="text1"/>
          <w:u w:val="single"/>
        </w:rPr>
      </w:pPr>
      <w:r w:rsidRPr="005147A3">
        <w:rPr>
          <w:rFonts w:ascii="Segoe UI Historic" w:hAnsi="Segoe UI Historic" w:cs="Segoe UI Historic"/>
          <w:b/>
          <w:bCs/>
          <w:color w:val="000000" w:themeColor="text1"/>
          <w:u w:val="single"/>
        </w:rPr>
        <w:t xml:space="preserve">Student Name: Eleanor Evans. </w:t>
      </w:r>
    </w:p>
    <w:p w14:paraId="536F8406" w14:textId="27B26001" w:rsidR="00714C13" w:rsidRPr="005147A3" w:rsidRDefault="0081498B" w:rsidP="00714C13">
      <w:pPr>
        <w:spacing w:before="100" w:beforeAutospacing="1" w:after="100" w:afterAutospacing="1"/>
        <w:outlineLvl w:val="1"/>
        <w:rPr>
          <w:rFonts w:ascii="Segoe UI Historic" w:hAnsi="Segoe UI Historic" w:cs="Segoe UI Historic"/>
          <w:b/>
          <w:bCs/>
          <w:color w:val="000000" w:themeColor="text1"/>
          <w:u w:val="single"/>
        </w:rPr>
      </w:pPr>
      <w:r w:rsidRPr="005147A3">
        <w:rPr>
          <w:rFonts w:ascii="Segoe UI Historic" w:hAnsi="Segoe UI Historic" w:cs="Segoe UI Historic"/>
          <w:b/>
          <w:bCs/>
          <w:color w:val="000000" w:themeColor="text1"/>
          <w:u w:val="single"/>
        </w:rPr>
        <w:t>Student Number: 2200034</w:t>
      </w:r>
    </w:p>
    <w:p w14:paraId="489B7809" w14:textId="121BFC2A" w:rsidR="0081498B" w:rsidRPr="005147A3" w:rsidRDefault="0081498B" w:rsidP="00714C13">
      <w:pPr>
        <w:spacing w:before="100" w:beforeAutospacing="1" w:after="100" w:afterAutospacing="1"/>
        <w:outlineLvl w:val="1"/>
        <w:rPr>
          <w:rFonts w:ascii="Segoe UI Historic" w:hAnsi="Segoe UI Historic" w:cs="Segoe UI Historic"/>
          <w:b/>
          <w:bCs/>
          <w:color w:val="000000" w:themeColor="text1"/>
          <w:u w:val="single"/>
        </w:rPr>
      </w:pPr>
      <w:r w:rsidRPr="005147A3">
        <w:rPr>
          <w:rFonts w:ascii="Segoe UI Historic" w:hAnsi="Segoe UI Historic" w:cs="Segoe UI Historic"/>
          <w:b/>
          <w:bCs/>
          <w:color w:val="000000" w:themeColor="text1"/>
          <w:u w:val="single"/>
        </w:rPr>
        <w:t xml:space="preserve">AI Acknowledgement </w:t>
      </w:r>
    </w:p>
    <w:p w14:paraId="3D4E25DD" w14:textId="3650E695" w:rsidR="0081498B" w:rsidRPr="00656AB4" w:rsidRDefault="00C3111E" w:rsidP="00656AB4">
      <w:pPr>
        <w:pStyle w:val="ListParagraph"/>
        <w:numPr>
          <w:ilvl w:val="0"/>
          <w:numId w:val="15"/>
        </w:numPr>
        <w:spacing w:before="100" w:beforeAutospacing="1" w:after="100" w:afterAutospacing="1"/>
        <w:outlineLvl w:val="1"/>
        <w:rPr>
          <w:rFonts w:ascii="Segoe UI Historic" w:hAnsi="Segoe UI Historic" w:cs="Segoe UI Historic"/>
          <w:b/>
          <w:bCs/>
          <w:color w:val="000000" w:themeColor="text1"/>
          <w:u w:val="single"/>
        </w:rPr>
      </w:pPr>
      <w:r>
        <w:rPr>
          <w:rFonts w:ascii="Segoe UI Historic" w:hAnsi="Segoe UI Historic" w:cs="Segoe UI Historic"/>
          <w:b/>
          <w:bCs/>
          <w:color w:val="000000" w:themeColor="text1"/>
          <w:u w:val="single"/>
        </w:rPr>
        <w:t xml:space="preserve">Have not been used. </w:t>
      </w:r>
    </w:p>
    <w:p w14:paraId="6C2BEBA4" w14:textId="77777777"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b/>
          <w:bCs/>
        </w:rPr>
        <w:t xml:space="preserve">Targets How you have worked on this </w:t>
      </w:r>
      <w:proofErr w:type="gramStart"/>
      <w:r w:rsidRPr="005147A3">
        <w:rPr>
          <w:rFonts w:ascii="Segoe UI Historic" w:hAnsi="Segoe UI Historic" w:cs="Segoe UI Historic"/>
          <w:b/>
          <w:bCs/>
        </w:rPr>
        <w:t>An</w:t>
      </w:r>
      <w:proofErr w:type="gramEnd"/>
      <w:r w:rsidRPr="005147A3">
        <w:rPr>
          <w:rFonts w:ascii="Segoe UI Historic" w:hAnsi="Segoe UI Historic" w:cs="Segoe UI Historic"/>
          <w:b/>
          <w:bCs/>
        </w:rPr>
        <w:t xml:space="preserve"> example can be found on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972"/>
        <w:gridCol w:w="3969"/>
        <w:gridCol w:w="2075"/>
      </w:tblGrid>
      <w:tr w:rsidR="0081498B" w:rsidRPr="005147A3" w14:paraId="30305B7C" w14:textId="77777777" w:rsidTr="0081498B">
        <w:tc>
          <w:tcPr>
            <w:tcW w:w="297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BFBE0A5" w14:textId="77777777"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b/>
                <w:bCs/>
              </w:rPr>
              <w:t xml:space="preserve">Target 1 – Proofread all written expression. </w:t>
            </w:r>
          </w:p>
        </w:tc>
        <w:tc>
          <w:tcPr>
            <w:tcW w:w="3969"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8E613B3" w14:textId="396BE09B"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Used the read aloud. </w:t>
            </w:r>
          </w:p>
          <w:p w14:paraId="12C2B234" w14:textId="2A24480E"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 Proofread once finished each paragraph. </w:t>
            </w:r>
          </w:p>
          <w:p w14:paraId="523B1EC6" w14:textId="2850F5A0"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Proofread when completed </w:t>
            </w:r>
          </w:p>
          <w:p w14:paraId="41188060" w14:textId="77777777" w:rsidR="0081498B" w:rsidRPr="005147A3" w:rsidRDefault="0081498B" w:rsidP="0081498B">
            <w:pPr>
              <w:pStyle w:val="NormalWeb"/>
              <w:ind w:left="720"/>
              <w:rPr>
                <w:rFonts w:ascii="Segoe UI Historic" w:hAnsi="Segoe UI Historic" w:cs="Segoe UI Historic"/>
              </w:rPr>
            </w:pPr>
            <w:r w:rsidRPr="005147A3">
              <w:rPr>
                <w:rFonts w:ascii="Segoe UI Historic" w:hAnsi="Segoe UI Historic" w:cs="Segoe UI Historic"/>
              </w:rPr>
              <w:t xml:space="preserve">it. </w:t>
            </w:r>
          </w:p>
        </w:tc>
        <w:tc>
          <w:tcPr>
            <w:tcW w:w="2075"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401B2AC" w14:textId="77777777"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Throughout </w:t>
            </w:r>
          </w:p>
        </w:tc>
      </w:tr>
      <w:tr w:rsidR="0081498B" w:rsidRPr="005147A3" w14:paraId="779C9DB8" w14:textId="77777777" w:rsidTr="0081498B">
        <w:tc>
          <w:tcPr>
            <w:tcW w:w="2972"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A326635" w14:textId="77777777"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b/>
                <w:bCs/>
              </w:rPr>
              <w:t xml:space="preserve">Target 2 – Read more widely around your focus and aim to engage critically with the literature. </w:t>
            </w:r>
          </w:p>
        </w:tc>
        <w:tc>
          <w:tcPr>
            <w:tcW w:w="3969"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A87E802" w14:textId="44EBC0E2"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  Used the reading list. </w:t>
            </w:r>
          </w:p>
          <w:p w14:paraId="1ADC45A8" w14:textId="14DA6616"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Used literature throughout. </w:t>
            </w:r>
          </w:p>
          <w:p w14:paraId="0F6908F6" w14:textId="227D5AF9"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Read articles. </w:t>
            </w:r>
          </w:p>
        </w:tc>
        <w:tc>
          <w:tcPr>
            <w:tcW w:w="2075" w:type="dxa"/>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B89916B" w14:textId="77777777" w:rsidR="0081498B" w:rsidRPr="005147A3" w:rsidRDefault="0081498B" w:rsidP="0081498B">
            <w:pPr>
              <w:pStyle w:val="NormalWeb"/>
              <w:rPr>
                <w:rFonts w:ascii="Segoe UI Historic" w:hAnsi="Segoe UI Historic" w:cs="Segoe UI Historic"/>
              </w:rPr>
            </w:pPr>
            <w:r w:rsidRPr="005147A3">
              <w:rPr>
                <w:rFonts w:ascii="Segoe UI Historic" w:hAnsi="Segoe UI Historic" w:cs="Segoe UI Historic"/>
              </w:rPr>
              <w:t xml:space="preserve">Throughout </w:t>
            </w:r>
          </w:p>
        </w:tc>
      </w:tr>
    </w:tbl>
    <w:p w14:paraId="08545E4D" w14:textId="4F7FB313" w:rsidR="0081498B" w:rsidRPr="005147A3" w:rsidRDefault="0081498B" w:rsidP="00714C13">
      <w:pPr>
        <w:spacing w:before="100" w:beforeAutospacing="1" w:after="100" w:afterAutospacing="1"/>
        <w:outlineLvl w:val="1"/>
        <w:rPr>
          <w:rFonts w:ascii="Segoe UI Historic" w:hAnsi="Segoe UI Historic" w:cs="Segoe UI Historic"/>
          <w:b/>
          <w:bCs/>
          <w:color w:val="000000" w:themeColor="text1"/>
          <w:u w:val="single"/>
        </w:rPr>
      </w:pPr>
    </w:p>
    <w:p w14:paraId="30A0E45A" w14:textId="04FF8EEB" w:rsidR="00DA300E" w:rsidRPr="005147A3" w:rsidRDefault="00812843" w:rsidP="009B1235">
      <w:pPr>
        <w:rPr>
          <w:rFonts w:ascii="Segoe UI Historic" w:hAnsi="Segoe UI Historic" w:cs="Segoe UI Historic"/>
          <w:color w:val="0E101A"/>
          <w:u w:val="single"/>
        </w:rPr>
      </w:pPr>
      <w:r w:rsidRPr="005147A3">
        <w:rPr>
          <w:rFonts w:ascii="Segoe UI Historic" w:hAnsi="Segoe UI Historic" w:cs="Segoe UI Historic"/>
          <w:color w:val="0E101A"/>
          <w:u w:val="single"/>
        </w:rPr>
        <w:lastRenderedPageBreak/>
        <w:t>Introduction.</w:t>
      </w:r>
    </w:p>
    <w:p w14:paraId="3DFF867F" w14:textId="5F3DA22C" w:rsidR="006D067F" w:rsidRPr="006D067F" w:rsidRDefault="00D76A5C" w:rsidP="006D067F">
      <w:pPr>
        <w:spacing w:before="100" w:beforeAutospacing="1" w:after="100" w:afterAutospacing="1"/>
        <w:rPr>
          <w:rFonts w:ascii="Segoe UI Historic" w:hAnsi="Segoe UI Historic" w:cs="Segoe UI Historic"/>
          <w:color w:val="000000"/>
        </w:rPr>
      </w:pPr>
      <w:r>
        <w:rPr>
          <w:rFonts w:ascii="Segoe UI Historic" w:hAnsi="Segoe UI Historic" w:cs="Segoe UI Historic"/>
          <w:color w:val="000000"/>
        </w:rPr>
        <w:t>A School Development plan is a strategic plan for improvement</w:t>
      </w:r>
      <w:r w:rsidR="006D067F" w:rsidRPr="006D067F">
        <w:rPr>
          <w:rFonts w:ascii="Segoe UI Historic" w:hAnsi="Segoe UI Historic" w:cs="Segoe UI Historic"/>
          <w:color w:val="000000"/>
        </w:rPr>
        <w:t xml:space="preserve"> that outlines key areas to strengthen overall performance and meet </w:t>
      </w:r>
      <w:r>
        <w:rPr>
          <w:rFonts w:ascii="Segoe UI Historic" w:hAnsi="Segoe UI Historic" w:cs="Segoe UI Historic"/>
          <w:color w:val="000000"/>
        </w:rPr>
        <w:t>learners</w:t>
      </w:r>
      <w:r w:rsidR="006D067F" w:rsidRPr="006D067F">
        <w:rPr>
          <w:rFonts w:ascii="Segoe UI Historic" w:hAnsi="Segoe UI Historic" w:cs="Segoe UI Historic"/>
          <w:color w:val="000000"/>
        </w:rPr>
        <w:t>’ needs</w:t>
      </w:r>
      <w:r w:rsidR="00E771D5">
        <w:rPr>
          <w:rFonts w:ascii="Segoe UI Historic" w:hAnsi="Segoe UI Historic" w:cs="Segoe UI Historic"/>
          <w:color w:val="000000"/>
        </w:rPr>
        <w:t xml:space="preserve"> (Welsh Government, 2014)</w:t>
      </w:r>
      <w:r w:rsidR="006D067F" w:rsidRPr="006D067F">
        <w:rPr>
          <w:rFonts w:ascii="Segoe UI Historic" w:hAnsi="Segoe UI Historic" w:cs="Segoe UI Historic"/>
          <w:color w:val="000000"/>
        </w:rPr>
        <w:t xml:space="preserve">. This assignment critically evaluates one target from the School Development Plan (SDP), focusing on the strategic target of ‘developing diversity within the school’. The target applies to all pupils across the school, aiming to </w:t>
      </w:r>
      <w:r w:rsidR="00383854">
        <w:rPr>
          <w:rFonts w:ascii="Segoe UI Historic" w:hAnsi="Segoe UI Historic" w:cs="Segoe UI Historic"/>
          <w:color w:val="000000"/>
        </w:rPr>
        <w:t xml:space="preserve">further develop </w:t>
      </w:r>
      <w:r w:rsidR="006D067F" w:rsidRPr="006D067F">
        <w:rPr>
          <w:rFonts w:ascii="Segoe UI Historic" w:hAnsi="Segoe UI Historic" w:cs="Segoe UI Historic"/>
          <w:color w:val="000000"/>
        </w:rPr>
        <w:t>a culture of inclusivity and acceptance of diversity throughout the school community (School X, 2024). Research suggests that embedding diversity within the curriculum enhances pupils' sense of belonging, academic outcomes, and social development (Smith et al., 2022).</w:t>
      </w:r>
    </w:p>
    <w:p w14:paraId="0ED78809" w14:textId="77777777"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To maintain confidentiality, this assignment will adhere to the BERA (2024) guidelines and refer to the school as School X. School X is a small village school in South Wales with approximately 250 pupils. 10% of pupils are eligible for free school meals, which is significantly lower than the national average for Wales, which is 22% (Welsh Government, 2023). This context implies that School X experiences fewer socioeconomically challenges than many other Welsh schools, but it also limits pupils’ exposure to cultural diversity outside the classroom.</w:t>
      </w:r>
    </w:p>
    <w:p w14:paraId="5C0AF98E" w14:textId="2C149D8B" w:rsidR="006A7279" w:rsidRDefault="006A7279" w:rsidP="006D067F">
      <w:pPr>
        <w:spacing w:before="100" w:beforeAutospacing="1" w:after="100" w:afterAutospacing="1"/>
        <w:rPr>
          <w:rFonts w:ascii="Segoe UI Historic" w:hAnsi="Segoe UI Historic" w:cs="Segoe UI Historic"/>
          <w:color w:val="000000"/>
        </w:rPr>
      </w:pPr>
    </w:p>
    <w:p w14:paraId="2DECB8FC" w14:textId="5BA9A33E" w:rsidR="006A7279" w:rsidRPr="00121C16" w:rsidRDefault="006A7279" w:rsidP="006D067F">
      <w:pPr>
        <w:spacing w:before="100" w:beforeAutospacing="1" w:after="100" w:afterAutospacing="1"/>
        <w:rPr>
          <w:rFonts w:ascii="Segoe UI Historic" w:hAnsi="Segoe UI Historic" w:cs="Segoe UI Historic"/>
          <w:color w:val="000000"/>
          <w:u w:val="single"/>
        </w:rPr>
      </w:pPr>
      <w:r w:rsidRPr="00121C16">
        <w:rPr>
          <w:rFonts w:ascii="Segoe UI Historic" w:hAnsi="Segoe UI Historic" w:cs="Segoe UI Historic"/>
          <w:color w:val="000000"/>
          <w:u w:val="single"/>
        </w:rPr>
        <w:t>Policy</w:t>
      </w:r>
    </w:p>
    <w:p w14:paraId="7D8A8932" w14:textId="4ED85392"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 xml:space="preserve">Through a planned, evidence-based approach, school development planning seeks to provide ongoing school improvement (Welsh Government, 2014). The School Development Plan (SDP) must consider the changing requirements of pupils, teachers and the larger school community by the guiding principles of the Curriculum for Wales. To meet the high standards for every </w:t>
      </w:r>
      <w:r w:rsidR="0098602C">
        <w:rPr>
          <w:rFonts w:ascii="Segoe UI Historic" w:hAnsi="Segoe UI Historic" w:cs="Segoe UI Historic"/>
          <w:color w:val="000000"/>
        </w:rPr>
        <w:t>child</w:t>
      </w:r>
      <w:r w:rsidRPr="006D067F">
        <w:rPr>
          <w:rFonts w:ascii="Segoe UI Historic" w:hAnsi="Segoe UI Historic" w:cs="Segoe UI Historic"/>
          <w:color w:val="000000"/>
        </w:rPr>
        <w:t xml:space="preserve">, this evaluation process must enhance teaching strategies </w:t>
      </w:r>
      <w:r w:rsidR="009D6DA7">
        <w:rPr>
          <w:rFonts w:ascii="Segoe UI Historic" w:hAnsi="Segoe UI Historic" w:cs="Segoe UI Historic"/>
          <w:color w:val="000000"/>
        </w:rPr>
        <w:t>(</w:t>
      </w:r>
      <w:r w:rsidRPr="006D067F">
        <w:rPr>
          <w:rFonts w:ascii="Segoe UI Historic" w:hAnsi="Segoe UI Historic" w:cs="Segoe UI Historic"/>
          <w:color w:val="000000"/>
        </w:rPr>
        <w:t>Welsh Government</w:t>
      </w:r>
      <w:r w:rsidR="009D6DA7">
        <w:rPr>
          <w:rFonts w:ascii="Segoe UI Historic" w:hAnsi="Segoe UI Historic" w:cs="Segoe UI Historic"/>
          <w:color w:val="000000"/>
        </w:rPr>
        <w:t>,</w:t>
      </w:r>
      <w:r w:rsidRPr="006D067F">
        <w:rPr>
          <w:rFonts w:ascii="Segoe UI Historic" w:hAnsi="Segoe UI Historic" w:cs="Segoe UI Historic"/>
          <w:color w:val="000000"/>
        </w:rPr>
        <w:t>2022). However, the Welsh Government (2014) does not specify a set number of steps, successful SDPs often require an annual plan that includes the following five steps: auditing, strategy setting, action planning, implementation and evaluation. This method provides schools the ability to track pupils' progress and make informed decisions that enhance learning and well-being.</w:t>
      </w:r>
    </w:p>
    <w:p w14:paraId="46BE51C1" w14:textId="33991508"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 xml:space="preserve">To support school improvement, the Welsh Government has established a framework for accountability and evaluation improvement. In order to ensure that all schools deliver effective learning experiences, it provides a strong emphasis on effective self-evaluation, improvement planning and support (Welsh Government, </w:t>
      </w:r>
      <w:r w:rsidR="00B47B6B">
        <w:rPr>
          <w:rFonts w:ascii="Segoe UI Historic" w:hAnsi="Segoe UI Historic" w:cs="Segoe UI Historic"/>
          <w:color w:val="000000"/>
        </w:rPr>
        <w:t>2022</w:t>
      </w:r>
      <w:r w:rsidRPr="006D067F">
        <w:rPr>
          <w:rFonts w:ascii="Segoe UI Historic" w:hAnsi="Segoe UI Historic" w:cs="Segoe UI Historic"/>
          <w:color w:val="000000"/>
        </w:rPr>
        <w:t>.). Efforts to improve schools are likely to lack accountability and guidance without formal policy frameworks in place, which would eventually restrict their long-term impact.</w:t>
      </w:r>
    </w:p>
    <w:p w14:paraId="26E8228F" w14:textId="51F9E5D0"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lastRenderedPageBreak/>
        <w:t>Through frameworks such as the Additional Learning Needs and Education Tribunal (Wales) Act 2018, which provides specialised support for a variety of learning needs,</w:t>
      </w:r>
      <w:r w:rsidR="006B13DD">
        <w:rPr>
          <w:rFonts w:ascii="Segoe UI Historic" w:hAnsi="Segoe UI Historic" w:cs="Segoe UI Historic"/>
          <w:color w:val="000000"/>
        </w:rPr>
        <w:t xml:space="preserve"> </w:t>
      </w:r>
      <w:r w:rsidRPr="006D067F">
        <w:rPr>
          <w:rFonts w:ascii="Segoe UI Historic" w:hAnsi="Segoe UI Historic" w:cs="Segoe UI Historic"/>
          <w:color w:val="000000"/>
        </w:rPr>
        <w:t>policy plays a crucial role in developing inclusive education. Meanwhile, the Curriculum for Wales provides a holistic and inclusive learning environment that supports all learners. In addition, the Anti-racist Wales Action Plan reinforces educational equity by emphasising the use of data and information to enhance learning across the educational system. This strategy aims to improve pupil outcomes and ensure long-term improvement (Welsh Government, 2022).</w:t>
      </w:r>
    </w:p>
    <w:p w14:paraId="6323FA1F" w14:textId="77777777" w:rsidR="00812843" w:rsidRPr="005147A3" w:rsidRDefault="00812843" w:rsidP="006D067F">
      <w:pPr>
        <w:spacing w:before="100" w:beforeAutospacing="1" w:after="100" w:afterAutospacing="1"/>
        <w:rPr>
          <w:rFonts w:ascii="Segoe UI Historic" w:hAnsi="Segoe UI Historic" w:cs="Segoe UI Historic"/>
          <w:color w:val="000000"/>
        </w:rPr>
      </w:pPr>
    </w:p>
    <w:p w14:paraId="7B136AB1" w14:textId="77C9DC86" w:rsidR="00812843" w:rsidRPr="005147A3" w:rsidRDefault="00812843" w:rsidP="006D067F">
      <w:pPr>
        <w:spacing w:before="100" w:beforeAutospacing="1" w:after="100" w:afterAutospacing="1"/>
        <w:rPr>
          <w:rFonts w:ascii="Segoe UI Historic" w:hAnsi="Segoe UI Historic" w:cs="Segoe UI Historic"/>
          <w:color w:val="000000"/>
          <w:u w:val="single"/>
        </w:rPr>
      </w:pPr>
      <w:r w:rsidRPr="005147A3">
        <w:rPr>
          <w:rFonts w:ascii="Segoe UI Historic" w:hAnsi="Segoe UI Historic" w:cs="Segoe UI Historic"/>
          <w:color w:val="000000"/>
          <w:u w:val="single"/>
        </w:rPr>
        <w:t xml:space="preserve">Literature Review. </w:t>
      </w:r>
    </w:p>
    <w:p w14:paraId="5571F77D" w14:textId="21E18124"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It is crucial to create an inclusive learning environment in schools. However, several challenges stand in the way of diversity’s successful implementation. According to Sharma (2025), staff members are often reluctant to integrate new procedures because schools find change to be challenging. Furthermore, according to research by Devine and Ash (2021), many schools struggle to implement diversity-promoting programs because they require a lot of money and resources that may not be available. Staff members may find it challenging to teach a variety of subjects and guarantee that pupils understand equity and inclusion as a result of these challenges.</w:t>
      </w:r>
    </w:p>
    <w:p w14:paraId="10306070" w14:textId="64229402"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 xml:space="preserve">Different attitudes between staff and pupils can also create a barrier. This implies that teachers can choose to avoid teaching diverse lessons assuming that they are not trained to acknowledge their own biases (Nelson, 2016). The lack of resources is another major problem. Similarly, Lumby and Coleman (2016) argue that many different programs need a lot of money and </w:t>
      </w:r>
      <w:r w:rsidR="007D29A3">
        <w:rPr>
          <w:rFonts w:ascii="Segoe UI Historic" w:hAnsi="Segoe UI Historic" w:cs="Segoe UI Historic"/>
          <w:color w:val="000000"/>
        </w:rPr>
        <w:t>resources</w:t>
      </w:r>
      <w:r w:rsidRPr="006D067F">
        <w:rPr>
          <w:rFonts w:ascii="Segoe UI Historic" w:hAnsi="Segoe UI Historic" w:cs="Segoe UI Historic"/>
          <w:color w:val="000000"/>
        </w:rPr>
        <w:t>, which are not always available. Insufficient funding makes it difficult for schools to offer valuable training materials and represent a range of perspectives. This is supported by findings in School X where all staff questionnaires revealed gaps in diversity awareness, with results showing low staff confidence in resolving racist situations and a lack of knowledge of protected characteristics. These internal limitations further hinder effective implementation of inclusive practices.</w:t>
      </w:r>
      <w:r w:rsidR="0066468D">
        <w:rPr>
          <w:rFonts w:ascii="Segoe UI Historic" w:hAnsi="Segoe UI Historic" w:cs="Segoe UI Historic"/>
          <w:color w:val="000000"/>
        </w:rPr>
        <w:t xml:space="preserve"> </w:t>
      </w:r>
    </w:p>
    <w:p w14:paraId="2AF05CFD" w14:textId="7AA8904A"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 xml:space="preserve">Implicit bias and curricular gaps also lead to limitations. Teachers may avoid teaching a variety of subjects if they are not prepared or lack the confidence to engage in discussions about race, identity or inequality (Brownlee et al., 2022). Additionally, </w:t>
      </w:r>
      <w:r w:rsidR="00490D42">
        <w:rPr>
          <w:rFonts w:ascii="Segoe UI Historic" w:hAnsi="Segoe UI Historic" w:cs="Segoe UI Historic"/>
          <w:color w:val="000000"/>
        </w:rPr>
        <w:t>students</w:t>
      </w:r>
      <w:r w:rsidRPr="006D067F">
        <w:rPr>
          <w:rFonts w:ascii="Segoe UI Historic" w:hAnsi="Segoe UI Historic" w:cs="Segoe UI Historic"/>
          <w:color w:val="000000"/>
        </w:rPr>
        <w:t xml:space="preserve">’ exposure to inclusive narratives is limited by curricular gaps, which frequently fail to represent multiple histories, cultures and identities. According to Professor Charlotte Williams’ 2021 report, “Black, Asian and Minority Ethnic Communities, Contributions and </w:t>
      </w:r>
      <w:proofErr w:type="spellStart"/>
      <w:r w:rsidRPr="006D067F">
        <w:rPr>
          <w:rFonts w:ascii="Segoe UI Historic" w:hAnsi="Segoe UI Historic" w:cs="Segoe UI Historic"/>
          <w:color w:val="000000"/>
        </w:rPr>
        <w:t>Cynefin</w:t>
      </w:r>
      <w:proofErr w:type="spellEnd"/>
      <w:r w:rsidRPr="006D067F">
        <w:rPr>
          <w:rFonts w:ascii="Segoe UI Historic" w:hAnsi="Segoe UI Historic" w:cs="Segoe UI Historic"/>
          <w:color w:val="000000"/>
        </w:rPr>
        <w:t xml:space="preserve"> in the Curriculum Working Group,” curriculum gaps avoid Wales’ multicultural identity and varied histories while excluding minority communities. According to Banks (2009), the absence of diverse </w:t>
      </w:r>
      <w:r w:rsidRPr="006D067F">
        <w:rPr>
          <w:rFonts w:ascii="Segoe UI Historic" w:hAnsi="Segoe UI Historic" w:cs="Segoe UI Historic"/>
          <w:color w:val="000000"/>
        </w:rPr>
        <w:lastRenderedPageBreak/>
        <w:t>role models in the curriculum can further exclude diverse groups and reinforce a limited cultural perspective in educational settings.</w:t>
      </w:r>
    </w:p>
    <w:p w14:paraId="622C2781" w14:textId="77777777"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Banks (2009) emphasises that multicultural education requires inclusive education across the curriculum teaching and school culture. Loader and Hughes (2017) support this by stating that embedding diversity into the curriculum enhances social cohesion, academic performance, and pupil involvement. Literature by Brownlee et al. (2022), states that classroom relationships and learning outcomes improve when teachers actively support pupils reasoning about social inclusion because it promotes greater acceptance and understanding.</w:t>
      </w:r>
    </w:p>
    <w:p w14:paraId="07C54AA8" w14:textId="66D9BE2D" w:rsidR="006D067F" w:rsidRPr="006D067F" w:rsidRDefault="006D067F" w:rsidP="006D067F">
      <w:pPr>
        <w:spacing w:before="100" w:beforeAutospacing="1" w:after="100" w:afterAutospacing="1"/>
        <w:rPr>
          <w:rFonts w:ascii="Segoe UI Historic" w:hAnsi="Segoe UI Historic" w:cs="Segoe UI Historic"/>
          <w:color w:val="000000"/>
        </w:rPr>
      </w:pPr>
      <w:r w:rsidRPr="006D067F">
        <w:rPr>
          <w:rFonts w:ascii="Segoe UI Historic" w:hAnsi="Segoe UI Historic" w:cs="Segoe UI Historic"/>
          <w:color w:val="000000"/>
        </w:rPr>
        <w:t xml:space="preserve">Incorporating diversity into education requires thoughtful, evidence-based approaches. These may take the form of targeted initiatives like diversity-themed assemblies and guest speakers, as well as weaving inclusive perspectives across the curriculum so that diversity is not confined to isolated lessons but embedded throughout learning. The Curriculum for Wales actively promotes inclusive effective teaching practices. The curriculum sets a strong emphasis on equity, acknowledging each </w:t>
      </w:r>
      <w:r w:rsidR="0079280F">
        <w:rPr>
          <w:rFonts w:ascii="Segoe UI Historic" w:hAnsi="Segoe UI Historic" w:cs="Segoe UI Historic"/>
          <w:color w:val="000000"/>
        </w:rPr>
        <w:t>childs</w:t>
      </w:r>
      <w:r w:rsidRPr="006D067F">
        <w:rPr>
          <w:rFonts w:ascii="Segoe UI Historic" w:hAnsi="Segoe UI Historic" w:cs="Segoe UI Historic"/>
          <w:color w:val="000000"/>
        </w:rPr>
        <w:t xml:space="preserve"> unique identity and making sure that their experiences and backgrounds are represented in their education, according to the Welsh Government (2021).</w:t>
      </w:r>
      <w:r w:rsidR="0045697D">
        <w:rPr>
          <w:rFonts w:ascii="Segoe UI Historic" w:hAnsi="Segoe UI Historic" w:cs="Segoe UI Historic"/>
          <w:color w:val="000000"/>
        </w:rPr>
        <w:t xml:space="preserve"> </w:t>
      </w:r>
      <w:r w:rsidRPr="006D067F">
        <w:rPr>
          <w:rFonts w:ascii="Segoe UI Historic" w:hAnsi="Segoe UI Historic" w:cs="Segoe UI Historic"/>
          <w:color w:val="000000"/>
        </w:rPr>
        <w:t>Nelson (2016) supports this by stating how important professional development is in providing educators with the tools and confidence they need to engage with a variety of related topics.</w:t>
      </w:r>
    </w:p>
    <w:p w14:paraId="496A8750" w14:textId="77777777" w:rsidR="00494DEF" w:rsidRPr="005147A3" w:rsidRDefault="00494DEF" w:rsidP="00AB54CC">
      <w:pPr>
        <w:rPr>
          <w:rFonts w:ascii="Segoe UI Historic" w:hAnsi="Segoe UI Historic" w:cs="Segoe UI Historic"/>
          <w:color w:val="000000" w:themeColor="text1"/>
        </w:rPr>
      </w:pPr>
    </w:p>
    <w:p w14:paraId="16D5E2CE" w14:textId="77777777" w:rsidR="00494DEF" w:rsidRPr="005147A3" w:rsidRDefault="00494DEF" w:rsidP="00AB54CC">
      <w:pPr>
        <w:rPr>
          <w:rFonts w:ascii="Segoe UI Historic" w:hAnsi="Segoe UI Historic" w:cs="Segoe UI Historic"/>
          <w:color w:val="000000" w:themeColor="text1"/>
        </w:rPr>
      </w:pPr>
    </w:p>
    <w:p w14:paraId="266AAB0A" w14:textId="26DF287D" w:rsidR="00494DEF" w:rsidRPr="005147A3" w:rsidRDefault="00132933" w:rsidP="00AB54CC">
      <w:pPr>
        <w:rPr>
          <w:rFonts w:ascii="Segoe UI Historic" w:hAnsi="Segoe UI Historic" w:cs="Segoe UI Historic"/>
          <w:color w:val="000000" w:themeColor="text1"/>
          <w:u w:val="single"/>
        </w:rPr>
      </w:pPr>
      <w:r w:rsidRPr="005147A3">
        <w:rPr>
          <w:rFonts w:ascii="Segoe UI Historic" w:hAnsi="Segoe UI Historic" w:cs="Segoe UI Historic"/>
          <w:color w:val="000000" w:themeColor="text1"/>
          <w:u w:val="single"/>
        </w:rPr>
        <w:t xml:space="preserve">Developing and Action Point, Reflection and Evaluation. </w:t>
      </w:r>
    </w:p>
    <w:p w14:paraId="3DF13109" w14:textId="77777777" w:rsidR="00132933" w:rsidRPr="005147A3" w:rsidRDefault="00132933" w:rsidP="00AB54CC">
      <w:pPr>
        <w:rPr>
          <w:rFonts w:ascii="Segoe UI Historic" w:hAnsi="Segoe UI Historic" w:cs="Segoe UI Historic"/>
          <w:color w:val="000000" w:themeColor="text1"/>
        </w:rPr>
      </w:pPr>
    </w:p>
    <w:p w14:paraId="65306CEE" w14:textId="5A20F8AF"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 xml:space="preserve">Promoting diversity at School X is a strategic target that aligns with both local stakeholders and National Government Policy (OECD, 2023). However, School X faces several challenges due to the lack of diversity in the catchment area, including staff members who lack confidence in inclusive practices, comments from stakeholders and limited exposure to cultural diversity. </w:t>
      </w:r>
    </w:p>
    <w:p w14:paraId="0DCFDF8C" w14:textId="77777777" w:rsidR="00494DEF" w:rsidRPr="005147A3" w:rsidRDefault="00494DEF" w:rsidP="00AB54CC">
      <w:pPr>
        <w:rPr>
          <w:rFonts w:ascii="Segoe UI Historic" w:hAnsi="Segoe UI Historic" w:cs="Segoe UI Historic"/>
          <w:color w:val="000000" w:themeColor="text1"/>
        </w:rPr>
      </w:pPr>
    </w:p>
    <w:p w14:paraId="7ABFC5B6" w14:textId="77777777"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 xml:space="preserve">The Welsh Government's Anti-racist Wales Action Plan (2022) reinforces the importance of embedding equity and inclusion in all educational settings. This aligns with Gillborn (2008) and </w:t>
      </w:r>
      <w:proofErr w:type="spellStart"/>
      <w:r w:rsidRPr="005147A3">
        <w:rPr>
          <w:rFonts w:ascii="Segoe UI Historic" w:hAnsi="Segoe UI Historic" w:cs="Segoe UI Historic"/>
          <w:color w:val="000000" w:themeColor="text1"/>
        </w:rPr>
        <w:t>Landson</w:t>
      </w:r>
      <w:proofErr w:type="spellEnd"/>
      <w:r w:rsidRPr="005147A3">
        <w:rPr>
          <w:rFonts w:ascii="Segoe UI Historic" w:hAnsi="Segoe UI Historic" w:cs="Segoe UI Historic"/>
          <w:color w:val="000000" w:themeColor="text1"/>
        </w:rPr>
        <w:t xml:space="preserve">-Billings (2021) that highlight a simplistic approach to diversity might reinforce stereotypes rather than remove them. Teachers also play a crucial role in meaningfully integrating diversity into the curriculum. </w:t>
      </w:r>
    </w:p>
    <w:p w14:paraId="2A10DEBD" w14:textId="77777777" w:rsidR="00494DEF" w:rsidRPr="005147A3" w:rsidRDefault="00494DEF" w:rsidP="00AB54CC">
      <w:pPr>
        <w:rPr>
          <w:rFonts w:ascii="Segoe UI Historic" w:hAnsi="Segoe UI Historic" w:cs="Segoe UI Historic"/>
          <w:color w:val="000000" w:themeColor="text1"/>
        </w:rPr>
      </w:pPr>
    </w:p>
    <w:p w14:paraId="643DC9CE" w14:textId="52567FFB"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 xml:space="preserve">To fulfil the School Development Plan target of incorporating diversity into education, I </w:t>
      </w:r>
      <w:r w:rsidR="00450220">
        <w:rPr>
          <w:rFonts w:ascii="Segoe UI Historic" w:hAnsi="Segoe UI Historic" w:cs="Segoe UI Historic"/>
          <w:color w:val="000000" w:themeColor="text1"/>
        </w:rPr>
        <w:t xml:space="preserve">taught </w:t>
      </w:r>
      <w:r w:rsidRPr="005147A3">
        <w:rPr>
          <w:rFonts w:ascii="Segoe UI Historic" w:hAnsi="Segoe UI Historic" w:cs="Segoe UI Historic"/>
          <w:color w:val="000000" w:themeColor="text1"/>
        </w:rPr>
        <w:t xml:space="preserve">a lesson on various family situations. The lesson objectives were to eliminate common misconceptions about family connections and promote discussion. </w:t>
      </w:r>
      <w:r w:rsidR="0004627A" w:rsidRPr="005147A3">
        <w:rPr>
          <w:rFonts w:ascii="Segoe UI Historic" w:hAnsi="Segoe UI Historic" w:cs="Segoe UI Historic"/>
          <w:color w:val="000000" w:themeColor="text1"/>
        </w:rPr>
        <w:t xml:space="preserve">Students </w:t>
      </w:r>
      <w:r w:rsidRPr="005147A3">
        <w:rPr>
          <w:rFonts w:ascii="Segoe UI Historic" w:hAnsi="Segoe UI Historic" w:cs="Segoe UI Historic"/>
          <w:color w:val="000000" w:themeColor="text1"/>
        </w:rPr>
        <w:t xml:space="preserve">were shown pictures of different types of families. To encourage an understanding mindset towards individuals from other backgrounds, children </w:t>
      </w:r>
      <w:r w:rsidRPr="005147A3">
        <w:rPr>
          <w:rFonts w:ascii="Segoe UI Historic" w:hAnsi="Segoe UI Historic" w:cs="Segoe UI Historic"/>
          <w:color w:val="000000" w:themeColor="text1"/>
        </w:rPr>
        <w:lastRenderedPageBreak/>
        <w:t xml:space="preserve">were asked to </w:t>
      </w:r>
      <w:r w:rsidR="003F5539" w:rsidRPr="005147A3">
        <w:rPr>
          <w:rFonts w:ascii="Segoe UI Historic" w:hAnsi="Segoe UI Historic" w:cs="Segoe UI Historic"/>
          <w:color w:val="000000" w:themeColor="text1"/>
        </w:rPr>
        <w:t xml:space="preserve">discuss </w:t>
      </w:r>
      <w:r w:rsidRPr="005147A3">
        <w:rPr>
          <w:rFonts w:ascii="Segoe UI Historic" w:hAnsi="Segoe UI Historic" w:cs="Segoe UI Historic"/>
          <w:color w:val="000000" w:themeColor="text1"/>
        </w:rPr>
        <w:t xml:space="preserve">what they believed families were doing and celebrating. By enabling </w:t>
      </w:r>
      <w:r w:rsidR="0004627A" w:rsidRPr="005147A3">
        <w:rPr>
          <w:rFonts w:ascii="Segoe UI Historic" w:hAnsi="Segoe UI Historic" w:cs="Segoe UI Historic"/>
          <w:color w:val="000000" w:themeColor="text1"/>
        </w:rPr>
        <w:t>children</w:t>
      </w:r>
      <w:r w:rsidRPr="005147A3">
        <w:rPr>
          <w:rFonts w:ascii="Segoe UI Historic" w:hAnsi="Segoe UI Historic" w:cs="Segoe UI Historic"/>
          <w:color w:val="000000" w:themeColor="text1"/>
        </w:rPr>
        <w:t xml:space="preserve"> to engage in discussion that allows them to develop their conceptions of diversity.  </w:t>
      </w:r>
      <w:r w:rsidR="0092477C" w:rsidRPr="005147A3">
        <w:rPr>
          <w:rFonts w:ascii="Segoe UI Historic" w:hAnsi="Segoe UI Historic" w:cs="Segoe UI Historic"/>
          <w:color w:val="000000" w:themeColor="text1"/>
        </w:rPr>
        <w:t>Most of</w:t>
      </w:r>
      <w:r w:rsidRPr="005147A3">
        <w:rPr>
          <w:rFonts w:ascii="Segoe UI Historic" w:hAnsi="Segoe UI Historic" w:cs="Segoe UI Historic"/>
          <w:color w:val="000000" w:themeColor="text1"/>
        </w:rPr>
        <w:t xml:space="preserve"> the group had limited prior knowledge of various family structures, which implies further lessons are needed on the topic, even if the discussion was very interesting and valuable. This lesson aligned with </w:t>
      </w:r>
      <w:r w:rsidR="0092477C" w:rsidRPr="005147A3">
        <w:rPr>
          <w:rFonts w:ascii="Segoe UI Historic" w:hAnsi="Segoe UI Historic" w:cs="Segoe UI Historic"/>
          <w:color w:val="000000" w:themeColor="text1"/>
        </w:rPr>
        <w:t>Vygotsky’s</w:t>
      </w:r>
      <w:r w:rsidRPr="005147A3">
        <w:rPr>
          <w:rFonts w:ascii="Segoe UI Historic" w:hAnsi="Segoe UI Historic" w:cs="Segoe UI Historic"/>
          <w:color w:val="000000" w:themeColor="text1"/>
        </w:rPr>
        <w:t xml:space="preserve"> (1978) Social Development Theory, which highlights the value of discussion and social interaction in learning. In line with the Welsh Curriculum, which promotes a holistic and inclusive approach to learning, this lesson reflects the value of developing </w:t>
      </w:r>
      <w:r w:rsidR="00BC0437">
        <w:rPr>
          <w:rFonts w:ascii="Segoe UI Historic" w:hAnsi="Segoe UI Historic" w:cs="Segoe UI Historic"/>
          <w:color w:val="000000" w:themeColor="text1"/>
        </w:rPr>
        <w:t>children</w:t>
      </w:r>
      <w:r w:rsidRPr="005147A3">
        <w:rPr>
          <w:rFonts w:ascii="Segoe UI Historic" w:hAnsi="Segoe UI Historic" w:cs="Segoe UI Historic"/>
          <w:color w:val="000000" w:themeColor="text1"/>
        </w:rPr>
        <w:t xml:space="preserve"> as ethical, informed citizens of Wales and the world. </w:t>
      </w:r>
    </w:p>
    <w:p w14:paraId="3173D92D" w14:textId="77777777" w:rsidR="00494DEF" w:rsidRPr="005147A3" w:rsidRDefault="00494DEF" w:rsidP="00AB54CC">
      <w:pPr>
        <w:rPr>
          <w:rFonts w:ascii="Segoe UI Historic" w:hAnsi="Segoe UI Historic" w:cs="Segoe UI Historic"/>
          <w:color w:val="000000" w:themeColor="text1"/>
        </w:rPr>
      </w:pPr>
    </w:p>
    <w:p w14:paraId="445F580F" w14:textId="6F88FD33"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 xml:space="preserve">Furthermore, the Black, Asian and Minority Ethnic Communities, Contributions and </w:t>
      </w:r>
      <w:proofErr w:type="spellStart"/>
      <w:r w:rsidRPr="005147A3">
        <w:rPr>
          <w:rFonts w:ascii="Segoe UI Historic" w:hAnsi="Segoe UI Historic" w:cs="Segoe UI Historic"/>
          <w:color w:val="000000" w:themeColor="text1"/>
        </w:rPr>
        <w:t>Cynefin</w:t>
      </w:r>
      <w:proofErr w:type="spellEnd"/>
      <w:r w:rsidRPr="005147A3">
        <w:rPr>
          <w:rFonts w:ascii="Segoe UI Historic" w:hAnsi="Segoe UI Historic" w:cs="Segoe UI Historic"/>
          <w:color w:val="000000" w:themeColor="text1"/>
        </w:rPr>
        <w:t xml:space="preserve"> Working Group (Welsh Government, 2021), supports the need to weave diverse contributions into everyday teaching and not make it a </w:t>
      </w:r>
      <w:r w:rsidR="00323DA5" w:rsidRPr="005147A3">
        <w:rPr>
          <w:rFonts w:ascii="Segoe UI Historic" w:hAnsi="Segoe UI Historic" w:cs="Segoe UI Historic"/>
          <w:color w:val="000000" w:themeColor="text1"/>
        </w:rPr>
        <w:t>one-off</w:t>
      </w:r>
      <w:r w:rsidR="008077EA" w:rsidRPr="005147A3">
        <w:rPr>
          <w:rFonts w:ascii="Segoe UI Historic" w:hAnsi="Segoe UI Historic" w:cs="Segoe UI Historic"/>
          <w:color w:val="000000" w:themeColor="text1"/>
        </w:rPr>
        <w:t xml:space="preserve"> </w:t>
      </w:r>
      <w:r w:rsidRPr="005147A3">
        <w:rPr>
          <w:rFonts w:ascii="Segoe UI Historic" w:hAnsi="Segoe UI Historic" w:cs="Segoe UI Historic"/>
          <w:color w:val="000000" w:themeColor="text1"/>
        </w:rPr>
        <w:t xml:space="preserve">lesson. </w:t>
      </w:r>
    </w:p>
    <w:p w14:paraId="18C20095" w14:textId="5C99A456"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Following organised training sessions, staff diversity reviews provided quantitative feedback indicating enhanced confidence (</w:t>
      </w:r>
      <w:r w:rsidR="00E17E2E" w:rsidRPr="005147A3">
        <w:rPr>
          <w:rFonts w:ascii="Segoe UI Historic" w:hAnsi="Segoe UI Historic" w:cs="Segoe UI Historic"/>
          <w:color w:val="000000" w:themeColor="text1"/>
        </w:rPr>
        <w:t>April</w:t>
      </w:r>
      <w:r w:rsidR="00E17E2E">
        <w:rPr>
          <w:rFonts w:ascii="Segoe UI Historic" w:hAnsi="Segoe UI Historic" w:cs="Segoe UI Historic"/>
          <w:color w:val="000000" w:themeColor="text1"/>
        </w:rPr>
        <w:t xml:space="preserve"> </w:t>
      </w:r>
      <w:r w:rsidRPr="005147A3">
        <w:rPr>
          <w:rFonts w:ascii="Segoe UI Historic" w:hAnsi="Segoe UI Historic" w:cs="Segoe UI Historic"/>
          <w:color w:val="000000" w:themeColor="text1"/>
        </w:rPr>
        <w:t xml:space="preserve">2024). Increased understanding and empathy were </w:t>
      </w:r>
      <w:r w:rsidR="00933CB3">
        <w:rPr>
          <w:rFonts w:ascii="Segoe UI Historic" w:hAnsi="Segoe UI Historic" w:cs="Segoe UI Historic"/>
          <w:color w:val="000000" w:themeColor="text1"/>
        </w:rPr>
        <w:t>highlighted</w:t>
      </w:r>
      <w:r w:rsidRPr="005147A3">
        <w:rPr>
          <w:rFonts w:ascii="Segoe UI Historic" w:hAnsi="Segoe UI Historic" w:cs="Segoe UI Historic"/>
          <w:color w:val="000000" w:themeColor="text1"/>
        </w:rPr>
        <w:t xml:space="preserve"> among staff, indicating the training’s effectiveness in building more inclusive education. </w:t>
      </w:r>
    </w:p>
    <w:p w14:paraId="659D1264" w14:textId="77777777" w:rsidR="00494DEF" w:rsidRPr="005147A3" w:rsidRDefault="00494DEF" w:rsidP="00AB54CC">
      <w:pPr>
        <w:rPr>
          <w:rFonts w:ascii="Segoe UI Historic" w:hAnsi="Segoe UI Historic" w:cs="Segoe UI Historic"/>
          <w:color w:val="000000" w:themeColor="text1"/>
        </w:rPr>
      </w:pPr>
    </w:p>
    <w:p w14:paraId="55D7845B" w14:textId="77777777"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My knowledge of the systematic structure of inclusion and the role that teachers play in challenging cultural expectations has grown as a result of this experience. I have become more confident in planning lessons that allow pupils to explore complex social issues and critically reflect on their assumptions. Importantly, I realised that diversity education is an ongoing, evolving process rather than an end goal. Navigating this ambitiously requires reflection, cultural awareness and effort. In the future, I want to promote activities that integrate inclusive views into every aspect of school life and align pedagogy with the various perspectives of pupils' lived experiences.</w:t>
      </w:r>
    </w:p>
    <w:p w14:paraId="47FD84D4" w14:textId="77777777"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 xml:space="preserve"> </w:t>
      </w:r>
    </w:p>
    <w:p w14:paraId="63DD96D3" w14:textId="77777777" w:rsidR="00494DEF" w:rsidRPr="005147A3" w:rsidRDefault="00494DEF" w:rsidP="00AB54CC">
      <w:pPr>
        <w:rPr>
          <w:rFonts w:ascii="Segoe UI Historic" w:hAnsi="Segoe UI Historic" w:cs="Segoe UI Historic"/>
          <w:color w:val="000000" w:themeColor="text1"/>
        </w:rPr>
      </w:pPr>
    </w:p>
    <w:p w14:paraId="46F00660" w14:textId="77777777" w:rsidR="00494DEF" w:rsidRPr="005147A3" w:rsidRDefault="00494DEF" w:rsidP="00AB54CC">
      <w:pPr>
        <w:rPr>
          <w:rFonts w:ascii="Segoe UI Historic" w:hAnsi="Segoe UI Historic" w:cs="Segoe UI Historic"/>
          <w:color w:val="000000" w:themeColor="text1"/>
        </w:rPr>
      </w:pPr>
    </w:p>
    <w:p w14:paraId="01317608" w14:textId="59629D77" w:rsidR="00494DEF" w:rsidRPr="005147A3" w:rsidRDefault="00841627" w:rsidP="00AB54CC">
      <w:pPr>
        <w:rPr>
          <w:rFonts w:ascii="Segoe UI Historic" w:hAnsi="Segoe UI Historic" w:cs="Segoe UI Historic"/>
          <w:color w:val="000000" w:themeColor="text1"/>
          <w:u w:val="single"/>
        </w:rPr>
      </w:pPr>
      <w:r w:rsidRPr="005147A3">
        <w:rPr>
          <w:rFonts w:ascii="Segoe UI Historic" w:hAnsi="Segoe UI Historic" w:cs="Segoe UI Historic"/>
          <w:color w:val="000000" w:themeColor="text1"/>
          <w:u w:val="single"/>
        </w:rPr>
        <w:t xml:space="preserve">Conclusion. </w:t>
      </w:r>
    </w:p>
    <w:p w14:paraId="6189CC9F" w14:textId="77777777" w:rsidR="00494DEF" w:rsidRPr="005147A3" w:rsidRDefault="00494DEF" w:rsidP="00AB54CC">
      <w:pPr>
        <w:rPr>
          <w:rFonts w:ascii="Segoe UI Historic" w:hAnsi="Segoe UI Historic" w:cs="Segoe UI Historic"/>
          <w:color w:val="000000" w:themeColor="text1"/>
        </w:rPr>
      </w:pPr>
      <w:r w:rsidRPr="005147A3">
        <w:rPr>
          <w:rFonts w:ascii="Segoe UI Historic" w:hAnsi="Segoe UI Historic" w:cs="Segoe UI Historic"/>
          <w:color w:val="000000" w:themeColor="text1"/>
        </w:rPr>
        <w:t xml:space="preserve">To conclude, this critical evaluation of School X SDP target highlights the vital role that inclusive education plays in promoting equity, belonging and pupil achievement. To have an impact on school culture, pedagogy and curriculum, authentic integration of diversity must go beyond symbolic efforts, as supported by literature, national policy and classroom practice. Even though there are challenges such as a lack of resources and staff confidence, a strategy based on professional growth, reflective practice and policy alignment can encourage permanent growth. Crucially this process is active and continual, demanding continuous evaluation and across the school commitment to creating a welcoming, realistic and socially mindful learning environment. </w:t>
      </w:r>
    </w:p>
    <w:p w14:paraId="7E7BE70C" w14:textId="54927407" w:rsidR="00494DEF" w:rsidRPr="005147A3" w:rsidRDefault="00494DEF" w:rsidP="00AB54CC">
      <w:pPr>
        <w:rPr>
          <w:rFonts w:ascii="Segoe UI Historic" w:hAnsi="Segoe UI Historic" w:cs="Segoe UI Historic"/>
          <w:color w:val="000000" w:themeColor="text1"/>
        </w:rPr>
      </w:pPr>
    </w:p>
    <w:p w14:paraId="62981DCE" w14:textId="77777777" w:rsidR="00F442A2" w:rsidRPr="005147A3" w:rsidRDefault="00F442A2" w:rsidP="00AB54CC">
      <w:pPr>
        <w:rPr>
          <w:rFonts w:ascii="Segoe UI Historic" w:hAnsi="Segoe UI Historic" w:cs="Segoe UI Historic"/>
          <w:color w:val="000000" w:themeColor="text1"/>
        </w:rPr>
      </w:pPr>
    </w:p>
    <w:p w14:paraId="53B9FE4A" w14:textId="77777777" w:rsidR="00F442A2" w:rsidRPr="005147A3" w:rsidRDefault="00F442A2" w:rsidP="00AB54CC">
      <w:pPr>
        <w:rPr>
          <w:rFonts w:ascii="Segoe UI Historic" w:hAnsi="Segoe UI Historic" w:cs="Segoe UI Historic"/>
          <w:color w:val="000000" w:themeColor="text1"/>
        </w:rPr>
      </w:pPr>
    </w:p>
    <w:p w14:paraId="141F8545" w14:textId="77777777" w:rsidR="00F442A2" w:rsidRPr="005147A3" w:rsidRDefault="00F442A2" w:rsidP="00AB54CC">
      <w:pPr>
        <w:rPr>
          <w:rFonts w:ascii="Segoe UI Historic" w:hAnsi="Segoe UI Historic" w:cs="Segoe UI Historic"/>
          <w:color w:val="000000" w:themeColor="text1"/>
        </w:rPr>
      </w:pPr>
    </w:p>
    <w:p w14:paraId="2ED2284B" w14:textId="77777777" w:rsidR="00F442A2" w:rsidRPr="005147A3" w:rsidRDefault="00F442A2" w:rsidP="00F442A2">
      <w:pPr>
        <w:jc w:val="center"/>
        <w:rPr>
          <w:rFonts w:ascii="Segoe UI Historic" w:hAnsi="Segoe UI Historic" w:cs="Segoe UI Historic"/>
          <w:color w:val="000000" w:themeColor="text1"/>
          <w:u w:val="single"/>
        </w:rPr>
      </w:pPr>
    </w:p>
    <w:p w14:paraId="35D82B49" w14:textId="77777777" w:rsidR="00F9027D" w:rsidRDefault="00F9027D" w:rsidP="00F9027D">
      <w:pPr>
        <w:rPr>
          <w:rFonts w:asciiTheme="majorHAnsi" w:hAnsiTheme="majorHAnsi" w:cstheme="majorHAnsi"/>
          <w:u w:val="single"/>
        </w:rPr>
      </w:pPr>
    </w:p>
    <w:p w14:paraId="73087EB4" w14:textId="41015D12" w:rsidR="00D11C15" w:rsidRDefault="00F442A2" w:rsidP="00F9027D">
      <w:pPr>
        <w:jc w:val="center"/>
        <w:rPr>
          <w:rFonts w:asciiTheme="majorHAnsi" w:hAnsiTheme="majorHAnsi" w:cstheme="majorHAnsi"/>
          <w:u w:val="single"/>
        </w:rPr>
      </w:pPr>
      <w:r w:rsidRPr="00F95889">
        <w:rPr>
          <w:rFonts w:asciiTheme="majorHAnsi" w:hAnsiTheme="majorHAnsi" w:cstheme="majorHAnsi"/>
          <w:u w:val="single"/>
        </w:rPr>
        <w:t>References.</w:t>
      </w:r>
    </w:p>
    <w:p w14:paraId="6C5C554D" w14:textId="77777777" w:rsidR="00F9027D" w:rsidRPr="00F95889" w:rsidRDefault="00F9027D" w:rsidP="00F9027D">
      <w:pPr>
        <w:jc w:val="center"/>
        <w:rPr>
          <w:rFonts w:asciiTheme="majorHAnsi" w:hAnsiTheme="majorHAnsi" w:cstheme="majorHAnsi"/>
          <w:u w:val="single"/>
        </w:rPr>
      </w:pPr>
    </w:p>
    <w:p w14:paraId="0D5688A6" w14:textId="4BC50944" w:rsidR="00713790" w:rsidRPr="00713790" w:rsidRDefault="00743D58" w:rsidP="00743D58">
      <w:pPr>
        <w:rPr>
          <w:rFonts w:asciiTheme="majorHAnsi" w:hAnsiTheme="majorHAnsi" w:cstheme="majorHAnsi"/>
          <w:i/>
          <w:iCs/>
        </w:rPr>
      </w:pPr>
      <w:r w:rsidRPr="00F95889">
        <w:rPr>
          <w:rStyle w:val="Strong"/>
          <w:rFonts w:asciiTheme="majorHAnsi" w:hAnsiTheme="majorHAnsi" w:cstheme="majorHAnsi"/>
          <w:b w:val="0"/>
          <w:bCs w:val="0"/>
        </w:rPr>
        <w:t>Banks, J.A., 2009.</w:t>
      </w:r>
      <w:r w:rsidRPr="00F95889">
        <w:rPr>
          <w:rFonts w:asciiTheme="majorHAnsi" w:hAnsiTheme="majorHAnsi" w:cstheme="majorHAnsi"/>
          <w:i/>
          <w:iCs/>
        </w:rPr>
        <w:t xml:space="preserve"> </w:t>
      </w:r>
      <w:r w:rsidRPr="00F95889">
        <w:rPr>
          <w:rStyle w:val="Emphasis"/>
          <w:rFonts w:asciiTheme="majorHAnsi" w:hAnsiTheme="majorHAnsi" w:cstheme="majorHAnsi"/>
          <w:i w:val="0"/>
          <w:iCs w:val="0"/>
        </w:rPr>
        <w:t>Multicultural education: Issues and perspectives</w:t>
      </w:r>
      <w:r w:rsidRPr="00F95889">
        <w:rPr>
          <w:rFonts w:asciiTheme="majorHAnsi" w:hAnsiTheme="majorHAnsi" w:cstheme="majorHAnsi"/>
          <w:i/>
          <w:iCs/>
        </w:rPr>
        <w:t>. 7th ed. Hoboken, NJ: John Wiley &amp; Sons.</w:t>
      </w:r>
    </w:p>
    <w:p w14:paraId="6183D30E" w14:textId="77777777" w:rsidR="00743D58" w:rsidRPr="00F95889" w:rsidRDefault="00743D58" w:rsidP="00743D58">
      <w:pPr>
        <w:rPr>
          <w:rFonts w:asciiTheme="majorHAnsi" w:hAnsiTheme="majorHAnsi" w:cstheme="majorHAnsi"/>
          <w:u w:val="single"/>
        </w:rPr>
      </w:pPr>
    </w:p>
    <w:p w14:paraId="4C4E5F21" w14:textId="6101620C" w:rsidR="00F442A2" w:rsidRDefault="00F442A2" w:rsidP="00F442A2">
      <w:pPr>
        <w:rPr>
          <w:rFonts w:asciiTheme="majorHAnsi" w:hAnsiTheme="majorHAnsi" w:cstheme="majorHAnsi"/>
        </w:rPr>
      </w:pPr>
      <w:r w:rsidRPr="00F95889">
        <w:rPr>
          <w:rFonts w:asciiTheme="majorHAnsi" w:hAnsiTheme="majorHAnsi" w:cstheme="majorHAnsi"/>
        </w:rPr>
        <w:t xml:space="preserve">BERA (2024). Ethical Guidelines for Educational Research, Fifth Edition (2024). [online] www.bera.ac.uk. Available at: </w:t>
      </w:r>
      <w:hyperlink r:id="rId8" w:history="1">
        <w:r w:rsidRPr="00F95889">
          <w:rPr>
            <w:rStyle w:val="Hyperlink"/>
            <w:rFonts w:asciiTheme="majorHAnsi" w:hAnsiTheme="majorHAnsi" w:cstheme="majorHAnsi"/>
          </w:rPr>
          <w:t>https://www.bera.ac.uk/publication/ethical-guidelines-for-educational-research-fifth-edition-2024</w:t>
        </w:r>
      </w:hyperlink>
      <w:r w:rsidRPr="00F95889">
        <w:rPr>
          <w:rFonts w:asciiTheme="majorHAnsi" w:hAnsiTheme="majorHAnsi" w:cstheme="majorHAnsi"/>
        </w:rPr>
        <w:t>.</w:t>
      </w:r>
    </w:p>
    <w:p w14:paraId="0D1B593A" w14:textId="6D3ACB00" w:rsidR="00713790" w:rsidRDefault="00713790" w:rsidP="00F442A2">
      <w:pPr>
        <w:rPr>
          <w:rFonts w:asciiTheme="majorHAnsi" w:hAnsiTheme="majorHAnsi" w:cstheme="majorHAnsi"/>
        </w:rPr>
      </w:pPr>
    </w:p>
    <w:p w14:paraId="414CA007" w14:textId="2C6FEBFA" w:rsidR="00713790" w:rsidRDefault="00713790" w:rsidP="00713790">
      <w:pPr>
        <w:rPr>
          <w:rFonts w:asciiTheme="majorHAnsi" w:hAnsiTheme="majorHAnsi" w:cstheme="majorHAnsi"/>
        </w:rPr>
      </w:pPr>
      <w:r w:rsidRPr="00713790">
        <w:rPr>
          <w:rFonts w:asciiTheme="majorHAnsi" w:hAnsiTheme="majorHAnsi" w:cstheme="majorHAnsi"/>
        </w:rPr>
        <w:t xml:space="preserve">Brownlee, J.L., Bourke, T., Walker, S. and Ryan, M. (2022) ‘What influences teachers’ support for children’s reasoning about social inclusion in primary school education classrooms?’, </w:t>
      </w:r>
      <w:r w:rsidRPr="00713790">
        <w:rPr>
          <w:rFonts w:asciiTheme="majorHAnsi" w:hAnsiTheme="majorHAnsi" w:cstheme="majorHAnsi"/>
          <w:i/>
          <w:iCs/>
        </w:rPr>
        <w:t>Australian Educational Researcher</w:t>
      </w:r>
      <w:r w:rsidRPr="00713790">
        <w:rPr>
          <w:rFonts w:asciiTheme="majorHAnsi" w:hAnsiTheme="majorHAnsi" w:cstheme="majorHAnsi"/>
        </w:rPr>
        <w:t>, 49(1), pp. 155–173.</w:t>
      </w:r>
    </w:p>
    <w:p w14:paraId="5CBC9BF4" w14:textId="4AB7BA14" w:rsidR="00FD75CA" w:rsidRDefault="00FD75CA" w:rsidP="00713790">
      <w:pPr>
        <w:rPr>
          <w:rFonts w:asciiTheme="majorHAnsi" w:hAnsiTheme="majorHAnsi" w:cstheme="majorHAnsi"/>
        </w:rPr>
      </w:pPr>
    </w:p>
    <w:p w14:paraId="13C0612A" w14:textId="77777777" w:rsidR="00FD75CA" w:rsidRPr="00FD75CA" w:rsidRDefault="00FD75CA" w:rsidP="00FD75CA">
      <w:pPr>
        <w:rPr>
          <w:rFonts w:asciiTheme="majorHAnsi" w:hAnsiTheme="majorHAnsi" w:cstheme="majorHAnsi"/>
        </w:rPr>
      </w:pPr>
      <w:r w:rsidRPr="00FD75CA">
        <w:rPr>
          <w:rFonts w:asciiTheme="majorHAnsi" w:hAnsiTheme="majorHAnsi" w:cstheme="majorHAnsi"/>
        </w:rPr>
        <w:t xml:space="preserve">Devine, P.G. and Ash, T.L. (2021). Diversity Training Goals, Limitations, and Promise: A Review of the Multidisciplinary Literature. Annual Review of Psychology, [online] 73(1). </w:t>
      </w:r>
      <w:proofErr w:type="spellStart"/>
      <w:proofErr w:type="gramStart"/>
      <w:r w:rsidRPr="00FD75CA">
        <w:rPr>
          <w:rFonts w:asciiTheme="majorHAnsi" w:hAnsiTheme="majorHAnsi" w:cstheme="majorHAnsi"/>
        </w:rPr>
        <w:t>doi:https</w:t>
      </w:r>
      <w:proofErr w:type="spellEnd"/>
      <w:r w:rsidRPr="00FD75CA">
        <w:rPr>
          <w:rFonts w:asciiTheme="majorHAnsi" w:hAnsiTheme="majorHAnsi" w:cstheme="majorHAnsi"/>
        </w:rPr>
        <w:t>://doi.org/10.1146/annurev-psych-060221-122215</w:t>
      </w:r>
      <w:proofErr w:type="gramEnd"/>
      <w:r w:rsidRPr="00FD75CA">
        <w:rPr>
          <w:rFonts w:asciiTheme="majorHAnsi" w:hAnsiTheme="majorHAnsi" w:cstheme="majorHAnsi"/>
        </w:rPr>
        <w:t>.</w:t>
      </w:r>
    </w:p>
    <w:p w14:paraId="7BCB17C6" w14:textId="2EF94F2B" w:rsidR="00F9027D" w:rsidRDefault="00F9027D" w:rsidP="00713790">
      <w:pPr>
        <w:rPr>
          <w:rFonts w:asciiTheme="majorHAnsi" w:hAnsiTheme="majorHAnsi" w:cstheme="majorHAnsi"/>
        </w:rPr>
      </w:pPr>
    </w:p>
    <w:p w14:paraId="0427C1EC" w14:textId="34592589" w:rsidR="00317E60" w:rsidRDefault="00317E60" w:rsidP="00317E60">
      <w:pPr>
        <w:rPr>
          <w:rFonts w:asciiTheme="majorHAnsi" w:hAnsiTheme="majorHAnsi" w:cstheme="majorHAnsi"/>
        </w:rPr>
      </w:pPr>
      <w:r w:rsidRPr="00317E60">
        <w:rPr>
          <w:rFonts w:asciiTheme="majorHAnsi" w:hAnsiTheme="majorHAnsi" w:cstheme="majorHAnsi"/>
        </w:rPr>
        <w:t xml:space="preserve">GOV.WALES. (2020). Terms of reference: Black, Asian and Minority Ethnic Communities, Contributions and </w:t>
      </w:r>
      <w:proofErr w:type="spellStart"/>
      <w:r w:rsidRPr="00317E60">
        <w:rPr>
          <w:rFonts w:asciiTheme="majorHAnsi" w:hAnsiTheme="majorHAnsi" w:cstheme="majorHAnsi"/>
        </w:rPr>
        <w:t>Cynefin</w:t>
      </w:r>
      <w:proofErr w:type="spellEnd"/>
      <w:r w:rsidRPr="00317E60">
        <w:rPr>
          <w:rFonts w:asciiTheme="majorHAnsi" w:hAnsiTheme="majorHAnsi" w:cstheme="majorHAnsi"/>
        </w:rPr>
        <w:t xml:space="preserve"> in the New Curriculum Working Group | GOV.WALES. [online] Available at: https://www.gov.wales/black-asian-and-minority-ethnic-bame-communities-contributions-and-cynefin-new-curriculum-working/terms-reference [Accessed 15 Apr. 2025]</w:t>
      </w:r>
    </w:p>
    <w:p w14:paraId="5B01CF9C" w14:textId="60EF3D2B" w:rsidR="00480602" w:rsidRDefault="00480602" w:rsidP="00317E60">
      <w:pPr>
        <w:rPr>
          <w:rFonts w:asciiTheme="majorHAnsi" w:hAnsiTheme="majorHAnsi" w:cstheme="majorHAnsi"/>
        </w:rPr>
      </w:pPr>
    </w:p>
    <w:p w14:paraId="07398C79" w14:textId="77777777" w:rsidR="00480602" w:rsidRPr="00480602" w:rsidRDefault="00480602" w:rsidP="00480602">
      <w:pPr>
        <w:rPr>
          <w:rFonts w:asciiTheme="majorHAnsi" w:hAnsiTheme="majorHAnsi" w:cstheme="majorHAnsi"/>
        </w:rPr>
      </w:pPr>
      <w:r w:rsidRPr="00480602">
        <w:rPr>
          <w:rFonts w:asciiTheme="majorHAnsi" w:hAnsiTheme="majorHAnsi" w:cstheme="majorHAnsi"/>
        </w:rPr>
        <w:t>GOV.UK. (n.d.). Creating a school behaviour culture: audit and action planning tools. [online] Available at: https://www.gov.uk/guidance/creating-a-school-behaviour-culture-audit-and-action-planning-tools.</w:t>
      </w:r>
    </w:p>
    <w:p w14:paraId="550A750F" w14:textId="77777777" w:rsidR="00480602" w:rsidRPr="00317E60" w:rsidRDefault="00480602" w:rsidP="00317E60">
      <w:pPr>
        <w:rPr>
          <w:rFonts w:asciiTheme="majorHAnsi" w:hAnsiTheme="majorHAnsi" w:cstheme="majorHAnsi"/>
        </w:rPr>
      </w:pPr>
    </w:p>
    <w:p w14:paraId="2D5EFE76" w14:textId="77777777" w:rsidR="00317E60" w:rsidRDefault="00317E60" w:rsidP="00713790">
      <w:pPr>
        <w:rPr>
          <w:rFonts w:asciiTheme="majorHAnsi" w:hAnsiTheme="majorHAnsi" w:cstheme="majorHAnsi"/>
        </w:rPr>
      </w:pPr>
    </w:p>
    <w:p w14:paraId="29390C3A" w14:textId="6745A76C" w:rsidR="00F9027D" w:rsidRPr="00F9027D" w:rsidRDefault="00F9027D" w:rsidP="00F9027D">
      <w:pPr>
        <w:rPr>
          <w:rFonts w:asciiTheme="majorHAnsi" w:hAnsiTheme="majorHAnsi" w:cstheme="majorHAnsi"/>
        </w:rPr>
      </w:pPr>
      <w:r w:rsidRPr="00F9027D">
        <w:rPr>
          <w:rFonts w:asciiTheme="majorHAnsi" w:hAnsiTheme="majorHAnsi" w:cstheme="majorHAnsi"/>
        </w:rPr>
        <w:t>Gillborn, D. (2008). Racism and Education. Routledge.</w:t>
      </w:r>
      <w:r w:rsidR="006B13DD">
        <w:rPr>
          <w:rFonts w:asciiTheme="majorHAnsi" w:hAnsiTheme="majorHAnsi" w:cstheme="majorHAnsi"/>
        </w:rPr>
        <w:t xml:space="preserve"> </w:t>
      </w:r>
      <w:proofErr w:type="spellStart"/>
      <w:proofErr w:type="gramStart"/>
      <w:r w:rsidRPr="00F9027D">
        <w:rPr>
          <w:rFonts w:asciiTheme="majorHAnsi" w:hAnsiTheme="majorHAnsi" w:cstheme="majorHAnsi"/>
        </w:rPr>
        <w:t>doi:https</w:t>
      </w:r>
      <w:proofErr w:type="spellEnd"/>
      <w:r w:rsidRPr="00F9027D">
        <w:rPr>
          <w:rFonts w:asciiTheme="majorHAnsi" w:hAnsiTheme="majorHAnsi" w:cstheme="majorHAnsi"/>
        </w:rPr>
        <w:t>://doi.org/10.4324/9780203928424</w:t>
      </w:r>
      <w:proofErr w:type="gramEnd"/>
      <w:r w:rsidRPr="00F9027D">
        <w:rPr>
          <w:rFonts w:asciiTheme="majorHAnsi" w:hAnsiTheme="majorHAnsi" w:cstheme="majorHAnsi"/>
        </w:rPr>
        <w:t>.</w:t>
      </w:r>
    </w:p>
    <w:p w14:paraId="195F828D" w14:textId="2D415C0A" w:rsidR="00F9027D" w:rsidRDefault="00F9027D" w:rsidP="00713790">
      <w:pPr>
        <w:rPr>
          <w:rFonts w:asciiTheme="majorHAnsi" w:hAnsiTheme="majorHAnsi" w:cstheme="majorHAnsi"/>
        </w:rPr>
      </w:pPr>
    </w:p>
    <w:p w14:paraId="4FE37910" w14:textId="77777777" w:rsidR="00F9027D" w:rsidRPr="00F9027D" w:rsidRDefault="00F9027D" w:rsidP="00F9027D">
      <w:pPr>
        <w:rPr>
          <w:rFonts w:asciiTheme="majorHAnsi" w:hAnsiTheme="majorHAnsi" w:cstheme="majorHAnsi"/>
        </w:rPr>
      </w:pPr>
      <w:r w:rsidRPr="00F9027D">
        <w:rPr>
          <w:rFonts w:asciiTheme="majorHAnsi" w:hAnsiTheme="majorHAnsi" w:cstheme="majorHAnsi"/>
        </w:rPr>
        <w:t xml:space="preserve">Ladson-Billings, G. (2021). Three Decades of Culturally Relevant, Responsive, &amp; Sustaining Pedagogy: What Lies Ahead? The Educational Forum, 85(4), pp.351–354. </w:t>
      </w:r>
      <w:proofErr w:type="spellStart"/>
      <w:proofErr w:type="gramStart"/>
      <w:r w:rsidRPr="00F9027D">
        <w:rPr>
          <w:rFonts w:asciiTheme="majorHAnsi" w:hAnsiTheme="majorHAnsi" w:cstheme="majorHAnsi"/>
        </w:rPr>
        <w:t>doi:https</w:t>
      </w:r>
      <w:proofErr w:type="spellEnd"/>
      <w:r w:rsidRPr="00F9027D">
        <w:rPr>
          <w:rFonts w:asciiTheme="majorHAnsi" w:hAnsiTheme="majorHAnsi" w:cstheme="majorHAnsi"/>
        </w:rPr>
        <w:t>://doi.org/10.1080/00131725.2021.1957632</w:t>
      </w:r>
      <w:proofErr w:type="gramEnd"/>
      <w:r w:rsidRPr="00F9027D">
        <w:rPr>
          <w:rFonts w:asciiTheme="majorHAnsi" w:hAnsiTheme="majorHAnsi" w:cstheme="majorHAnsi"/>
        </w:rPr>
        <w:t>.</w:t>
      </w:r>
    </w:p>
    <w:p w14:paraId="038AC367" w14:textId="77777777" w:rsidR="00713790" w:rsidRPr="00F95889" w:rsidRDefault="00713790" w:rsidP="00F442A2">
      <w:pPr>
        <w:rPr>
          <w:rFonts w:asciiTheme="majorHAnsi" w:hAnsiTheme="majorHAnsi" w:cstheme="majorHAnsi"/>
        </w:rPr>
      </w:pPr>
    </w:p>
    <w:p w14:paraId="7181D891" w14:textId="49DF1AF5" w:rsidR="00713790" w:rsidRDefault="00713790" w:rsidP="00713790">
      <w:pPr>
        <w:rPr>
          <w:rFonts w:asciiTheme="majorHAnsi" w:hAnsiTheme="majorHAnsi" w:cstheme="majorHAnsi"/>
        </w:rPr>
      </w:pPr>
      <w:r w:rsidRPr="00713790">
        <w:rPr>
          <w:rFonts w:asciiTheme="majorHAnsi" w:hAnsiTheme="majorHAnsi" w:cstheme="majorHAnsi"/>
        </w:rPr>
        <w:t xml:space="preserve">Nelson, T.D. (ed.) (2016) </w:t>
      </w:r>
      <w:r w:rsidRPr="00713790">
        <w:rPr>
          <w:rFonts w:asciiTheme="majorHAnsi" w:hAnsiTheme="majorHAnsi" w:cstheme="majorHAnsi"/>
          <w:i/>
          <w:iCs/>
        </w:rPr>
        <w:t>Handbook of prejudice, stereotyping, and discrimination</w:t>
      </w:r>
      <w:r w:rsidRPr="00713790">
        <w:rPr>
          <w:rFonts w:asciiTheme="majorHAnsi" w:hAnsiTheme="majorHAnsi" w:cstheme="majorHAnsi"/>
        </w:rPr>
        <w:t>. 2nd ed</w:t>
      </w:r>
      <w:r w:rsidR="006B13DD">
        <w:rPr>
          <w:rFonts w:asciiTheme="majorHAnsi" w:hAnsiTheme="majorHAnsi" w:cstheme="majorHAnsi"/>
        </w:rPr>
        <w:t>ition</w:t>
      </w:r>
      <w:r w:rsidRPr="00713790">
        <w:rPr>
          <w:rFonts w:asciiTheme="majorHAnsi" w:hAnsiTheme="majorHAnsi" w:cstheme="majorHAnsi"/>
        </w:rPr>
        <w:t>. Psychology Press.</w:t>
      </w:r>
    </w:p>
    <w:p w14:paraId="3AAFFCE3" w14:textId="0C855148" w:rsidR="00AD0F81" w:rsidRDefault="00AD0F81" w:rsidP="00713790">
      <w:pPr>
        <w:rPr>
          <w:rFonts w:asciiTheme="majorHAnsi" w:hAnsiTheme="majorHAnsi" w:cstheme="majorHAnsi"/>
        </w:rPr>
      </w:pPr>
    </w:p>
    <w:p w14:paraId="45F4E1E9" w14:textId="77777777" w:rsidR="00AD0F81" w:rsidRPr="00AD0F81" w:rsidRDefault="00AD0F81" w:rsidP="00AD0F81">
      <w:pPr>
        <w:rPr>
          <w:rFonts w:asciiTheme="majorHAnsi" w:hAnsiTheme="majorHAnsi" w:cstheme="majorHAnsi"/>
        </w:rPr>
      </w:pPr>
      <w:r w:rsidRPr="00AD0F81">
        <w:rPr>
          <w:rFonts w:asciiTheme="majorHAnsi" w:hAnsiTheme="majorHAnsi" w:cstheme="majorHAnsi"/>
        </w:rPr>
        <w:t>OECD (2023). Equity and Inclusion in Education FINDING STRENGTH THROUGH DIVERSITY. [online] Available at: https://www.oecd.org/content/dam/oecd/en/publications/reports/2023/01/equity-and-inclusion-in-education_e8cfc768/e9072e21-en.pdf.</w:t>
      </w:r>
    </w:p>
    <w:p w14:paraId="12B675BD" w14:textId="3EC6EE5B" w:rsidR="00F442A2" w:rsidRPr="00F95889" w:rsidRDefault="00F442A2" w:rsidP="00F442A2">
      <w:pPr>
        <w:rPr>
          <w:rFonts w:asciiTheme="majorHAnsi" w:hAnsiTheme="majorHAnsi" w:cstheme="majorHAnsi"/>
        </w:rPr>
      </w:pPr>
    </w:p>
    <w:p w14:paraId="55DD8BBA" w14:textId="77777777" w:rsidR="00F95889" w:rsidRPr="00F95889" w:rsidRDefault="00F95889" w:rsidP="00F95889">
      <w:pPr>
        <w:rPr>
          <w:rFonts w:asciiTheme="majorHAnsi" w:hAnsiTheme="majorHAnsi" w:cstheme="majorHAnsi"/>
        </w:rPr>
      </w:pPr>
      <w:r w:rsidRPr="00F95889">
        <w:rPr>
          <w:rFonts w:asciiTheme="majorHAnsi" w:hAnsiTheme="majorHAnsi" w:cstheme="majorHAnsi"/>
        </w:rPr>
        <w:lastRenderedPageBreak/>
        <w:t>Schools’ census results: January 2023 Statistics on schools, teachers and pupils including data for local authorities and Wales for. (2023). Available at: https://www.gov.wales/sites/default/files/pdf-versions/2023/9/1/1695645738/schools-census-results-january-2023.pdf.</w:t>
      </w:r>
    </w:p>
    <w:p w14:paraId="0DAFB0F6" w14:textId="77777777" w:rsidR="00F95889" w:rsidRPr="00F95889" w:rsidRDefault="00F95889" w:rsidP="00F442A2">
      <w:pPr>
        <w:rPr>
          <w:rFonts w:asciiTheme="majorHAnsi" w:hAnsiTheme="majorHAnsi" w:cstheme="majorHAnsi"/>
        </w:rPr>
      </w:pPr>
    </w:p>
    <w:p w14:paraId="00556DA2" w14:textId="77777777" w:rsidR="00F442A2" w:rsidRPr="00F95889" w:rsidRDefault="00F442A2" w:rsidP="00F442A2">
      <w:pPr>
        <w:rPr>
          <w:rFonts w:asciiTheme="majorHAnsi" w:hAnsiTheme="majorHAnsi" w:cstheme="majorHAnsi"/>
        </w:rPr>
      </w:pPr>
      <w:proofErr w:type="spellStart"/>
      <w:r w:rsidRPr="00F95889">
        <w:rPr>
          <w:rFonts w:asciiTheme="majorHAnsi" w:hAnsiTheme="majorHAnsi" w:cstheme="majorHAnsi"/>
        </w:rPr>
        <w:t>sharma</w:t>
      </w:r>
      <w:proofErr w:type="spellEnd"/>
      <w:r w:rsidRPr="00F95889">
        <w:rPr>
          <w:rFonts w:asciiTheme="majorHAnsi" w:hAnsiTheme="majorHAnsi" w:cstheme="majorHAnsi"/>
        </w:rPr>
        <w:t xml:space="preserve">, </w:t>
      </w:r>
      <w:proofErr w:type="spellStart"/>
      <w:r w:rsidRPr="00F95889">
        <w:rPr>
          <w:rFonts w:asciiTheme="majorHAnsi" w:hAnsiTheme="majorHAnsi" w:cstheme="majorHAnsi"/>
        </w:rPr>
        <w:t>jhalak</w:t>
      </w:r>
      <w:proofErr w:type="spellEnd"/>
      <w:r w:rsidRPr="00F95889">
        <w:rPr>
          <w:rFonts w:asciiTheme="majorHAnsi" w:hAnsiTheme="majorHAnsi" w:cstheme="majorHAnsi"/>
        </w:rPr>
        <w:t xml:space="preserve"> (2025). Top 11 Challenges of Inclusive Education - 21K School United States. [online] 21K School United States. Available at: https://www.21kschool.com/us/blog/challenges-of-inclusive-education/ [Accessed 31 Mar. 2025].</w:t>
      </w:r>
    </w:p>
    <w:p w14:paraId="5F9902D0" w14:textId="77777777" w:rsidR="00F442A2" w:rsidRPr="00F95889" w:rsidRDefault="00F442A2" w:rsidP="00F442A2">
      <w:pPr>
        <w:rPr>
          <w:rFonts w:asciiTheme="majorHAnsi" w:hAnsiTheme="majorHAnsi" w:cstheme="majorHAnsi"/>
        </w:rPr>
      </w:pPr>
    </w:p>
    <w:p w14:paraId="21EA0D07" w14:textId="7C8A01D9" w:rsidR="00F442A2" w:rsidRPr="00F95889" w:rsidRDefault="00F442A2" w:rsidP="00F442A2">
      <w:pPr>
        <w:rPr>
          <w:rFonts w:asciiTheme="majorHAnsi" w:hAnsiTheme="majorHAnsi" w:cstheme="majorHAnsi"/>
        </w:rPr>
      </w:pPr>
      <w:r w:rsidRPr="00F95889">
        <w:rPr>
          <w:rFonts w:asciiTheme="majorHAnsi" w:hAnsiTheme="majorHAnsi" w:cstheme="majorHAnsi"/>
        </w:rPr>
        <w:t xml:space="preserve">Smith, A., Jones, B. and Taylor, C. (2022) ‘Embedding diversity within the curriculum: Impact on pupils’ belonging and academic outcomes’, </w:t>
      </w:r>
      <w:r w:rsidRPr="00F95889">
        <w:rPr>
          <w:rStyle w:val="Emphasis"/>
          <w:rFonts w:asciiTheme="majorHAnsi" w:hAnsiTheme="majorHAnsi" w:cstheme="majorHAnsi"/>
        </w:rPr>
        <w:t>Journal of Educational Inclusion</w:t>
      </w:r>
      <w:r w:rsidRPr="00F95889">
        <w:rPr>
          <w:rFonts w:asciiTheme="majorHAnsi" w:hAnsiTheme="majorHAnsi" w:cstheme="majorHAnsi"/>
        </w:rPr>
        <w:t>, 15(3), pp. 45-60.</w:t>
      </w:r>
    </w:p>
    <w:p w14:paraId="5575CC87" w14:textId="23344A0F" w:rsidR="006A4BA0" w:rsidRPr="00F95889" w:rsidRDefault="006A4BA0" w:rsidP="00F442A2">
      <w:pPr>
        <w:rPr>
          <w:rFonts w:asciiTheme="majorHAnsi" w:hAnsiTheme="majorHAnsi" w:cstheme="majorHAnsi"/>
        </w:rPr>
      </w:pPr>
    </w:p>
    <w:p w14:paraId="7F4D3BB5" w14:textId="31BBE86C" w:rsidR="00F442A2" w:rsidRDefault="006A4BA0" w:rsidP="00F442A2">
      <w:pPr>
        <w:rPr>
          <w:rFonts w:asciiTheme="majorHAnsi" w:hAnsiTheme="majorHAnsi" w:cstheme="majorHAnsi"/>
        </w:rPr>
      </w:pPr>
      <w:r w:rsidRPr="00F95889">
        <w:rPr>
          <w:rStyle w:val="Strong"/>
          <w:rFonts w:asciiTheme="majorHAnsi" w:hAnsiTheme="majorHAnsi" w:cstheme="majorHAnsi"/>
          <w:b w:val="0"/>
          <w:bCs w:val="0"/>
        </w:rPr>
        <w:t>Loader, R. and Hughes, J., 2017.</w:t>
      </w:r>
      <w:r w:rsidR="00F95889" w:rsidRPr="00F95889">
        <w:rPr>
          <w:rFonts w:asciiTheme="majorHAnsi" w:hAnsiTheme="majorHAnsi" w:cstheme="majorHAnsi"/>
        </w:rPr>
        <w:t xml:space="preserve"> </w:t>
      </w:r>
      <w:r w:rsidRPr="00F95889">
        <w:rPr>
          <w:rFonts w:asciiTheme="majorHAnsi" w:hAnsiTheme="majorHAnsi" w:cstheme="majorHAnsi"/>
        </w:rPr>
        <w:t xml:space="preserve">Balancing cultural diversity and social cohesion in education: the potential of shared education in divided societies. </w:t>
      </w:r>
      <w:r w:rsidRPr="00F95889">
        <w:rPr>
          <w:rStyle w:val="Emphasis"/>
          <w:rFonts w:asciiTheme="majorHAnsi" w:hAnsiTheme="majorHAnsi" w:cstheme="majorHAnsi"/>
        </w:rPr>
        <w:t>British Journal of Educational Studies</w:t>
      </w:r>
      <w:r w:rsidRPr="00F95889">
        <w:rPr>
          <w:rFonts w:asciiTheme="majorHAnsi" w:hAnsiTheme="majorHAnsi" w:cstheme="majorHAnsi"/>
        </w:rPr>
        <w:t>, 65(1), pp.3–25.</w:t>
      </w:r>
      <w:r w:rsidRPr="00F95889">
        <w:rPr>
          <w:rFonts w:asciiTheme="majorHAnsi" w:hAnsiTheme="majorHAnsi" w:cstheme="majorHAnsi"/>
        </w:rPr>
        <w:br/>
        <w:t xml:space="preserve">Available at: </w:t>
      </w:r>
      <w:hyperlink r:id="rId9" w:history="1">
        <w:r w:rsidR="00E0411F" w:rsidRPr="00110C01">
          <w:rPr>
            <w:rStyle w:val="Hyperlink"/>
            <w:rFonts w:asciiTheme="majorHAnsi" w:hAnsiTheme="majorHAnsi" w:cstheme="majorHAnsi"/>
          </w:rPr>
          <w:t>https://doi.org/10.1080/00071005.2016.1254156</w:t>
        </w:r>
      </w:hyperlink>
    </w:p>
    <w:p w14:paraId="52866FCD" w14:textId="10D055F2" w:rsidR="00E0411F" w:rsidRDefault="00E0411F" w:rsidP="00F442A2">
      <w:pPr>
        <w:rPr>
          <w:rFonts w:asciiTheme="majorHAnsi" w:hAnsiTheme="majorHAnsi" w:cstheme="majorHAnsi"/>
        </w:rPr>
      </w:pPr>
    </w:p>
    <w:p w14:paraId="71A7223B" w14:textId="77777777" w:rsidR="00E0411F" w:rsidRPr="00E0411F" w:rsidRDefault="00E0411F" w:rsidP="00E0411F">
      <w:pPr>
        <w:rPr>
          <w:rFonts w:asciiTheme="majorHAnsi" w:hAnsiTheme="majorHAnsi" w:cstheme="majorHAnsi"/>
        </w:rPr>
      </w:pPr>
      <w:r w:rsidRPr="00E0411F">
        <w:rPr>
          <w:rFonts w:asciiTheme="majorHAnsi" w:hAnsiTheme="majorHAnsi" w:cstheme="majorHAnsi"/>
        </w:rPr>
        <w:t xml:space="preserve">Vygotsky, L.S. (1978) </w:t>
      </w:r>
      <w:r w:rsidRPr="00E0411F">
        <w:rPr>
          <w:rFonts w:asciiTheme="majorHAnsi" w:hAnsiTheme="majorHAnsi" w:cstheme="majorHAnsi"/>
          <w:i/>
          <w:iCs/>
        </w:rPr>
        <w:t>Mind in society: the development of higher psychological processes</w:t>
      </w:r>
      <w:r w:rsidRPr="00E0411F">
        <w:rPr>
          <w:rFonts w:asciiTheme="majorHAnsi" w:hAnsiTheme="majorHAnsi" w:cstheme="majorHAnsi"/>
        </w:rPr>
        <w:t>. Cambridge, MA: Harvard University Press.</w:t>
      </w:r>
    </w:p>
    <w:p w14:paraId="0F2351B0" w14:textId="0CB31544" w:rsidR="00F442A2" w:rsidRPr="00F95889" w:rsidRDefault="00F442A2" w:rsidP="00F442A2">
      <w:pPr>
        <w:rPr>
          <w:rFonts w:asciiTheme="majorHAnsi" w:hAnsiTheme="majorHAnsi" w:cstheme="majorHAnsi"/>
        </w:rPr>
      </w:pPr>
    </w:p>
    <w:p w14:paraId="27D1FFE0" w14:textId="77777777" w:rsidR="00F442A2" w:rsidRPr="00F95889" w:rsidRDefault="00F442A2" w:rsidP="00F442A2">
      <w:pPr>
        <w:rPr>
          <w:rFonts w:asciiTheme="majorHAnsi" w:hAnsiTheme="majorHAnsi" w:cstheme="majorHAnsi"/>
        </w:rPr>
      </w:pPr>
      <w:r w:rsidRPr="00F95889">
        <w:rPr>
          <w:rFonts w:asciiTheme="majorHAnsi" w:hAnsiTheme="majorHAnsi" w:cstheme="majorHAnsi"/>
        </w:rPr>
        <w:t>Welsh Government (2014). School development plans Guidance. [online] Available at: https://www.gov.wales/sites/default/files/publications/2018-03/school-development-plans.pdf.</w:t>
      </w:r>
    </w:p>
    <w:p w14:paraId="0D3A8E08" w14:textId="72BF51C2" w:rsidR="00713790" w:rsidRDefault="00713790" w:rsidP="00F9027D">
      <w:pPr>
        <w:spacing w:before="100" w:beforeAutospacing="1" w:after="100" w:afterAutospacing="1"/>
        <w:rPr>
          <w:rFonts w:asciiTheme="majorHAnsi" w:hAnsiTheme="majorHAnsi" w:cstheme="majorHAnsi"/>
        </w:rPr>
      </w:pPr>
      <w:r w:rsidRPr="00713790">
        <w:rPr>
          <w:rFonts w:asciiTheme="majorHAnsi" w:hAnsiTheme="majorHAnsi" w:cstheme="majorHAnsi"/>
        </w:rPr>
        <w:t xml:space="preserve">Welsh Government (2021) Black, Asian and Minority Ethnic Communities, Contributions and </w:t>
      </w:r>
      <w:proofErr w:type="spellStart"/>
      <w:r w:rsidRPr="00713790">
        <w:rPr>
          <w:rFonts w:asciiTheme="majorHAnsi" w:hAnsiTheme="majorHAnsi" w:cstheme="majorHAnsi"/>
        </w:rPr>
        <w:t>Cynefin</w:t>
      </w:r>
      <w:proofErr w:type="spellEnd"/>
      <w:r w:rsidRPr="00713790">
        <w:rPr>
          <w:rFonts w:asciiTheme="majorHAnsi" w:hAnsiTheme="majorHAnsi" w:cstheme="majorHAnsi"/>
        </w:rPr>
        <w:t xml:space="preserve"> in the New Curriculum Working Group Report. Available at: </w:t>
      </w:r>
      <w:hyperlink r:id="rId10" w:history="1">
        <w:r w:rsidR="00EC70C5" w:rsidRPr="00713790">
          <w:rPr>
            <w:rStyle w:val="Hyperlink"/>
            <w:rFonts w:asciiTheme="majorHAnsi" w:hAnsiTheme="majorHAnsi" w:cstheme="majorHAnsi"/>
          </w:rPr>
          <w:t>https://www.gov.wales/final-report-black-asian-and-minority-ethnic-communities-contributions-and-cynefin-new-curriculum</w:t>
        </w:r>
      </w:hyperlink>
    </w:p>
    <w:p w14:paraId="7AC9BDD3" w14:textId="5D0FC2DE" w:rsidR="00EC70C5" w:rsidRPr="00F9027D" w:rsidRDefault="00EC70C5" w:rsidP="00F9027D">
      <w:pPr>
        <w:spacing w:before="100" w:beforeAutospacing="1" w:after="100" w:afterAutospacing="1"/>
        <w:rPr>
          <w:rFonts w:asciiTheme="majorHAnsi" w:hAnsiTheme="majorHAnsi" w:cstheme="majorHAnsi"/>
        </w:rPr>
      </w:pPr>
      <w:r w:rsidRPr="00EC70C5">
        <w:rPr>
          <w:rFonts w:asciiTheme="majorHAnsi" w:hAnsiTheme="majorHAnsi" w:cstheme="majorHAnsi"/>
        </w:rPr>
        <w:t xml:space="preserve">Welsh Government (2022) </w:t>
      </w:r>
      <w:r w:rsidRPr="00EC70C5">
        <w:rPr>
          <w:rStyle w:val="Emphasis"/>
          <w:rFonts w:asciiTheme="majorHAnsi" w:hAnsiTheme="majorHAnsi" w:cstheme="majorHAnsi"/>
        </w:rPr>
        <w:t>Education in Wales: Our national mission. Update October 2022</w:t>
      </w:r>
      <w:r w:rsidRPr="00EC70C5">
        <w:rPr>
          <w:rFonts w:asciiTheme="majorHAnsi" w:hAnsiTheme="majorHAnsi" w:cstheme="majorHAnsi"/>
        </w:rPr>
        <w:t>. Cardiff: Welsh Government. Available at: https://www.gov.wales/education-wales-our-national-mission-update-october-2022 (Accessed: 5 April 2025).</w:t>
      </w:r>
    </w:p>
    <w:p w14:paraId="61855971" w14:textId="77777777" w:rsidR="00743D58" w:rsidRPr="00F95889" w:rsidRDefault="00743D58" w:rsidP="00743D58">
      <w:pPr>
        <w:rPr>
          <w:rFonts w:asciiTheme="majorHAnsi" w:hAnsiTheme="majorHAnsi" w:cstheme="majorHAnsi"/>
        </w:rPr>
      </w:pPr>
      <w:r w:rsidRPr="00F95889">
        <w:rPr>
          <w:rFonts w:asciiTheme="majorHAnsi" w:hAnsiTheme="majorHAnsi" w:cstheme="majorHAnsi"/>
        </w:rPr>
        <w:t xml:space="preserve">Welsh Government (2022). School improvement guidance: framework for evaluation, improvement and accountability - Hwb. [online] </w:t>
      </w:r>
      <w:proofErr w:type="spellStart"/>
      <w:proofErr w:type="gramStart"/>
      <w:r w:rsidRPr="00F95889">
        <w:rPr>
          <w:rFonts w:asciiTheme="majorHAnsi" w:hAnsiTheme="majorHAnsi" w:cstheme="majorHAnsi"/>
        </w:rPr>
        <w:t>hwb.gov.wales</w:t>
      </w:r>
      <w:proofErr w:type="spellEnd"/>
      <w:proofErr w:type="gramEnd"/>
      <w:r w:rsidRPr="00F95889">
        <w:rPr>
          <w:rFonts w:asciiTheme="majorHAnsi" w:hAnsiTheme="majorHAnsi" w:cstheme="majorHAnsi"/>
        </w:rPr>
        <w:t>. Available at: https://hwb.gov.wales/evaluation-improvement-and-accountability/school-improvement-guidance-framework-for-evaluation-improvement-and-accountability.</w:t>
      </w:r>
    </w:p>
    <w:p w14:paraId="5049E042" w14:textId="56D31EA5" w:rsidR="00743D58" w:rsidRPr="003D505F" w:rsidRDefault="00743D58" w:rsidP="003D505F">
      <w:pPr>
        <w:rPr>
          <w:rFonts w:asciiTheme="majorHAnsi" w:hAnsiTheme="majorHAnsi" w:cstheme="majorHAnsi"/>
        </w:rPr>
      </w:pPr>
    </w:p>
    <w:p w14:paraId="55C22041" w14:textId="77777777" w:rsidR="003D505F" w:rsidRPr="003D505F" w:rsidRDefault="003D505F" w:rsidP="003D505F">
      <w:pPr>
        <w:rPr>
          <w:rFonts w:asciiTheme="majorHAnsi" w:hAnsiTheme="majorHAnsi" w:cstheme="majorHAnsi"/>
        </w:rPr>
      </w:pPr>
      <w:r w:rsidRPr="003D505F">
        <w:rPr>
          <w:rFonts w:asciiTheme="majorHAnsi" w:hAnsiTheme="majorHAnsi" w:cstheme="majorHAnsi"/>
        </w:rPr>
        <w:t xml:space="preserve">Welsh Government (2023). Additional Learning Needs and Education Tribunal (Wales) Act 2018 | Law Wales. [online] </w:t>
      </w:r>
      <w:proofErr w:type="spellStart"/>
      <w:proofErr w:type="gramStart"/>
      <w:r w:rsidRPr="003D505F">
        <w:rPr>
          <w:rFonts w:asciiTheme="majorHAnsi" w:hAnsiTheme="majorHAnsi" w:cstheme="majorHAnsi"/>
        </w:rPr>
        <w:t>law.gov.wales</w:t>
      </w:r>
      <w:proofErr w:type="spellEnd"/>
      <w:proofErr w:type="gramEnd"/>
      <w:r w:rsidRPr="003D505F">
        <w:rPr>
          <w:rFonts w:asciiTheme="majorHAnsi" w:hAnsiTheme="majorHAnsi" w:cstheme="majorHAnsi"/>
        </w:rPr>
        <w:t>. Available at: https://law.gov.wales/additional-learning-needs-and-education-tribunal-wales-act-2018.</w:t>
      </w:r>
    </w:p>
    <w:p w14:paraId="7C4B7F3F" w14:textId="77777777" w:rsidR="003D505F" w:rsidRPr="00F95889" w:rsidRDefault="003D505F" w:rsidP="00F442A2">
      <w:pPr>
        <w:rPr>
          <w:rFonts w:asciiTheme="majorHAnsi" w:hAnsiTheme="majorHAnsi" w:cstheme="majorHAnsi"/>
          <w:color w:val="000000" w:themeColor="text1"/>
          <w:u w:val="single"/>
        </w:rPr>
      </w:pPr>
    </w:p>
    <w:sectPr w:rsidR="003D505F" w:rsidRPr="00F95889">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0D362" w14:textId="77777777" w:rsidR="00F36BF3" w:rsidRDefault="00F36BF3" w:rsidP="00F442A2">
      <w:r>
        <w:separator/>
      </w:r>
    </w:p>
  </w:endnote>
  <w:endnote w:type="continuationSeparator" w:id="0">
    <w:p w14:paraId="18655A4C" w14:textId="77777777" w:rsidR="00F36BF3" w:rsidRDefault="00F36BF3" w:rsidP="00F442A2">
      <w:r>
        <w:continuationSeparator/>
      </w:r>
    </w:p>
  </w:endnote>
  <w:endnote w:type="continuationNotice" w:id="1">
    <w:p w14:paraId="2A0342DA" w14:textId="77777777" w:rsidR="00F36BF3" w:rsidRDefault="00F36B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0714319"/>
      <w:docPartObj>
        <w:docPartGallery w:val="Page Numbers (Bottom of Page)"/>
        <w:docPartUnique/>
      </w:docPartObj>
    </w:sdtPr>
    <w:sdtEndPr>
      <w:rPr>
        <w:rStyle w:val="PageNumber"/>
      </w:rPr>
    </w:sdtEndPr>
    <w:sdtContent>
      <w:p w14:paraId="389FBA69" w14:textId="598D8A4E" w:rsidR="00F442A2" w:rsidRDefault="00F442A2" w:rsidP="00CC7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D098D4" w14:textId="77777777" w:rsidR="00F442A2" w:rsidRDefault="00F442A2" w:rsidP="00F442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1071730"/>
      <w:docPartObj>
        <w:docPartGallery w:val="Page Numbers (Bottom of Page)"/>
        <w:docPartUnique/>
      </w:docPartObj>
    </w:sdtPr>
    <w:sdtEndPr>
      <w:rPr>
        <w:rStyle w:val="PageNumber"/>
      </w:rPr>
    </w:sdtEndPr>
    <w:sdtContent>
      <w:p w14:paraId="2D6ED0FE" w14:textId="1B32007D" w:rsidR="00F442A2" w:rsidRDefault="00F442A2" w:rsidP="00CC79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889936" w14:textId="77777777" w:rsidR="00F442A2" w:rsidRDefault="00F442A2" w:rsidP="00F442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62B6F" w14:textId="77777777" w:rsidR="00F36BF3" w:rsidRDefault="00F36BF3" w:rsidP="00F442A2">
      <w:r>
        <w:separator/>
      </w:r>
    </w:p>
  </w:footnote>
  <w:footnote w:type="continuationSeparator" w:id="0">
    <w:p w14:paraId="438C7D00" w14:textId="77777777" w:rsidR="00F36BF3" w:rsidRDefault="00F36BF3" w:rsidP="00F442A2">
      <w:r>
        <w:continuationSeparator/>
      </w:r>
    </w:p>
  </w:footnote>
  <w:footnote w:type="continuationNotice" w:id="1">
    <w:p w14:paraId="5CA1F865" w14:textId="77777777" w:rsidR="00F36BF3" w:rsidRDefault="00F36B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8C0624" w14:textId="50D7A00F" w:rsidR="00F442A2" w:rsidRPr="00714C13" w:rsidRDefault="00F442A2">
    <w:pPr>
      <w:pStyle w:val="Header"/>
      <w:rPr>
        <w:rFonts w:asciiTheme="majorHAnsi" w:hAnsiTheme="majorHAnsi" w:cstheme="majorHAnsi"/>
      </w:rPr>
    </w:pPr>
    <w:r w:rsidRPr="00714C13">
      <w:rPr>
        <w:rFonts w:asciiTheme="majorHAnsi" w:hAnsiTheme="majorHAnsi" w:cstheme="majorHAnsi"/>
      </w:rPr>
      <w:t xml:space="preserve">ECAD6016                                                                                                                     Elle Evans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3A50"/>
    <w:multiLevelType w:val="multilevel"/>
    <w:tmpl w:val="A9325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80E58"/>
    <w:multiLevelType w:val="multilevel"/>
    <w:tmpl w:val="F7367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521B2"/>
    <w:multiLevelType w:val="multilevel"/>
    <w:tmpl w:val="E4C62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534F2"/>
    <w:multiLevelType w:val="multilevel"/>
    <w:tmpl w:val="DA94E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0C7E80"/>
    <w:multiLevelType w:val="multilevel"/>
    <w:tmpl w:val="A1B4E5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2770F2"/>
    <w:multiLevelType w:val="multilevel"/>
    <w:tmpl w:val="A8E83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847604"/>
    <w:multiLevelType w:val="hybridMultilevel"/>
    <w:tmpl w:val="FA16E78A"/>
    <w:lvl w:ilvl="0" w:tplc="BD445360">
      <w:start w:val="4"/>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201FF1"/>
    <w:multiLevelType w:val="multilevel"/>
    <w:tmpl w:val="338035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61589D"/>
    <w:multiLevelType w:val="multilevel"/>
    <w:tmpl w:val="A5308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BE47F5"/>
    <w:multiLevelType w:val="multilevel"/>
    <w:tmpl w:val="713C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0E24D4"/>
    <w:multiLevelType w:val="multilevel"/>
    <w:tmpl w:val="23967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CC47CB"/>
    <w:multiLevelType w:val="multilevel"/>
    <w:tmpl w:val="DC507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ED7211"/>
    <w:multiLevelType w:val="multilevel"/>
    <w:tmpl w:val="9FBEE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2B3409"/>
    <w:multiLevelType w:val="multilevel"/>
    <w:tmpl w:val="10EA2EA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7F73406E"/>
    <w:multiLevelType w:val="hybridMultilevel"/>
    <w:tmpl w:val="9E86F5C0"/>
    <w:lvl w:ilvl="0" w:tplc="46F6E284">
      <w:numFmt w:val="bullet"/>
      <w:lvlText w:val="-"/>
      <w:lvlJc w:val="left"/>
      <w:pPr>
        <w:ind w:left="720" w:hanging="360"/>
      </w:pPr>
      <w:rPr>
        <w:rFonts w:ascii="Segoe UI Historic" w:eastAsia="Times New Roman" w:hAnsi="Segoe UI Historic" w:cs="Segoe UI Histor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13"/>
  </w:num>
  <w:num w:numId="5">
    <w:abstractNumId w:val="4"/>
  </w:num>
  <w:num w:numId="6">
    <w:abstractNumId w:val="11"/>
  </w:num>
  <w:num w:numId="7">
    <w:abstractNumId w:val="0"/>
  </w:num>
  <w:num w:numId="8">
    <w:abstractNumId w:val="5"/>
  </w:num>
  <w:num w:numId="9">
    <w:abstractNumId w:val="12"/>
  </w:num>
  <w:num w:numId="10">
    <w:abstractNumId w:val="3"/>
  </w:num>
  <w:num w:numId="11">
    <w:abstractNumId w:val="8"/>
  </w:num>
  <w:num w:numId="12">
    <w:abstractNumId w:val="10"/>
  </w:num>
  <w:num w:numId="13">
    <w:abstractNumId w:val="9"/>
  </w:num>
  <w:num w:numId="14">
    <w:abstractNumId w:val="6"/>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2A2"/>
    <w:rsid w:val="000008FA"/>
    <w:rsid w:val="00000BD3"/>
    <w:rsid w:val="00002ED4"/>
    <w:rsid w:val="00006DA8"/>
    <w:rsid w:val="00012C17"/>
    <w:rsid w:val="000153D4"/>
    <w:rsid w:val="00021073"/>
    <w:rsid w:val="00021E83"/>
    <w:rsid w:val="000251CF"/>
    <w:rsid w:val="00027387"/>
    <w:rsid w:val="00027873"/>
    <w:rsid w:val="0003283F"/>
    <w:rsid w:val="0004627A"/>
    <w:rsid w:val="000528A7"/>
    <w:rsid w:val="00053D74"/>
    <w:rsid w:val="00054946"/>
    <w:rsid w:val="00086C25"/>
    <w:rsid w:val="00097514"/>
    <w:rsid w:val="000A65C4"/>
    <w:rsid w:val="000A7B4E"/>
    <w:rsid w:val="000B41C2"/>
    <w:rsid w:val="000B5DBD"/>
    <w:rsid w:val="000B62C5"/>
    <w:rsid w:val="000B6BF1"/>
    <w:rsid w:val="000C76D1"/>
    <w:rsid w:val="000E580B"/>
    <w:rsid w:val="000F4314"/>
    <w:rsid w:val="00100772"/>
    <w:rsid w:val="0010218F"/>
    <w:rsid w:val="00110F8F"/>
    <w:rsid w:val="00121C16"/>
    <w:rsid w:val="0012674E"/>
    <w:rsid w:val="00130DDF"/>
    <w:rsid w:val="00132933"/>
    <w:rsid w:val="00140B41"/>
    <w:rsid w:val="0014449F"/>
    <w:rsid w:val="00144BAD"/>
    <w:rsid w:val="001465BA"/>
    <w:rsid w:val="00146D79"/>
    <w:rsid w:val="00153EAC"/>
    <w:rsid w:val="0016344B"/>
    <w:rsid w:val="00172975"/>
    <w:rsid w:val="00173F24"/>
    <w:rsid w:val="00174070"/>
    <w:rsid w:val="00175781"/>
    <w:rsid w:val="00177772"/>
    <w:rsid w:val="00180BAE"/>
    <w:rsid w:val="00182C43"/>
    <w:rsid w:val="001878A1"/>
    <w:rsid w:val="00190A15"/>
    <w:rsid w:val="00196F65"/>
    <w:rsid w:val="001978D9"/>
    <w:rsid w:val="00197F66"/>
    <w:rsid w:val="001A23F2"/>
    <w:rsid w:val="001A5F73"/>
    <w:rsid w:val="001B0042"/>
    <w:rsid w:val="001B13AA"/>
    <w:rsid w:val="001B20C8"/>
    <w:rsid w:val="001C250E"/>
    <w:rsid w:val="001C6D32"/>
    <w:rsid w:val="001D1794"/>
    <w:rsid w:val="001D7CD0"/>
    <w:rsid w:val="001E17D1"/>
    <w:rsid w:val="001E427C"/>
    <w:rsid w:val="001E4895"/>
    <w:rsid w:val="001E4CD4"/>
    <w:rsid w:val="001F0ACF"/>
    <w:rsid w:val="001F5BA6"/>
    <w:rsid w:val="00202E06"/>
    <w:rsid w:val="002073A7"/>
    <w:rsid w:val="00213595"/>
    <w:rsid w:val="00221640"/>
    <w:rsid w:val="00221FDB"/>
    <w:rsid w:val="00223E62"/>
    <w:rsid w:val="00230C92"/>
    <w:rsid w:val="00237BE3"/>
    <w:rsid w:val="002441CA"/>
    <w:rsid w:val="00251EDB"/>
    <w:rsid w:val="002542C4"/>
    <w:rsid w:val="00263113"/>
    <w:rsid w:val="002734F6"/>
    <w:rsid w:val="00280F25"/>
    <w:rsid w:val="002918B9"/>
    <w:rsid w:val="002A0285"/>
    <w:rsid w:val="002A51DA"/>
    <w:rsid w:val="002A79FC"/>
    <w:rsid w:val="002B1910"/>
    <w:rsid w:val="002B6854"/>
    <w:rsid w:val="002B7B7D"/>
    <w:rsid w:val="002C0DA5"/>
    <w:rsid w:val="002C3343"/>
    <w:rsid w:val="002D4165"/>
    <w:rsid w:val="002D4224"/>
    <w:rsid w:val="002D5E49"/>
    <w:rsid w:val="002E47B2"/>
    <w:rsid w:val="002F1083"/>
    <w:rsid w:val="00303E9D"/>
    <w:rsid w:val="003050C2"/>
    <w:rsid w:val="00317E60"/>
    <w:rsid w:val="00320431"/>
    <w:rsid w:val="00322474"/>
    <w:rsid w:val="00323DA5"/>
    <w:rsid w:val="003445E0"/>
    <w:rsid w:val="00346153"/>
    <w:rsid w:val="00350F76"/>
    <w:rsid w:val="00356394"/>
    <w:rsid w:val="00361B6B"/>
    <w:rsid w:val="003645F3"/>
    <w:rsid w:val="003807A2"/>
    <w:rsid w:val="0038215E"/>
    <w:rsid w:val="00383854"/>
    <w:rsid w:val="00392986"/>
    <w:rsid w:val="003963FA"/>
    <w:rsid w:val="003A4E19"/>
    <w:rsid w:val="003B2F48"/>
    <w:rsid w:val="003C006C"/>
    <w:rsid w:val="003C03B5"/>
    <w:rsid w:val="003C26DD"/>
    <w:rsid w:val="003C302F"/>
    <w:rsid w:val="003C43D0"/>
    <w:rsid w:val="003C4D73"/>
    <w:rsid w:val="003D505F"/>
    <w:rsid w:val="003D5F6B"/>
    <w:rsid w:val="003E0541"/>
    <w:rsid w:val="003E0C18"/>
    <w:rsid w:val="003E2FD0"/>
    <w:rsid w:val="003F29D0"/>
    <w:rsid w:val="003F5539"/>
    <w:rsid w:val="0040301A"/>
    <w:rsid w:val="00406547"/>
    <w:rsid w:val="004072CB"/>
    <w:rsid w:val="004133B7"/>
    <w:rsid w:val="004330D3"/>
    <w:rsid w:val="00435EC3"/>
    <w:rsid w:val="0044256E"/>
    <w:rsid w:val="00443A2C"/>
    <w:rsid w:val="00450220"/>
    <w:rsid w:val="00451105"/>
    <w:rsid w:val="0045697D"/>
    <w:rsid w:val="004574C1"/>
    <w:rsid w:val="00462983"/>
    <w:rsid w:val="00474397"/>
    <w:rsid w:val="00476BB6"/>
    <w:rsid w:val="00476E2C"/>
    <w:rsid w:val="00480602"/>
    <w:rsid w:val="00486D70"/>
    <w:rsid w:val="0048763E"/>
    <w:rsid w:val="00490D42"/>
    <w:rsid w:val="00491770"/>
    <w:rsid w:val="00492284"/>
    <w:rsid w:val="00494DEF"/>
    <w:rsid w:val="004957B3"/>
    <w:rsid w:val="004A2041"/>
    <w:rsid w:val="004B2012"/>
    <w:rsid w:val="004B4D87"/>
    <w:rsid w:val="004B5272"/>
    <w:rsid w:val="004B7329"/>
    <w:rsid w:val="004C4192"/>
    <w:rsid w:val="004C43BB"/>
    <w:rsid w:val="004D7EBA"/>
    <w:rsid w:val="004E1882"/>
    <w:rsid w:val="004E6F00"/>
    <w:rsid w:val="004F21C3"/>
    <w:rsid w:val="004F22A2"/>
    <w:rsid w:val="004F7AAD"/>
    <w:rsid w:val="005014A1"/>
    <w:rsid w:val="005147A3"/>
    <w:rsid w:val="00523711"/>
    <w:rsid w:val="0054780D"/>
    <w:rsid w:val="00550358"/>
    <w:rsid w:val="005556E9"/>
    <w:rsid w:val="00560124"/>
    <w:rsid w:val="00560F46"/>
    <w:rsid w:val="005677CA"/>
    <w:rsid w:val="00573848"/>
    <w:rsid w:val="00577524"/>
    <w:rsid w:val="00577529"/>
    <w:rsid w:val="0058143A"/>
    <w:rsid w:val="00582D9F"/>
    <w:rsid w:val="005A654D"/>
    <w:rsid w:val="005B0146"/>
    <w:rsid w:val="005B517B"/>
    <w:rsid w:val="005C112B"/>
    <w:rsid w:val="005C53F0"/>
    <w:rsid w:val="005C6DFC"/>
    <w:rsid w:val="005D107B"/>
    <w:rsid w:val="005D2118"/>
    <w:rsid w:val="005D559C"/>
    <w:rsid w:val="005E1DFA"/>
    <w:rsid w:val="00601787"/>
    <w:rsid w:val="006058D3"/>
    <w:rsid w:val="0061799F"/>
    <w:rsid w:val="006523B3"/>
    <w:rsid w:val="006563A2"/>
    <w:rsid w:val="00656AB4"/>
    <w:rsid w:val="00661119"/>
    <w:rsid w:val="006644DD"/>
    <w:rsid w:val="0066468D"/>
    <w:rsid w:val="0067073B"/>
    <w:rsid w:val="006717BC"/>
    <w:rsid w:val="00673600"/>
    <w:rsid w:val="00674744"/>
    <w:rsid w:val="00675678"/>
    <w:rsid w:val="00695A46"/>
    <w:rsid w:val="00695C75"/>
    <w:rsid w:val="006967EE"/>
    <w:rsid w:val="006A4BA0"/>
    <w:rsid w:val="006A6955"/>
    <w:rsid w:val="006A7279"/>
    <w:rsid w:val="006B0476"/>
    <w:rsid w:val="006B13DD"/>
    <w:rsid w:val="006B2B9B"/>
    <w:rsid w:val="006C2ECF"/>
    <w:rsid w:val="006C3BA2"/>
    <w:rsid w:val="006D067F"/>
    <w:rsid w:val="006D2B40"/>
    <w:rsid w:val="006D4B88"/>
    <w:rsid w:val="006D4EE4"/>
    <w:rsid w:val="006E0AEB"/>
    <w:rsid w:val="006E21B7"/>
    <w:rsid w:val="006E6C73"/>
    <w:rsid w:val="006E70D7"/>
    <w:rsid w:val="006F7EA3"/>
    <w:rsid w:val="00701412"/>
    <w:rsid w:val="007036A3"/>
    <w:rsid w:val="00713790"/>
    <w:rsid w:val="00714C13"/>
    <w:rsid w:val="00715B92"/>
    <w:rsid w:val="00715EEE"/>
    <w:rsid w:val="0071681B"/>
    <w:rsid w:val="007240DF"/>
    <w:rsid w:val="00725660"/>
    <w:rsid w:val="007262DC"/>
    <w:rsid w:val="00731CB7"/>
    <w:rsid w:val="00732156"/>
    <w:rsid w:val="007333C3"/>
    <w:rsid w:val="00736111"/>
    <w:rsid w:val="00743D58"/>
    <w:rsid w:val="0074662C"/>
    <w:rsid w:val="00756169"/>
    <w:rsid w:val="00762769"/>
    <w:rsid w:val="00762C65"/>
    <w:rsid w:val="007667B8"/>
    <w:rsid w:val="00772F79"/>
    <w:rsid w:val="0077336E"/>
    <w:rsid w:val="00776184"/>
    <w:rsid w:val="00777CDF"/>
    <w:rsid w:val="00780BED"/>
    <w:rsid w:val="00790694"/>
    <w:rsid w:val="00790D03"/>
    <w:rsid w:val="0079280F"/>
    <w:rsid w:val="007A2360"/>
    <w:rsid w:val="007A3151"/>
    <w:rsid w:val="007A712D"/>
    <w:rsid w:val="007B0D31"/>
    <w:rsid w:val="007B48F5"/>
    <w:rsid w:val="007C34FC"/>
    <w:rsid w:val="007D19BE"/>
    <w:rsid w:val="007D29A3"/>
    <w:rsid w:val="007D627B"/>
    <w:rsid w:val="007E135F"/>
    <w:rsid w:val="007F46E4"/>
    <w:rsid w:val="007F77D8"/>
    <w:rsid w:val="00803B7A"/>
    <w:rsid w:val="008077EA"/>
    <w:rsid w:val="00807A3A"/>
    <w:rsid w:val="00812447"/>
    <w:rsid w:val="00812843"/>
    <w:rsid w:val="0081498B"/>
    <w:rsid w:val="0083665A"/>
    <w:rsid w:val="0083707A"/>
    <w:rsid w:val="008404BB"/>
    <w:rsid w:val="00841627"/>
    <w:rsid w:val="00845BDA"/>
    <w:rsid w:val="00854700"/>
    <w:rsid w:val="008603F0"/>
    <w:rsid w:val="008634D5"/>
    <w:rsid w:val="00863C38"/>
    <w:rsid w:val="0087383C"/>
    <w:rsid w:val="00876A97"/>
    <w:rsid w:val="00882759"/>
    <w:rsid w:val="00883094"/>
    <w:rsid w:val="008948CD"/>
    <w:rsid w:val="00896EAA"/>
    <w:rsid w:val="008A47F2"/>
    <w:rsid w:val="008A7CB2"/>
    <w:rsid w:val="008B00D2"/>
    <w:rsid w:val="008B012B"/>
    <w:rsid w:val="008B5B92"/>
    <w:rsid w:val="008C115A"/>
    <w:rsid w:val="008D2090"/>
    <w:rsid w:val="008D5D46"/>
    <w:rsid w:val="008E1CD1"/>
    <w:rsid w:val="008E3EDC"/>
    <w:rsid w:val="008E7E82"/>
    <w:rsid w:val="008F49F6"/>
    <w:rsid w:val="009101DA"/>
    <w:rsid w:val="00922A50"/>
    <w:rsid w:val="00922CC5"/>
    <w:rsid w:val="00923359"/>
    <w:rsid w:val="0092477C"/>
    <w:rsid w:val="00933CB3"/>
    <w:rsid w:val="009466E0"/>
    <w:rsid w:val="00955750"/>
    <w:rsid w:val="00965B00"/>
    <w:rsid w:val="00970A6D"/>
    <w:rsid w:val="0097334F"/>
    <w:rsid w:val="0097420E"/>
    <w:rsid w:val="0098003A"/>
    <w:rsid w:val="0098280E"/>
    <w:rsid w:val="00982E94"/>
    <w:rsid w:val="00984BFC"/>
    <w:rsid w:val="0098602C"/>
    <w:rsid w:val="00987292"/>
    <w:rsid w:val="009938F3"/>
    <w:rsid w:val="009A3965"/>
    <w:rsid w:val="009B1235"/>
    <w:rsid w:val="009C2B31"/>
    <w:rsid w:val="009D1E3F"/>
    <w:rsid w:val="009D6DA7"/>
    <w:rsid w:val="009F09A2"/>
    <w:rsid w:val="009F2B41"/>
    <w:rsid w:val="009F30E0"/>
    <w:rsid w:val="009F31E2"/>
    <w:rsid w:val="009F47C8"/>
    <w:rsid w:val="009F4981"/>
    <w:rsid w:val="00A07BAA"/>
    <w:rsid w:val="00A12088"/>
    <w:rsid w:val="00A1435E"/>
    <w:rsid w:val="00A22BE6"/>
    <w:rsid w:val="00A32227"/>
    <w:rsid w:val="00A32CF1"/>
    <w:rsid w:val="00A37F70"/>
    <w:rsid w:val="00A5273D"/>
    <w:rsid w:val="00A56C89"/>
    <w:rsid w:val="00A80B85"/>
    <w:rsid w:val="00A844D4"/>
    <w:rsid w:val="00A8548B"/>
    <w:rsid w:val="00A9352D"/>
    <w:rsid w:val="00AA4917"/>
    <w:rsid w:val="00AB48D2"/>
    <w:rsid w:val="00AB54CC"/>
    <w:rsid w:val="00AB581A"/>
    <w:rsid w:val="00AB733A"/>
    <w:rsid w:val="00AD0F81"/>
    <w:rsid w:val="00AD259C"/>
    <w:rsid w:val="00AF50E1"/>
    <w:rsid w:val="00B00B68"/>
    <w:rsid w:val="00B1029C"/>
    <w:rsid w:val="00B12A72"/>
    <w:rsid w:val="00B159D7"/>
    <w:rsid w:val="00B249B5"/>
    <w:rsid w:val="00B31922"/>
    <w:rsid w:val="00B463AF"/>
    <w:rsid w:val="00B46AFF"/>
    <w:rsid w:val="00B47B6B"/>
    <w:rsid w:val="00B57B45"/>
    <w:rsid w:val="00B605BA"/>
    <w:rsid w:val="00B75634"/>
    <w:rsid w:val="00B82CAA"/>
    <w:rsid w:val="00B84301"/>
    <w:rsid w:val="00B94AFF"/>
    <w:rsid w:val="00B95EF6"/>
    <w:rsid w:val="00B962DA"/>
    <w:rsid w:val="00B97DCC"/>
    <w:rsid w:val="00BA3D77"/>
    <w:rsid w:val="00BB16C1"/>
    <w:rsid w:val="00BB7496"/>
    <w:rsid w:val="00BB7ECE"/>
    <w:rsid w:val="00BC0437"/>
    <w:rsid w:val="00BC2413"/>
    <w:rsid w:val="00BC3176"/>
    <w:rsid w:val="00BD53AE"/>
    <w:rsid w:val="00BD580B"/>
    <w:rsid w:val="00BE27E5"/>
    <w:rsid w:val="00BE40B9"/>
    <w:rsid w:val="00BE45E1"/>
    <w:rsid w:val="00BE75AC"/>
    <w:rsid w:val="00C0673C"/>
    <w:rsid w:val="00C11F66"/>
    <w:rsid w:val="00C16418"/>
    <w:rsid w:val="00C24C66"/>
    <w:rsid w:val="00C27804"/>
    <w:rsid w:val="00C3111E"/>
    <w:rsid w:val="00C3315F"/>
    <w:rsid w:val="00C35F54"/>
    <w:rsid w:val="00C5774E"/>
    <w:rsid w:val="00C603D4"/>
    <w:rsid w:val="00C634A3"/>
    <w:rsid w:val="00C70E87"/>
    <w:rsid w:val="00C76205"/>
    <w:rsid w:val="00C77E90"/>
    <w:rsid w:val="00C82153"/>
    <w:rsid w:val="00C82363"/>
    <w:rsid w:val="00C836AD"/>
    <w:rsid w:val="00CA0AA2"/>
    <w:rsid w:val="00CA15A1"/>
    <w:rsid w:val="00CA2150"/>
    <w:rsid w:val="00CA22EA"/>
    <w:rsid w:val="00CD5D5A"/>
    <w:rsid w:val="00CE160E"/>
    <w:rsid w:val="00CF50CD"/>
    <w:rsid w:val="00D00FE5"/>
    <w:rsid w:val="00D03E2E"/>
    <w:rsid w:val="00D11C15"/>
    <w:rsid w:val="00D13A55"/>
    <w:rsid w:val="00D17C8C"/>
    <w:rsid w:val="00D25359"/>
    <w:rsid w:val="00D34821"/>
    <w:rsid w:val="00D43893"/>
    <w:rsid w:val="00D47752"/>
    <w:rsid w:val="00D56457"/>
    <w:rsid w:val="00D56D31"/>
    <w:rsid w:val="00D571AB"/>
    <w:rsid w:val="00D579CA"/>
    <w:rsid w:val="00D60425"/>
    <w:rsid w:val="00D65588"/>
    <w:rsid w:val="00D677B4"/>
    <w:rsid w:val="00D67821"/>
    <w:rsid w:val="00D701AB"/>
    <w:rsid w:val="00D72C56"/>
    <w:rsid w:val="00D72F09"/>
    <w:rsid w:val="00D76A5C"/>
    <w:rsid w:val="00D773AC"/>
    <w:rsid w:val="00D81A31"/>
    <w:rsid w:val="00DA2B8B"/>
    <w:rsid w:val="00DA300E"/>
    <w:rsid w:val="00DA3239"/>
    <w:rsid w:val="00DA4B67"/>
    <w:rsid w:val="00DA74D9"/>
    <w:rsid w:val="00DA7761"/>
    <w:rsid w:val="00DB2CC4"/>
    <w:rsid w:val="00DB685F"/>
    <w:rsid w:val="00DC0E73"/>
    <w:rsid w:val="00DC48B5"/>
    <w:rsid w:val="00DC518A"/>
    <w:rsid w:val="00DC6153"/>
    <w:rsid w:val="00DC6697"/>
    <w:rsid w:val="00DD1D82"/>
    <w:rsid w:val="00DD76B7"/>
    <w:rsid w:val="00DE2684"/>
    <w:rsid w:val="00DE6146"/>
    <w:rsid w:val="00DF1033"/>
    <w:rsid w:val="00DF66CB"/>
    <w:rsid w:val="00E01451"/>
    <w:rsid w:val="00E0411F"/>
    <w:rsid w:val="00E17E2E"/>
    <w:rsid w:val="00E27CA1"/>
    <w:rsid w:val="00E3104F"/>
    <w:rsid w:val="00E337F1"/>
    <w:rsid w:val="00E5075A"/>
    <w:rsid w:val="00E508DE"/>
    <w:rsid w:val="00E6066A"/>
    <w:rsid w:val="00E622BB"/>
    <w:rsid w:val="00E655A8"/>
    <w:rsid w:val="00E70F88"/>
    <w:rsid w:val="00E71D5E"/>
    <w:rsid w:val="00E759B1"/>
    <w:rsid w:val="00E771D5"/>
    <w:rsid w:val="00E774DF"/>
    <w:rsid w:val="00E8531B"/>
    <w:rsid w:val="00E90218"/>
    <w:rsid w:val="00E941D8"/>
    <w:rsid w:val="00E953A3"/>
    <w:rsid w:val="00E96648"/>
    <w:rsid w:val="00EA15EA"/>
    <w:rsid w:val="00EA1803"/>
    <w:rsid w:val="00EA1A22"/>
    <w:rsid w:val="00EB0511"/>
    <w:rsid w:val="00EB20B4"/>
    <w:rsid w:val="00EB3DED"/>
    <w:rsid w:val="00EB4544"/>
    <w:rsid w:val="00EB4D3A"/>
    <w:rsid w:val="00EB75B8"/>
    <w:rsid w:val="00EC1145"/>
    <w:rsid w:val="00EC70C5"/>
    <w:rsid w:val="00ED2E9A"/>
    <w:rsid w:val="00EF094C"/>
    <w:rsid w:val="00EF7551"/>
    <w:rsid w:val="00F0051F"/>
    <w:rsid w:val="00F006EF"/>
    <w:rsid w:val="00F056E1"/>
    <w:rsid w:val="00F12157"/>
    <w:rsid w:val="00F1261A"/>
    <w:rsid w:val="00F16061"/>
    <w:rsid w:val="00F171A2"/>
    <w:rsid w:val="00F2045A"/>
    <w:rsid w:val="00F24AB5"/>
    <w:rsid w:val="00F27166"/>
    <w:rsid w:val="00F33A0A"/>
    <w:rsid w:val="00F35970"/>
    <w:rsid w:val="00F36BF3"/>
    <w:rsid w:val="00F40C5B"/>
    <w:rsid w:val="00F4250A"/>
    <w:rsid w:val="00F42CA2"/>
    <w:rsid w:val="00F442A2"/>
    <w:rsid w:val="00F477B1"/>
    <w:rsid w:val="00F53D65"/>
    <w:rsid w:val="00F55A0E"/>
    <w:rsid w:val="00F610BF"/>
    <w:rsid w:val="00F70263"/>
    <w:rsid w:val="00F75F17"/>
    <w:rsid w:val="00F80847"/>
    <w:rsid w:val="00F811C2"/>
    <w:rsid w:val="00F86443"/>
    <w:rsid w:val="00F9027D"/>
    <w:rsid w:val="00F93AB1"/>
    <w:rsid w:val="00F95889"/>
    <w:rsid w:val="00F97F9A"/>
    <w:rsid w:val="00FA628B"/>
    <w:rsid w:val="00FC16DF"/>
    <w:rsid w:val="00FC4028"/>
    <w:rsid w:val="00FD054D"/>
    <w:rsid w:val="00FD2FE9"/>
    <w:rsid w:val="00FD3FDD"/>
    <w:rsid w:val="00FD6423"/>
    <w:rsid w:val="00FD75CA"/>
    <w:rsid w:val="00FE1372"/>
    <w:rsid w:val="00FE1377"/>
    <w:rsid w:val="00FE46A2"/>
    <w:rsid w:val="00FF1E08"/>
    <w:rsid w:val="00FF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6B478"/>
  <w15:chartTrackingRefBased/>
  <w15:docId w15:val="{2CAF5CE7-97ED-3D47-BA0F-7BF5EEAC8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0C5"/>
    <w:pPr>
      <w:spacing w:after="0"/>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149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42A2"/>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F442A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442A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442A2"/>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442A2"/>
    <w:rPr>
      <w:b/>
      <w:bCs/>
    </w:rPr>
  </w:style>
  <w:style w:type="paragraph" w:styleId="Header">
    <w:name w:val="header"/>
    <w:basedOn w:val="Normal"/>
    <w:link w:val="HeaderChar"/>
    <w:uiPriority w:val="99"/>
    <w:unhideWhenUsed/>
    <w:rsid w:val="00F442A2"/>
    <w:pPr>
      <w:tabs>
        <w:tab w:val="center" w:pos="4513"/>
        <w:tab w:val="right" w:pos="9026"/>
      </w:tabs>
    </w:pPr>
  </w:style>
  <w:style w:type="character" w:customStyle="1" w:styleId="HeaderChar">
    <w:name w:val="Header Char"/>
    <w:basedOn w:val="DefaultParagraphFont"/>
    <w:link w:val="Header"/>
    <w:uiPriority w:val="99"/>
    <w:rsid w:val="00F442A2"/>
  </w:style>
  <w:style w:type="paragraph" w:styleId="Footer">
    <w:name w:val="footer"/>
    <w:basedOn w:val="Normal"/>
    <w:link w:val="FooterChar"/>
    <w:uiPriority w:val="99"/>
    <w:unhideWhenUsed/>
    <w:rsid w:val="00F442A2"/>
    <w:pPr>
      <w:tabs>
        <w:tab w:val="center" w:pos="4513"/>
        <w:tab w:val="right" w:pos="9026"/>
      </w:tabs>
    </w:pPr>
  </w:style>
  <w:style w:type="character" w:customStyle="1" w:styleId="FooterChar">
    <w:name w:val="Footer Char"/>
    <w:basedOn w:val="DefaultParagraphFont"/>
    <w:link w:val="Footer"/>
    <w:uiPriority w:val="99"/>
    <w:rsid w:val="00F442A2"/>
  </w:style>
  <w:style w:type="character" w:styleId="PageNumber">
    <w:name w:val="page number"/>
    <w:basedOn w:val="DefaultParagraphFont"/>
    <w:uiPriority w:val="99"/>
    <w:semiHidden/>
    <w:unhideWhenUsed/>
    <w:rsid w:val="00F442A2"/>
  </w:style>
  <w:style w:type="character" w:styleId="Emphasis">
    <w:name w:val="Emphasis"/>
    <w:basedOn w:val="DefaultParagraphFont"/>
    <w:uiPriority w:val="20"/>
    <w:qFormat/>
    <w:rsid w:val="00F442A2"/>
    <w:rPr>
      <w:i/>
      <w:iCs/>
    </w:rPr>
  </w:style>
  <w:style w:type="character" w:styleId="Hyperlink">
    <w:name w:val="Hyperlink"/>
    <w:basedOn w:val="DefaultParagraphFont"/>
    <w:uiPriority w:val="99"/>
    <w:unhideWhenUsed/>
    <w:rsid w:val="00F442A2"/>
    <w:rPr>
      <w:color w:val="0563C1" w:themeColor="hyperlink"/>
      <w:u w:val="single"/>
    </w:rPr>
  </w:style>
  <w:style w:type="character" w:styleId="UnresolvedMention">
    <w:name w:val="Unresolved Mention"/>
    <w:basedOn w:val="DefaultParagraphFont"/>
    <w:uiPriority w:val="99"/>
    <w:semiHidden/>
    <w:unhideWhenUsed/>
    <w:rsid w:val="00F442A2"/>
    <w:rPr>
      <w:color w:val="605E5C"/>
      <w:shd w:val="clear" w:color="auto" w:fill="E1DFDD"/>
    </w:rPr>
  </w:style>
  <w:style w:type="paragraph" w:styleId="NormalWeb">
    <w:name w:val="Normal (Web)"/>
    <w:basedOn w:val="Normal"/>
    <w:uiPriority w:val="99"/>
    <w:semiHidden/>
    <w:unhideWhenUsed/>
    <w:rsid w:val="00714C13"/>
    <w:pPr>
      <w:spacing w:before="100" w:beforeAutospacing="1" w:after="100" w:afterAutospacing="1"/>
    </w:pPr>
  </w:style>
  <w:style w:type="character" w:customStyle="1" w:styleId="Heading1Char">
    <w:name w:val="Heading 1 Char"/>
    <w:basedOn w:val="DefaultParagraphFont"/>
    <w:link w:val="Heading1"/>
    <w:uiPriority w:val="9"/>
    <w:rsid w:val="0081498B"/>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E0411F"/>
    <w:rPr>
      <w:color w:val="954F72" w:themeColor="followedHyperlink"/>
      <w:u w:val="single"/>
    </w:rPr>
  </w:style>
  <w:style w:type="paragraph" w:styleId="ListParagraph">
    <w:name w:val="List Paragraph"/>
    <w:basedOn w:val="Normal"/>
    <w:uiPriority w:val="34"/>
    <w:qFormat/>
    <w:rsid w:val="006611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67885">
      <w:bodyDiv w:val="1"/>
      <w:marLeft w:val="0"/>
      <w:marRight w:val="0"/>
      <w:marTop w:val="0"/>
      <w:marBottom w:val="0"/>
      <w:divBdr>
        <w:top w:val="none" w:sz="0" w:space="0" w:color="auto"/>
        <w:left w:val="none" w:sz="0" w:space="0" w:color="auto"/>
        <w:bottom w:val="none" w:sz="0" w:space="0" w:color="auto"/>
        <w:right w:val="none" w:sz="0" w:space="0" w:color="auto"/>
      </w:divBdr>
    </w:div>
    <w:div w:id="72508981">
      <w:bodyDiv w:val="1"/>
      <w:marLeft w:val="0"/>
      <w:marRight w:val="0"/>
      <w:marTop w:val="0"/>
      <w:marBottom w:val="0"/>
      <w:divBdr>
        <w:top w:val="none" w:sz="0" w:space="0" w:color="auto"/>
        <w:left w:val="none" w:sz="0" w:space="0" w:color="auto"/>
        <w:bottom w:val="none" w:sz="0" w:space="0" w:color="auto"/>
        <w:right w:val="none" w:sz="0" w:space="0" w:color="auto"/>
      </w:divBdr>
    </w:div>
    <w:div w:id="93981013">
      <w:bodyDiv w:val="1"/>
      <w:marLeft w:val="0"/>
      <w:marRight w:val="0"/>
      <w:marTop w:val="0"/>
      <w:marBottom w:val="0"/>
      <w:divBdr>
        <w:top w:val="none" w:sz="0" w:space="0" w:color="auto"/>
        <w:left w:val="none" w:sz="0" w:space="0" w:color="auto"/>
        <w:bottom w:val="none" w:sz="0" w:space="0" w:color="auto"/>
        <w:right w:val="none" w:sz="0" w:space="0" w:color="auto"/>
      </w:divBdr>
    </w:div>
    <w:div w:id="190916796">
      <w:bodyDiv w:val="1"/>
      <w:marLeft w:val="0"/>
      <w:marRight w:val="0"/>
      <w:marTop w:val="0"/>
      <w:marBottom w:val="0"/>
      <w:divBdr>
        <w:top w:val="none" w:sz="0" w:space="0" w:color="auto"/>
        <w:left w:val="none" w:sz="0" w:space="0" w:color="auto"/>
        <w:bottom w:val="none" w:sz="0" w:space="0" w:color="auto"/>
        <w:right w:val="none" w:sz="0" w:space="0" w:color="auto"/>
      </w:divBdr>
    </w:div>
    <w:div w:id="287202567">
      <w:bodyDiv w:val="1"/>
      <w:marLeft w:val="0"/>
      <w:marRight w:val="0"/>
      <w:marTop w:val="0"/>
      <w:marBottom w:val="0"/>
      <w:divBdr>
        <w:top w:val="none" w:sz="0" w:space="0" w:color="auto"/>
        <w:left w:val="none" w:sz="0" w:space="0" w:color="auto"/>
        <w:bottom w:val="none" w:sz="0" w:space="0" w:color="auto"/>
        <w:right w:val="none" w:sz="0" w:space="0" w:color="auto"/>
      </w:divBdr>
    </w:div>
    <w:div w:id="312804941">
      <w:bodyDiv w:val="1"/>
      <w:marLeft w:val="0"/>
      <w:marRight w:val="0"/>
      <w:marTop w:val="0"/>
      <w:marBottom w:val="0"/>
      <w:divBdr>
        <w:top w:val="none" w:sz="0" w:space="0" w:color="auto"/>
        <w:left w:val="none" w:sz="0" w:space="0" w:color="auto"/>
        <w:bottom w:val="none" w:sz="0" w:space="0" w:color="auto"/>
        <w:right w:val="none" w:sz="0" w:space="0" w:color="auto"/>
      </w:divBdr>
    </w:div>
    <w:div w:id="495000036">
      <w:bodyDiv w:val="1"/>
      <w:marLeft w:val="0"/>
      <w:marRight w:val="0"/>
      <w:marTop w:val="0"/>
      <w:marBottom w:val="0"/>
      <w:divBdr>
        <w:top w:val="none" w:sz="0" w:space="0" w:color="auto"/>
        <w:left w:val="none" w:sz="0" w:space="0" w:color="auto"/>
        <w:bottom w:val="none" w:sz="0" w:space="0" w:color="auto"/>
        <w:right w:val="none" w:sz="0" w:space="0" w:color="auto"/>
      </w:divBdr>
    </w:div>
    <w:div w:id="551429548">
      <w:bodyDiv w:val="1"/>
      <w:marLeft w:val="0"/>
      <w:marRight w:val="0"/>
      <w:marTop w:val="0"/>
      <w:marBottom w:val="0"/>
      <w:divBdr>
        <w:top w:val="none" w:sz="0" w:space="0" w:color="auto"/>
        <w:left w:val="none" w:sz="0" w:space="0" w:color="auto"/>
        <w:bottom w:val="none" w:sz="0" w:space="0" w:color="auto"/>
        <w:right w:val="none" w:sz="0" w:space="0" w:color="auto"/>
      </w:divBdr>
    </w:div>
    <w:div w:id="569341647">
      <w:bodyDiv w:val="1"/>
      <w:marLeft w:val="0"/>
      <w:marRight w:val="0"/>
      <w:marTop w:val="0"/>
      <w:marBottom w:val="0"/>
      <w:divBdr>
        <w:top w:val="none" w:sz="0" w:space="0" w:color="auto"/>
        <w:left w:val="none" w:sz="0" w:space="0" w:color="auto"/>
        <w:bottom w:val="none" w:sz="0" w:space="0" w:color="auto"/>
        <w:right w:val="none" w:sz="0" w:space="0" w:color="auto"/>
      </w:divBdr>
    </w:div>
    <w:div w:id="696200837">
      <w:bodyDiv w:val="1"/>
      <w:marLeft w:val="0"/>
      <w:marRight w:val="0"/>
      <w:marTop w:val="0"/>
      <w:marBottom w:val="0"/>
      <w:divBdr>
        <w:top w:val="none" w:sz="0" w:space="0" w:color="auto"/>
        <w:left w:val="none" w:sz="0" w:space="0" w:color="auto"/>
        <w:bottom w:val="none" w:sz="0" w:space="0" w:color="auto"/>
        <w:right w:val="none" w:sz="0" w:space="0" w:color="auto"/>
      </w:divBdr>
    </w:div>
    <w:div w:id="764686908">
      <w:bodyDiv w:val="1"/>
      <w:marLeft w:val="0"/>
      <w:marRight w:val="0"/>
      <w:marTop w:val="0"/>
      <w:marBottom w:val="0"/>
      <w:divBdr>
        <w:top w:val="none" w:sz="0" w:space="0" w:color="auto"/>
        <w:left w:val="none" w:sz="0" w:space="0" w:color="auto"/>
        <w:bottom w:val="none" w:sz="0" w:space="0" w:color="auto"/>
        <w:right w:val="none" w:sz="0" w:space="0" w:color="auto"/>
      </w:divBdr>
    </w:div>
    <w:div w:id="857046275">
      <w:bodyDiv w:val="1"/>
      <w:marLeft w:val="0"/>
      <w:marRight w:val="0"/>
      <w:marTop w:val="0"/>
      <w:marBottom w:val="0"/>
      <w:divBdr>
        <w:top w:val="none" w:sz="0" w:space="0" w:color="auto"/>
        <w:left w:val="none" w:sz="0" w:space="0" w:color="auto"/>
        <w:bottom w:val="none" w:sz="0" w:space="0" w:color="auto"/>
        <w:right w:val="none" w:sz="0" w:space="0" w:color="auto"/>
      </w:divBdr>
    </w:div>
    <w:div w:id="903415158">
      <w:bodyDiv w:val="1"/>
      <w:marLeft w:val="0"/>
      <w:marRight w:val="0"/>
      <w:marTop w:val="0"/>
      <w:marBottom w:val="0"/>
      <w:divBdr>
        <w:top w:val="none" w:sz="0" w:space="0" w:color="auto"/>
        <w:left w:val="none" w:sz="0" w:space="0" w:color="auto"/>
        <w:bottom w:val="none" w:sz="0" w:space="0" w:color="auto"/>
        <w:right w:val="none" w:sz="0" w:space="0" w:color="auto"/>
      </w:divBdr>
    </w:div>
    <w:div w:id="1030954399">
      <w:bodyDiv w:val="1"/>
      <w:marLeft w:val="0"/>
      <w:marRight w:val="0"/>
      <w:marTop w:val="0"/>
      <w:marBottom w:val="0"/>
      <w:divBdr>
        <w:top w:val="none" w:sz="0" w:space="0" w:color="auto"/>
        <w:left w:val="none" w:sz="0" w:space="0" w:color="auto"/>
        <w:bottom w:val="none" w:sz="0" w:space="0" w:color="auto"/>
        <w:right w:val="none" w:sz="0" w:space="0" w:color="auto"/>
      </w:divBdr>
      <w:divsChild>
        <w:div w:id="163713781">
          <w:marLeft w:val="0"/>
          <w:marRight w:val="0"/>
          <w:marTop w:val="0"/>
          <w:marBottom w:val="0"/>
          <w:divBdr>
            <w:top w:val="none" w:sz="0" w:space="0" w:color="auto"/>
            <w:left w:val="none" w:sz="0" w:space="0" w:color="auto"/>
            <w:bottom w:val="none" w:sz="0" w:space="0" w:color="auto"/>
            <w:right w:val="none" w:sz="0" w:space="0" w:color="auto"/>
          </w:divBdr>
          <w:divsChild>
            <w:div w:id="2005425085">
              <w:marLeft w:val="0"/>
              <w:marRight w:val="0"/>
              <w:marTop w:val="0"/>
              <w:marBottom w:val="0"/>
              <w:divBdr>
                <w:top w:val="none" w:sz="0" w:space="0" w:color="auto"/>
                <w:left w:val="none" w:sz="0" w:space="0" w:color="auto"/>
                <w:bottom w:val="none" w:sz="0" w:space="0" w:color="auto"/>
                <w:right w:val="none" w:sz="0" w:space="0" w:color="auto"/>
              </w:divBdr>
              <w:divsChild>
                <w:div w:id="82383623">
                  <w:marLeft w:val="0"/>
                  <w:marRight w:val="0"/>
                  <w:marTop w:val="0"/>
                  <w:marBottom w:val="0"/>
                  <w:divBdr>
                    <w:top w:val="none" w:sz="0" w:space="0" w:color="auto"/>
                    <w:left w:val="none" w:sz="0" w:space="0" w:color="auto"/>
                    <w:bottom w:val="none" w:sz="0" w:space="0" w:color="auto"/>
                    <w:right w:val="none" w:sz="0" w:space="0" w:color="auto"/>
                  </w:divBdr>
                </w:div>
              </w:divsChild>
            </w:div>
            <w:div w:id="189731113">
              <w:marLeft w:val="0"/>
              <w:marRight w:val="0"/>
              <w:marTop w:val="0"/>
              <w:marBottom w:val="0"/>
              <w:divBdr>
                <w:top w:val="none" w:sz="0" w:space="0" w:color="auto"/>
                <w:left w:val="none" w:sz="0" w:space="0" w:color="auto"/>
                <w:bottom w:val="none" w:sz="0" w:space="0" w:color="auto"/>
                <w:right w:val="none" w:sz="0" w:space="0" w:color="auto"/>
              </w:divBdr>
              <w:divsChild>
                <w:div w:id="1935817822">
                  <w:marLeft w:val="0"/>
                  <w:marRight w:val="0"/>
                  <w:marTop w:val="0"/>
                  <w:marBottom w:val="0"/>
                  <w:divBdr>
                    <w:top w:val="none" w:sz="0" w:space="0" w:color="auto"/>
                    <w:left w:val="none" w:sz="0" w:space="0" w:color="auto"/>
                    <w:bottom w:val="none" w:sz="0" w:space="0" w:color="auto"/>
                    <w:right w:val="none" w:sz="0" w:space="0" w:color="auto"/>
                  </w:divBdr>
                </w:div>
              </w:divsChild>
            </w:div>
            <w:div w:id="1621183445">
              <w:marLeft w:val="0"/>
              <w:marRight w:val="0"/>
              <w:marTop w:val="0"/>
              <w:marBottom w:val="0"/>
              <w:divBdr>
                <w:top w:val="none" w:sz="0" w:space="0" w:color="auto"/>
                <w:left w:val="none" w:sz="0" w:space="0" w:color="auto"/>
                <w:bottom w:val="none" w:sz="0" w:space="0" w:color="auto"/>
                <w:right w:val="none" w:sz="0" w:space="0" w:color="auto"/>
              </w:divBdr>
              <w:divsChild>
                <w:div w:id="1883714683">
                  <w:marLeft w:val="0"/>
                  <w:marRight w:val="0"/>
                  <w:marTop w:val="0"/>
                  <w:marBottom w:val="0"/>
                  <w:divBdr>
                    <w:top w:val="none" w:sz="0" w:space="0" w:color="auto"/>
                    <w:left w:val="none" w:sz="0" w:space="0" w:color="auto"/>
                    <w:bottom w:val="none" w:sz="0" w:space="0" w:color="auto"/>
                    <w:right w:val="none" w:sz="0" w:space="0" w:color="auto"/>
                  </w:divBdr>
                </w:div>
              </w:divsChild>
            </w:div>
            <w:div w:id="42171196">
              <w:marLeft w:val="0"/>
              <w:marRight w:val="0"/>
              <w:marTop w:val="0"/>
              <w:marBottom w:val="0"/>
              <w:divBdr>
                <w:top w:val="none" w:sz="0" w:space="0" w:color="auto"/>
                <w:left w:val="none" w:sz="0" w:space="0" w:color="auto"/>
                <w:bottom w:val="none" w:sz="0" w:space="0" w:color="auto"/>
                <w:right w:val="none" w:sz="0" w:space="0" w:color="auto"/>
              </w:divBdr>
              <w:divsChild>
                <w:div w:id="942418894">
                  <w:marLeft w:val="0"/>
                  <w:marRight w:val="0"/>
                  <w:marTop w:val="0"/>
                  <w:marBottom w:val="0"/>
                  <w:divBdr>
                    <w:top w:val="none" w:sz="0" w:space="0" w:color="auto"/>
                    <w:left w:val="none" w:sz="0" w:space="0" w:color="auto"/>
                    <w:bottom w:val="none" w:sz="0" w:space="0" w:color="auto"/>
                    <w:right w:val="none" w:sz="0" w:space="0" w:color="auto"/>
                  </w:divBdr>
                </w:div>
              </w:divsChild>
            </w:div>
            <w:div w:id="2076469318">
              <w:marLeft w:val="0"/>
              <w:marRight w:val="0"/>
              <w:marTop w:val="0"/>
              <w:marBottom w:val="0"/>
              <w:divBdr>
                <w:top w:val="none" w:sz="0" w:space="0" w:color="auto"/>
                <w:left w:val="none" w:sz="0" w:space="0" w:color="auto"/>
                <w:bottom w:val="none" w:sz="0" w:space="0" w:color="auto"/>
                <w:right w:val="none" w:sz="0" w:space="0" w:color="auto"/>
              </w:divBdr>
              <w:divsChild>
                <w:div w:id="1789272049">
                  <w:marLeft w:val="0"/>
                  <w:marRight w:val="0"/>
                  <w:marTop w:val="0"/>
                  <w:marBottom w:val="0"/>
                  <w:divBdr>
                    <w:top w:val="none" w:sz="0" w:space="0" w:color="auto"/>
                    <w:left w:val="none" w:sz="0" w:space="0" w:color="auto"/>
                    <w:bottom w:val="none" w:sz="0" w:space="0" w:color="auto"/>
                    <w:right w:val="none" w:sz="0" w:space="0" w:color="auto"/>
                  </w:divBdr>
                </w:div>
              </w:divsChild>
            </w:div>
            <w:div w:id="392318804">
              <w:marLeft w:val="0"/>
              <w:marRight w:val="0"/>
              <w:marTop w:val="0"/>
              <w:marBottom w:val="0"/>
              <w:divBdr>
                <w:top w:val="none" w:sz="0" w:space="0" w:color="auto"/>
                <w:left w:val="none" w:sz="0" w:space="0" w:color="auto"/>
                <w:bottom w:val="none" w:sz="0" w:space="0" w:color="auto"/>
                <w:right w:val="none" w:sz="0" w:space="0" w:color="auto"/>
              </w:divBdr>
              <w:divsChild>
                <w:div w:id="1725371701">
                  <w:marLeft w:val="0"/>
                  <w:marRight w:val="0"/>
                  <w:marTop w:val="0"/>
                  <w:marBottom w:val="0"/>
                  <w:divBdr>
                    <w:top w:val="none" w:sz="0" w:space="0" w:color="auto"/>
                    <w:left w:val="none" w:sz="0" w:space="0" w:color="auto"/>
                    <w:bottom w:val="none" w:sz="0" w:space="0" w:color="auto"/>
                    <w:right w:val="none" w:sz="0" w:space="0" w:color="auto"/>
                  </w:divBdr>
                </w:div>
              </w:divsChild>
            </w:div>
            <w:div w:id="1098258344">
              <w:marLeft w:val="0"/>
              <w:marRight w:val="0"/>
              <w:marTop w:val="0"/>
              <w:marBottom w:val="0"/>
              <w:divBdr>
                <w:top w:val="none" w:sz="0" w:space="0" w:color="auto"/>
                <w:left w:val="none" w:sz="0" w:space="0" w:color="auto"/>
                <w:bottom w:val="none" w:sz="0" w:space="0" w:color="auto"/>
                <w:right w:val="none" w:sz="0" w:space="0" w:color="auto"/>
              </w:divBdr>
              <w:divsChild>
                <w:div w:id="202408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12647">
      <w:bodyDiv w:val="1"/>
      <w:marLeft w:val="0"/>
      <w:marRight w:val="0"/>
      <w:marTop w:val="0"/>
      <w:marBottom w:val="0"/>
      <w:divBdr>
        <w:top w:val="none" w:sz="0" w:space="0" w:color="auto"/>
        <w:left w:val="none" w:sz="0" w:space="0" w:color="auto"/>
        <w:bottom w:val="none" w:sz="0" w:space="0" w:color="auto"/>
        <w:right w:val="none" w:sz="0" w:space="0" w:color="auto"/>
      </w:divBdr>
    </w:div>
    <w:div w:id="1146356841">
      <w:bodyDiv w:val="1"/>
      <w:marLeft w:val="0"/>
      <w:marRight w:val="0"/>
      <w:marTop w:val="0"/>
      <w:marBottom w:val="0"/>
      <w:divBdr>
        <w:top w:val="none" w:sz="0" w:space="0" w:color="auto"/>
        <w:left w:val="none" w:sz="0" w:space="0" w:color="auto"/>
        <w:bottom w:val="none" w:sz="0" w:space="0" w:color="auto"/>
        <w:right w:val="none" w:sz="0" w:space="0" w:color="auto"/>
      </w:divBdr>
    </w:div>
    <w:div w:id="1154956926">
      <w:bodyDiv w:val="1"/>
      <w:marLeft w:val="0"/>
      <w:marRight w:val="0"/>
      <w:marTop w:val="0"/>
      <w:marBottom w:val="0"/>
      <w:divBdr>
        <w:top w:val="none" w:sz="0" w:space="0" w:color="auto"/>
        <w:left w:val="none" w:sz="0" w:space="0" w:color="auto"/>
        <w:bottom w:val="none" w:sz="0" w:space="0" w:color="auto"/>
        <w:right w:val="none" w:sz="0" w:space="0" w:color="auto"/>
      </w:divBdr>
    </w:div>
    <w:div w:id="1159076429">
      <w:bodyDiv w:val="1"/>
      <w:marLeft w:val="0"/>
      <w:marRight w:val="0"/>
      <w:marTop w:val="0"/>
      <w:marBottom w:val="0"/>
      <w:divBdr>
        <w:top w:val="none" w:sz="0" w:space="0" w:color="auto"/>
        <w:left w:val="none" w:sz="0" w:space="0" w:color="auto"/>
        <w:bottom w:val="none" w:sz="0" w:space="0" w:color="auto"/>
        <w:right w:val="none" w:sz="0" w:space="0" w:color="auto"/>
      </w:divBdr>
    </w:div>
    <w:div w:id="1191409402">
      <w:bodyDiv w:val="1"/>
      <w:marLeft w:val="0"/>
      <w:marRight w:val="0"/>
      <w:marTop w:val="0"/>
      <w:marBottom w:val="0"/>
      <w:divBdr>
        <w:top w:val="none" w:sz="0" w:space="0" w:color="auto"/>
        <w:left w:val="none" w:sz="0" w:space="0" w:color="auto"/>
        <w:bottom w:val="none" w:sz="0" w:space="0" w:color="auto"/>
        <w:right w:val="none" w:sz="0" w:space="0" w:color="auto"/>
      </w:divBdr>
    </w:div>
    <w:div w:id="1211458084">
      <w:bodyDiv w:val="1"/>
      <w:marLeft w:val="0"/>
      <w:marRight w:val="0"/>
      <w:marTop w:val="0"/>
      <w:marBottom w:val="0"/>
      <w:divBdr>
        <w:top w:val="none" w:sz="0" w:space="0" w:color="auto"/>
        <w:left w:val="none" w:sz="0" w:space="0" w:color="auto"/>
        <w:bottom w:val="none" w:sz="0" w:space="0" w:color="auto"/>
        <w:right w:val="none" w:sz="0" w:space="0" w:color="auto"/>
      </w:divBdr>
    </w:div>
    <w:div w:id="1241600383">
      <w:bodyDiv w:val="1"/>
      <w:marLeft w:val="0"/>
      <w:marRight w:val="0"/>
      <w:marTop w:val="0"/>
      <w:marBottom w:val="0"/>
      <w:divBdr>
        <w:top w:val="none" w:sz="0" w:space="0" w:color="auto"/>
        <w:left w:val="none" w:sz="0" w:space="0" w:color="auto"/>
        <w:bottom w:val="none" w:sz="0" w:space="0" w:color="auto"/>
        <w:right w:val="none" w:sz="0" w:space="0" w:color="auto"/>
      </w:divBdr>
    </w:div>
    <w:div w:id="1295915604">
      <w:bodyDiv w:val="1"/>
      <w:marLeft w:val="0"/>
      <w:marRight w:val="0"/>
      <w:marTop w:val="0"/>
      <w:marBottom w:val="0"/>
      <w:divBdr>
        <w:top w:val="none" w:sz="0" w:space="0" w:color="auto"/>
        <w:left w:val="none" w:sz="0" w:space="0" w:color="auto"/>
        <w:bottom w:val="none" w:sz="0" w:space="0" w:color="auto"/>
        <w:right w:val="none" w:sz="0" w:space="0" w:color="auto"/>
      </w:divBdr>
    </w:div>
    <w:div w:id="1304115618">
      <w:bodyDiv w:val="1"/>
      <w:marLeft w:val="0"/>
      <w:marRight w:val="0"/>
      <w:marTop w:val="0"/>
      <w:marBottom w:val="0"/>
      <w:divBdr>
        <w:top w:val="none" w:sz="0" w:space="0" w:color="auto"/>
        <w:left w:val="none" w:sz="0" w:space="0" w:color="auto"/>
        <w:bottom w:val="none" w:sz="0" w:space="0" w:color="auto"/>
        <w:right w:val="none" w:sz="0" w:space="0" w:color="auto"/>
      </w:divBdr>
    </w:div>
    <w:div w:id="1307929191">
      <w:bodyDiv w:val="1"/>
      <w:marLeft w:val="0"/>
      <w:marRight w:val="0"/>
      <w:marTop w:val="0"/>
      <w:marBottom w:val="0"/>
      <w:divBdr>
        <w:top w:val="none" w:sz="0" w:space="0" w:color="auto"/>
        <w:left w:val="none" w:sz="0" w:space="0" w:color="auto"/>
        <w:bottom w:val="none" w:sz="0" w:space="0" w:color="auto"/>
        <w:right w:val="none" w:sz="0" w:space="0" w:color="auto"/>
      </w:divBdr>
    </w:div>
    <w:div w:id="1458527798">
      <w:bodyDiv w:val="1"/>
      <w:marLeft w:val="0"/>
      <w:marRight w:val="0"/>
      <w:marTop w:val="0"/>
      <w:marBottom w:val="0"/>
      <w:divBdr>
        <w:top w:val="none" w:sz="0" w:space="0" w:color="auto"/>
        <w:left w:val="none" w:sz="0" w:space="0" w:color="auto"/>
        <w:bottom w:val="none" w:sz="0" w:space="0" w:color="auto"/>
        <w:right w:val="none" w:sz="0" w:space="0" w:color="auto"/>
      </w:divBdr>
    </w:div>
    <w:div w:id="1468932742">
      <w:bodyDiv w:val="1"/>
      <w:marLeft w:val="0"/>
      <w:marRight w:val="0"/>
      <w:marTop w:val="0"/>
      <w:marBottom w:val="0"/>
      <w:divBdr>
        <w:top w:val="none" w:sz="0" w:space="0" w:color="auto"/>
        <w:left w:val="none" w:sz="0" w:space="0" w:color="auto"/>
        <w:bottom w:val="none" w:sz="0" w:space="0" w:color="auto"/>
        <w:right w:val="none" w:sz="0" w:space="0" w:color="auto"/>
      </w:divBdr>
    </w:div>
    <w:div w:id="1490748488">
      <w:bodyDiv w:val="1"/>
      <w:marLeft w:val="0"/>
      <w:marRight w:val="0"/>
      <w:marTop w:val="0"/>
      <w:marBottom w:val="0"/>
      <w:divBdr>
        <w:top w:val="none" w:sz="0" w:space="0" w:color="auto"/>
        <w:left w:val="none" w:sz="0" w:space="0" w:color="auto"/>
        <w:bottom w:val="none" w:sz="0" w:space="0" w:color="auto"/>
        <w:right w:val="none" w:sz="0" w:space="0" w:color="auto"/>
      </w:divBdr>
      <w:divsChild>
        <w:div w:id="1001809853">
          <w:marLeft w:val="0"/>
          <w:marRight w:val="0"/>
          <w:marTop w:val="0"/>
          <w:marBottom w:val="0"/>
          <w:divBdr>
            <w:top w:val="none" w:sz="0" w:space="0" w:color="auto"/>
            <w:left w:val="none" w:sz="0" w:space="0" w:color="auto"/>
            <w:bottom w:val="none" w:sz="0" w:space="0" w:color="auto"/>
            <w:right w:val="none" w:sz="0" w:space="0" w:color="auto"/>
          </w:divBdr>
          <w:divsChild>
            <w:div w:id="566111493">
              <w:marLeft w:val="0"/>
              <w:marRight w:val="0"/>
              <w:marTop w:val="0"/>
              <w:marBottom w:val="0"/>
              <w:divBdr>
                <w:top w:val="none" w:sz="0" w:space="0" w:color="auto"/>
                <w:left w:val="none" w:sz="0" w:space="0" w:color="auto"/>
                <w:bottom w:val="none" w:sz="0" w:space="0" w:color="auto"/>
                <w:right w:val="none" w:sz="0" w:space="0" w:color="auto"/>
              </w:divBdr>
              <w:divsChild>
                <w:div w:id="1627471257">
                  <w:marLeft w:val="0"/>
                  <w:marRight w:val="0"/>
                  <w:marTop w:val="0"/>
                  <w:marBottom w:val="0"/>
                  <w:divBdr>
                    <w:top w:val="none" w:sz="0" w:space="0" w:color="auto"/>
                    <w:left w:val="none" w:sz="0" w:space="0" w:color="auto"/>
                    <w:bottom w:val="none" w:sz="0" w:space="0" w:color="auto"/>
                    <w:right w:val="none" w:sz="0" w:space="0" w:color="auto"/>
                  </w:divBdr>
                  <w:divsChild>
                    <w:div w:id="1885553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847862">
      <w:bodyDiv w:val="1"/>
      <w:marLeft w:val="0"/>
      <w:marRight w:val="0"/>
      <w:marTop w:val="0"/>
      <w:marBottom w:val="0"/>
      <w:divBdr>
        <w:top w:val="none" w:sz="0" w:space="0" w:color="auto"/>
        <w:left w:val="none" w:sz="0" w:space="0" w:color="auto"/>
        <w:bottom w:val="none" w:sz="0" w:space="0" w:color="auto"/>
        <w:right w:val="none" w:sz="0" w:space="0" w:color="auto"/>
      </w:divBdr>
    </w:div>
    <w:div w:id="1574662962">
      <w:bodyDiv w:val="1"/>
      <w:marLeft w:val="0"/>
      <w:marRight w:val="0"/>
      <w:marTop w:val="0"/>
      <w:marBottom w:val="0"/>
      <w:divBdr>
        <w:top w:val="none" w:sz="0" w:space="0" w:color="auto"/>
        <w:left w:val="none" w:sz="0" w:space="0" w:color="auto"/>
        <w:bottom w:val="none" w:sz="0" w:space="0" w:color="auto"/>
        <w:right w:val="none" w:sz="0" w:space="0" w:color="auto"/>
      </w:divBdr>
    </w:div>
    <w:div w:id="1577133230">
      <w:bodyDiv w:val="1"/>
      <w:marLeft w:val="0"/>
      <w:marRight w:val="0"/>
      <w:marTop w:val="0"/>
      <w:marBottom w:val="0"/>
      <w:divBdr>
        <w:top w:val="none" w:sz="0" w:space="0" w:color="auto"/>
        <w:left w:val="none" w:sz="0" w:space="0" w:color="auto"/>
        <w:bottom w:val="none" w:sz="0" w:space="0" w:color="auto"/>
        <w:right w:val="none" w:sz="0" w:space="0" w:color="auto"/>
      </w:divBdr>
      <w:divsChild>
        <w:div w:id="433526324">
          <w:marLeft w:val="0"/>
          <w:marRight w:val="0"/>
          <w:marTop w:val="0"/>
          <w:marBottom w:val="0"/>
          <w:divBdr>
            <w:top w:val="none" w:sz="0" w:space="0" w:color="auto"/>
            <w:left w:val="none" w:sz="0" w:space="0" w:color="auto"/>
            <w:bottom w:val="none" w:sz="0" w:space="0" w:color="auto"/>
            <w:right w:val="none" w:sz="0" w:space="0" w:color="auto"/>
          </w:divBdr>
        </w:div>
      </w:divsChild>
    </w:div>
    <w:div w:id="1633515818">
      <w:bodyDiv w:val="1"/>
      <w:marLeft w:val="0"/>
      <w:marRight w:val="0"/>
      <w:marTop w:val="0"/>
      <w:marBottom w:val="0"/>
      <w:divBdr>
        <w:top w:val="none" w:sz="0" w:space="0" w:color="auto"/>
        <w:left w:val="none" w:sz="0" w:space="0" w:color="auto"/>
        <w:bottom w:val="none" w:sz="0" w:space="0" w:color="auto"/>
        <w:right w:val="none" w:sz="0" w:space="0" w:color="auto"/>
      </w:divBdr>
    </w:div>
    <w:div w:id="1801922329">
      <w:bodyDiv w:val="1"/>
      <w:marLeft w:val="0"/>
      <w:marRight w:val="0"/>
      <w:marTop w:val="0"/>
      <w:marBottom w:val="0"/>
      <w:divBdr>
        <w:top w:val="none" w:sz="0" w:space="0" w:color="auto"/>
        <w:left w:val="none" w:sz="0" w:space="0" w:color="auto"/>
        <w:bottom w:val="none" w:sz="0" w:space="0" w:color="auto"/>
        <w:right w:val="none" w:sz="0" w:space="0" w:color="auto"/>
      </w:divBdr>
    </w:div>
    <w:div w:id="1809084736">
      <w:bodyDiv w:val="1"/>
      <w:marLeft w:val="0"/>
      <w:marRight w:val="0"/>
      <w:marTop w:val="0"/>
      <w:marBottom w:val="0"/>
      <w:divBdr>
        <w:top w:val="none" w:sz="0" w:space="0" w:color="auto"/>
        <w:left w:val="none" w:sz="0" w:space="0" w:color="auto"/>
        <w:bottom w:val="none" w:sz="0" w:space="0" w:color="auto"/>
        <w:right w:val="none" w:sz="0" w:space="0" w:color="auto"/>
      </w:divBdr>
    </w:div>
    <w:div w:id="1823502393">
      <w:bodyDiv w:val="1"/>
      <w:marLeft w:val="0"/>
      <w:marRight w:val="0"/>
      <w:marTop w:val="0"/>
      <w:marBottom w:val="0"/>
      <w:divBdr>
        <w:top w:val="none" w:sz="0" w:space="0" w:color="auto"/>
        <w:left w:val="none" w:sz="0" w:space="0" w:color="auto"/>
        <w:bottom w:val="none" w:sz="0" w:space="0" w:color="auto"/>
        <w:right w:val="none" w:sz="0" w:space="0" w:color="auto"/>
      </w:divBdr>
    </w:div>
    <w:div w:id="1876385865">
      <w:bodyDiv w:val="1"/>
      <w:marLeft w:val="0"/>
      <w:marRight w:val="0"/>
      <w:marTop w:val="0"/>
      <w:marBottom w:val="0"/>
      <w:divBdr>
        <w:top w:val="none" w:sz="0" w:space="0" w:color="auto"/>
        <w:left w:val="none" w:sz="0" w:space="0" w:color="auto"/>
        <w:bottom w:val="none" w:sz="0" w:space="0" w:color="auto"/>
        <w:right w:val="none" w:sz="0" w:space="0" w:color="auto"/>
      </w:divBdr>
    </w:div>
    <w:div w:id="1885871595">
      <w:bodyDiv w:val="1"/>
      <w:marLeft w:val="0"/>
      <w:marRight w:val="0"/>
      <w:marTop w:val="0"/>
      <w:marBottom w:val="0"/>
      <w:divBdr>
        <w:top w:val="none" w:sz="0" w:space="0" w:color="auto"/>
        <w:left w:val="none" w:sz="0" w:space="0" w:color="auto"/>
        <w:bottom w:val="none" w:sz="0" w:space="0" w:color="auto"/>
        <w:right w:val="none" w:sz="0" w:space="0" w:color="auto"/>
      </w:divBdr>
    </w:div>
    <w:div w:id="1896236219">
      <w:bodyDiv w:val="1"/>
      <w:marLeft w:val="0"/>
      <w:marRight w:val="0"/>
      <w:marTop w:val="0"/>
      <w:marBottom w:val="0"/>
      <w:divBdr>
        <w:top w:val="none" w:sz="0" w:space="0" w:color="auto"/>
        <w:left w:val="none" w:sz="0" w:space="0" w:color="auto"/>
        <w:bottom w:val="none" w:sz="0" w:space="0" w:color="auto"/>
        <w:right w:val="none" w:sz="0" w:space="0" w:color="auto"/>
      </w:divBdr>
      <w:divsChild>
        <w:div w:id="1537351658">
          <w:marLeft w:val="0"/>
          <w:marRight w:val="0"/>
          <w:marTop w:val="0"/>
          <w:marBottom w:val="0"/>
          <w:divBdr>
            <w:top w:val="none" w:sz="0" w:space="0" w:color="auto"/>
            <w:left w:val="none" w:sz="0" w:space="0" w:color="auto"/>
            <w:bottom w:val="none" w:sz="0" w:space="0" w:color="auto"/>
            <w:right w:val="none" w:sz="0" w:space="0" w:color="auto"/>
          </w:divBdr>
          <w:divsChild>
            <w:div w:id="1705979496">
              <w:marLeft w:val="0"/>
              <w:marRight w:val="0"/>
              <w:marTop w:val="0"/>
              <w:marBottom w:val="0"/>
              <w:divBdr>
                <w:top w:val="none" w:sz="0" w:space="0" w:color="auto"/>
                <w:left w:val="none" w:sz="0" w:space="0" w:color="auto"/>
                <w:bottom w:val="none" w:sz="0" w:space="0" w:color="auto"/>
                <w:right w:val="none" w:sz="0" w:space="0" w:color="auto"/>
              </w:divBdr>
              <w:divsChild>
                <w:div w:id="789737302">
                  <w:marLeft w:val="0"/>
                  <w:marRight w:val="0"/>
                  <w:marTop w:val="0"/>
                  <w:marBottom w:val="0"/>
                  <w:divBdr>
                    <w:top w:val="none" w:sz="0" w:space="0" w:color="auto"/>
                    <w:left w:val="none" w:sz="0" w:space="0" w:color="auto"/>
                    <w:bottom w:val="none" w:sz="0" w:space="0" w:color="auto"/>
                    <w:right w:val="none" w:sz="0" w:space="0" w:color="auto"/>
                  </w:divBdr>
                  <w:divsChild>
                    <w:div w:id="73127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805753">
      <w:bodyDiv w:val="1"/>
      <w:marLeft w:val="0"/>
      <w:marRight w:val="0"/>
      <w:marTop w:val="0"/>
      <w:marBottom w:val="0"/>
      <w:divBdr>
        <w:top w:val="none" w:sz="0" w:space="0" w:color="auto"/>
        <w:left w:val="none" w:sz="0" w:space="0" w:color="auto"/>
        <w:bottom w:val="none" w:sz="0" w:space="0" w:color="auto"/>
        <w:right w:val="none" w:sz="0" w:space="0" w:color="auto"/>
      </w:divBdr>
    </w:div>
    <w:div w:id="1921524989">
      <w:bodyDiv w:val="1"/>
      <w:marLeft w:val="0"/>
      <w:marRight w:val="0"/>
      <w:marTop w:val="0"/>
      <w:marBottom w:val="0"/>
      <w:divBdr>
        <w:top w:val="none" w:sz="0" w:space="0" w:color="auto"/>
        <w:left w:val="none" w:sz="0" w:space="0" w:color="auto"/>
        <w:bottom w:val="none" w:sz="0" w:space="0" w:color="auto"/>
        <w:right w:val="none" w:sz="0" w:space="0" w:color="auto"/>
      </w:divBdr>
    </w:div>
    <w:div w:id="2025665321">
      <w:bodyDiv w:val="1"/>
      <w:marLeft w:val="0"/>
      <w:marRight w:val="0"/>
      <w:marTop w:val="0"/>
      <w:marBottom w:val="0"/>
      <w:divBdr>
        <w:top w:val="none" w:sz="0" w:space="0" w:color="auto"/>
        <w:left w:val="none" w:sz="0" w:space="0" w:color="auto"/>
        <w:bottom w:val="none" w:sz="0" w:space="0" w:color="auto"/>
        <w:right w:val="none" w:sz="0" w:space="0" w:color="auto"/>
      </w:divBdr>
    </w:div>
    <w:div w:id="2033070655">
      <w:bodyDiv w:val="1"/>
      <w:marLeft w:val="0"/>
      <w:marRight w:val="0"/>
      <w:marTop w:val="0"/>
      <w:marBottom w:val="0"/>
      <w:divBdr>
        <w:top w:val="none" w:sz="0" w:space="0" w:color="auto"/>
        <w:left w:val="none" w:sz="0" w:space="0" w:color="auto"/>
        <w:bottom w:val="none" w:sz="0" w:space="0" w:color="auto"/>
        <w:right w:val="none" w:sz="0" w:space="0" w:color="auto"/>
      </w:divBdr>
    </w:div>
    <w:div w:id="2044165963">
      <w:bodyDiv w:val="1"/>
      <w:marLeft w:val="0"/>
      <w:marRight w:val="0"/>
      <w:marTop w:val="0"/>
      <w:marBottom w:val="0"/>
      <w:divBdr>
        <w:top w:val="none" w:sz="0" w:space="0" w:color="auto"/>
        <w:left w:val="none" w:sz="0" w:space="0" w:color="auto"/>
        <w:bottom w:val="none" w:sz="0" w:space="0" w:color="auto"/>
        <w:right w:val="none" w:sz="0" w:space="0" w:color="auto"/>
      </w:divBdr>
    </w:div>
    <w:div w:id="2058891474">
      <w:bodyDiv w:val="1"/>
      <w:marLeft w:val="0"/>
      <w:marRight w:val="0"/>
      <w:marTop w:val="0"/>
      <w:marBottom w:val="0"/>
      <w:divBdr>
        <w:top w:val="none" w:sz="0" w:space="0" w:color="auto"/>
        <w:left w:val="none" w:sz="0" w:space="0" w:color="auto"/>
        <w:bottom w:val="none" w:sz="0" w:space="0" w:color="auto"/>
        <w:right w:val="none" w:sz="0" w:space="0" w:color="auto"/>
      </w:divBdr>
    </w:div>
    <w:div w:id="2064206800">
      <w:bodyDiv w:val="1"/>
      <w:marLeft w:val="0"/>
      <w:marRight w:val="0"/>
      <w:marTop w:val="0"/>
      <w:marBottom w:val="0"/>
      <w:divBdr>
        <w:top w:val="none" w:sz="0" w:space="0" w:color="auto"/>
        <w:left w:val="none" w:sz="0" w:space="0" w:color="auto"/>
        <w:bottom w:val="none" w:sz="0" w:space="0" w:color="auto"/>
        <w:right w:val="none" w:sz="0" w:space="0" w:color="auto"/>
      </w:divBdr>
    </w:div>
    <w:div w:id="2067101980">
      <w:bodyDiv w:val="1"/>
      <w:marLeft w:val="0"/>
      <w:marRight w:val="0"/>
      <w:marTop w:val="0"/>
      <w:marBottom w:val="0"/>
      <w:divBdr>
        <w:top w:val="none" w:sz="0" w:space="0" w:color="auto"/>
        <w:left w:val="none" w:sz="0" w:space="0" w:color="auto"/>
        <w:bottom w:val="none" w:sz="0" w:space="0" w:color="auto"/>
        <w:right w:val="none" w:sz="0" w:space="0" w:color="auto"/>
      </w:divBdr>
    </w:div>
    <w:div w:id="2081828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fifth-edition-2024"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wales/final-report-black-asian-and-minority-ethnic-communities-contributions-and-cynefin-new-curriculum" TargetMode="External"/><Relationship Id="rId4" Type="http://schemas.openxmlformats.org/officeDocument/2006/relationships/webSettings" Target="webSettings.xml"/><Relationship Id="rId9" Type="http://schemas.openxmlformats.org/officeDocument/2006/relationships/hyperlink" Target="https://doi.org/10.1080/00071005.2016.125415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16481</CharactersWithSpaces>
  <SharedDoc>false</SharedDoc>
  <HLinks>
    <vt:vector size="6" baseType="variant">
      <vt:variant>
        <vt:i4>5636170</vt:i4>
      </vt:variant>
      <vt:variant>
        <vt:i4>3</vt:i4>
      </vt:variant>
      <vt:variant>
        <vt:i4>0</vt:i4>
      </vt:variant>
      <vt:variant>
        <vt:i4>5</vt:i4>
      </vt:variant>
      <vt:variant>
        <vt:lpwstr>https://www.bera.ac.uk/publication/ethical-guidelines-for-educational-research-fifth-edition-2024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Evans (2200034)</dc:creator>
  <cp:keywords/>
  <dc:description/>
  <cp:lastModifiedBy>Elle Evans (2200034)</cp:lastModifiedBy>
  <cp:revision>2</cp:revision>
  <dcterms:created xsi:type="dcterms:W3CDTF">2025-04-26T10:51:00Z</dcterms:created>
  <dcterms:modified xsi:type="dcterms:W3CDTF">2025-04-26T10:51:00Z</dcterms:modified>
</cp:coreProperties>
</file>