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64D37" w14:textId="5384DD26" w:rsidR="00B3212A" w:rsidRPr="00E674BE" w:rsidRDefault="00B3212A" w:rsidP="00B3212A">
      <w:pPr>
        <w:jc w:val="right"/>
        <w:rPr>
          <w:color w:val="AEAAAA" w:themeColor="background2" w:themeShade="BF"/>
          <w:sz w:val="18"/>
        </w:rPr>
      </w:pPr>
      <w:r w:rsidRPr="00E674BE">
        <w:rPr>
          <w:color w:val="AEAAAA" w:themeColor="background2" w:themeShade="BF"/>
          <w:sz w:val="18"/>
        </w:rPr>
        <w:t>1600127</w:t>
      </w:r>
    </w:p>
    <w:p w14:paraId="56168C78" w14:textId="0255C57F" w:rsidR="001F03D7" w:rsidRPr="00B3212A" w:rsidRDefault="00A345F4">
      <w:pPr>
        <w:rPr>
          <w:b/>
          <w:u w:val="single"/>
        </w:rPr>
      </w:pPr>
      <w:r w:rsidRPr="00B3212A">
        <w:rPr>
          <w:b/>
          <w:u w:val="single"/>
        </w:rPr>
        <w:t>How complete was the Norman conquest and colonisation of England by 1100?</w:t>
      </w:r>
    </w:p>
    <w:p w14:paraId="0772C93E" w14:textId="6234E986" w:rsidR="00DA6C32" w:rsidRDefault="007F40B0">
      <w:r>
        <w:t xml:space="preserve">Before </w:t>
      </w:r>
      <w:r w:rsidR="00594130">
        <w:t>fully exploring the ways in which William I of England, more commonly known as William the Conqueror, and his Norman successors colonised England, it is important to understand the context of the country before the Norman conquest in 1066 and the relationship between Normandy and England in the years leading up to this. In the year 991, the English King Aethelred II with the help of the Pope, coined an agreement between England and Duke Richard II, who ruled Normandy at the time that meant there was peace between them.</w:t>
      </w:r>
      <w:r w:rsidR="00CC79C2">
        <w:rPr>
          <w:rStyle w:val="FootnoteReference"/>
        </w:rPr>
        <w:footnoteReference w:id="1"/>
      </w:r>
      <w:r w:rsidR="00594130">
        <w:t xml:space="preserve"> This treaty of peace was strengthened in the year 1002 by the alliance that led to the marriage between Richard</w:t>
      </w:r>
      <w:r w:rsidR="006C75EB">
        <w:t xml:space="preserve"> II</w:t>
      </w:r>
      <w:r w:rsidR="00594130">
        <w:t xml:space="preserve"> of Normandy’s sister Emma and Aethelred II.</w:t>
      </w:r>
      <w:r w:rsidR="00CC79C2">
        <w:rPr>
          <w:rStyle w:val="FootnoteReference"/>
        </w:rPr>
        <w:footnoteReference w:id="2"/>
      </w:r>
      <w:r w:rsidR="001F03D7">
        <w:t xml:space="preserve"> </w:t>
      </w:r>
      <w:r w:rsidR="00EA5377">
        <w:t xml:space="preserve">According to </w:t>
      </w:r>
      <w:r w:rsidR="00DA6C32">
        <w:t>Orderic Vitalis, a Benedictine monk and English chronicler</w:t>
      </w:r>
      <w:r w:rsidR="00D67BBF">
        <w:t xml:space="preserve">, it is through Aethelred II’s marriage to Emma that </w:t>
      </w:r>
      <w:r w:rsidR="001D5E8D">
        <w:t>the Normans “won power over England”.</w:t>
      </w:r>
      <w:r w:rsidR="001D5E8D">
        <w:rPr>
          <w:rStyle w:val="FootnoteReference"/>
        </w:rPr>
        <w:footnoteReference w:id="3"/>
      </w:r>
      <w:r w:rsidR="001D5E8D">
        <w:t xml:space="preserve"> Modern historians view Orderic Vitalis as a highly reliable source and his </w:t>
      </w:r>
      <w:r w:rsidR="00A1511B">
        <w:t>chronicles written between the 11</w:t>
      </w:r>
      <w:r w:rsidR="00A1511B" w:rsidRPr="00A1511B">
        <w:rPr>
          <w:vertAlign w:val="superscript"/>
        </w:rPr>
        <w:t>th</w:t>
      </w:r>
      <w:r w:rsidR="00A1511B">
        <w:t xml:space="preserve"> and 12</w:t>
      </w:r>
      <w:r w:rsidR="00A1511B" w:rsidRPr="00A1511B">
        <w:rPr>
          <w:vertAlign w:val="superscript"/>
        </w:rPr>
        <w:t>th</w:t>
      </w:r>
      <w:r w:rsidR="00A1511B">
        <w:t xml:space="preserve"> centuries </w:t>
      </w:r>
      <w:r w:rsidR="00E86E01">
        <w:t xml:space="preserve">are vital for exploring the early Norman </w:t>
      </w:r>
      <w:r w:rsidR="00652423">
        <w:t>role in English history.</w:t>
      </w:r>
      <w:r w:rsidR="00652423">
        <w:rPr>
          <w:rStyle w:val="FootnoteReference"/>
        </w:rPr>
        <w:footnoteReference w:id="4"/>
      </w:r>
      <w:r w:rsidR="00E41944">
        <w:t xml:space="preserve"> One of the main reasons Emma </w:t>
      </w:r>
      <w:r w:rsidR="00074CBC">
        <w:t xml:space="preserve">holds the key to the Norman conquest in England is due to her marriage occasioning the first significant </w:t>
      </w:r>
      <w:r w:rsidR="00DC3B31">
        <w:t>Norman settlement in England.</w:t>
      </w:r>
      <w:r w:rsidR="00DC3B31">
        <w:rPr>
          <w:rStyle w:val="FootnoteReference"/>
        </w:rPr>
        <w:footnoteReference w:id="5"/>
      </w:r>
      <w:r w:rsidR="00DC3B31">
        <w:t xml:space="preserve"> After the death of Aethelred II </w:t>
      </w:r>
      <w:r w:rsidR="00D93E2A">
        <w:t>in 1016</w:t>
      </w:r>
      <w:r w:rsidR="00D93E2A">
        <w:rPr>
          <w:rStyle w:val="FootnoteReference"/>
        </w:rPr>
        <w:footnoteReference w:id="6"/>
      </w:r>
      <w:r w:rsidR="00D93E2A">
        <w:t xml:space="preserve"> Emma goes on to marr</w:t>
      </w:r>
      <w:r w:rsidR="003C7A1C">
        <w:t>y</w:t>
      </w:r>
      <w:r w:rsidR="00D93E2A">
        <w:t xml:space="preserve"> his</w:t>
      </w:r>
      <w:r w:rsidR="004F647F">
        <w:t xml:space="preserve"> Danish</w:t>
      </w:r>
      <w:r w:rsidR="00D93E2A">
        <w:t xml:space="preserve"> successor Cnut </w:t>
      </w:r>
      <w:r w:rsidR="004F647F">
        <w:t>ensuring a continued Norman presence in England.</w:t>
      </w:r>
      <w:r w:rsidR="004F647F">
        <w:rPr>
          <w:rStyle w:val="FootnoteReference"/>
        </w:rPr>
        <w:footnoteReference w:id="7"/>
      </w:r>
      <w:r w:rsidR="004F647F">
        <w:t xml:space="preserve"> </w:t>
      </w:r>
      <w:r w:rsidR="001D5E8D">
        <w:t>However, relations between the English and the Normans were never idyllic, and many later sources depict negotiations between Richard II of Normandy and King Swegn of Denmark, an enemy of the English.</w:t>
      </w:r>
      <w:r w:rsidR="001D5E8D">
        <w:rPr>
          <w:rStyle w:val="FootnoteReference"/>
        </w:rPr>
        <w:footnoteReference w:id="8"/>
      </w:r>
      <w:r w:rsidR="001D5E8D">
        <w:t xml:space="preserve"> These consultations are said to have continued throughout Aethelred II’s reign and mostly consisted of the planning of an attack by Swegn and his forces against the English.</w:t>
      </w:r>
      <w:r w:rsidR="001D5E8D">
        <w:rPr>
          <w:rStyle w:val="FootnoteReference"/>
        </w:rPr>
        <w:footnoteReference w:id="9"/>
      </w:r>
      <w:r w:rsidR="004F647F">
        <w:t xml:space="preserve"> </w:t>
      </w:r>
    </w:p>
    <w:p w14:paraId="67C3CA2D" w14:textId="63FBB529" w:rsidR="00281D01" w:rsidRDefault="00C33BF1" w:rsidP="00C33BF1">
      <w:r>
        <w:t>When using the term ‘conquest’ in its dictionary definition, as “the subjugation and assumption of control of a place or people by military force”,</w:t>
      </w:r>
      <w:r>
        <w:rPr>
          <w:rStyle w:val="FootnoteReference"/>
        </w:rPr>
        <w:footnoteReference w:id="10"/>
      </w:r>
      <w:r>
        <w:t xml:space="preserve"> </w:t>
      </w:r>
      <w:r w:rsidR="00C37A41">
        <w:t xml:space="preserve">it can be interpreted that </w:t>
      </w:r>
      <w:r w:rsidR="00561808">
        <w:t xml:space="preserve">a conquest in complete when the party receives what they sort out for, in the case of the Norman conquest of England, </w:t>
      </w:r>
      <w:r w:rsidR="007E6A60">
        <w:t>that being the throne.</w:t>
      </w:r>
      <w:r w:rsidR="00270B54">
        <w:t xml:space="preserve"> </w:t>
      </w:r>
      <w:r w:rsidR="007F2EAB">
        <w:t xml:space="preserve">The Norman conquest </w:t>
      </w:r>
      <w:r w:rsidR="008C17FA">
        <w:t>began on Thursday 28</w:t>
      </w:r>
      <w:r w:rsidR="008C17FA" w:rsidRPr="008C17FA">
        <w:rPr>
          <w:vertAlign w:val="superscript"/>
        </w:rPr>
        <w:t>th</w:t>
      </w:r>
      <w:r w:rsidR="008C17FA">
        <w:t xml:space="preserve"> September 1066</w:t>
      </w:r>
      <w:r w:rsidR="00B20B2A">
        <w:t>.</w:t>
      </w:r>
      <w:r w:rsidR="008C17FA">
        <w:rPr>
          <w:rStyle w:val="FootnoteReference"/>
        </w:rPr>
        <w:footnoteReference w:id="11"/>
      </w:r>
      <w:r w:rsidR="008C17FA">
        <w:t xml:space="preserve"> </w:t>
      </w:r>
      <w:r w:rsidR="00B51F5E">
        <w:t xml:space="preserve">William, the bastard Duke of Normandy and Count of Rouen </w:t>
      </w:r>
      <w:r w:rsidR="008209AB">
        <w:t>sailed along the English coastline aboard the Mora, his flagship which had been a gift from his wife, the Duchess Matilda.</w:t>
      </w:r>
      <w:r w:rsidR="008209AB">
        <w:rPr>
          <w:rStyle w:val="FootnoteReference"/>
        </w:rPr>
        <w:footnoteReference w:id="12"/>
      </w:r>
      <w:r w:rsidR="008209AB">
        <w:t xml:space="preserve"> </w:t>
      </w:r>
      <w:r w:rsidR="004A1773">
        <w:t>Upon his arrival in England, many sources say that William</w:t>
      </w:r>
      <w:r w:rsidR="0045363E">
        <w:t xml:space="preserve"> the Conqueror tripped and fell during his first steps on English land,</w:t>
      </w:r>
      <w:r w:rsidR="0045363E">
        <w:rPr>
          <w:rStyle w:val="FootnoteReference"/>
        </w:rPr>
        <w:footnoteReference w:id="13"/>
      </w:r>
      <w:r w:rsidR="0045363E">
        <w:t xml:space="preserve"> which would usually be considered a bad omen. However, </w:t>
      </w:r>
      <w:r w:rsidR="00131879">
        <w:t xml:space="preserve">William FitzOsbern, one of the Duke’s men, upon the Duke’s rising saw that in his hands he </w:t>
      </w:r>
      <w:r w:rsidR="00E32A6E">
        <w:t>clutched handfuls of the earth. FitzOsbern is said to have cried “You have England in your grasp, Duke, you shall be king!”</w:t>
      </w:r>
      <w:r w:rsidR="00E32A6E">
        <w:rPr>
          <w:rStyle w:val="FootnoteReference"/>
        </w:rPr>
        <w:footnoteReference w:id="14"/>
      </w:r>
      <w:r w:rsidR="00E32A6E">
        <w:t xml:space="preserve"> Thus turning this negative omen into a positive </w:t>
      </w:r>
      <w:r w:rsidR="00404794">
        <w:t xml:space="preserve">one. This story sets a tone for the battle that then takes place in Hastings resulting in Duke William taking the English throne and becoming king. </w:t>
      </w:r>
      <w:r w:rsidR="00FB7687">
        <w:t xml:space="preserve">It is my opinion that </w:t>
      </w:r>
      <w:r w:rsidR="00FB7687">
        <w:lastRenderedPageBreak/>
        <w:t>in this moment the conquest has been completed</w:t>
      </w:r>
      <w:r w:rsidR="003C24A5">
        <w:t xml:space="preserve"> in the year 1066</w:t>
      </w:r>
      <w:r w:rsidR="00FB7687">
        <w:t>, as the goal of the battle has been met</w:t>
      </w:r>
      <w:r w:rsidR="003C24A5">
        <w:t xml:space="preserve">. This is a debateable subject, </w:t>
      </w:r>
      <w:r w:rsidR="00263522">
        <w:t xml:space="preserve">as many may consider the colonisation of England and nationwide acceptance of William the Conqueror as king </w:t>
      </w:r>
      <w:r w:rsidR="006F035A">
        <w:t>falls under the title of conquest also. Meaning that the conquest of England is not over by 1066</w:t>
      </w:r>
      <w:r w:rsidR="000C2F06">
        <w:t xml:space="preserve">, and perhaps not even by the year 1100. </w:t>
      </w:r>
    </w:p>
    <w:p w14:paraId="7FFCD5A5" w14:textId="61E79609" w:rsidR="00697542" w:rsidRDefault="007219DC" w:rsidP="003362C3">
      <w:r>
        <w:t>Thomas Carlyle, a historical author from the mid-19</w:t>
      </w:r>
      <w:r w:rsidRPr="007219DC">
        <w:rPr>
          <w:vertAlign w:val="superscript"/>
        </w:rPr>
        <w:t>th</w:t>
      </w:r>
      <w:r>
        <w:t xml:space="preserve"> century </w:t>
      </w:r>
      <w:r w:rsidR="007028CF">
        <w:t>laments that “Engl</w:t>
      </w:r>
      <w:r w:rsidR="00B20B2A">
        <w:t xml:space="preserve">and </w:t>
      </w:r>
      <w:r w:rsidR="007028CF">
        <w:t>itself… still howls and execrates lamentably over its William the Conqueror</w:t>
      </w:r>
      <w:r w:rsidR="00242493">
        <w:t>… but without them, if you will consider well, what would have ever been?”</w:t>
      </w:r>
      <w:r w:rsidR="00242493">
        <w:rPr>
          <w:rStyle w:val="FootnoteReference"/>
        </w:rPr>
        <w:footnoteReference w:id="15"/>
      </w:r>
      <w:r w:rsidR="00242493">
        <w:t xml:space="preserve"> </w:t>
      </w:r>
      <w:r w:rsidR="004C4AFF">
        <w:t xml:space="preserve">This </w:t>
      </w:r>
      <w:r w:rsidR="007A6086">
        <w:t xml:space="preserve">provides context for the significant changes </w:t>
      </w:r>
      <w:r w:rsidR="00281D01">
        <w:t xml:space="preserve">the Normans made on the English people and gives an idea on how these alterations led to the shaping of society nowadays. </w:t>
      </w:r>
      <w:r w:rsidR="00E21A85">
        <w:t xml:space="preserve">Though it can be concluded that the conquest side of the Normans had been </w:t>
      </w:r>
      <w:r w:rsidR="00CA7EC1">
        <w:t xml:space="preserve">completed since 1066 and the crowning of William the Conqueror as King William I of England, </w:t>
      </w:r>
      <w:r w:rsidR="00C719FE">
        <w:t xml:space="preserve">there are still many more challenges and changes to face in the colonisation period. </w:t>
      </w:r>
      <w:r w:rsidR="00756583">
        <w:t xml:space="preserve">Historian Peter Rex writes that William I did not only crown himself as king, </w:t>
      </w:r>
      <w:r w:rsidR="004E1B2B">
        <w:t>as others before him had done, but also “virtually eliminated”</w:t>
      </w:r>
      <w:r w:rsidR="004E1B2B">
        <w:rPr>
          <w:rStyle w:val="FootnoteReference"/>
        </w:rPr>
        <w:footnoteReference w:id="16"/>
      </w:r>
      <w:r w:rsidR="004E1B2B">
        <w:t xml:space="preserve"> the existing English government </w:t>
      </w:r>
      <w:r w:rsidR="00B87AB8">
        <w:t>and transferred these roles, lands and titles to his own “mixed collection of followers”,</w:t>
      </w:r>
      <w:r w:rsidR="00B87AB8">
        <w:rPr>
          <w:rStyle w:val="FootnoteReference"/>
        </w:rPr>
        <w:footnoteReference w:id="17"/>
      </w:r>
      <w:r w:rsidR="00B87AB8">
        <w:t xml:space="preserve"> which included Britons, Flemings and Poitevins as well as Normans.</w:t>
      </w:r>
      <w:r w:rsidR="00B87AB8">
        <w:rPr>
          <w:rStyle w:val="FootnoteReference"/>
        </w:rPr>
        <w:footnoteReference w:id="18"/>
      </w:r>
      <w:r w:rsidR="00F9447E">
        <w:t xml:space="preserve"> </w:t>
      </w:r>
      <w:r w:rsidR="00012C5E">
        <w:t xml:space="preserve">William I, who was </w:t>
      </w:r>
      <w:r w:rsidR="0052200B">
        <w:t>labelled the “glorious king of England”</w:t>
      </w:r>
      <w:r w:rsidR="0052200B">
        <w:rPr>
          <w:rStyle w:val="FootnoteReference"/>
        </w:rPr>
        <w:footnoteReference w:id="19"/>
      </w:r>
      <w:r w:rsidR="0052200B">
        <w:t xml:space="preserve"> by Lan</w:t>
      </w:r>
      <w:r w:rsidR="00C14464">
        <w:t>franc, a Benedictine monk in Normandy</w:t>
      </w:r>
      <w:r w:rsidR="00E8568F">
        <w:t xml:space="preserve">, made many alterations to the English people and their society, some of which were completed by his death in </w:t>
      </w:r>
      <w:r w:rsidR="006130CE">
        <w:t xml:space="preserve">1087 and other changes which continued past the year 1100. These include </w:t>
      </w:r>
      <w:r w:rsidR="00EB579D">
        <w:t xml:space="preserve">changes to the land and its owners, alterations to the law codes and </w:t>
      </w:r>
      <w:r w:rsidR="00770E3A">
        <w:t xml:space="preserve">the Christian church in England as well as many adaptions of </w:t>
      </w:r>
      <w:r w:rsidR="004E18FD">
        <w:t xml:space="preserve">characteristics of urban English towns. </w:t>
      </w:r>
    </w:p>
    <w:p w14:paraId="06403F51" w14:textId="4B1B33A4" w:rsidR="003362C3" w:rsidRDefault="003362C3" w:rsidP="003362C3">
      <w:r>
        <w:t>The colonisation of England by the Normans involved the change in control of many factors of English life, one of these being land. Under William the Conqueror’s rule, the number of lands under the king’s control doubled within only a few years after 1066, William enjoyed these “territorial resources and advantages”</w:t>
      </w:r>
      <w:r>
        <w:rPr>
          <w:rStyle w:val="FootnoteReference"/>
        </w:rPr>
        <w:footnoteReference w:id="20"/>
      </w:r>
      <w:r>
        <w:t xml:space="preserve"> according to historian Brian Golding, and they were his main priority upon seizing England after the Battle of Hastings.</w:t>
      </w:r>
      <w:r>
        <w:rPr>
          <w:rStyle w:val="FootnoteReference"/>
        </w:rPr>
        <w:footnoteReference w:id="21"/>
      </w:r>
      <w:r>
        <w:t xml:space="preserve"> </w:t>
      </w:r>
      <w:r w:rsidR="005E32A5">
        <w:t>Not only did William I expand the number of lands under his control considerably, he also held estates under his control in shires where no previous king of England had before, some historians believe this is due to previous rulers having a lack of interest in these places, however with them under William’s control as well, his royal control was England-wide.</w:t>
      </w:r>
      <w:r w:rsidR="005E32A5">
        <w:rPr>
          <w:rStyle w:val="FootnoteReference"/>
        </w:rPr>
        <w:footnoteReference w:id="22"/>
      </w:r>
      <w:r w:rsidR="005E32A5">
        <w:t xml:space="preserve"> William’s seizing of English lands, however, is not the only important factor when considering the colonisation of England by the Normans. The stability between outgoing and incoming land was one of little balance, as William I accumulated more estates from the native English nobles, thus disinheriting many of them, the land was then redistributed to those William valued.</w:t>
      </w:r>
      <w:r w:rsidR="005E32A5">
        <w:rPr>
          <w:rStyle w:val="FootnoteReference"/>
        </w:rPr>
        <w:footnoteReference w:id="23"/>
      </w:r>
      <w:r w:rsidR="005E32A5">
        <w:t xml:space="preserve"> Though William’s seizing and controlling of lands was completed in the few years after his taking the throne in 1066, the redistribution of such lands, though beginning in 1066, was incomplete even by the year 1100,</w:t>
      </w:r>
      <w:r w:rsidR="005E32A5">
        <w:rPr>
          <w:rStyle w:val="FootnoteReference"/>
        </w:rPr>
        <w:footnoteReference w:id="24"/>
      </w:r>
      <w:r w:rsidR="005E32A5">
        <w:t xml:space="preserve"> thus making it an ongoing project in the English court. As a way o</w:t>
      </w:r>
      <w:r w:rsidR="00B20B2A">
        <w:t xml:space="preserve">f </w:t>
      </w:r>
      <w:r w:rsidR="005E32A5">
        <w:t xml:space="preserve">ensuring and enforcing his power, William allowed many lesser English landowners </w:t>
      </w:r>
      <w:r w:rsidR="00B20B2A">
        <w:t xml:space="preserve">to </w:t>
      </w:r>
      <w:r w:rsidR="005E32A5">
        <w:t xml:space="preserve">continue to hold onto their land as they held no significant place at court but had them pay a higher cost to </w:t>
      </w:r>
      <w:r w:rsidR="00553FFB">
        <w:t xml:space="preserve">him </w:t>
      </w:r>
      <w:r w:rsidR="00553FFB">
        <w:lastRenderedPageBreak/>
        <w:t>and</w:t>
      </w:r>
      <w:r w:rsidR="005E32A5">
        <w:t xml:space="preserve"> took away many titles they already had</w:t>
      </w:r>
      <w:r w:rsidR="00553FFB">
        <w:t>.</w:t>
      </w:r>
      <w:r w:rsidR="00553FFB">
        <w:rPr>
          <w:rStyle w:val="FootnoteReference"/>
        </w:rPr>
        <w:footnoteReference w:id="25"/>
      </w:r>
      <w:r w:rsidR="00553FFB">
        <w:t xml:space="preserve"> This act shows </w:t>
      </w:r>
      <w:bookmarkStart w:id="0" w:name="_GoBack"/>
      <w:bookmarkEnd w:id="0"/>
      <w:r w:rsidR="00553FFB">
        <w:t>the level of power William wanted in his quest of colonisation and how he planned on getting it, through the expenses of the native Britons. Chronicler Orderic Vitalis in his Ecclesiastical History states that William’s power plays, such as the one previously stated were all for his own gain, at the expense of “oppressed native inhabitants”,</w:t>
      </w:r>
      <w:r w:rsidR="00553FFB">
        <w:rPr>
          <w:rStyle w:val="FootnoteReference"/>
        </w:rPr>
        <w:footnoteReference w:id="26"/>
      </w:r>
      <w:r w:rsidR="00553FFB">
        <w:t xml:space="preserve"> thus creating a “tenurial vacuum”</w:t>
      </w:r>
      <w:r w:rsidR="00553FFB">
        <w:rPr>
          <w:rStyle w:val="FootnoteReference"/>
        </w:rPr>
        <w:footnoteReference w:id="27"/>
      </w:r>
      <w:r w:rsidR="00553FFB">
        <w:t xml:space="preserve"> in England throughout the remainder of William’s reign and that of his successor and son William II, who died in the year 1100.</w:t>
      </w:r>
      <w:r w:rsidR="00553FFB">
        <w:rPr>
          <w:rStyle w:val="FootnoteReference"/>
        </w:rPr>
        <w:footnoteReference w:id="28"/>
      </w:r>
    </w:p>
    <w:p w14:paraId="2298095D" w14:textId="1069B49B" w:rsidR="00553FFB" w:rsidRDefault="00145AD0" w:rsidP="003362C3">
      <w:r>
        <w:t>The Norman rulers of England did not only use land as a reward system for their loyal followers, they also built castles and structures upon Engl</w:t>
      </w:r>
      <w:r w:rsidR="00CA60A3">
        <w:t>ish</w:t>
      </w:r>
      <w:r>
        <w:t xml:space="preserve"> land as a mechanism of defence against opposing forces.</w:t>
      </w:r>
      <w:r>
        <w:rPr>
          <w:rStyle w:val="FootnoteReference"/>
        </w:rPr>
        <w:footnoteReference w:id="29"/>
      </w:r>
      <w:r>
        <w:t xml:space="preserve"> Orderic Vitalis’ account of the first Norman settlement indicates that many Normans arriving in England were placed in castles throughout Europe as vassals, responsible for garrisoning the defences.</w:t>
      </w:r>
      <w:r>
        <w:rPr>
          <w:rStyle w:val="FootnoteReference"/>
        </w:rPr>
        <w:footnoteReference w:id="30"/>
      </w:r>
      <w:r>
        <w:t xml:space="preserve"> The first Norman settlement in regards to defence is said to have been completed in 1071, after beginning its construction in 1066,</w:t>
      </w:r>
      <w:r>
        <w:rPr>
          <w:rStyle w:val="FootnoteReference"/>
        </w:rPr>
        <w:footnoteReference w:id="31"/>
      </w:r>
      <w:r>
        <w:t xml:space="preserve"> this provides an insight into the length of time such creations would have taken, and therefore indicates that the entire process of creating such defences would have continued throughout the reign of both William I and II and past the year 1100 into years and reigns to follow. There are many accounts of such constructions from primary sources that aid in the context and dating of the castles. William of Jumi</w:t>
      </w:r>
      <w:r>
        <w:rPr>
          <w:rFonts w:cstheme="minorHAnsi"/>
        </w:rPr>
        <w:t>è</w:t>
      </w:r>
      <w:r>
        <w:t xml:space="preserve">ges who wrote his work The </w:t>
      </w:r>
      <w:r w:rsidRPr="00145AD0">
        <w:rPr>
          <w:i/>
        </w:rPr>
        <w:t>Gesta Normannorum Ducum</w:t>
      </w:r>
      <w:r>
        <w:t>, which translates to The Deeds of the Dukes of the Normans, in roughly 1070, recounts how upon taking the English throne William “surveyed the lack of fortification of his kingdom”</w:t>
      </w:r>
      <w:r>
        <w:rPr>
          <w:rStyle w:val="FootnoteReference"/>
        </w:rPr>
        <w:footnoteReference w:id="32"/>
      </w:r>
      <w:r>
        <w:t xml:space="preserve"> and as a result </w:t>
      </w:r>
      <w:r w:rsidR="00C41A7A">
        <w:t>“caused strong castles to be raised in suitable places.”</w:t>
      </w:r>
      <w:r w:rsidR="00C41A7A">
        <w:rPr>
          <w:rStyle w:val="FootnoteReference"/>
        </w:rPr>
        <w:footnoteReference w:id="33"/>
      </w:r>
      <w:r w:rsidR="00C41A7A">
        <w:t xml:space="preserve"> Similarly William of Poitiers’ </w:t>
      </w:r>
      <w:r w:rsidR="00C41A7A" w:rsidRPr="00C41A7A">
        <w:rPr>
          <w:i/>
        </w:rPr>
        <w:t>Gesta Guillelmi ducis Normannorum et regis Anglorum,</w:t>
      </w:r>
      <w:r w:rsidR="00C41A7A">
        <w:t xml:space="preserve"> which translates to The History of William the Conqueror and was written in the 1070s, presents the information that in certain battles of high regard, William I would “raise four siege-castles”</w:t>
      </w:r>
      <w:r w:rsidR="00C41A7A">
        <w:rPr>
          <w:rStyle w:val="FootnoteReference"/>
        </w:rPr>
        <w:footnoteReference w:id="34"/>
      </w:r>
      <w:r w:rsidR="00C41A7A">
        <w:t xml:space="preserve"> about the place he was trying to protect, showing his willingness to create such defences at a moments notice. </w:t>
      </w:r>
    </w:p>
    <w:p w14:paraId="0BA9F07B" w14:textId="42426471" w:rsidR="00B07ED1" w:rsidRDefault="00253A44" w:rsidP="003362C3">
      <w:r>
        <w:t>Foreign merchants were a feature in larger English towns, such as London, long before the Norman conquest and there is some evidence of trading links between England, Flanders and Normandy before 1066,</w:t>
      </w:r>
      <w:r>
        <w:rPr>
          <w:rStyle w:val="FootnoteReference"/>
        </w:rPr>
        <w:footnoteReference w:id="35"/>
      </w:r>
      <w:r>
        <w:t xml:space="preserve"> however it is after the transition of William the Conqueror to the throne that English urban towns become more widely multicultural to account for the growing Norman population. In Winchester, the percentage of recorded citizens with native English names had fallen to 40 per cent by the year 1110, when it had previously been 70 per cent before the reign of William I.</w:t>
      </w:r>
      <w:r>
        <w:rPr>
          <w:rStyle w:val="FootnoteReference"/>
        </w:rPr>
        <w:footnoteReference w:id="36"/>
      </w:r>
      <w:r>
        <w:t xml:space="preserve">  Though this may just reflect a change in popularity of baby names Europe-wide, it is still too significant a drop to dismiss as coincidence. It is highly likely that many native Britons would have given their new-born children French names to aid them in succeeding in a changing world,</w:t>
      </w:r>
      <w:r>
        <w:rPr>
          <w:rStyle w:val="FootnoteReference"/>
        </w:rPr>
        <w:footnoteReference w:id="37"/>
      </w:r>
      <w:r>
        <w:t xml:space="preserve"> this paired with the influx of Norman people can account for such a dramatic change in baby naming practise. </w:t>
      </w:r>
      <w:r w:rsidR="00B165D1">
        <w:t xml:space="preserve">One of the ten articles or laws supposedly written by William the Conqueror while he was the English king </w:t>
      </w:r>
      <w:r w:rsidR="00B165D1">
        <w:lastRenderedPageBreak/>
        <w:t>reads “every Frenchman… my kinsman, is admitted to the status of Englishman”</w:t>
      </w:r>
      <w:r w:rsidR="00B165D1">
        <w:rPr>
          <w:rStyle w:val="FootnoteReference"/>
        </w:rPr>
        <w:footnoteReference w:id="38"/>
      </w:r>
      <w:r w:rsidR="00B165D1">
        <w:t xml:space="preserve"> which means that it is likely these originally Norman people, and their children, would have been considered English at the time of the data in 1110 and thus contributed towards the drop in popularity of English names. Another factor of urban towns is the influx of Jewish settlers during the reign of William I.</w:t>
      </w:r>
      <w:r w:rsidR="00B165D1">
        <w:rPr>
          <w:rStyle w:val="FootnoteReference"/>
        </w:rPr>
        <w:footnoteReference w:id="39"/>
      </w:r>
      <w:r w:rsidR="00B165D1">
        <w:t xml:space="preserve"> The arrival of even more cultures to English towns aids William I in his control of the English people, through the confusion of their identity with others around them, these settlements also lead towards the bigger picture idea of colonisation by the Normans as </w:t>
      </w:r>
      <w:r w:rsidR="00FF5C82">
        <w:t>it shows the process of other peoples settling amongst the Britons. According to historian Golding, the Jewish people, who came to England from Rouen, known as one of the largest Jewish communities at the time in western Europe, were introduced to their new home and invited there by William I himself.</w:t>
      </w:r>
      <w:r w:rsidR="00FF5C82">
        <w:rPr>
          <w:rStyle w:val="FootnoteReference"/>
        </w:rPr>
        <w:footnoteReference w:id="40"/>
      </w:r>
      <w:r w:rsidR="00FF5C82">
        <w:t xml:space="preserve"> How deeply rooted and formulated these new multicultural colonies in England were by 1100 is debateable and widely unknown, however the common opinion holds that London was completely colonised by the year 1100, even if no other large</w:t>
      </w:r>
      <w:r w:rsidR="00CA60A3">
        <w:t>r</w:t>
      </w:r>
      <w:r w:rsidR="00FF5C82">
        <w:t xml:space="preserve"> English cities were yet.</w:t>
      </w:r>
      <w:r w:rsidR="00FF5C82">
        <w:rPr>
          <w:rStyle w:val="FootnoteReference"/>
        </w:rPr>
        <w:footnoteReference w:id="41"/>
      </w:r>
      <w:r w:rsidR="00FF5C82">
        <w:t xml:space="preserve"> </w:t>
      </w:r>
    </w:p>
    <w:p w14:paraId="4AFBDC1E" w14:textId="3DD7AE87" w:rsidR="00C17CBC" w:rsidRDefault="00FD03EB" w:rsidP="003362C3">
      <w:r>
        <w:t xml:space="preserve">Another way in which William I planned to rule England is through controlling the church, a large part of English </w:t>
      </w:r>
      <w:r w:rsidR="00143E20">
        <w:t>culture and society at the time.</w:t>
      </w:r>
      <w:r w:rsidR="00143E20">
        <w:rPr>
          <w:rStyle w:val="FootnoteReference"/>
        </w:rPr>
        <w:footnoteReference w:id="42"/>
      </w:r>
      <w:r w:rsidR="00143E20">
        <w:t xml:space="preserve"> William I did not impose his will on the church immediately after the Battle of Hastings in 1066, as he first had to deal with those who opposed him after the victory, the first time the church really played a part in the Norman conquest and colonisation of England is through William’s legitimising as king by the Benedictine monk Lanfranc.</w:t>
      </w:r>
      <w:r w:rsidR="00143E20">
        <w:rPr>
          <w:rStyle w:val="FootnoteReference"/>
        </w:rPr>
        <w:footnoteReference w:id="43"/>
      </w:r>
      <w:r w:rsidR="00143E20">
        <w:t xml:space="preserve"> According to historian Huscroft, William began his process of controlling the English church, as he was accustomed to in Normandy, in the year 1070 in Winchester,</w:t>
      </w:r>
      <w:r w:rsidR="00143E20">
        <w:rPr>
          <w:rStyle w:val="FootnoteReference"/>
        </w:rPr>
        <w:footnoteReference w:id="44"/>
      </w:r>
      <w:r w:rsidR="00143E20">
        <w:t xml:space="preserve"> the start of a long process that would not have been completed by 1100. The significance of the church in early medieval culture makes the control of such an entity vital in the colonising of a place, and so despite William being “an eager worshipper with devout heart”</w:t>
      </w:r>
      <w:r w:rsidR="00143E20">
        <w:rPr>
          <w:rStyle w:val="FootnoteReference"/>
        </w:rPr>
        <w:footnoteReference w:id="45"/>
      </w:r>
      <w:r w:rsidR="00143E20">
        <w:t xml:space="preserve"> as according to William of Jumi</w:t>
      </w:r>
      <w:r w:rsidR="00143E20">
        <w:rPr>
          <w:rFonts w:cstheme="minorHAnsi"/>
        </w:rPr>
        <w:t>è</w:t>
      </w:r>
      <w:r w:rsidR="00143E20">
        <w:t>ges, this was not enough to secure him England. In the ten articles of William the Conqueror, laws supposedly written by the king himself, the first article reads “God should be honoured throughout the whole of his kingdom,</w:t>
      </w:r>
      <w:r w:rsidR="00C17CBC">
        <w:t xml:space="preserve"> and that one Christian faith… should be maintained among the English and Normans”,</w:t>
      </w:r>
      <w:r w:rsidR="00C17CBC">
        <w:rPr>
          <w:rStyle w:val="FootnoteReference"/>
        </w:rPr>
        <w:footnoteReference w:id="46"/>
      </w:r>
      <w:r w:rsidR="00C17CBC">
        <w:t xml:space="preserve"> which presents how important the Christian faith was to both William and to the people of England. In order to use the church for colonisation, William and his aristocracy founded new monasteries and revived previously established ones to further enhance the Christian faith,</w:t>
      </w:r>
      <w:r w:rsidR="00C17CBC">
        <w:rPr>
          <w:rStyle w:val="FootnoteReference"/>
        </w:rPr>
        <w:footnoteReference w:id="47"/>
      </w:r>
      <w:r w:rsidR="00C17CBC">
        <w:t xml:space="preserve"> this would have gotten many native Britons on side as they could identify with their new king through religion, as well as impose strict views on the people in order to colonise them under one identity. </w:t>
      </w:r>
    </w:p>
    <w:p w14:paraId="164F4C62" w14:textId="20FB8C4E" w:rsidR="00C17CBC" w:rsidRDefault="00C17CBC" w:rsidP="003362C3">
      <w:r>
        <w:t>Despite William’s best intensions to rule England and colonise the country, tensions between the native Britons and their new Norman rulers lasted for roughly three centuries after the Battle of Hastings in 1066.</w:t>
      </w:r>
      <w:r>
        <w:rPr>
          <w:rStyle w:val="FootnoteReference"/>
        </w:rPr>
        <w:footnoteReference w:id="48"/>
      </w:r>
      <w:r>
        <w:t xml:space="preserve"> </w:t>
      </w:r>
      <w:r w:rsidR="005F4027">
        <w:t xml:space="preserve">William was facing difficulty keeping the backing of his followers, especially some of his higher-ranking men who had been given lands in return for support and found the pressures of </w:t>
      </w:r>
      <w:r w:rsidR="005F4027">
        <w:lastRenderedPageBreak/>
        <w:t>controlling their new lands too high.</w:t>
      </w:r>
      <w:r w:rsidR="005F4027">
        <w:rPr>
          <w:rStyle w:val="FootnoteReference"/>
        </w:rPr>
        <w:footnoteReference w:id="49"/>
      </w:r>
      <w:r w:rsidR="005F4027">
        <w:t xml:space="preserve"> This suggests that despite William’s colonisation process, it was partially flawed. William I and his Norman successors put into place many aspects of colonisation that allowed for the merging of English and Norman societies and culture, which are somewhat successful throughout the years despite some immediate resistance, however William failed to consider his own Norman aristocracy and their transition into English life, instead focussing on the English peoples adaption to the influx of Normans. </w:t>
      </w:r>
    </w:p>
    <w:p w14:paraId="3B39ACCF" w14:textId="07040F3D" w:rsidR="00553FFB" w:rsidRDefault="006276ED" w:rsidP="003362C3">
      <w:r>
        <w:t>To conclude, the subject of conquest and colonisation regarding the Normans in England i</w:t>
      </w:r>
      <w:r w:rsidR="00585276">
        <w:t>s</w:t>
      </w:r>
      <w:r>
        <w:t xml:space="preserve"> a complex subject that relies on a certain level of </w:t>
      </w:r>
      <w:proofErr w:type="gramStart"/>
      <w:r>
        <w:t>personal opinion</w:t>
      </w:r>
      <w:proofErr w:type="gramEnd"/>
      <w:r>
        <w:t>. Through the viewpoint that a conquest i</w:t>
      </w:r>
      <w:r w:rsidR="00585276">
        <w:t>s</w:t>
      </w:r>
      <w:r>
        <w:t xml:space="preserve"> complete when the goal of gaining the throne is reached, it is viable that the conquest of England was complete upon William I’s crowning as king. However, if of the opinion that a conquest is not complete until the full colonisation of a place, the dating of an event is more complex. </w:t>
      </w:r>
      <w:r w:rsidR="00585276">
        <w:t>Historian Golding believes that the process of colonisation was irreversible by the time of William’s death in 1087, though it was “far from complete”,</w:t>
      </w:r>
      <w:r w:rsidR="00585276">
        <w:rPr>
          <w:rStyle w:val="FootnoteReference"/>
        </w:rPr>
        <w:footnoteReference w:id="50"/>
      </w:r>
      <w:r w:rsidR="00585276">
        <w:t xml:space="preserve"> thus indicating that the process is long and therefore incomplete still at the time of the death of William I’s son and successor William II in 1100. Though many aspects of colonisation were either complete or in progress by the year 1100, the overall process is so multifaceted that it was still seeing opposition until three centuries later. Though the definition of ‘conquest’ reads as “the subjugation and assumption of control of a place or people by military force”,</w:t>
      </w:r>
      <w:r w:rsidR="00585276">
        <w:rPr>
          <w:rStyle w:val="FootnoteReference"/>
        </w:rPr>
        <w:footnoteReference w:id="51"/>
      </w:r>
      <w:r w:rsidR="00585276">
        <w:t xml:space="preserve"> the characterisation of colonisation is instead “the action or process of settling among and establishing control over the indigenous people of an area”,</w:t>
      </w:r>
      <w:r w:rsidR="00585276">
        <w:rPr>
          <w:rStyle w:val="FootnoteReference"/>
        </w:rPr>
        <w:footnoteReference w:id="52"/>
      </w:r>
      <w:r w:rsidR="00585276">
        <w:t xml:space="preserve"> and so with this in mind, it can be said that the colonisation of a place is not over until there is no more fight against the process, meaning it can be viewed that it wasn’t until </w:t>
      </w:r>
      <w:r w:rsidR="00CA60A3">
        <w:t xml:space="preserve">roughly </w:t>
      </w:r>
      <w:r w:rsidR="00585276">
        <w:t xml:space="preserve">three centuries after William’s taking of England in 1066 that England was truly colonised by the Normans. </w:t>
      </w:r>
    </w:p>
    <w:p w14:paraId="65148389" w14:textId="74660E93" w:rsidR="00553FFB" w:rsidRDefault="00553FFB" w:rsidP="003362C3"/>
    <w:p w14:paraId="0A4A03C2" w14:textId="547EE1BF" w:rsidR="00127CFB" w:rsidRDefault="00127CFB" w:rsidP="003362C3"/>
    <w:p w14:paraId="22A7460A" w14:textId="0636A575" w:rsidR="00127CFB" w:rsidRDefault="00127CFB" w:rsidP="003362C3"/>
    <w:p w14:paraId="79763957" w14:textId="4782B584" w:rsidR="00127CFB" w:rsidRDefault="00127CFB" w:rsidP="003362C3"/>
    <w:p w14:paraId="7C7A6CFB" w14:textId="7FB3C5D3" w:rsidR="00127CFB" w:rsidRDefault="00127CFB" w:rsidP="003362C3"/>
    <w:p w14:paraId="2EB93E8B" w14:textId="13A11CF6" w:rsidR="00127CFB" w:rsidRDefault="00127CFB" w:rsidP="003362C3"/>
    <w:p w14:paraId="26E0C144" w14:textId="17631483" w:rsidR="00127CFB" w:rsidRDefault="00127CFB" w:rsidP="003362C3"/>
    <w:p w14:paraId="4F16B204" w14:textId="34B827C8" w:rsidR="00127CFB" w:rsidRDefault="00127CFB" w:rsidP="003362C3"/>
    <w:p w14:paraId="17DB05D1" w14:textId="487AD474" w:rsidR="00127CFB" w:rsidRDefault="00127CFB" w:rsidP="003362C3"/>
    <w:p w14:paraId="2B354274" w14:textId="35432D97" w:rsidR="00127CFB" w:rsidRDefault="00127CFB" w:rsidP="003362C3"/>
    <w:p w14:paraId="6D38BE56" w14:textId="34EAEA32" w:rsidR="00127CFB" w:rsidRDefault="00127CFB" w:rsidP="003362C3"/>
    <w:p w14:paraId="3AABD9C3" w14:textId="3BD1B442" w:rsidR="00127CFB" w:rsidRDefault="00127CFB" w:rsidP="003362C3"/>
    <w:p w14:paraId="76FD2842" w14:textId="68FE5579" w:rsidR="00127CFB" w:rsidRDefault="00127CFB" w:rsidP="003362C3"/>
    <w:p w14:paraId="12405B11" w14:textId="48C25C01" w:rsidR="00127CFB" w:rsidRDefault="00127CFB" w:rsidP="003362C3">
      <w:pPr>
        <w:rPr>
          <w:b/>
          <w:u w:val="single"/>
        </w:rPr>
      </w:pPr>
      <w:r w:rsidRPr="005A3650">
        <w:rPr>
          <w:b/>
          <w:u w:val="single"/>
        </w:rPr>
        <w:lastRenderedPageBreak/>
        <w:t>Bibliography:</w:t>
      </w:r>
    </w:p>
    <w:p w14:paraId="63506157" w14:textId="77777777" w:rsidR="007D0C5B" w:rsidRPr="005A3650" w:rsidRDefault="007D0C5B" w:rsidP="003362C3">
      <w:pPr>
        <w:rPr>
          <w:b/>
          <w:u w:val="single"/>
        </w:rPr>
      </w:pPr>
    </w:p>
    <w:p w14:paraId="2435BBC8" w14:textId="54BFF796" w:rsidR="005A3650" w:rsidRPr="005A3650" w:rsidRDefault="005A3650" w:rsidP="003362C3">
      <w:pPr>
        <w:rPr>
          <w:u w:val="single"/>
        </w:rPr>
      </w:pPr>
      <w:r w:rsidRPr="005A3650">
        <w:rPr>
          <w:u w:val="single"/>
        </w:rPr>
        <w:t>Primary Sources:</w:t>
      </w:r>
    </w:p>
    <w:p w14:paraId="0D6322DF" w14:textId="77777777" w:rsidR="007D0C5B" w:rsidRDefault="007D0C5B" w:rsidP="007D0C5B">
      <w:r>
        <w:t>Lanfranc</w:t>
      </w:r>
      <w:r w:rsidRPr="0090666B">
        <w:rPr>
          <w:i/>
        </w:rPr>
        <w:t>,</w:t>
      </w:r>
      <w:r>
        <w:rPr>
          <w:i/>
        </w:rPr>
        <w:t xml:space="preserve"> letters to Pope Alexander II,</w:t>
      </w:r>
      <w:r>
        <w:t xml:space="preserve"> translated by R. Allen Brown et al. (London: Edward Arnold Publishers, 1984) </w:t>
      </w:r>
    </w:p>
    <w:p w14:paraId="1FFBD9FC" w14:textId="77777777" w:rsidR="003B4079" w:rsidRDefault="003B4079" w:rsidP="003B4079">
      <w:r>
        <w:t xml:space="preserve">Orderic Vitalis, </w:t>
      </w:r>
      <w:r w:rsidRPr="0090666B">
        <w:rPr>
          <w:i/>
        </w:rPr>
        <w:t>Historia Ecclesiastica,</w:t>
      </w:r>
      <w:r>
        <w:t xml:space="preserve"> translated by R. Allen Brown et al. (London: Edward Arnold Publishers, 1984) </w:t>
      </w:r>
    </w:p>
    <w:p w14:paraId="34CBE6D6" w14:textId="77777777" w:rsidR="003B4079" w:rsidRDefault="003B4079" w:rsidP="003B4079">
      <w:r w:rsidRPr="00127251">
        <w:rPr>
          <w:i/>
        </w:rPr>
        <w:t>The ‘Ten Articles’ of William the Conqueror</w:t>
      </w:r>
      <w:r>
        <w:t xml:space="preserve">, translated by R. Allen Brown et al. (London: Edward Arnold Publishers, 1984) </w:t>
      </w:r>
    </w:p>
    <w:p w14:paraId="2F3D6FA6" w14:textId="77777777" w:rsidR="007D0C5B" w:rsidRDefault="007D0C5B" w:rsidP="007D0C5B">
      <w:r>
        <w:t>William of Jumi</w:t>
      </w:r>
      <w:r>
        <w:rPr>
          <w:rFonts w:cstheme="minorHAnsi"/>
        </w:rPr>
        <w:t>è</w:t>
      </w:r>
      <w:r>
        <w:t>ges</w:t>
      </w:r>
      <w:r w:rsidRPr="0090666B">
        <w:rPr>
          <w:i/>
        </w:rPr>
        <w:t>,</w:t>
      </w:r>
      <w:r>
        <w:t xml:space="preserve"> translated by R. Allen Brown et al. (London: Edward Arnold Publishers, 1984) </w:t>
      </w:r>
    </w:p>
    <w:p w14:paraId="62F0F457" w14:textId="77777777" w:rsidR="007D0C5B" w:rsidRDefault="007D0C5B" w:rsidP="007D0C5B">
      <w:r>
        <w:t>William of Poitiers</w:t>
      </w:r>
      <w:r w:rsidRPr="0090666B">
        <w:rPr>
          <w:i/>
        </w:rPr>
        <w:t>,</w:t>
      </w:r>
      <w:r>
        <w:t xml:space="preserve"> translated by R. Allen Brown et al. (London: Edward Arnold Publishers, 1984) </w:t>
      </w:r>
    </w:p>
    <w:p w14:paraId="0317F298" w14:textId="77777777" w:rsidR="007D0C5B" w:rsidRDefault="007D0C5B" w:rsidP="003362C3"/>
    <w:p w14:paraId="68240613" w14:textId="1F7A42DD" w:rsidR="00127CFB" w:rsidRPr="005A3650" w:rsidRDefault="00127CFB" w:rsidP="003362C3">
      <w:pPr>
        <w:rPr>
          <w:u w:val="single"/>
        </w:rPr>
      </w:pPr>
      <w:r w:rsidRPr="005A3650">
        <w:rPr>
          <w:u w:val="single"/>
        </w:rPr>
        <w:t>Secondary Works:</w:t>
      </w:r>
    </w:p>
    <w:p w14:paraId="421E5712" w14:textId="77777777" w:rsidR="007D0C5B" w:rsidRDefault="007D0C5B" w:rsidP="007D0C5B">
      <w:r>
        <w:t xml:space="preserve">Allen Brown, R. </w:t>
      </w:r>
      <w:r w:rsidRPr="00621261">
        <w:rPr>
          <w:i/>
        </w:rPr>
        <w:t>The Norman Conquest</w:t>
      </w:r>
      <w:r>
        <w:t>, (London: Edward Arnold Publishers, 1984)</w:t>
      </w:r>
    </w:p>
    <w:p w14:paraId="13D49B32" w14:textId="77777777" w:rsidR="007D0C5B" w:rsidRDefault="007D0C5B" w:rsidP="007D0C5B">
      <w:r>
        <w:t xml:space="preserve">Carlyle, T. </w:t>
      </w:r>
      <w:r w:rsidRPr="007D0C5B">
        <w:rPr>
          <w:i/>
        </w:rPr>
        <w:t>The Life of Frederick the Great,</w:t>
      </w:r>
      <w:r>
        <w:t xml:space="preserve"> (London: 1858) </w:t>
      </w:r>
    </w:p>
    <w:p w14:paraId="3063E490" w14:textId="2FEDBCE3" w:rsidR="00127CFB" w:rsidRDefault="00462849" w:rsidP="003362C3">
      <w:r>
        <w:t>Golding,</w:t>
      </w:r>
      <w:r>
        <w:t xml:space="preserve"> B.</w:t>
      </w:r>
      <w:r>
        <w:t xml:space="preserve"> </w:t>
      </w:r>
      <w:r w:rsidRPr="00975B5B">
        <w:rPr>
          <w:i/>
        </w:rPr>
        <w:t>Conquest and Colonisation: The Normans in Britain 1066 – 1100</w:t>
      </w:r>
      <w:r>
        <w:t>, (London: Macmillan Press, 1994</w:t>
      </w:r>
      <w:r>
        <w:t>)</w:t>
      </w:r>
    </w:p>
    <w:p w14:paraId="22993996" w14:textId="389A72B0" w:rsidR="007D0C5B" w:rsidRDefault="007D0C5B" w:rsidP="007D0C5B">
      <w:r>
        <w:t xml:space="preserve">Huscroft, R. </w:t>
      </w:r>
      <w:r w:rsidRPr="00090590">
        <w:rPr>
          <w:i/>
        </w:rPr>
        <w:t>Ruling England 1042 – 1217,</w:t>
      </w:r>
      <w:r>
        <w:t xml:space="preserve"> (Harlow: Pearson Education Limited, 2005)</w:t>
      </w:r>
    </w:p>
    <w:p w14:paraId="182E9132" w14:textId="187BEF5F" w:rsidR="00F77C3E" w:rsidRDefault="00F77C3E" w:rsidP="007D0C5B">
      <w:r>
        <w:t>Oxford Dictionary</w:t>
      </w:r>
    </w:p>
    <w:p w14:paraId="2E9F76F5" w14:textId="3B2D1025" w:rsidR="00462849" w:rsidRDefault="00462849" w:rsidP="00462849">
      <w:r>
        <w:t xml:space="preserve">Rex, </w:t>
      </w:r>
      <w:r>
        <w:t xml:space="preserve">P. </w:t>
      </w:r>
      <w:r w:rsidRPr="00A62B09">
        <w:rPr>
          <w:i/>
        </w:rPr>
        <w:t>1066: A New History of the Norman Conquest,</w:t>
      </w:r>
      <w:r>
        <w:t xml:space="preserve"> (Stroud: Amberley Publishing, 2011) </w:t>
      </w:r>
    </w:p>
    <w:p w14:paraId="59B59A83" w14:textId="77777777" w:rsidR="00462849" w:rsidRDefault="00462849" w:rsidP="003362C3"/>
    <w:sectPr w:rsidR="00462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E6D63" w14:textId="77777777" w:rsidR="00236C74" w:rsidRDefault="00236C74" w:rsidP="00CC79C2">
      <w:pPr>
        <w:spacing w:after="0" w:line="240" w:lineRule="auto"/>
      </w:pPr>
      <w:r>
        <w:separator/>
      </w:r>
    </w:p>
  </w:endnote>
  <w:endnote w:type="continuationSeparator" w:id="0">
    <w:p w14:paraId="20E10E6C" w14:textId="77777777" w:rsidR="00236C74" w:rsidRDefault="00236C74" w:rsidP="00CC7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0514C" w14:textId="77777777" w:rsidR="00236C74" w:rsidRDefault="00236C74" w:rsidP="00CC79C2">
      <w:pPr>
        <w:spacing w:after="0" w:line="240" w:lineRule="auto"/>
      </w:pPr>
      <w:r>
        <w:separator/>
      </w:r>
    </w:p>
  </w:footnote>
  <w:footnote w:type="continuationSeparator" w:id="0">
    <w:p w14:paraId="27DA1512" w14:textId="77777777" w:rsidR="00236C74" w:rsidRDefault="00236C74" w:rsidP="00CC79C2">
      <w:pPr>
        <w:spacing w:after="0" w:line="240" w:lineRule="auto"/>
      </w:pPr>
      <w:r>
        <w:continuationSeparator/>
      </w:r>
    </w:p>
  </w:footnote>
  <w:footnote w:id="1">
    <w:p w14:paraId="3F745C3E" w14:textId="0C0596F9" w:rsidR="00CC79C2" w:rsidRDefault="00CC79C2">
      <w:pPr>
        <w:pStyle w:val="FootnoteText"/>
      </w:pPr>
      <w:r>
        <w:rPr>
          <w:rStyle w:val="FootnoteReference"/>
        </w:rPr>
        <w:footnoteRef/>
      </w:r>
      <w:r>
        <w:t xml:space="preserve"> </w:t>
      </w:r>
      <w:r w:rsidR="002F7656">
        <w:t xml:space="preserve">B. Golding, </w:t>
      </w:r>
      <w:r w:rsidR="00BA3C5B" w:rsidRPr="00975B5B">
        <w:rPr>
          <w:i/>
        </w:rPr>
        <w:t>Conquest and Colonisation: The Normans in Britain 1066 – 1100</w:t>
      </w:r>
      <w:r w:rsidR="00BA3C5B">
        <w:t>, (</w:t>
      </w:r>
      <w:r w:rsidR="00975B5B">
        <w:t>London: Macmillan Press, 1994)</w:t>
      </w:r>
      <w:r w:rsidR="00975B5B">
        <w:br/>
        <w:t xml:space="preserve">  p.10</w:t>
      </w:r>
    </w:p>
  </w:footnote>
  <w:footnote w:id="2">
    <w:p w14:paraId="48F8F622" w14:textId="40E0F5DB" w:rsidR="00CC79C2" w:rsidRDefault="00CC79C2">
      <w:pPr>
        <w:pStyle w:val="FootnoteText"/>
      </w:pPr>
      <w:r>
        <w:rPr>
          <w:rStyle w:val="FootnoteReference"/>
        </w:rPr>
        <w:footnoteRef/>
      </w:r>
      <w:r>
        <w:t xml:space="preserve"> </w:t>
      </w:r>
      <w:r w:rsidR="00975B5B">
        <w:t>Ibid., p.10</w:t>
      </w:r>
    </w:p>
  </w:footnote>
  <w:footnote w:id="3">
    <w:p w14:paraId="17D2B5EE" w14:textId="1B78E3E1" w:rsidR="001D5E8D" w:rsidRDefault="001D5E8D">
      <w:pPr>
        <w:pStyle w:val="FootnoteText"/>
      </w:pPr>
      <w:r>
        <w:rPr>
          <w:rStyle w:val="FootnoteReference"/>
        </w:rPr>
        <w:footnoteRef/>
      </w:r>
      <w:r>
        <w:t xml:space="preserve"> </w:t>
      </w:r>
      <w:r w:rsidR="006E4DFB">
        <w:t xml:space="preserve">Orderic Vitalis, </w:t>
      </w:r>
      <w:r w:rsidR="00C75BDA" w:rsidRPr="0090666B">
        <w:rPr>
          <w:i/>
        </w:rPr>
        <w:t>Historia Ecclesiastica,</w:t>
      </w:r>
      <w:r w:rsidR="00C75BDA">
        <w:t xml:space="preserve"> translated by R. Allen Brown </w:t>
      </w:r>
      <w:r w:rsidR="00905597">
        <w:t>et al</w:t>
      </w:r>
      <w:r w:rsidR="00440683">
        <w:t>. (</w:t>
      </w:r>
      <w:r w:rsidR="00440683">
        <w:t>London: Edward Arnold Publishers, 1984)</w:t>
      </w:r>
      <w:r w:rsidR="00440683">
        <w:t xml:space="preserve"> </w:t>
      </w:r>
      <w:r w:rsidR="0090666B">
        <w:t xml:space="preserve">p.98 vi </w:t>
      </w:r>
    </w:p>
  </w:footnote>
  <w:footnote w:id="4">
    <w:p w14:paraId="1554E2AB" w14:textId="21DCB505" w:rsidR="00652423" w:rsidRDefault="00652423">
      <w:pPr>
        <w:pStyle w:val="FootnoteText"/>
      </w:pPr>
      <w:r>
        <w:rPr>
          <w:rStyle w:val="FootnoteReference"/>
        </w:rPr>
        <w:footnoteRef/>
      </w:r>
      <w:r>
        <w:t xml:space="preserve"> </w:t>
      </w:r>
      <w:r w:rsidR="007E638B">
        <w:t>R. Allen Brown</w:t>
      </w:r>
      <w:r w:rsidR="00E943D1">
        <w:t xml:space="preserve">, </w:t>
      </w:r>
      <w:r w:rsidR="00E943D1" w:rsidRPr="00621261">
        <w:rPr>
          <w:i/>
        </w:rPr>
        <w:t>The Norman Conquest</w:t>
      </w:r>
      <w:r w:rsidR="00E943D1">
        <w:t>, (London: Edward Arnold Publishers, 1984) p.</w:t>
      </w:r>
      <w:r w:rsidR="00621261">
        <w:t>98</w:t>
      </w:r>
    </w:p>
  </w:footnote>
  <w:footnote w:id="5">
    <w:p w14:paraId="613A9E4A" w14:textId="241F4C52" w:rsidR="00DC3B31" w:rsidRDefault="00DC3B31">
      <w:pPr>
        <w:pStyle w:val="FootnoteText"/>
      </w:pPr>
      <w:r>
        <w:rPr>
          <w:rStyle w:val="FootnoteReference"/>
        </w:rPr>
        <w:footnoteRef/>
      </w:r>
      <w:r>
        <w:t xml:space="preserve"> </w:t>
      </w:r>
      <w:r w:rsidR="00975B5B">
        <w:t xml:space="preserve">Golding, </w:t>
      </w:r>
      <w:r w:rsidR="00975B5B" w:rsidRPr="00975B5B">
        <w:rPr>
          <w:i/>
        </w:rPr>
        <w:t>Conquest and Colonisation: The Normans in Britain 1066 – 1100</w:t>
      </w:r>
      <w:r w:rsidR="00215852">
        <w:t xml:space="preserve">, </w:t>
      </w:r>
      <w:r w:rsidR="00975B5B">
        <w:t>p.10</w:t>
      </w:r>
    </w:p>
  </w:footnote>
  <w:footnote w:id="6">
    <w:p w14:paraId="3121CA4E" w14:textId="6F5066ED" w:rsidR="00D93E2A" w:rsidRDefault="00D93E2A">
      <w:pPr>
        <w:pStyle w:val="FootnoteText"/>
      </w:pPr>
      <w:r>
        <w:rPr>
          <w:rStyle w:val="FootnoteReference"/>
        </w:rPr>
        <w:footnoteRef/>
      </w:r>
      <w:r>
        <w:t xml:space="preserve"> </w:t>
      </w:r>
      <w:r w:rsidR="00941602">
        <w:t xml:space="preserve">P. Rex, </w:t>
      </w:r>
      <w:r w:rsidR="00BA289A" w:rsidRPr="00A62B09">
        <w:rPr>
          <w:i/>
        </w:rPr>
        <w:t>1066: A New History of the Norman Conquest,</w:t>
      </w:r>
      <w:r w:rsidR="00BA289A">
        <w:t xml:space="preserve"> (Stroud: Amberley Publishing, </w:t>
      </w:r>
      <w:r w:rsidR="00A62B09">
        <w:t xml:space="preserve">2011) </w:t>
      </w:r>
      <w:proofErr w:type="spellStart"/>
      <w:r w:rsidR="00A62B09">
        <w:t>p.i</w:t>
      </w:r>
      <w:proofErr w:type="spellEnd"/>
      <w:r w:rsidR="00A62B09">
        <w:t xml:space="preserve"> </w:t>
      </w:r>
      <w:r w:rsidR="00B60569">
        <w:t xml:space="preserve"> </w:t>
      </w:r>
    </w:p>
  </w:footnote>
  <w:footnote w:id="7">
    <w:p w14:paraId="5CEF5327" w14:textId="67AA361A" w:rsidR="004F647F" w:rsidRDefault="004F647F">
      <w:pPr>
        <w:pStyle w:val="FootnoteText"/>
      </w:pPr>
      <w:r>
        <w:rPr>
          <w:rStyle w:val="FootnoteReference"/>
        </w:rPr>
        <w:footnoteRef/>
      </w:r>
      <w:r>
        <w:t xml:space="preserve"> </w:t>
      </w:r>
      <w:r w:rsidR="00A62B09">
        <w:t xml:space="preserve">Ibid., </w:t>
      </w:r>
      <w:proofErr w:type="spellStart"/>
      <w:r w:rsidR="00A62B09">
        <w:t>p.i</w:t>
      </w:r>
      <w:proofErr w:type="spellEnd"/>
      <w:r w:rsidR="00A62B09">
        <w:t xml:space="preserve"> </w:t>
      </w:r>
    </w:p>
  </w:footnote>
  <w:footnote w:id="8">
    <w:p w14:paraId="7248B56D" w14:textId="613FB128" w:rsidR="001D5E8D" w:rsidRDefault="001D5E8D" w:rsidP="001D5E8D">
      <w:pPr>
        <w:pStyle w:val="FootnoteText"/>
      </w:pPr>
      <w:r>
        <w:rPr>
          <w:rStyle w:val="FootnoteReference"/>
        </w:rPr>
        <w:footnoteRef/>
      </w:r>
      <w:r>
        <w:t xml:space="preserve"> </w:t>
      </w:r>
      <w:r w:rsidR="00215852">
        <w:t>G</w:t>
      </w:r>
      <w:r w:rsidR="00215852">
        <w:t xml:space="preserve">olding, </w:t>
      </w:r>
      <w:r w:rsidR="00215852" w:rsidRPr="00975B5B">
        <w:rPr>
          <w:i/>
        </w:rPr>
        <w:t>Conquest and Colonisation: The Normans in Britain 1066 – 1100</w:t>
      </w:r>
      <w:r w:rsidR="00215852">
        <w:t>, p.10</w:t>
      </w:r>
    </w:p>
  </w:footnote>
  <w:footnote w:id="9">
    <w:p w14:paraId="6A650F28" w14:textId="559C5B02" w:rsidR="001D5E8D" w:rsidRDefault="001D5E8D" w:rsidP="001D5E8D">
      <w:pPr>
        <w:pStyle w:val="FootnoteText"/>
      </w:pPr>
      <w:r>
        <w:rPr>
          <w:rStyle w:val="FootnoteReference"/>
        </w:rPr>
        <w:footnoteRef/>
      </w:r>
      <w:r>
        <w:t xml:space="preserve"> </w:t>
      </w:r>
      <w:r w:rsidR="00975B5B">
        <w:t xml:space="preserve">Ibid., p.10 </w:t>
      </w:r>
    </w:p>
  </w:footnote>
  <w:footnote w:id="10">
    <w:p w14:paraId="414EDDBD" w14:textId="497BD560" w:rsidR="00C33BF1" w:rsidRDefault="00C33BF1">
      <w:pPr>
        <w:pStyle w:val="FootnoteText"/>
      </w:pPr>
      <w:r>
        <w:rPr>
          <w:rStyle w:val="FootnoteReference"/>
        </w:rPr>
        <w:footnoteRef/>
      </w:r>
      <w:r w:rsidRPr="009B06D7">
        <w:rPr>
          <w:i/>
        </w:rPr>
        <w:t xml:space="preserve"> </w:t>
      </w:r>
      <w:r w:rsidR="009B06D7" w:rsidRPr="009B06D7">
        <w:rPr>
          <w:i/>
        </w:rPr>
        <w:t xml:space="preserve">Oxford Dictionary, </w:t>
      </w:r>
      <w:r w:rsidR="009B06D7">
        <w:t>‘Conquest’</w:t>
      </w:r>
    </w:p>
  </w:footnote>
  <w:footnote w:id="11">
    <w:p w14:paraId="0F7E17A2" w14:textId="50D62E74" w:rsidR="008C17FA" w:rsidRDefault="008C17FA">
      <w:pPr>
        <w:pStyle w:val="FootnoteText"/>
      </w:pPr>
      <w:r>
        <w:rPr>
          <w:rStyle w:val="FootnoteReference"/>
        </w:rPr>
        <w:footnoteRef/>
      </w:r>
      <w:r>
        <w:t xml:space="preserve"> </w:t>
      </w:r>
      <w:r w:rsidR="00A62B09">
        <w:t xml:space="preserve">Rex, </w:t>
      </w:r>
      <w:r w:rsidR="00A62B09" w:rsidRPr="00A62B09">
        <w:rPr>
          <w:i/>
        </w:rPr>
        <w:t>1066: A New History of the Norman Conquest</w:t>
      </w:r>
      <w:r w:rsidR="00A62B09">
        <w:t>, p.</w:t>
      </w:r>
      <w:r w:rsidR="00A62B09">
        <w:t>1</w:t>
      </w:r>
    </w:p>
  </w:footnote>
  <w:footnote w:id="12">
    <w:p w14:paraId="17D18AAC" w14:textId="24E389AD" w:rsidR="008209AB" w:rsidRDefault="008209AB">
      <w:pPr>
        <w:pStyle w:val="FootnoteText"/>
      </w:pPr>
      <w:r>
        <w:rPr>
          <w:rStyle w:val="FootnoteReference"/>
        </w:rPr>
        <w:footnoteRef/>
      </w:r>
      <w:r>
        <w:t xml:space="preserve"> </w:t>
      </w:r>
      <w:r w:rsidR="00A62B09">
        <w:t>Ibid., p.1</w:t>
      </w:r>
    </w:p>
  </w:footnote>
  <w:footnote w:id="13">
    <w:p w14:paraId="1E8959B8" w14:textId="60DE1793" w:rsidR="0045363E" w:rsidRDefault="0045363E">
      <w:pPr>
        <w:pStyle w:val="FootnoteText"/>
      </w:pPr>
      <w:r>
        <w:rPr>
          <w:rStyle w:val="FootnoteReference"/>
        </w:rPr>
        <w:footnoteRef/>
      </w:r>
      <w:r>
        <w:t xml:space="preserve"> </w:t>
      </w:r>
      <w:r w:rsidR="00A62B09">
        <w:t>Ibid., p.</w:t>
      </w:r>
      <w:r w:rsidR="008B6E79">
        <w:t>6</w:t>
      </w:r>
    </w:p>
  </w:footnote>
  <w:footnote w:id="14">
    <w:p w14:paraId="42657912" w14:textId="0F55DB46" w:rsidR="00E32A6E" w:rsidRDefault="00E32A6E">
      <w:pPr>
        <w:pStyle w:val="FootnoteText"/>
      </w:pPr>
      <w:r>
        <w:rPr>
          <w:rStyle w:val="FootnoteReference"/>
        </w:rPr>
        <w:footnoteRef/>
      </w:r>
      <w:r>
        <w:t xml:space="preserve"> </w:t>
      </w:r>
      <w:r w:rsidR="008B6E79">
        <w:t>Ibid., p.6</w:t>
      </w:r>
    </w:p>
  </w:footnote>
  <w:footnote w:id="15">
    <w:p w14:paraId="49A30A20" w14:textId="0EF5D3B4" w:rsidR="00242493" w:rsidRDefault="00242493">
      <w:pPr>
        <w:pStyle w:val="FootnoteText"/>
      </w:pPr>
      <w:r>
        <w:rPr>
          <w:rStyle w:val="FootnoteReference"/>
        </w:rPr>
        <w:footnoteRef/>
      </w:r>
      <w:r>
        <w:t xml:space="preserve"> </w:t>
      </w:r>
      <w:r w:rsidR="009B06D7">
        <w:t>T</w:t>
      </w:r>
      <w:r w:rsidR="003F3DDA">
        <w:t xml:space="preserve">. Carlyle, </w:t>
      </w:r>
      <w:r w:rsidR="003F3DDA" w:rsidRPr="00631717">
        <w:rPr>
          <w:i/>
        </w:rPr>
        <w:t xml:space="preserve">The Life of Frederick the Great, </w:t>
      </w:r>
      <w:r w:rsidR="00266296">
        <w:t xml:space="preserve">(London: </w:t>
      </w:r>
      <w:r w:rsidR="009B06D7">
        <w:t>1858) p.415</w:t>
      </w:r>
    </w:p>
  </w:footnote>
  <w:footnote w:id="16">
    <w:p w14:paraId="33C8EBBB" w14:textId="4E829021" w:rsidR="004E1B2B" w:rsidRDefault="004E1B2B">
      <w:pPr>
        <w:pStyle w:val="FootnoteText"/>
      </w:pPr>
      <w:r>
        <w:rPr>
          <w:rStyle w:val="FootnoteReference"/>
        </w:rPr>
        <w:footnoteRef/>
      </w:r>
      <w:r>
        <w:t xml:space="preserve"> </w:t>
      </w:r>
      <w:r w:rsidR="008B6E79">
        <w:t xml:space="preserve">Rex, </w:t>
      </w:r>
      <w:r w:rsidR="008B6E79" w:rsidRPr="00A62B09">
        <w:rPr>
          <w:i/>
        </w:rPr>
        <w:t>1066: A New History of the Norman Conquest</w:t>
      </w:r>
      <w:r w:rsidR="008B6E79">
        <w:t xml:space="preserve">, </w:t>
      </w:r>
      <w:proofErr w:type="spellStart"/>
      <w:r w:rsidR="008B6E79">
        <w:t>p.i</w:t>
      </w:r>
      <w:proofErr w:type="spellEnd"/>
      <w:r w:rsidR="008B6E79">
        <w:t xml:space="preserve">  </w:t>
      </w:r>
    </w:p>
  </w:footnote>
  <w:footnote w:id="17">
    <w:p w14:paraId="5D1AF8DE" w14:textId="7AD506B4" w:rsidR="00B87AB8" w:rsidRDefault="00B87AB8">
      <w:pPr>
        <w:pStyle w:val="FootnoteText"/>
      </w:pPr>
      <w:r>
        <w:rPr>
          <w:rStyle w:val="FootnoteReference"/>
        </w:rPr>
        <w:footnoteRef/>
      </w:r>
      <w:r>
        <w:t xml:space="preserve"> </w:t>
      </w:r>
      <w:r w:rsidR="008B6E79">
        <w:t xml:space="preserve">Ibid., </w:t>
      </w:r>
      <w:proofErr w:type="spellStart"/>
      <w:r w:rsidR="008B6E79">
        <w:t>p.i</w:t>
      </w:r>
      <w:proofErr w:type="spellEnd"/>
      <w:r>
        <w:t xml:space="preserve"> </w:t>
      </w:r>
    </w:p>
  </w:footnote>
  <w:footnote w:id="18">
    <w:p w14:paraId="218EF72F" w14:textId="4CDC2F76" w:rsidR="00B87AB8" w:rsidRDefault="00B87AB8">
      <w:pPr>
        <w:pStyle w:val="FootnoteText"/>
      </w:pPr>
      <w:r>
        <w:rPr>
          <w:rStyle w:val="FootnoteReference"/>
        </w:rPr>
        <w:footnoteRef/>
      </w:r>
      <w:r>
        <w:t xml:space="preserve"> </w:t>
      </w:r>
      <w:r w:rsidR="008B6E79">
        <w:t xml:space="preserve">Ibid., </w:t>
      </w:r>
      <w:proofErr w:type="spellStart"/>
      <w:r w:rsidR="008B6E79">
        <w:t>p.i</w:t>
      </w:r>
      <w:proofErr w:type="spellEnd"/>
      <w:r>
        <w:t xml:space="preserve"> </w:t>
      </w:r>
    </w:p>
  </w:footnote>
  <w:footnote w:id="19">
    <w:p w14:paraId="0702AA3D" w14:textId="217FC037" w:rsidR="0052200B" w:rsidRDefault="0052200B">
      <w:pPr>
        <w:pStyle w:val="FootnoteText"/>
      </w:pPr>
      <w:r>
        <w:rPr>
          <w:rStyle w:val="FootnoteReference"/>
        </w:rPr>
        <w:footnoteRef/>
      </w:r>
      <w:r>
        <w:t xml:space="preserve"> </w:t>
      </w:r>
      <w:r w:rsidR="00E30F93">
        <w:t>Lanfranc</w:t>
      </w:r>
      <w:r w:rsidR="00E30F93" w:rsidRPr="0090666B">
        <w:rPr>
          <w:i/>
        </w:rPr>
        <w:t>,</w:t>
      </w:r>
      <w:r w:rsidR="00E30F93">
        <w:rPr>
          <w:i/>
        </w:rPr>
        <w:t xml:space="preserve"> letter</w:t>
      </w:r>
      <w:r w:rsidR="00C60175">
        <w:rPr>
          <w:i/>
        </w:rPr>
        <w:t>s to Pope Alexander II,</w:t>
      </w:r>
      <w:r w:rsidR="00E30F93">
        <w:t xml:space="preserve"> translated by R. Allen Brown et al. (London: Edward Arnold Publishers, 1984) p.</w:t>
      </w:r>
      <w:r w:rsidR="00C60175">
        <w:t>166</w:t>
      </w:r>
    </w:p>
  </w:footnote>
  <w:footnote w:id="20">
    <w:p w14:paraId="72B0ED72" w14:textId="7E28E1AE" w:rsidR="003362C3" w:rsidRDefault="003362C3">
      <w:pPr>
        <w:pStyle w:val="FootnoteText"/>
      </w:pPr>
      <w:r>
        <w:rPr>
          <w:rStyle w:val="FootnoteReference"/>
        </w:rPr>
        <w:footnoteRef/>
      </w:r>
      <w:r>
        <w:t xml:space="preserve"> </w:t>
      </w:r>
      <w:r w:rsidR="00215852">
        <w:t>G</w:t>
      </w:r>
      <w:r w:rsidR="00215852">
        <w:t xml:space="preserve">olding, </w:t>
      </w:r>
      <w:r w:rsidR="00215852" w:rsidRPr="00975B5B">
        <w:rPr>
          <w:i/>
        </w:rPr>
        <w:t>Conquest and Colonisation: The Normans in Britain 1066 – 1100</w:t>
      </w:r>
      <w:r w:rsidR="00215852">
        <w:t>, p.</w:t>
      </w:r>
      <w:r w:rsidR="00215852">
        <w:t>65</w:t>
      </w:r>
    </w:p>
  </w:footnote>
  <w:footnote w:id="21">
    <w:p w14:paraId="0B20AFB3" w14:textId="1B60E253" w:rsidR="003362C3" w:rsidRDefault="003362C3">
      <w:pPr>
        <w:pStyle w:val="FootnoteText"/>
      </w:pPr>
      <w:r>
        <w:rPr>
          <w:rStyle w:val="FootnoteReference"/>
        </w:rPr>
        <w:footnoteRef/>
      </w:r>
      <w:r>
        <w:t xml:space="preserve"> </w:t>
      </w:r>
      <w:r w:rsidR="00215852">
        <w:t>Ibid., p.</w:t>
      </w:r>
      <w:r>
        <w:t>65</w:t>
      </w:r>
    </w:p>
  </w:footnote>
  <w:footnote w:id="22">
    <w:p w14:paraId="0BFF8B32" w14:textId="4151ACE8" w:rsidR="005E32A5" w:rsidRDefault="005E32A5">
      <w:pPr>
        <w:pStyle w:val="FootnoteText"/>
      </w:pPr>
      <w:r>
        <w:rPr>
          <w:rStyle w:val="FootnoteReference"/>
        </w:rPr>
        <w:footnoteRef/>
      </w:r>
      <w:r>
        <w:t xml:space="preserve"> </w:t>
      </w:r>
      <w:r w:rsidR="00215852">
        <w:t>Ibid., p.65</w:t>
      </w:r>
      <w:r>
        <w:t xml:space="preserve"> </w:t>
      </w:r>
    </w:p>
  </w:footnote>
  <w:footnote w:id="23">
    <w:p w14:paraId="6C018A7F" w14:textId="46705CEA" w:rsidR="005E32A5" w:rsidRDefault="005E32A5">
      <w:pPr>
        <w:pStyle w:val="FootnoteText"/>
      </w:pPr>
      <w:r>
        <w:rPr>
          <w:rStyle w:val="FootnoteReference"/>
        </w:rPr>
        <w:footnoteRef/>
      </w:r>
      <w:r>
        <w:t xml:space="preserve"> </w:t>
      </w:r>
      <w:r w:rsidR="008B6E79">
        <w:t xml:space="preserve">Rex, </w:t>
      </w:r>
      <w:r w:rsidR="008B6E79" w:rsidRPr="00A62B09">
        <w:rPr>
          <w:i/>
        </w:rPr>
        <w:t>1066: A New History of the Norman Conquest</w:t>
      </w:r>
      <w:r w:rsidR="008B6E79">
        <w:t xml:space="preserve">, </w:t>
      </w:r>
      <w:proofErr w:type="spellStart"/>
      <w:r w:rsidR="008B6E79">
        <w:t>p.i</w:t>
      </w:r>
      <w:proofErr w:type="spellEnd"/>
      <w:r w:rsidR="008B6E79">
        <w:t xml:space="preserve">  </w:t>
      </w:r>
    </w:p>
  </w:footnote>
  <w:footnote w:id="24">
    <w:p w14:paraId="3A2BAAED" w14:textId="72CECCE2" w:rsidR="005E32A5" w:rsidRDefault="005E32A5">
      <w:pPr>
        <w:pStyle w:val="FootnoteText"/>
      </w:pPr>
      <w:r>
        <w:rPr>
          <w:rStyle w:val="FootnoteReference"/>
        </w:rPr>
        <w:footnoteRef/>
      </w:r>
      <w:r>
        <w:t xml:space="preserve"> </w:t>
      </w:r>
      <w:r w:rsidR="00215852">
        <w:t xml:space="preserve">Golding, </w:t>
      </w:r>
      <w:r w:rsidR="00215852" w:rsidRPr="00975B5B">
        <w:rPr>
          <w:i/>
        </w:rPr>
        <w:t>Conquest and Colonisation: The Normans in Britain 1066 – 1100</w:t>
      </w:r>
      <w:r w:rsidR="00215852">
        <w:t>, p.65</w:t>
      </w:r>
    </w:p>
  </w:footnote>
  <w:footnote w:id="25">
    <w:p w14:paraId="0279CAAD" w14:textId="7E044C68" w:rsidR="00553FFB" w:rsidRDefault="00553FFB">
      <w:pPr>
        <w:pStyle w:val="FootnoteText"/>
      </w:pPr>
      <w:r>
        <w:rPr>
          <w:rStyle w:val="FootnoteReference"/>
        </w:rPr>
        <w:footnoteRef/>
      </w:r>
      <w:r>
        <w:t xml:space="preserve"> </w:t>
      </w:r>
      <w:r w:rsidR="00215852">
        <w:t>Ibid., p.68</w:t>
      </w:r>
    </w:p>
  </w:footnote>
  <w:footnote w:id="26">
    <w:p w14:paraId="221DBB07" w14:textId="40BDF568" w:rsidR="00553FFB" w:rsidRPr="008B6E79" w:rsidRDefault="00553FFB">
      <w:pPr>
        <w:pStyle w:val="FootnoteText"/>
        <w:rPr>
          <w:highlight w:val="yellow"/>
        </w:rPr>
      </w:pPr>
      <w:r>
        <w:rPr>
          <w:rStyle w:val="FootnoteReference"/>
        </w:rPr>
        <w:footnoteRef/>
      </w:r>
      <w:r>
        <w:t xml:space="preserve"> </w:t>
      </w:r>
      <w:r w:rsidR="0090666B">
        <w:t xml:space="preserve">Orderic Vitalis, </w:t>
      </w:r>
      <w:r w:rsidR="0090666B" w:rsidRPr="0090666B">
        <w:rPr>
          <w:i/>
        </w:rPr>
        <w:t>Historia Ecclesiastica,</w:t>
      </w:r>
      <w:r w:rsidR="0090666B">
        <w:t xml:space="preserve"> </w:t>
      </w:r>
      <w:r w:rsidR="0090666B">
        <w:t xml:space="preserve">p.98 </w:t>
      </w:r>
      <w:r w:rsidR="0090666B">
        <w:t>ii</w:t>
      </w:r>
    </w:p>
  </w:footnote>
  <w:footnote w:id="27">
    <w:p w14:paraId="1F5818DB" w14:textId="48F8B992" w:rsidR="00553FFB" w:rsidRDefault="00553FFB">
      <w:pPr>
        <w:pStyle w:val="FootnoteText"/>
      </w:pPr>
      <w:r>
        <w:rPr>
          <w:rStyle w:val="FootnoteReference"/>
        </w:rPr>
        <w:footnoteRef/>
      </w:r>
      <w:r>
        <w:t xml:space="preserve"> </w:t>
      </w:r>
      <w:r w:rsidR="00215852">
        <w:t xml:space="preserve">Golding, </w:t>
      </w:r>
      <w:r w:rsidR="00215852" w:rsidRPr="00975B5B">
        <w:rPr>
          <w:i/>
        </w:rPr>
        <w:t>Conquest and Colonisation: The Normans in Britain 1066 – 1100</w:t>
      </w:r>
      <w:r w:rsidR="00215852">
        <w:t>, p.</w:t>
      </w:r>
      <w:r w:rsidR="00215852">
        <w:t>71</w:t>
      </w:r>
    </w:p>
  </w:footnote>
  <w:footnote w:id="28">
    <w:p w14:paraId="6266D2E6" w14:textId="4B1993D7" w:rsidR="00553FFB" w:rsidRDefault="00553FFB">
      <w:pPr>
        <w:pStyle w:val="FootnoteText"/>
      </w:pPr>
      <w:r>
        <w:rPr>
          <w:rStyle w:val="FootnoteReference"/>
        </w:rPr>
        <w:footnoteRef/>
      </w:r>
      <w:r>
        <w:t xml:space="preserve"> </w:t>
      </w:r>
      <w:r w:rsidR="008B6E79">
        <w:t xml:space="preserve">Rex, </w:t>
      </w:r>
      <w:r w:rsidR="008B6E79" w:rsidRPr="00A62B09">
        <w:rPr>
          <w:i/>
        </w:rPr>
        <w:t>1066: A New History of the Norman Conquest</w:t>
      </w:r>
      <w:r w:rsidR="008B6E79">
        <w:t>, p.</w:t>
      </w:r>
      <w:r w:rsidR="008B6E79">
        <w:t>3</w:t>
      </w:r>
    </w:p>
  </w:footnote>
  <w:footnote w:id="29">
    <w:p w14:paraId="6589AE11" w14:textId="51F2D232" w:rsidR="00145AD0" w:rsidRDefault="00145AD0">
      <w:pPr>
        <w:pStyle w:val="FootnoteText"/>
      </w:pPr>
      <w:r>
        <w:rPr>
          <w:rStyle w:val="FootnoteReference"/>
        </w:rPr>
        <w:footnoteRef/>
      </w:r>
      <w:r>
        <w:t xml:space="preserve"> </w:t>
      </w:r>
      <w:r w:rsidR="00215852">
        <w:t xml:space="preserve">Golding, </w:t>
      </w:r>
      <w:r w:rsidR="00215852" w:rsidRPr="00975B5B">
        <w:rPr>
          <w:i/>
        </w:rPr>
        <w:t>Conquest and Colonisation: The Normans in Britain 1066 – 1100</w:t>
      </w:r>
      <w:r w:rsidR="00215852">
        <w:t>, p.</w:t>
      </w:r>
      <w:r w:rsidR="00215852">
        <w:t>72</w:t>
      </w:r>
    </w:p>
  </w:footnote>
  <w:footnote w:id="30">
    <w:p w14:paraId="0F7D854B" w14:textId="6C4B7AA3" w:rsidR="00145AD0" w:rsidRDefault="00145AD0">
      <w:pPr>
        <w:pStyle w:val="FootnoteText"/>
      </w:pPr>
      <w:r>
        <w:rPr>
          <w:rStyle w:val="FootnoteReference"/>
        </w:rPr>
        <w:footnoteRef/>
      </w:r>
      <w:r>
        <w:t xml:space="preserve"> </w:t>
      </w:r>
      <w:r w:rsidR="00215852">
        <w:t>Ibid., p.</w:t>
      </w:r>
      <w:r>
        <w:t>72</w:t>
      </w:r>
    </w:p>
  </w:footnote>
  <w:footnote w:id="31">
    <w:p w14:paraId="53A76ED3" w14:textId="790CAE70" w:rsidR="00145AD0" w:rsidRDefault="00145AD0">
      <w:pPr>
        <w:pStyle w:val="FootnoteText"/>
      </w:pPr>
      <w:r>
        <w:rPr>
          <w:rStyle w:val="FootnoteReference"/>
        </w:rPr>
        <w:footnoteRef/>
      </w:r>
      <w:r>
        <w:t xml:space="preserve"> </w:t>
      </w:r>
      <w:r w:rsidR="00215852">
        <w:t>Ibid., p.72</w:t>
      </w:r>
    </w:p>
  </w:footnote>
  <w:footnote w:id="32">
    <w:p w14:paraId="4E292068" w14:textId="66FA2E5A" w:rsidR="00145AD0" w:rsidRPr="008B6E79" w:rsidRDefault="00145AD0">
      <w:pPr>
        <w:pStyle w:val="FootnoteText"/>
        <w:rPr>
          <w:highlight w:val="yellow"/>
        </w:rPr>
      </w:pPr>
      <w:r>
        <w:rPr>
          <w:rStyle w:val="FootnoteReference"/>
        </w:rPr>
        <w:footnoteRef/>
      </w:r>
      <w:r>
        <w:t xml:space="preserve"> </w:t>
      </w:r>
      <w:r w:rsidR="00C60175">
        <w:t>William of Ju</w:t>
      </w:r>
      <w:r w:rsidR="00C12306">
        <w:t>mi</w:t>
      </w:r>
      <w:r w:rsidR="00C12306">
        <w:rPr>
          <w:rFonts w:cstheme="minorHAnsi"/>
        </w:rPr>
        <w:t>è</w:t>
      </w:r>
      <w:r w:rsidR="00C12306">
        <w:t>ges</w:t>
      </w:r>
      <w:r w:rsidR="00C60175" w:rsidRPr="0090666B">
        <w:rPr>
          <w:i/>
        </w:rPr>
        <w:t>,</w:t>
      </w:r>
      <w:r w:rsidR="00C60175">
        <w:t xml:space="preserve"> translated by R. Allen Brown et al. (London: Edward Arnold Publishers, 1984) p</w:t>
      </w:r>
      <w:r w:rsidR="00EA779A">
        <w:t>p.1-14</w:t>
      </w:r>
    </w:p>
  </w:footnote>
  <w:footnote w:id="33">
    <w:p w14:paraId="6EE92D0E" w14:textId="1AA7FAE2" w:rsidR="00C41A7A" w:rsidRPr="008B6E79" w:rsidRDefault="00C41A7A">
      <w:pPr>
        <w:pStyle w:val="FootnoteText"/>
        <w:rPr>
          <w:highlight w:val="yellow"/>
        </w:rPr>
      </w:pPr>
      <w:r w:rsidRPr="005879DD">
        <w:rPr>
          <w:rStyle w:val="FootnoteReference"/>
        </w:rPr>
        <w:footnoteRef/>
      </w:r>
      <w:r w:rsidRPr="005879DD">
        <w:t xml:space="preserve"> </w:t>
      </w:r>
      <w:r w:rsidR="005879DD">
        <w:t>Ibid., p</w:t>
      </w:r>
      <w:r w:rsidR="00EA779A">
        <w:t>p.1-14</w:t>
      </w:r>
    </w:p>
  </w:footnote>
  <w:footnote w:id="34">
    <w:p w14:paraId="13CA71D9" w14:textId="2C8C31FD" w:rsidR="00C41A7A" w:rsidRPr="005879DD" w:rsidRDefault="00C41A7A">
      <w:pPr>
        <w:pStyle w:val="FootnoteText"/>
        <w:rPr>
          <w:highlight w:val="yellow"/>
        </w:rPr>
      </w:pPr>
      <w:r w:rsidRPr="00C67021">
        <w:rPr>
          <w:rStyle w:val="FootnoteReference"/>
        </w:rPr>
        <w:footnoteRef/>
      </w:r>
      <w:r w:rsidRPr="00C67021">
        <w:t xml:space="preserve"> </w:t>
      </w:r>
      <w:r w:rsidR="005879DD">
        <w:t xml:space="preserve">William </w:t>
      </w:r>
      <w:r w:rsidR="005879DD">
        <w:t>of Poitiers</w:t>
      </w:r>
      <w:r w:rsidR="005879DD" w:rsidRPr="0090666B">
        <w:rPr>
          <w:i/>
        </w:rPr>
        <w:t>,</w:t>
      </w:r>
      <w:r w:rsidR="005879DD">
        <w:t xml:space="preserve"> translated by R. Allen Brown et al. (London: Edward Arnold Publishers, 1984) p</w:t>
      </w:r>
      <w:r w:rsidR="00EA779A">
        <w:t>p.15-</w:t>
      </w:r>
      <w:r w:rsidR="00513512">
        <w:t>40</w:t>
      </w:r>
    </w:p>
  </w:footnote>
  <w:footnote w:id="35">
    <w:p w14:paraId="757C7EDE" w14:textId="55E541A9" w:rsidR="00253A44" w:rsidRDefault="00253A44">
      <w:pPr>
        <w:pStyle w:val="FootnoteText"/>
      </w:pPr>
      <w:r>
        <w:rPr>
          <w:rStyle w:val="FootnoteReference"/>
        </w:rPr>
        <w:footnoteRef/>
      </w:r>
      <w:r>
        <w:t xml:space="preserve"> </w:t>
      </w:r>
      <w:r w:rsidR="00FA0776">
        <w:t xml:space="preserve">Golding, </w:t>
      </w:r>
      <w:r w:rsidR="00FA0776" w:rsidRPr="00975B5B">
        <w:rPr>
          <w:i/>
        </w:rPr>
        <w:t>Conquest and Colonisation: The Normans in Britain 1066 – 1100</w:t>
      </w:r>
      <w:r w:rsidR="00FA0776">
        <w:t>, p.</w:t>
      </w:r>
      <w:r w:rsidR="00FA0776">
        <w:t>78</w:t>
      </w:r>
    </w:p>
  </w:footnote>
  <w:footnote w:id="36">
    <w:p w14:paraId="2CE9E8B3" w14:textId="3A4E82D7" w:rsidR="00253A44" w:rsidRDefault="00253A44">
      <w:pPr>
        <w:pStyle w:val="FootnoteText"/>
      </w:pPr>
      <w:r>
        <w:rPr>
          <w:rStyle w:val="FootnoteReference"/>
        </w:rPr>
        <w:footnoteRef/>
      </w:r>
      <w:r>
        <w:t xml:space="preserve"> </w:t>
      </w:r>
      <w:r w:rsidR="00FA0776">
        <w:t>Ibid., p.78</w:t>
      </w:r>
    </w:p>
  </w:footnote>
  <w:footnote w:id="37">
    <w:p w14:paraId="36AA2370" w14:textId="2D105657" w:rsidR="00253A44" w:rsidRDefault="00253A44">
      <w:pPr>
        <w:pStyle w:val="FootnoteText"/>
      </w:pPr>
      <w:r>
        <w:rPr>
          <w:rStyle w:val="FootnoteReference"/>
        </w:rPr>
        <w:footnoteRef/>
      </w:r>
      <w:r>
        <w:t xml:space="preserve"> </w:t>
      </w:r>
      <w:r w:rsidR="00FA0776">
        <w:t>Ibid., p.78</w:t>
      </w:r>
    </w:p>
  </w:footnote>
  <w:footnote w:id="38">
    <w:p w14:paraId="14A33661" w14:textId="5C689F74" w:rsidR="00B165D1" w:rsidRDefault="00B165D1">
      <w:pPr>
        <w:pStyle w:val="FootnoteText"/>
      </w:pPr>
      <w:r>
        <w:rPr>
          <w:rStyle w:val="FootnoteReference"/>
        </w:rPr>
        <w:footnoteRef/>
      </w:r>
      <w:r>
        <w:t xml:space="preserve"> </w:t>
      </w:r>
      <w:r w:rsidR="00513512" w:rsidRPr="00127251">
        <w:rPr>
          <w:i/>
        </w:rPr>
        <w:t>The ‘Ten Articles’ of William the Conqueror</w:t>
      </w:r>
      <w:r w:rsidR="00127251">
        <w:t xml:space="preserve">, </w:t>
      </w:r>
      <w:r w:rsidR="00127251">
        <w:t>translated by R. Allen Brown et al. (London: Edward Arnold Publishers, 1984) p.</w:t>
      </w:r>
      <w:r w:rsidR="003F37EE">
        <w:t>153</w:t>
      </w:r>
    </w:p>
  </w:footnote>
  <w:footnote w:id="39">
    <w:p w14:paraId="7ED3CD6D" w14:textId="0CF95266" w:rsidR="00B165D1" w:rsidRDefault="00B165D1">
      <w:pPr>
        <w:pStyle w:val="FootnoteText"/>
      </w:pPr>
      <w:r>
        <w:rPr>
          <w:rStyle w:val="FootnoteReference"/>
        </w:rPr>
        <w:footnoteRef/>
      </w:r>
      <w:r>
        <w:t xml:space="preserve"> </w:t>
      </w:r>
      <w:r w:rsidR="00FA0776">
        <w:t xml:space="preserve">Golding, </w:t>
      </w:r>
      <w:r w:rsidR="00FA0776" w:rsidRPr="00975B5B">
        <w:rPr>
          <w:i/>
        </w:rPr>
        <w:t>Conquest and Colonisation: The Normans in Britain 1066 – 1100</w:t>
      </w:r>
      <w:r w:rsidR="00FA0776">
        <w:t>, p.</w:t>
      </w:r>
      <w:r w:rsidR="00FA0776">
        <w:t>79</w:t>
      </w:r>
    </w:p>
  </w:footnote>
  <w:footnote w:id="40">
    <w:p w14:paraId="1F437523" w14:textId="67361B79" w:rsidR="00FF5C82" w:rsidRDefault="00FF5C82">
      <w:pPr>
        <w:pStyle w:val="FootnoteText"/>
      </w:pPr>
      <w:r>
        <w:rPr>
          <w:rStyle w:val="FootnoteReference"/>
        </w:rPr>
        <w:footnoteRef/>
      </w:r>
      <w:r>
        <w:t xml:space="preserve"> </w:t>
      </w:r>
      <w:r w:rsidR="00FA0776">
        <w:t>Ibid., p.79</w:t>
      </w:r>
    </w:p>
  </w:footnote>
  <w:footnote w:id="41">
    <w:p w14:paraId="5F7997F0" w14:textId="040FC456" w:rsidR="00FF5C82" w:rsidRDefault="00FF5C82">
      <w:pPr>
        <w:pStyle w:val="FootnoteText"/>
      </w:pPr>
      <w:r>
        <w:rPr>
          <w:rStyle w:val="FootnoteReference"/>
        </w:rPr>
        <w:footnoteRef/>
      </w:r>
      <w:r>
        <w:t xml:space="preserve"> </w:t>
      </w:r>
      <w:r w:rsidR="00FA0776">
        <w:t>Ibid., p.79</w:t>
      </w:r>
    </w:p>
  </w:footnote>
  <w:footnote w:id="42">
    <w:p w14:paraId="0DD3D6FD" w14:textId="15ACC925" w:rsidR="00143E20" w:rsidRDefault="00143E20">
      <w:pPr>
        <w:pStyle w:val="FootnoteText"/>
      </w:pPr>
      <w:r>
        <w:rPr>
          <w:rStyle w:val="FootnoteReference"/>
        </w:rPr>
        <w:footnoteRef/>
      </w:r>
      <w:r>
        <w:t xml:space="preserve"> </w:t>
      </w:r>
      <w:r w:rsidR="009A3DEC">
        <w:t xml:space="preserve">R. Huscroft, </w:t>
      </w:r>
      <w:r w:rsidR="009A3DEC" w:rsidRPr="00090590">
        <w:rPr>
          <w:i/>
        </w:rPr>
        <w:t>Ruling England 1042 – 1217,</w:t>
      </w:r>
      <w:r w:rsidR="009A3DEC">
        <w:t xml:space="preserve"> (</w:t>
      </w:r>
      <w:r w:rsidR="00032C7B">
        <w:t>Harlow: Pearson Education Limited</w:t>
      </w:r>
      <w:r w:rsidR="00090590">
        <w:t>, 2005) p.122</w:t>
      </w:r>
    </w:p>
  </w:footnote>
  <w:footnote w:id="43">
    <w:p w14:paraId="1E377A1B" w14:textId="1FE416E2" w:rsidR="00143E20" w:rsidRDefault="00143E20">
      <w:pPr>
        <w:pStyle w:val="FootnoteText"/>
      </w:pPr>
      <w:r>
        <w:rPr>
          <w:rStyle w:val="FootnoteReference"/>
        </w:rPr>
        <w:footnoteRef/>
      </w:r>
      <w:r>
        <w:t xml:space="preserve"> </w:t>
      </w:r>
      <w:r w:rsidR="00090590">
        <w:t>Ibid., p.123</w:t>
      </w:r>
    </w:p>
  </w:footnote>
  <w:footnote w:id="44">
    <w:p w14:paraId="707DDCE2" w14:textId="1478C5F4" w:rsidR="00143E20" w:rsidRDefault="00143E20">
      <w:pPr>
        <w:pStyle w:val="FootnoteText"/>
      </w:pPr>
      <w:r>
        <w:rPr>
          <w:rStyle w:val="FootnoteReference"/>
        </w:rPr>
        <w:footnoteRef/>
      </w:r>
      <w:r>
        <w:t xml:space="preserve"> </w:t>
      </w:r>
      <w:r w:rsidR="00090590">
        <w:t>Ibid., p.123</w:t>
      </w:r>
    </w:p>
  </w:footnote>
  <w:footnote w:id="45">
    <w:p w14:paraId="75F194DF" w14:textId="17F06EF2" w:rsidR="00143E20" w:rsidRPr="008B6E79" w:rsidRDefault="00143E20">
      <w:pPr>
        <w:pStyle w:val="FootnoteText"/>
        <w:rPr>
          <w:highlight w:val="yellow"/>
        </w:rPr>
      </w:pPr>
      <w:r>
        <w:rPr>
          <w:rStyle w:val="FootnoteReference"/>
        </w:rPr>
        <w:footnoteRef/>
      </w:r>
      <w:r>
        <w:t xml:space="preserve"> </w:t>
      </w:r>
      <w:r w:rsidR="00EA779A">
        <w:t>William of Jumi</w:t>
      </w:r>
      <w:r w:rsidR="00EA779A">
        <w:rPr>
          <w:rFonts w:cstheme="minorHAnsi"/>
        </w:rPr>
        <w:t>è</w:t>
      </w:r>
      <w:r w:rsidR="00EA779A">
        <w:t>ges</w:t>
      </w:r>
      <w:r w:rsidR="00EA779A" w:rsidRPr="00EA779A">
        <w:t>, p</w:t>
      </w:r>
      <w:r w:rsidR="00EA779A">
        <w:t>p</w:t>
      </w:r>
      <w:r w:rsidR="00EA779A" w:rsidRPr="00EA779A">
        <w:t>.</w:t>
      </w:r>
      <w:r w:rsidR="00EA779A">
        <w:t>1</w:t>
      </w:r>
      <w:r w:rsidR="00EA779A">
        <w:t>-14</w:t>
      </w:r>
    </w:p>
  </w:footnote>
  <w:footnote w:id="46">
    <w:p w14:paraId="6BA59F09" w14:textId="19CA8C10" w:rsidR="00C17CBC" w:rsidRDefault="00C17CBC">
      <w:pPr>
        <w:pStyle w:val="FootnoteText"/>
      </w:pPr>
      <w:r w:rsidRPr="003F37EE">
        <w:rPr>
          <w:rStyle w:val="FootnoteReference"/>
        </w:rPr>
        <w:footnoteRef/>
      </w:r>
      <w:r w:rsidRPr="003F37EE">
        <w:t xml:space="preserve"> </w:t>
      </w:r>
      <w:r w:rsidR="003F37EE" w:rsidRPr="00127251">
        <w:rPr>
          <w:i/>
        </w:rPr>
        <w:t>The ‘Ten Articles’ of William the Conqueror</w:t>
      </w:r>
      <w:r w:rsidR="003F37EE">
        <w:t>,</w:t>
      </w:r>
      <w:r w:rsidR="003F37EE">
        <w:t xml:space="preserve"> p.153</w:t>
      </w:r>
    </w:p>
  </w:footnote>
  <w:footnote w:id="47">
    <w:p w14:paraId="2D52980B" w14:textId="3795DAD5" w:rsidR="00C17CBC" w:rsidRDefault="00C17CBC">
      <w:pPr>
        <w:pStyle w:val="FootnoteText"/>
      </w:pPr>
      <w:r>
        <w:rPr>
          <w:rStyle w:val="FootnoteReference"/>
        </w:rPr>
        <w:footnoteRef/>
      </w:r>
      <w:r>
        <w:t xml:space="preserve"> </w:t>
      </w:r>
      <w:r w:rsidR="00090590">
        <w:t xml:space="preserve">Huscroft, </w:t>
      </w:r>
      <w:r w:rsidR="00090590" w:rsidRPr="00090590">
        <w:rPr>
          <w:i/>
        </w:rPr>
        <w:t>Ruling England 1042 – 1217</w:t>
      </w:r>
      <w:r w:rsidR="00090590">
        <w:rPr>
          <w:i/>
        </w:rPr>
        <w:t xml:space="preserve">, </w:t>
      </w:r>
      <w:r w:rsidR="00090590" w:rsidRPr="00090590">
        <w:t>p.122</w:t>
      </w:r>
    </w:p>
  </w:footnote>
  <w:footnote w:id="48">
    <w:p w14:paraId="615FB27E" w14:textId="32A3373D" w:rsidR="00C17CBC" w:rsidRDefault="00C17CBC">
      <w:pPr>
        <w:pStyle w:val="FootnoteText"/>
      </w:pPr>
      <w:r>
        <w:rPr>
          <w:rStyle w:val="FootnoteReference"/>
        </w:rPr>
        <w:footnoteRef/>
      </w:r>
      <w:r>
        <w:t xml:space="preserve"> </w:t>
      </w:r>
      <w:r w:rsidR="008B6E79">
        <w:t xml:space="preserve">Rex, </w:t>
      </w:r>
      <w:r w:rsidR="008B6E79" w:rsidRPr="00A62B09">
        <w:rPr>
          <w:i/>
        </w:rPr>
        <w:t>1066: A New History of the Norman Conquest</w:t>
      </w:r>
      <w:r w:rsidR="008B6E79">
        <w:t>, p.</w:t>
      </w:r>
      <w:r w:rsidR="008B6E79">
        <w:t>3</w:t>
      </w:r>
    </w:p>
  </w:footnote>
  <w:footnote w:id="49">
    <w:p w14:paraId="18C0D774" w14:textId="00AE788B" w:rsidR="005F4027" w:rsidRPr="009B06D7" w:rsidRDefault="005F4027">
      <w:pPr>
        <w:pStyle w:val="FootnoteText"/>
      </w:pPr>
      <w:r w:rsidRPr="009B06D7">
        <w:rPr>
          <w:rStyle w:val="FootnoteReference"/>
        </w:rPr>
        <w:footnoteRef/>
      </w:r>
      <w:r w:rsidRPr="009B06D7">
        <w:t xml:space="preserve"> </w:t>
      </w:r>
      <w:r w:rsidR="00FA0776" w:rsidRPr="009B06D7">
        <w:t xml:space="preserve">Golding, </w:t>
      </w:r>
      <w:r w:rsidR="00FA0776" w:rsidRPr="009B06D7">
        <w:rPr>
          <w:i/>
        </w:rPr>
        <w:t>Conquest and Colonisation: The Normans in Britain 1066 – 1100</w:t>
      </w:r>
      <w:r w:rsidR="00FA0776" w:rsidRPr="009B06D7">
        <w:t>, p.</w:t>
      </w:r>
      <w:r w:rsidR="00FA0776" w:rsidRPr="009B06D7">
        <w:t>72</w:t>
      </w:r>
    </w:p>
  </w:footnote>
  <w:footnote w:id="50">
    <w:p w14:paraId="143AA295" w14:textId="1F76223E" w:rsidR="00585276" w:rsidRPr="009B06D7" w:rsidRDefault="00585276">
      <w:pPr>
        <w:pStyle w:val="FootnoteText"/>
      </w:pPr>
      <w:r w:rsidRPr="009B06D7">
        <w:rPr>
          <w:rStyle w:val="FootnoteReference"/>
        </w:rPr>
        <w:footnoteRef/>
      </w:r>
      <w:r w:rsidRPr="009B06D7">
        <w:t xml:space="preserve"> </w:t>
      </w:r>
      <w:r w:rsidR="00FA0776" w:rsidRPr="009B06D7">
        <w:t xml:space="preserve">Golding, </w:t>
      </w:r>
      <w:r w:rsidR="00FA0776" w:rsidRPr="009B06D7">
        <w:rPr>
          <w:i/>
        </w:rPr>
        <w:t>Conquest and Colonisation: The Normans in Britain 1066 – 1100</w:t>
      </w:r>
      <w:r w:rsidR="00FA0776" w:rsidRPr="009B06D7">
        <w:t>, p.</w:t>
      </w:r>
      <w:r w:rsidR="00FA0776" w:rsidRPr="009B06D7">
        <w:t>72</w:t>
      </w:r>
    </w:p>
  </w:footnote>
  <w:footnote w:id="51">
    <w:p w14:paraId="6BB9728D" w14:textId="39D215FD" w:rsidR="00585276" w:rsidRPr="009B06D7" w:rsidRDefault="00585276" w:rsidP="00585276">
      <w:pPr>
        <w:pStyle w:val="FootnoteText"/>
      </w:pPr>
      <w:r w:rsidRPr="009B06D7">
        <w:rPr>
          <w:rStyle w:val="FootnoteReference"/>
        </w:rPr>
        <w:footnoteRef/>
      </w:r>
      <w:r w:rsidRPr="009B06D7">
        <w:t xml:space="preserve"> </w:t>
      </w:r>
      <w:r w:rsidR="009B06D7" w:rsidRPr="009B06D7">
        <w:rPr>
          <w:i/>
        </w:rPr>
        <w:t xml:space="preserve">Oxford </w:t>
      </w:r>
      <w:r w:rsidRPr="009B06D7">
        <w:rPr>
          <w:i/>
        </w:rPr>
        <w:t>Dictionary</w:t>
      </w:r>
      <w:r w:rsidR="009B06D7" w:rsidRPr="009B06D7">
        <w:rPr>
          <w:i/>
        </w:rPr>
        <w:t>,</w:t>
      </w:r>
      <w:r w:rsidR="009B06D7">
        <w:t xml:space="preserve"> ‘Conquest’</w:t>
      </w:r>
      <w:r w:rsidRPr="009B06D7">
        <w:t xml:space="preserve"> </w:t>
      </w:r>
    </w:p>
  </w:footnote>
  <w:footnote w:id="52">
    <w:p w14:paraId="0EF91063" w14:textId="1973A178" w:rsidR="00585276" w:rsidRDefault="00585276">
      <w:pPr>
        <w:pStyle w:val="FootnoteText"/>
      </w:pPr>
      <w:r w:rsidRPr="009B06D7">
        <w:rPr>
          <w:rStyle w:val="FootnoteReference"/>
        </w:rPr>
        <w:footnoteRef/>
      </w:r>
      <w:r w:rsidRPr="009B06D7">
        <w:t xml:space="preserve"> </w:t>
      </w:r>
      <w:r w:rsidR="009B06D7" w:rsidRPr="009B06D7">
        <w:rPr>
          <w:i/>
        </w:rPr>
        <w:t xml:space="preserve">Oxford </w:t>
      </w:r>
      <w:r w:rsidRPr="009B06D7">
        <w:rPr>
          <w:i/>
        </w:rPr>
        <w:t>Dictionary</w:t>
      </w:r>
      <w:r w:rsidR="009B06D7" w:rsidRPr="009B06D7">
        <w:rPr>
          <w:i/>
        </w:rPr>
        <w:t>,</w:t>
      </w:r>
      <w:r w:rsidR="009B06D7">
        <w:t xml:space="preserve"> ‘Colonisation’</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5F4"/>
    <w:rsid w:val="00012C5E"/>
    <w:rsid w:val="00030988"/>
    <w:rsid w:val="00032C7B"/>
    <w:rsid w:val="00074CBC"/>
    <w:rsid w:val="00077F59"/>
    <w:rsid w:val="00090590"/>
    <w:rsid w:val="000C2F06"/>
    <w:rsid w:val="0012193B"/>
    <w:rsid w:val="00127251"/>
    <w:rsid w:val="00127CFB"/>
    <w:rsid w:val="00131879"/>
    <w:rsid w:val="0013224A"/>
    <w:rsid w:val="00143E20"/>
    <w:rsid w:val="00145AD0"/>
    <w:rsid w:val="00171F4E"/>
    <w:rsid w:val="001D5E8D"/>
    <w:rsid w:val="001F03D7"/>
    <w:rsid w:val="00215852"/>
    <w:rsid w:val="00236C74"/>
    <w:rsid w:val="00242493"/>
    <w:rsid w:val="00253A44"/>
    <w:rsid w:val="00253D0A"/>
    <w:rsid w:val="00263522"/>
    <w:rsid w:val="00266296"/>
    <w:rsid w:val="00270B54"/>
    <w:rsid w:val="00281D01"/>
    <w:rsid w:val="002D65C5"/>
    <w:rsid w:val="002F7656"/>
    <w:rsid w:val="003362C3"/>
    <w:rsid w:val="00363F67"/>
    <w:rsid w:val="00387017"/>
    <w:rsid w:val="003B4079"/>
    <w:rsid w:val="003C1C68"/>
    <w:rsid w:val="003C24A5"/>
    <w:rsid w:val="003C7A1C"/>
    <w:rsid w:val="003F37EE"/>
    <w:rsid w:val="003F3DDA"/>
    <w:rsid w:val="00404794"/>
    <w:rsid w:val="00436887"/>
    <w:rsid w:val="00440683"/>
    <w:rsid w:val="0045363E"/>
    <w:rsid w:val="00462849"/>
    <w:rsid w:val="004A1773"/>
    <w:rsid w:val="004C4AFF"/>
    <w:rsid w:val="004E18FD"/>
    <w:rsid w:val="004E1B2B"/>
    <w:rsid w:val="004F647F"/>
    <w:rsid w:val="00513512"/>
    <w:rsid w:val="0052200B"/>
    <w:rsid w:val="00553FFB"/>
    <w:rsid w:val="00555507"/>
    <w:rsid w:val="00561808"/>
    <w:rsid w:val="00585276"/>
    <w:rsid w:val="005879DD"/>
    <w:rsid w:val="00594130"/>
    <w:rsid w:val="005A3650"/>
    <w:rsid w:val="005B058E"/>
    <w:rsid w:val="005E32A5"/>
    <w:rsid w:val="005F4027"/>
    <w:rsid w:val="00600277"/>
    <w:rsid w:val="006130CE"/>
    <w:rsid w:val="00621261"/>
    <w:rsid w:val="00621642"/>
    <w:rsid w:val="006276ED"/>
    <w:rsid w:val="00631717"/>
    <w:rsid w:val="0063370E"/>
    <w:rsid w:val="00652423"/>
    <w:rsid w:val="00697542"/>
    <w:rsid w:val="006C75EB"/>
    <w:rsid w:val="006E4DFB"/>
    <w:rsid w:val="006F035A"/>
    <w:rsid w:val="007028CF"/>
    <w:rsid w:val="007219DC"/>
    <w:rsid w:val="00756583"/>
    <w:rsid w:val="00770E3A"/>
    <w:rsid w:val="007A6086"/>
    <w:rsid w:val="007D0C5B"/>
    <w:rsid w:val="007E638B"/>
    <w:rsid w:val="007E6A60"/>
    <w:rsid w:val="007F2EAB"/>
    <w:rsid w:val="007F40B0"/>
    <w:rsid w:val="008209AB"/>
    <w:rsid w:val="008B6E79"/>
    <w:rsid w:val="008C17FA"/>
    <w:rsid w:val="008F49BB"/>
    <w:rsid w:val="00905597"/>
    <w:rsid w:val="0090666B"/>
    <w:rsid w:val="00941602"/>
    <w:rsid w:val="00975B5B"/>
    <w:rsid w:val="00992D6F"/>
    <w:rsid w:val="009A3DEC"/>
    <w:rsid w:val="009B06D7"/>
    <w:rsid w:val="00A1511B"/>
    <w:rsid w:val="00A33D90"/>
    <w:rsid w:val="00A345F4"/>
    <w:rsid w:val="00A62B09"/>
    <w:rsid w:val="00B07ED1"/>
    <w:rsid w:val="00B165D1"/>
    <w:rsid w:val="00B20B2A"/>
    <w:rsid w:val="00B3212A"/>
    <w:rsid w:val="00B51F5E"/>
    <w:rsid w:val="00B60569"/>
    <w:rsid w:val="00B87AB8"/>
    <w:rsid w:val="00BA289A"/>
    <w:rsid w:val="00BA3C5B"/>
    <w:rsid w:val="00BF6417"/>
    <w:rsid w:val="00C12306"/>
    <w:rsid w:val="00C14464"/>
    <w:rsid w:val="00C17CBC"/>
    <w:rsid w:val="00C33BF1"/>
    <w:rsid w:val="00C37A41"/>
    <w:rsid w:val="00C41A7A"/>
    <w:rsid w:val="00C60175"/>
    <w:rsid w:val="00C67021"/>
    <w:rsid w:val="00C719FE"/>
    <w:rsid w:val="00C75BDA"/>
    <w:rsid w:val="00CA60A3"/>
    <w:rsid w:val="00CA7EC1"/>
    <w:rsid w:val="00CC79C2"/>
    <w:rsid w:val="00D67BBF"/>
    <w:rsid w:val="00D93E2A"/>
    <w:rsid w:val="00DA1D22"/>
    <w:rsid w:val="00DA6C32"/>
    <w:rsid w:val="00DC3B31"/>
    <w:rsid w:val="00DE61D0"/>
    <w:rsid w:val="00E21A85"/>
    <w:rsid w:val="00E30F93"/>
    <w:rsid w:val="00E32A6E"/>
    <w:rsid w:val="00E40EE5"/>
    <w:rsid w:val="00E41944"/>
    <w:rsid w:val="00E674BE"/>
    <w:rsid w:val="00E8568F"/>
    <w:rsid w:val="00E86E01"/>
    <w:rsid w:val="00E943D1"/>
    <w:rsid w:val="00EA5377"/>
    <w:rsid w:val="00EA779A"/>
    <w:rsid w:val="00EB579D"/>
    <w:rsid w:val="00EE70E9"/>
    <w:rsid w:val="00F73DDC"/>
    <w:rsid w:val="00F77C3E"/>
    <w:rsid w:val="00F9447E"/>
    <w:rsid w:val="00FA0776"/>
    <w:rsid w:val="00FB7687"/>
    <w:rsid w:val="00FC53F9"/>
    <w:rsid w:val="00FD03EB"/>
    <w:rsid w:val="00FF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C59A2B"/>
  <w15:chartTrackingRefBased/>
  <w15:docId w15:val="{1FE374D5-0378-42E6-862C-675595F19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553FF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79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79C2"/>
    <w:rPr>
      <w:sz w:val="20"/>
      <w:szCs w:val="20"/>
    </w:rPr>
  </w:style>
  <w:style w:type="character" w:styleId="FootnoteReference">
    <w:name w:val="footnote reference"/>
    <w:basedOn w:val="DefaultParagraphFont"/>
    <w:uiPriority w:val="99"/>
    <w:semiHidden/>
    <w:unhideWhenUsed/>
    <w:rsid w:val="00CC79C2"/>
    <w:rPr>
      <w:vertAlign w:val="superscript"/>
    </w:rPr>
  </w:style>
  <w:style w:type="character" w:styleId="Hyperlink">
    <w:name w:val="Hyperlink"/>
    <w:basedOn w:val="DefaultParagraphFont"/>
    <w:uiPriority w:val="99"/>
    <w:semiHidden/>
    <w:unhideWhenUsed/>
    <w:rsid w:val="00697542"/>
    <w:rPr>
      <w:color w:val="0000FF"/>
      <w:u w:val="single"/>
    </w:rPr>
  </w:style>
  <w:style w:type="character" w:customStyle="1" w:styleId="w8qarf">
    <w:name w:val="w8qarf"/>
    <w:basedOn w:val="DefaultParagraphFont"/>
    <w:rsid w:val="00697542"/>
  </w:style>
  <w:style w:type="character" w:customStyle="1" w:styleId="lrzxr">
    <w:name w:val="lrzxr"/>
    <w:basedOn w:val="DefaultParagraphFont"/>
    <w:rsid w:val="00697542"/>
  </w:style>
  <w:style w:type="paragraph" w:styleId="Header">
    <w:name w:val="header"/>
    <w:basedOn w:val="Normal"/>
    <w:link w:val="HeaderChar"/>
    <w:uiPriority w:val="99"/>
    <w:unhideWhenUsed/>
    <w:rsid w:val="00633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70E"/>
  </w:style>
  <w:style w:type="paragraph" w:styleId="Footer">
    <w:name w:val="footer"/>
    <w:basedOn w:val="Normal"/>
    <w:link w:val="FooterChar"/>
    <w:uiPriority w:val="99"/>
    <w:unhideWhenUsed/>
    <w:rsid w:val="00633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70E"/>
  </w:style>
  <w:style w:type="character" w:styleId="SubtleEmphasis">
    <w:name w:val="Subtle Emphasis"/>
    <w:basedOn w:val="DefaultParagraphFont"/>
    <w:uiPriority w:val="19"/>
    <w:qFormat/>
    <w:rsid w:val="00F73DDC"/>
    <w:rPr>
      <w:i/>
      <w:iCs/>
      <w:color w:val="404040" w:themeColor="text1" w:themeTint="BF"/>
    </w:rPr>
  </w:style>
  <w:style w:type="character" w:customStyle="1" w:styleId="Heading3Char">
    <w:name w:val="Heading 3 Char"/>
    <w:basedOn w:val="DefaultParagraphFont"/>
    <w:link w:val="Heading3"/>
    <w:uiPriority w:val="9"/>
    <w:rsid w:val="00553FF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826484">
      <w:bodyDiv w:val="1"/>
      <w:marLeft w:val="0"/>
      <w:marRight w:val="0"/>
      <w:marTop w:val="0"/>
      <w:marBottom w:val="0"/>
      <w:divBdr>
        <w:top w:val="none" w:sz="0" w:space="0" w:color="auto"/>
        <w:left w:val="none" w:sz="0" w:space="0" w:color="auto"/>
        <w:bottom w:val="none" w:sz="0" w:space="0" w:color="auto"/>
        <w:right w:val="none" w:sz="0" w:space="0" w:color="auto"/>
      </w:divBdr>
      <w:divsChild>
        <w:div w:id="520509818">
          <w:marLeft w:val="0"/>
          <w:marRight w:val="0"/>
          <w:marTop w:val="195"/>
          <w:marBottom w:val="195"/>
          <w:divBdr>
            <w:top w:val="none" w:sz="0" w:space="0" w:color="auto"/>
            <w:left w:val="none" w:sz="0" w:space="0" w:color="auto"/>
            <w:bottom w:val="none" w:sz="0" w:space="0" w:color="auto"/>
            <w:right w:val="none" w:sz="0" w:space="0" w:color="auto"/>
          </w:divBdr>
          <w:divsChild>
            <w:div w:id="1145925814">
              <w:marLeft w:val="0"/>
              <w:marRight w:val="0"/>
              <w:marTop w:val="0"/>
              <w:marBottom w:val="0"/>
              <w:divBdr>
                <w:top w:val="none" w:sz="0" w:space="0" w:color="auto"/>
                <w:left w:val="none" w:sz="0" w:space="0" w:color="auto"/>
                <w:bottom w:val="none" w:sz="0" w:space="0" w:color="auto"/>
                <w:right w:val="none" w:sz="0" w:space="0" w:color="auto"/>
              </w:divBdr>
              <w:divsChild>
                <w:div w:id="45432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747572">
          <w:marLeft w:val="0"/>
          <w:marRight w:val="0"/>
          <w:marTop w:val="0"/>
          <w:marBottom w:val="0"/>
          <w:divBdr>
            <w:top w:val="none" w:sz="0" w:space="0" w:color="auto"/>
            <w:left w:val="none" w:sz="0" w:space="0" w:color="auto"/>
            <w:bottom w:val="none" w:sz="0" w:space="0" w:color="auto"/>
            <w:right w:val="none" w:sz="0" w:space="0" w:color="auto"/>
          </w:divBdr>
          <w:divsChild>
            <w:div w:id="105974687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93443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160A1-55B9-4B93-9DE3-6CF62099A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6</Pages>
  <Words>2715</Words>
  <Characters>13605</Characters>
  <Application>Microsoft Office Word</Application>
  <DocSecurity>0</DocSecurity>
  <Lines>172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126</cp:revision>
  <dcterms:created xsi:type="dcterms:W3CDTF">2018-03-12T16:34:00Z</dcterms:created>
  <dcterms:modified xsi:type="dcterms:W3CDTF">2018-03-13T20:34:00Z</dcterms:modified>
</cp:coreProperties>
</file>