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68C18" w14:textId="77777777" w:rsidR="003921BB" w:rsidRPr="00410BDC" w:rsidRDefault="003921BB" w:rsidP="003921BB">
      <w:pPr>
        <w:rPr>
          <w:rFonts w:ascii="Arial" w:hAnsi="Arial" w:cs="Arial"/>
          <w:szCs w:val="24"/>
          <w:lang w:val="en-US"/>
        </w:rPr>
      </w:pPr>
      <w:r w:rsidRPr="00410BDC">
        <w:rPr>
          <w:rFonts w:ascii="Arial" w:hAnsi="Arial" w:cs="Arial"/>
          <w:noProof/>
          <w:szCs w:val="24"/>
          <w:lang w:val="en-US"/>
        </w:rPr>
        <w:drawing>
          <wp:inline distT="0" distB="0" distL="0" distR="0" wp14:anchorId="669CA8E3" wp14:editId="23080062">
            <wp:extent cx="1905266" cy="800212"/>
            <wp:effectExtent l="0" t="0" r="0" b="0"/>
            <wp:docPr id="813201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01627" name=""/>
                    <pic:cNvPicPr/>
                  </pic:nvPicPr>
                  <pic:blipFill>
                    <a:blip r:embed="rId7"/>
                    <a:stretch>
                      <a:fillRect/>
                    </a:stretch>
                  </pic:blipFill>
                  <pic:spPr>
                    <a:xfrm>
                      <a:off x="0" y="0"/>
                      <a:ext cx="1905266" cy="800212"/>
                    </a:xfrm>
                    <a:prstGeom prst="rect">
                      <a:avLst/>
                    </a:prstGeom>
                  </pic:spPr>
                </pic:pic>
              </a:graphicData>
            </a:graphic>
          </wp:inline>
        </w:drawing>
      </w:r>
    </w:p>
    <w:tbl>
      <w:tblPr>
        <w:tblStyle w:val="TableGrid"/>
        <w:tblW w:w="5000" w:type="pct"/>
        <w:tblLook w:val="04A0" w:firstRow="1" w:lastRow="0" w:firstColumn="1" w:lastColumn="0" w:noHBand="0" w:noVBand="1"/>
      </w:tblPr>
      <w:tblGrid>
        <w:gridCol w:w="2402"/>
        <w:gridCol w:w="6614"/>
      </w:tblGrid>
      <w:tr w:rsidR="003921BB" w:rsidRPr="00410BDC" w14:paraId="203C0F49" w14:textId="77777777" w:rsidTr="00965E6D">
        <w:trPr>
          <w:trHeight w:val="968"/>
        </w:trPr>
        <w:tc>
          <w:tcPr>
            <w:tcW w:w="1332" w:type="pct"/>
            <w:hideMark/>
          </w:tcPr>
          <w:p w14:paraId="2F0958C0"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Programme</w:t>
            </w:r>
          </w:p>
        </w:tc>
        <w:tc>
          <w:tcPr>
            <w:tcW w:w="3668" w:type="pct"/>
            <w:hideMark/>
          </w:tcPr>
          <w:p w14:paraId="149E8409" w14:textId="3E49CA5C" w:rsidR="003921BB" w:rsidRPr="00410BDC" w:rsidRDefault="003921BB" w:rsidP="00A77315">
            <w:pPr>
              <w:spacing w:after="160" w:line="240" w:lineRule="auto"/>
              <w:rPr>
                <w:rFonts w:ascii="Arial" w:hAnsi="Arial" w:cs="Arial"/>
                <w:szCs w:val="24"/>
                <w:lang w:val="en-IN"/>
              </w:rPr>
            </w:pPr>
            <w:r w:rsidRPr="00410BDC">
              <w:rPr>
                <w:rFonts w:ascii="Arial" w:hAnsi="Arial" w:cs="Arial"/>
                <w:szCs w:val="24"/>
                <w:lang w:val="en-IN"/>
              </w:rPr>
              <w:t>Master of Business Administration</w:t>
            </w:r>
          </w:p>
        </w:tc>
      </w:tr>
      <w:tr w:rsidR="003921BB" w:rsidRPr="00410BDC" w14:paraId="69303EAA" w14:textId="77777777" w:rsidTr="00965E6D">
        <w:trPr>
          <w:trHeight w:val="968"/>
        </w:trPr>
        <w:tc>
          <w:tcPr>
            <w:tcW w:w="1332" w:type="pct"/>
            <w:hideMark/>
          </w:tcPr>
          <w:p w14:paraId="3B2317F8"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Module Name</w:t>
            </w:r>
          </w:p>
        </w:tc>
        <w:tc>
          <w:tcPr>
            <w:tcW w:w="3668" w:type="pct"/>
            <w:hideMark/>
          </w:tcPr>
          <w:p w14:paraId="4C5B64A0" w14:textId="62959526" w:rsidR="003921BB" w:rsidRPr="00410BDC" w:rsidRDefault="003921BB" w:rsidP="00A77315">
            <w:pPr>
              <w:spacing w:after="160" w:line="240" w:lineRule="auto"/>
              <w:rPr>
                <w:rFonts w:ascii="Arial" w:hAnsi="Arial" w:cs="Arial"/>
                <w:szCs w:val="24"/>
                <w:lang w:val="en-IN"/>
              </w:rPr>
            </w:pPr>
            <w:r w:rsidRPr="00410BDC">
              <w:rPr>
                <w:rFonts w:ascii="Arial" w:hAnsi="Arial" w:cs="Arial"/>
                <w:szCs w:val="24"/>
                <w:lang w:val="en-IN"/>
              </w:rPr>
              <w:t>Human Capital Management</w:t>
            </w:r>
          </w:p>
        </w:tc>
      </w:tr>
      <w:tr w:rsidR="003921BB" w:rsidRPr="00410BDC" w14:paraId="6F3EE8DC" w14:textId="77777777" w:rsidTr="00965E6D">
        <w:trPr>
          <w:trHeight w:val="968"/>
        </w:trPr>
        <w:tc>
          <w:tcPr>
            <w:tcW w:w="1332" w:type="pct"/>
            <w:hideMark/>
          </w:tcPr>
          <w:p w14:paraId="7AE0F937"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Module Code</w:t>
            </w:r>
          </w:p>
        </w:tc>
        <w:tc>
          <w:tcPr>
            <w:tcW w:w="3668" w:type="pct"/>
            <w:hideMark/>
          </w:tcPr>
          <w:p w14:paraId="23C59DAE" w14:textId="23899893" w:rsidR="003921BB" w:rsidRPr="00410BDC" w:rsidRDefault="003921BB" w:rsidP="00A77315">
            <w:pPr>
              <w:spacing w:after="160" w:line="240" w:lineRule="auto"/>
              <w:rPr>
                <w:rFonts w:ascii="Arial" w:hAnsi="Arial" w:cs="Arial"/>
                <w:szCs w:val="24"/>
                <w:lang w:val="en-IN"/>
              </w:rPr>
            </w:pPr>
            <w:r w:rsidRPr="00410BDC">
              <w:rPr>
                <w:rFonts w:ascii="Arial" w:hAnsi="Arial" w:cs="Arial"/>
                <w:szCs w:val="24"/>
                <w:lang w:val="en-IN"/>
              </w:rPr>
              <w:t>LCMB7023</w:t>
            </w:r>
          </w:p>
        </w:tc>
      </w:tr>
      <w:tr w:rsidR="003921BB" w:rsidRPr="00410BDC" w14:paraId="56E7CDE8" w14:textId="77777777" w:rsidTr="00965E6D">
        <w:trPr>
          <w:trHeight w:val="995"/>
        </w:trPr>
        <w:tc>
          <w:tcPr>
            <w:tcW w:w="1332" w:type="pct"/>
            <w:hideMark/>
          </w:tcPr>
          <w:p w14:paraId="5B783928"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Assessment Title</w:t>
            </w:r>
          </w:p>
        </w:tc>
        <w:tc>
          <w:tcPr>
            <w:tcW w:w="3668" w:type="pct"/>
            <w:hideMark/>
          </w:tcPr>
          <w:p w14:paraId="2E35897A" w14:textId="4157B55E" w:rsidR="003921BB" w:rsidRPr="00410BDC" w:rsidRDefault="003921BB" w:rsidP="003921BB">
            <w:pPr>
              <w:spacing w:line="240" w:lineRule="auto"/>
              <w:rPr>
                <w:rFonts w:ascii="Arial" w:hAnsi="Arial" w:cs="Arial"/>
                <w:szCs w:val="24"/>
              </w:rPr>
            </w:pPr>
            <w:r w:rsidRPr="00410BDC">
              <w:rPr>
                <w:rFonts w:ascii="Arial" w:hAnsi="Arial" w:cs="Arial"/>
                <w:szCs w:val="24"/>
              </w:rPr>
              <w:t>Assessment component 1: Individual report – HR strategy</w:t>
            </w:r>
          </w:p>
        </w:tc>
      </w:tr>
      <w:tr w:rsidR="003921BB" w:rsidRPr="00410BDC" w14:paraId="50A23311" w14:textId="77777777" w:rsidTr="00965E6D">
        <w:trPr>
          <w:trHeight w:val="1587"/>
        </w:trPr>
        <w:tc>
          <w:tcPr>
            <w:tcW w:w="1332" w:type="pct"/>
            <w:hideMark/>
          </w:tcPr>
          <w:p w14:paraId="15D32D27"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Topic</w:t>
            </w:r>
          </w:p>
        </w:tc>
        <w:tc>
          <w:tcPr>
            <w:tcW w:w="3668" w:type="pct"/>
            <w:hideMark/>
          </w:tcPr>
          <w:p w14:paraId="6177EBE9" w14:textId="5960FDD8" w:rsidR="003921BB" w:rsidRPr="00410BDC" w:rsidRDefault="003921BB" w:rsidP="00A77315">
            <w:pPr>
              <w:spacing w:after="160" w:line="240" w:lineRule="auto"/>
              <w:rPr>
                <w:rFonts w:ascii="Arial" w:hAnsi="Arial" w:cs="Arial"/>
                <w:szCs w:val="24"/>
                <w:lang w:val="en-IN"/>
              </w:rPr>
            </w:pPr>
            <w:r w:rsidRPr="00410BDC">
              <w:rPr>
                <w:rFonts w:ascii="Arial" w:hAnsi="Arial" w:cs="Arial"/>
                <w:szCs w:val="24"/>
                <w:lang w:val="en-IN"/>
              </w:rPr>
              <w:t>Developing an Innovation-Driven Culture and Future of Work Strategy for Aether Innovations</w:t>
            </w:r>
          </w:p>
        </w:tc>
      </w:tr>
      <w:tr w:rsidR="003921BB" w:rsidRPr="00410BDC" w14:paraId="5245F746" w14:textId="77777777" w:rsidTr="00965E6D">
        <w:trPr>
          <w:trHeight w:val="968"/>
        </w:trPr>
        <w:tc>
          <w:tcPr>
            <w:tcW w:w="1332" w:type="pct"/>
            <w:hideMark/>
          </w:tcPr>
          <w:p w14:paraId="798E02D1"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Student Name</w:t>
            </w:r>
          </w:p>
        </w:tc>
        <w:tc>
          <w:tcPr>
            <w:tcW w:w="3668" w:type="pct"/>
            <w:hideMark/>
          </w:tcPr>
          <w:p w14:paraId="580EFE7D" w14:textId="7AB75743" w:rsidR="003921BB" w:rsidRPr="00410BDC" w:rsidRDefault="00771ED5" w:rsidP="00A77315">
            <w:pPr>
              <w:spacing w:after="160" w:line="240" w:lineRule="auto"/>
              <w:rPr>
                <w:rFonts w:ascii="Arial" w:hAnsi="Arial" w:cs="Arial"/>
                <w:szCs w:val="24"/>
                <w:lang w:val="en-IN"/>
              </w:rPr>
            </w:pPr>
            <w:r>
              <w:rPr>
                <w:rFonts w:ascii="Arial" w:hAnsi="Arial" w:cs="Arial"/>
                <w:szCs w:val="24"/>
                <w:lang w:val="en-IN"/>
              </w:rPr>
              <w:t>Vivekananda Reddy Singireddy</w:t>
            </w:r>
          </w:p>
        </w:tc>
      </w:tr>
      <w:tr w:rsidR="003921BB" w:rsidRPr="00410BDC" w14:paraId="0C11AFB0" w14:textId="77777777" w:rsidTr="00965E6D">
        <w:trPr>
          <w:trHeight w:val="968"/>
        </w:trPr>
        <w:tc>
          <w:tcPr>
            <w:tcW w:w="1332" w:type="pct"/>
            <w:hideMark/>
          </w:tcPr>
          <w:p w14:paraId="612C078D"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Student ID</w:t>
            </w:r>
          </w:p>
        </w:tc>
        <w:tc>
          <w:tcPr>
            <w:tcW w:w="3668" w:type="pct"/>
            <w:hideMark/>
          </w:tcPr>
          <w:p w14:paraId="712AA53B" w14:textId="710404E5" w:rsidR="003921BB" w:rsidRPr="00410BDC" w:rsidRDefault="00771ED5" w:rsidP="00A77315">
            <w:pPr>
              <w:spacing w:after="160" w:line="240" w:lineRule="auto"/>
              <w:rPr>
                <w:rFonts w:ascii="Arial" w:hAnsi="Arial" w:cs="Arial"/>
                <w:szCs w:val="24"/>
                <w:lang w:val="en-IN"/>
              </w:rPr>
            </w:pPr>
            <w:r>
              <w:rPr>
                <w:rFonts w:ascii="Arial" w:hAnsi="Arial" w:cs="Arial"/>
                <w:szCs w:val="24"/>
                <w:lang w:val="en-IN"/>
              </w:rPr>
              <w:t>2529561</w:t>
            </w:r>
          </w:p>
        </w:tc>
      </w:tr>
      <w:tr w:rsidR="003921BB" w:rsidRPr="00410BDC" w14:paraId="37D32B4E" w14:textId="77777777" w:rsidTr="00965E6D">
        <w:trPr>
          <w:trHeight w:val="1587"/>
        </w:trPr>
        <w:tc>
          <w:tcPr>
            <w:tcW w:w="1332" w:type="pct"/>
            <w:hideMark/>
          </w:tcPr>
          <w:p w14:paraId="1D8DB21B"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Lecturer</w:t>
            </w:r>
          </w:p>
        </w:tc>
        <w:tc>
          <w:tcPr>
            <w:tcW w:w="3668" w:type="pct"/>
            <w:hideMark/>
          </w:tcPr>
          <w:p w14:paraId="3FC73714" w14:textId="77777777" w:rsidR="003921BB" w:rsidRPr="00410BDC" w:rsidRDefault="003921BB" w:rsidP="003921BB">
            <w:pPr>
              <w:spacing w:line="240" w:lineRule="auto"/>
              <w:rPr>
                <w:rFonts w:ascii="Arial" w:hAnsi="Arial" w:cs="Arial"/>
                <w:szCs w:val="24"/>
                <w:lang w:val="en-IN"/>
              </w:rPr>
            </w:pPr>
            <w:r w:rsidRPr="00410BDC">
              <w:rPr>
                <w:rFonts w:ascii="Arial" w:hAnsi="Arial" w:cs="Arial"/>
                <w:szCs w:val="24"/>
                <w:lang w:val="en-IN"/>
              </w:rPr>
              <w:t>Gladius Kulothungan</w:t>
            </w:r>
          </w:p>
          <w:p w14:paraId="0BE6FF0C" w14:textId="5898C891" w:rsidR="003921BB" w:rsidRPr="00410BDC" w:rsidRDefault="003921BB" w:rsidP="003921BB">
            <w:pPr>
              <w:spacing w:after="160" w:line="240" w:lineRule="auto"/>
              <w:rPr>
                <w:rFonts w:ascii="Arial" w:hAnsi="Arial" w:cs="Arial"/>
                <w:szCs w:val="24"/>
                <w:lang w:val="en-IN"/>
              </w:rPr>
            </w:pPr>
            <w:r w:rsidRPr="00410BDC">
              <w:rPr>
                <w:rFonts w:ascii="Arial" w:hAnsi="Arial" w:cs="Arial"/>
                <w:szCs w:val="24"/>
                <w:lang w:val="en-IN"/>
              </w:rPr>
              <w:t>Ejike Udeogu</w:t>
            </w:r>
          </w:p>
        </w:tc>
      </w:tr>
      <w:tr w:rsidR="003921BB" w:rsidRPr="00410BDC" w14:paraId="139580B2" w14:textId="77777777" w:rsidTr="00965E6D">
        <w:trPr>
          <w:trHeight w:val="968"/>
        </w:trPr>
        <w:tc>
          <w:tcPr>
            <w:tcW w:w="1332" w:type="pct"/>
            <w:hideMark/>
          </w:tcPr>
          <w:p w14:paraId="3B310ECD"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Word Count</w:t>
            </w:r>
          </w:p>
        </w:tc>
        <w:tc>
          <w:tcPr>
            <w:tcW w:w="3668" w:type="pct"/>
            <w:hideMark/>
          </w:tcPr>
          <w:p w14:paraId="6411A28A" w14:textId="20E237F8" w:rsidR="003921BB" w:rsidRPr="00410BDC" w:rsidRDefault="00965E6D" w:rsidP="00A77315">
            <w:pPr>
              <w:spacing w:after="160" w:line="240" w:lineRule="auto"/>
              <w:rPr>
                <w:rFonts w:ascii="Arial" w:hAnsi="Arial" w:cs="Arial"/>
                <w:szCs w:val="24"/>
                <w:lang w:val="en-IN"/>
              </w:rPr>
            </w:pPr>
            <w:r>
              <w:rPr>
                <w:rFonts w:ascii="Arial" w:hAnsi="Arial" w:cs="Arial"/>
                <w:szCs w:val="24"/>
                <w:lang w:val="en-IN"/>
              </w:rPr>
              <w:t>2631 Words</w:t>
            </w:r>
          </w:p>
        </w:tc>
      </w:tr>
      <w:tr w:rsidR="003921BB" w:rsidRPr="00410BDC" w14:paraId="2116209A" w14:textId="77777777" w:rsidTr="00965E6D">
        <w:trPr>
          <w:trHeight w:val="968"/>
        </w:trPr>
        <w:tc>
          <w:tcPr>
            <w:tcW w:w="1332" w:type="pct"/>
            <w:hideMark/>
          </w:tcPr>
          <w:p w14:paraId="6976EA1A" w14:textId="77777777" w:rsidR="003921BB" w:rsidRPr="00410BDC" w:rsidRDefault="003921BB" w:rsidP="00A77315">
            <w:pPr>
              <w:spacing w:after="160" w:line="240" w:lineRule="auto"/>
              <w:rPr>
                <w:rFonts w:ascii="Arial" w:hAnsi="Arial" w:cs="Arial"/>
                <w:szCs w:val="24"/>
                <w:lang w:val="en-IN"/>
              </w:rPr>
            </w:pPr>
            <w:r w:rsidRPr="00410BDC">
              <w:rPr>
                <w:rFonts w:ascii="Arial" w:hAnsi="Arial" w:cs="Arial"/>
                <w:b/>
                <w:bCs/>
                <w:szCs w:val="24"/>
                <w:lang w:val="en-IN"/>
              </w:rPr>
              <w:t>Submission Date</w:t>
            </w:r>
          </w:p>
        </w:tc>
        <w:tc>
          <w:tcPr>
            <w:tcW w:w="3668" w:type="pct"/>
            <w:hideMark/>
          </w:tcPr>
          <w:p w14:paraId="11FFE58E" w14:textId="77777777" w:rsidR="003921BB" w:rsidRPr="00410BDC" w:rsidRDefault="003921BB" w:rsidP="00A77315">
            <w:pPr>
              <w:spacing w:after="160" w:line="240" w:lineRule="auto"/>
              <w:rPr>
                <w:rFonts w:ascii="Arial" w:hAnsi="Arial" w:cs="Arial"/>
                <w:szCs w:val="24"/>
                <w:lang w:val="en-IN"/>
              </w:rPr>
            </w:pPr>
          </w:p>
        </w:tc>
      </w:tr>
    </w:tbl>
    <w:p w14:paraId="68ED6745" w14:textId="77777777" w:rsidR="003921BB" w:rsidRPr="00410BDC" w:rsidRDefault="003921BB" w:rsidP="003921BB">
      <w:pPr>
        <w:rPr>
          <w:rFonts w:ascii="Arial" w:hAnsi="Arial" w:cs="Arial"/>
          <w:szCs w:val="24"/>
          <w:lang w:val="en-US"/>
        </w:rPr>
      </w:pPr>
    </w:p>
    <w:p w14:paraId="7B2BFDFD" w14:textId="1DC4BE47" w:rsidR="0028735D" w:rsidRPr="00410BDC" w:rsidRDefault="0028735D">
      <w:pPr>
        <w:spacing w:line="259" w:lineRule="auto"/>
        <w:jc w:val="left"/>
        <w:rPr>
          <w:rFonts w:ascii="Arial" w:hAnsi="Arial" w:cs="Arial"/>
          <w:szCs w:val="24"/>
          <w:lang w:val="en-IN"/>
        </w:rPr>
      </w:pPr>
      <w:r w:rsidRPr="00410BDC">
        <w:rPr>
          <w:rFonts w:ascii="Arial" w:hAnsi="Arial" w:cs="Arial"/>
          <w:szCs w:val="24"/>
          <w:lang w:val="en-IN"/>
        </w:rPr>
        <w:br w:type="page"/>
      </w:r>
    </w:p>
    <w:p w14:paraId="04DEDC45" w14:textId="77777777" w:rsidR="0028735D" w:rsidRPr="00410BDC" w:rsidRDefault="0028735D" w:rsidP="0028735D">
      <w:pPr>
        <w:pStyle w:val="Heading1"/>
        <w:rPr>
          <w:rFonts w:ascii="Arial" w:hAnsi="Arial" w:cs="Arial"/>
          <w:sz w:val="24"/>
          <w:szCs w:val="24"/>
        </w:rPr>
      </w:pPr>
      <w:bookmarkStart w:id="0" w:name="_Toc223824729"/>
      <w:r w:rsidRPr="00410BDC">
        <w:rPr>
          <w:rFonts w:ascii="Arial" w:hAnsi="Arial" w:cs="Arial"/>
          <w:sz w:val="24"/>
          <w:szCs w:val="24"/>
        </w:rPr>
        <w:lastRenderedPageBreak/>
        <w:t>Executive Summary</w:t>
      </w:r>
      <w:bookmarkEnd w:id="0"/>
    </w:p>
    <w:p w14:paraId="2A920811" w14:textId="45A7FDBA" w:rsidR="001028B3" w:rsidRDefault="0028735D" w:rsidP="001028B3">
      <w:pPr>
        <w:ind w:firstLine="720"/>
        <w:rPr>
          <w:rFonts w:ascii="Arial" w:hAnsi="Arial" w:cs="Arial"/>
          <w:szCs w:val="24"/>
        </w:rPr>
      </w:pPr>
      <w:r w:rsidRPr="00410BDC">
        <w:rPr>
          <w:rFonts w:ascii="Arial" w:hAnsi="Arial" w:cs="Arial"/>
          <w:szCs w:val="24"/>
        </w:rPr>
        <w:t>Aether innovations is a 300-employee technology company that is experiencing dwindling growth, employee turnover and dissatisfaction among its clients, it means that there is lack of alignment between organisational culture, work practices and strategic objectives. In this report, the development of the integrated human capital strategy is achieved to enhance the innovativeness and the interest of employees. The analyses appraise the existing trends in the technology industry, which include the relevance of an organisational culture of innovation, psychological safety and collaborative teamwork in enhancing performances. The report suggests cultural transformation initiatives, innovation-oriented HR policies and the hybrid work model based on the digital cooperation infrastructure. These combined practices should be geared towards more employee motivation, knowledge sharing and organisational agility which will lead to better innovation performance, workforce retention and customer satisfaction.</w:t>
      </w:r>
    </w:p>
    <w:p w14:paraId="15E3224F" w14:textId="17CA364E" w:rsidR="003921BB" w:rsidRPr="00965E6D" w:rsidRDefault="001028B3" w:rsidP="00176828">
      <w:pPr>
        <w:spacing w:line="259" w:lineRule="auto"/>
        <w:jc w:val="left"/>
        <w:rPr>
          <w:rFonts w:ascii="Arial" w:hAnsi="Arial" w:cs="Arial"/>
          <w:szCs w:val="24"/>
        </w:rPr>
      </w:pPr>
      <w:r>
        <w:rPr>
          <w:rFonts w:ascii="Arial" w:hAnsi="Arial" w:cs="Arial"/>
          <w:szCs w:val="24"/>
        </w:rPr>
        <w:br w:type="page"/>
      </w:r>
    </w:p>
    <w:sdt>
      <w:sdtPr>
        <w:rPr>
          <w:rFonts w:ascii="Arial" w:eastAsiaTheme="minorHAnsi" w:hAnsi="Arial" w:cs="Arial"/>
          <w:color w:val="auto"/>
          <w:kern w:val="2"/>
          <w:sz w:val="24"/>
          <w:szCs w:val="24"/>
          <w:lang w:val="en-GB"/>
          <w14:ligatures w14:val="standardContextual"/>
        </w:rPr>
        <w:id w:val="-1372061452"/>
        <w:docPartObj>
          <w:docPartGallery w:val="Table of Contents"/>
          <w:docPartUnique/>
        </w:docPartObj>
      </w:sdtPr>
      <w:sdtEndPr>
        <w:rPr>
          <w:b/>
          <w:bCs/>
          <w:noProof/>
        </w:rPr>
      </w:sdtEndPr>
      <w:sdtContent>
        <w:p w14:paraId="0867BC88" w14:textId="09E97B28" w:rsidR="003921BB" w:rsidRPr="00410BDC" w:rsidRDefault="003921BB" w:rsidP="003921BB">
          <w:pPr>
            <w:pStyle w:val="TOCHeading"/>
            <w:spacing w:line="360" w:lineRule="auto"/>
            <w:jc w:val="both"/>
            <w:rPr>
              <w:rFonts w:ascii="Arial" w:hAnsi="Arial" w:cs="Arial"/>
              <w:sz w:val="24"/>
              <w:szCs w:val="24"/>
            </w:rPr>
          </w:pPr>
          <w:r w:rsidRPr="00410BDC">
            <w:rPr>
              <w:rFonts w:ascii="Arial" w:hAnsi="Arial" w:cs="Arial"/>
              <w:sz w:val="24"/>
              <w:szCs w:val="24"/>
            </w:rPr>
            <w:t>Table of Contents</w:t>
          </w:r>
        </w:p>
        <w:p w14:paraId="0F80933E" w14:textId="76715B6C" w:rsidR="00653091" w:rsidRPr="00410BDC" w:rsidRDefault="003921BB">
          <w:pPr>
            <w:pStyle w:val="TOC1"/>
            <w:tabs>
              <w:tab w:val="right" w:leader="dot" w:pos="9016"/>
            </w:tabs>
            <w:rPr>
              <w:rFonts w:ascii="Arial" w:eastAsiaTheme="minorEastAsia" w:hAnsi="Arial" w:cs="Arial"/>
              <w:noProof/>
              <w:szCs w:val="24"/>
              <w:lang w:val="en-IN" w:eastAsia="en-IN"/>
            </w:rPr>
          </w:pPr>
          <w:r w:rsidRPr="00410BDC">
            <w:rPr>
              <w:rFonts w:ascii="Arial" w:hAnsi="Arial" w:cs="Arial"/>
              <w:szCs w:val="24"/>
            </w:rPr>
            <w:fldChar w:fldCharType="begin"/>
          </w:r>
          <w:r w:rsidRPr="00410BDC">
            <w:rPr>
              <w:rFonts w:ascii="Arial" w:hAnsi="Arial" w:cs="Arial"/>
              <w:szCs w:val="24"/>
            </w:rPr>
            <w:instrText xml:space="preserve"> TOC \o "1-3" \h \z \u </w:instrText>
          </w:r>
          <w:r w:rsidRPr="00410BDC">
            <w:rPr>
              <w:rFonts w:ascii="Arial" w:hAnsi="Arial" w:cs="Arial"/>
              <w:szCs w:val="24"/>
            </w:rPr>
            <w:fldChar w:fldCharType="separate"/>
          </w:r>
          <w:hyperlink w:anchor="_Toc223824729" w:history="1">
            <w:r w:rsidR="00653091" w:rsidRPr="00410BDC">
              <w:rPr>
                <w:rStyle w:val="Hyperlink"/>
                <w:rFonts w:ascii="Arial" w:hAnsi="Arial" w:cs="Arial"/>
                <w:noProof/>
                <w:szCs w:val="24"/>
              </w:rPr>
              <w:t>Executive Summary</w:t>
            </w:r>
            <w:r w:rsidR="00653091" w:rsidRPr="00410BDC">
              <w:rPr>
                <w:rFonts w:ascii="Arial" w:hAnsi="Arial" w:cs="Arial"/>
                <w:noProof/>
                <w:webHidden/>
                <w:szCs w:val="24"/>
              </w:rPr>
              <w:tab/>
            </w:r>
            <w:r w:rsidR="00653091" w:rsidRPr="00410BDC">
              <w:rPr>
                <w:rFonts w:ascii="Arial" w:hAnsi="Arial" w:cs="Arial"/>
                <w:noProof/>
                <w:webHidden/>
                <w:szCs w:val="24"/>
              </w:rPr>
              <w:fldChar w:fldCharType="begin"/>
            </w:r>
            <w:r w:rsidR="00653091" w:rsidRPr="00410BDC">
              <w:rPr>
                <w:rFonts w:ascii="Arial" w:hAnsi="Arial" w:cs="Arial"/>
                <w:noProof/>
                <w:webHidden/>
                <w:szCs w:val="24"/>
              </w:rPr>
              <w:instrText xml:space="preserve"> PAGEREF _Toc223824729 \h </w:instrText>
            </w:r>
            <w:r w:rsidR="00653091" w:rsidRPr="00410BDC">
              <w:rPr>
                <w:rFonts w:ascii="Arial" w:hAnsi="Arial" w:cs="Arial"/>
                <w:noProof/>
                <w:webHidden/>
                <w:szCs w:val="24"/>
              </w:rPr>
            </w:r>
            <w:r w:rsidR="00653091" w:rsidRPr="00410BDC">
              <w:rPr>
                <w:rFonts w:ascii="Arial" w:hAnsi="Arial" w:cs="Arial"/>
                <w:noProof/>
                <w:webHidden/>
                <w:szCs w:val="24"/>
              </w:rPr>
              <w:fldChar w:fldCharType="separate"/>
            </w:r>
            <w:r w:rsidR="00653091" w:rsidRPr="00410BDC">
              <w:rPr>
                <w:rFonts w:ascii="Arial" w:hAnsi="Arial" w:cs="Arial"/>
                <w:noProof/>
                <w:webHidden/>
                <w:szCs w:val="24"/>
              </w:rPr>
              <w:t>2</w:t>
            </w:r>
            <w:r w:rsidR="00653091" w:rsidRPr="00410BDC">
              <w:rPr>
                <w:rFonts w:ascii="Arial" w:hAnsi="Arial" w:cs="Arial"/>
                <w:noProof/>
                <w:webHidden/>
                <w:szCs w:val="24"/>
              </w:rPr>
              <w:fldChar w:fldCharType="end"/>
            </w:r>
          </w:hyperlink>
        </w:p>
        <w:p w14:paraId="529D5FC1" w14:textId="5DEF7FB6"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30" w:history="1">
            <w:r w:rsidRPr="00410BDC">
              <w:rPr>
                <w:rStyle w:val="Hyperlink"/>
                <w:rFonts w:ascii="Arial" w:hAnsi="Arial" w:cs="Arial"/>
                <w:noProof/>
                <w:szCs w:val="24"/>
                <w:lang w:val="en-IN"/>
              </w:rPr>
              <w:t>1. Introduction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_Toc223824730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5</w:t>
            </w:r>
            <w:r w:rsidRPr="00410BDC">
              <w:rPr>
                <w:rFonts w:ascii="Arial" w:hAnsi="Arial" w:cs="Arial"/>
                <w:noProof/>
                <w:webHidden/>
                <w:szCs w:val="24"/>
              </w:rPr>
              <w:fldChar w:fldCharType="end"/>
            </w:r>
          </w:hyperlink>
        </w:p>
        <w:p w14:paraId="7A6F4BB9" w14:textId="42C764AC"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31" w:history="1">
            <w:r w:rsidRPr="00410BDC">
              <w:rPr>
                <w:rStyle w:val="Hyperlink"/>
                <w:rFonts w:ascii="Arial" w:hAnsi="Arial" w:cs="Arial"/>
                <w:noProof/>
                <w:szCs w:val="24"/>
              </w:rPr>
              <w:t>PART 1 – Building a Culture of Innovation &amp; Future Work Practices</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_Toc223824731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5</w:t>
            </w:r>
            <w:r w:rsidRPr="00410BDC">
              <w:rPr>
                <w:rFonts w:ascii="Arial" w:hAnsi="Arial" w:cs="Arial"/>
                <w:noProof/>
                <w:webHidden/>
                <w:szCs w:val="24"/>
              </w:rPr>
              <w:fldChar w:fldCharType="end"/>
            </w:r>
          </w:hyperlink>
        </w:p>
        <w:p w14:paraId="1AB8E588" w14:textId="73A4A16D"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32" w:history="1">
            <w:r w:rsidRPr="00410BDC">
              <w:rPr>
                <w:rStyle w:val="Hyperlink"/>
                <w:rFonts w:ascii="Arial" w:hAnsi="Arial" w:cs="Arial"/>
                <w:noProof/>
                <w:szCs w:val="24"/>
                <w:lang w:val="en-IN"/>
              </w:rPr>
              <w:t>2. Current Culture and Work Practices in Technology Companies</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_Toc223824732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5</w:t>
            </w:r>
            <w:r w:rsidRPr="00410BDC">
              <w:rPr>
                <w:rFonts w:ascii="Arial" w:hAnsi="Arial" w:cs="Arial"/>
                <w:noProof/>
                <w:webHidden/>
                <w:szCs w:val="24"/>
              </w:rPr>
              <w:fldChar w:fldCharType="end"/>
            </w:r>
          </w:hyperlink>
        </w:p>
        <w:p w14:paraId="424A467B" w14:textId="41BF8031"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33" w:history="1">
            <w:r w:rsidRPr="00410BDC">
              <w:rPr>
                <w:rStyle w:val="Hyperlink"/>
                <w:rFonts w:ascii="Arial" w:hAnsi="Arial" w:cs="Arial"/>
                <w:noProof/>
                <w:szCs w:val="24"/>
              </w:rPr>
              <w:t>2.1 Innovation Culture in Technology Organisations</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_Toc223824733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5</w:t>
            </w:r>
            <w:r w:rsidRPr="00410BDC">
              <w:rPr>
                <w:rFonts w:ascii="Arial" w:hAnsi="Arial" w:cs="Arial"/>
                <w:noProof/>
                <w:webHidden/>
                <w:szCs w:val="24"/>
              </w:rPr>
              <w:fldChar w:fldCharType="end"/>
            </w:r>
          </w:hyperlink>
        </w:p>
        <w:p w14:paraId="367EBFBD" w14:textId="6FD9668D"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34" w:history="1">
            <w:r w:rsidRPr="00410BDC">
              <w:rPr>
                <w:rStyle w:val="Hyperlink"/>
                <w:rFonts w:ascii="Arial" w:hAnsi="Arial" w:cs="Arial"/>
                <w:noProof/>
                <w:szCs w:val="24"/>
              </w:rPr>
              <w:t>2.2 Current Work Trends in the Technology Industry</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_Toc223824734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6</w:t>
            </w:r>
            <w:r w:rsidRPr="00410BDC">
              <w:rPr>
                <w:rFonts w:ascii="Arial" w:hAnsi="Arial" w:cs="Arial"/>
                <w:noProof/>
                <w:webHidden/>
                <w:szCs w:val="24"/>
              </w:rPr>
              <w:fldChar w:fldCharType="end"/>
            </w:r>
          </w:hyperlink>
        </w:p>
        <w:p w14:paraId="378E9472" w14:textId="7290A3F7"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35" w:history="1">
            <w:r w:rsidRPr="00410BDC">
              <w:rPr>
                <w:rStyle w:val="Hyperlink"/>
                <w:rFonts w:ascii="Arial" w:hAnsi="Arial" w:cs="Arial"/>
                <w:noProof/>
                <w:szCs w:val="24"/>
                <w:lang w:val="en-IN"/>
              </w:rPr>
              <w:t>3. Cultural and Structural Initiatives to Embed Innovation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_Toc223824735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6</w:t>
            </w:r>
            <w:r w:rsidRPr="00410BDC">
              <w:rPr>
                <w:rFonts w:ascii="Arial" w:hAnsi="Arial" w:cs="Arial"/>
                <w:noProof/>
                <w:webHidden/>
                <w:szCs w:val="24"/>
              </w:rPr>
              <w:fldChar w:fldCharType="end"/>
            </w:r>
          </w:hyperlink>
        </w:p>
        <w:p w14:paraId="73E1AAA2" w14:textId="41F6E89A"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36" w:history="1">
            <w:r w:rsidRPr="00410BDC">
              <w:rPr>
                <w:rStyle w:val="Hyperlink"/>
                <w:rFonts w:ascii="Arial" w:hAnsi="Arial" w:cs="Arial"/>
                <w:noProof/>
                <w:szCs w:val="24"/>
              </w:rPr>
              <w:t>3.1 Innovation Culture Framework</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_Toc223824736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6</w:t>
            </w:r>
            <w:r w:rsidRPr="00410BDC">
              <w:rPr>
                <w:rFonts w:ascii="Arial" w:hAnsi="Arial" w:cs="Arial"/>
                <w:noProof/>
                <w:webHidden/>
                <w:szCs w:val="24"/>
              </w:rPr>
              <w:fldChar w:fldCharType="end"/>
            </w:r>
          </w:hyperlink>
        </w:p>
        <w:p w14:paraId="335C0529" w14:textId="7573B541"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37" w:history="1">
            <w:r w:rsidRPr="00410BDC">
              <w:rPr>
                <w:rStyle w:val="Hyperlink"/>
                <w:rFonts w:ascii="Arial" w:hAnsi="Arial" w:cs="Arial"/>
                <w:noProof/>
                <w:szCs w:val="24"/>
                <w:lang w:val="en-IN"/>
              </w:rPr>
              <w:t xml:space="preserve">3.2 </w:t>
            </w:r>
            <w:r w:rsidRPr="00410BDC">
              <w:rPr>
                <w:rStyle w:val="Hyperlink"/>
                <w:rFonts w:ascii="Arial" w:hAnsi="Arial" w:cs="Arial"/>
                <w:noProof/>
                <w:szCs w:val="24"/>
              </w:rPr>
              <w:t>Structural Initiatives for Innovation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_Toc223824737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7</w:t>
            </w:r>
            <w:r w:rsidRPr="00410BDC">
              <w:rPr>
                <w:rFonts w:ascii="Arial" w:hAnsi="Arial" w:cs="Arial"/>
                <w:noProof/>
                <w:webHidden/>
                <w:szCs w:val="24"/>
              </w:rPr>
              <w:fldChar w:fldCharType="end"/>
            </w:r>
          </w:hyperlink>
        </w:p>
        <w:p w14:paraId="6C3EB68E" w14:textId="7F4228E9"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38" w:history="1">
            <w:r w:rsidRPr="00410BDC">
              <w:rPr>
                <w:rStyle w:val="Hyperlink"/>
                <w:rFonts w:ascii="Arial" w:hAnsi="Arial" w:cs="Arial"/>
                <w:noProof/>
                <w:szCs w:val="24"/>
                <w:lang w:val="en-IN"/>
              </w:rPr>
              <w:t xml:space="preserve">3.3 </w:t>
            </w:r>
            <w:r w:rsidRPr="00410BDC">
              <w:rPr>
                <w:rStyle w:val="Hyperlink"/>
                <w:rFonts w:ascii="Arial" w:hAnsi="Arial" w:cs="Arial"/>
                <w:noProof/>
                <w:szCs w:val="24"/>
              </w:rPr>
              <w:t>HR Policies Supporting Innovation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_Toc223824738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7</w:t>
            </w:r>
            <w:r w:rsidRPr="00410BDC">
              <w:rPr>
                <w:rFonts w:ascii="Arial" w:hAnsi="Arial" w:cs="Arial"/>
                <w:noProof/>
                <w:webHidden/>
                <w:szCs w:val="24"/>
              </w:rPr>
              <w:fldChar w:fldCharType="end"/>
            </w:r>
          </w:hyperlink>
        </w:p>
        <w:p w14:paraId="3CEE5C6C" w14:textId="342F308B"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39" w:history="1">
            <w:r w:rsidRPr="00410BDC">
              <w:rPr>
                <w:rStyle w:val="Hyperlink"/>
                <w:rFonts w:ascii="Arial" w:hAnsi="Arial" w:cs="Arial"/>
                <w:noProof/>
                <w:szCs w:val="24"/>
                <w:lang w:val="en-IN"/>
              </w:rPr>
              <w:t xml:space="preserve">4. </w:t>
            </w:r>
            <w:r w:rsidRPr="00410BDC">
              <w:rPr>
                <w:rStyle w:val="Hyperlink"/>
                <w:rFonts w:ascii="Arial" w:hAnsi="Arial" w:cs="Arial"/>
                <w:noProof/>
                <w:szCs w:val="24"/>
              </w:rPr>
              <w:t>Future of Work Model for Aether Innovations</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_Toc223824739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8</w:t>
            </w:r>
            <w:r w:rsidRPr="00410BDC">
              <w:rPr>
                <w:rFonts w:ascii="Arial" w:hAnsi="Arial" w:cs="Arial"/>
                <w:noProof/>
                <w:webHidden/>
                <w:szCs w:val="24"/>
              </w:rPr>
              <w:fldChar w:fldCharType="end"/>
            </w:r>
          </w:hyperlink>
        </w:p>
        <w:p w14:paraId="1F5C785F" w14:textId="14C944E0"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40" w:history="1">
            <w:r w:rsidRPr="00410BDC">
              <w:rPr>
                <w:rStyle w:val="Hyperlink"/>
                <w:rFonts w:ascii="Arial" w:hAnsi="Arial" w:cs="Arial"/>
                <w:noProof/>
                <w:szCs w:val="24"/>
              </w:rPr>
              <w:t>4.1 Hybrid Work Structure</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_Toc223824740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8</w:t>
            </w:r>
            <w:r w:rsidRPr="00410BDC">
              <w:rPr>
                <w:rFonts w:ascii="Arial" w:hAnsi="Arial" w:cs="Arial"/>
                <w:noProof/>
                <w:webHidden/>
                <w:szCs w:val="24"/>
              </w:rPr>
              <w:fldChar w:fldCharType="end"/>
            </w:r>
          </w:hyperlink>
        </w:p>
        <w:p w14:paraId="3982A5E2" w14:textId="7FCCE3AA"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41" w:history="1">
            <w:r w:rsidRPr="00410BDC">
              <w:rPr>
                <w:rStyle w:val="Hyperlink"/>
                <w:rFonts w:ascii="Arial" w:hAnsi="Arial" w:cs="Arial"/>
                <w:noProof/>
                <w:szCs w:val="24"/>
              </w:rPr>
              <w:t>4.2 Digital Collaboration Infrastructure</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_Toc223824741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9</w:t>
            </w:r>
            <w:r w:rsidRPr="00410BDC">
              <w:rPr>
                <w:rFonts w:ascii="Arial" w:hAnsi="Arial" w:cs="Arial"/>
                <w:noProof/>
                <w:webHidden/>
                <w:szCs w:val="24"/>
              </w:rPr>
              <w:fldChar w:fldCharType="end"/>
            </w:r>
          </w:hyperlink>
        </w:p>
        <w:p w14:paraId="6422B2FB" w14:textId="24DF12FA"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42" w:history="1">
            <w:r w:rsidRPr="00410BDC">
              <w:rPr>
                <w:rStyle w:val="Hyperlink"/>
                <w:rFonts w:ascii="Arial" w:hAnsi="Arial" w:cs="Arial"/>
                <w:noProof/>
                <w:szCs w:val="24"/>
              </w:rPr>
              <w:t>4.3 Motivation and Employee Performance</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_Toc223824742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9</w:t>
            </w:r>
            <w:r w:rsidRPr="00410BDC">
              <w:rPr>
                <w:rFonts w:ascii="Arial" w:hAnsi="Arial" w:cs="Arial"/>
                <w:noProof/>
                <w:webHidden/>
                <w:szCs w:val="24"/>
              </w:rPr>
              <w:fldChar w:fldCharType="end"/>
            </w:r>
          </w:hyperlink>
        </w:p>
        <w:p w14:paraId="223925E5" w14:textId="0485E50A"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43" w:history="1">
            <w:r w:rsidRPr="00410BDC">
              <w:rPr>
                <w:rStyle w:val="Hyperlink"/>
                <w:rFonts w:ascii="Arial" w:hAnsi="Arial" w:cs="Arial"/>
                <w:noProof/>
                <w:szCs w:val="24"/>
                <w:lang w:val="en-IN"/>
              </w:rPr>
              <w:t xml:space="preserve">5. </w:t>
            </w:r>
            <w:r w:rsidRPr="00410BDC">
              <w:rPr>
                <w:rStyle w:val="Hyperlink"/>
                <w:rFonts w:ascii="Arial" w:hAnsi="Arial" w:cs="Arial"/>
                <w:noProof/>
                <w:szCs w:val="24"/>
              </w:rPr>
              <w:t>Integration: Aligning Culture, Work Practices and Performance</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_Toc223824743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10</w:t>
            </w:r>
            <w:r w:rsidRPr="00410BDC">
              <w:rPr>
                <w:rFonts w:ascii="Arial" w:hAnsi="Arial" w:cs="Arial"/>
                <w:noProof/>
                <w:webHidden/>
                <w:szCs w:val="24"/>
              </w:rPr>
              <w:fldChar w:fldCharType="end"/>
            </w:r>
          </w:hyperlink>
        </w:p>
        <w:p w14:paraId="056F8C73" w14:textId="4AA1B300"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44" w:history="1">
            <w:r w:rsidRPr="00410BDC">
              <w:rPr>
                <w:rStyle w:val="Hyperlink"/>
                <w:rFonts w:ascii="Arial" w:hAnsi="Arial" w:cs="Arial"/>
                <w:noProof/>
                <w:szCs w:val="24"/>
              </w:rPr>
              <w:t>PART 2 – Reflective Learning</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_Toc223824744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10</w:t>
            </w:r>
            <w:r w:rsidRPr="00410BDC">
              <w:rPr>
                <w:rFonts w:ascii="Arial" w:hAnsi="Arial" w:cs="Arial"/>
                <w:noProof/>
                <w:webHidden/>
                <w:szCs w:val="24"/>
              </w:rPr>
              <w:fldChar w:fldCharType="end"/>
            </w:r>
          </w:hyperlink>
        </w:p>
        <w:p w14:paraId="236BCB7B" w14:textId="614F4590"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45" w:history="1">
            <w:r w:rsidRPr="00410BDC">
              <w:rPr>
                <w:rStyle w:val="Hyperlink"/>
                <w:rFonts w:ascii="Arial" w:hAnsi="Arial" w:cs="Arial"/>
                <w:noProof/>
                <w:szCs w:val="24"/>
                <w:lang w:val="en-IN"/>
              </w:rPr>
              <w:t>6. Reflection Using Gibbs Reflective Cycle</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_Toc223824745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10</w:t>
            </w:r>
            <w:r w:rsidRPr="00410BDC">
              <w:rPr>
                <w:rFonts w:ascii="Arial" w:hAnsi="Arial" w:cs="Arial"/>
                <w:noProof/>
                <w:webHidden/>
                <w:szCs w:val="24"/>
              </w:rPr>
              <w:fldChar w:fldCharType="end"/>
            </w:r>
          </w:hyperlink>
        </w:p>
        <w:p w14:paraId="7969EDE5" w14:textId="00525094"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46" w:history="1">
            <w:r w:rsidRPr="00410BDC">
              <w:rPr>
                <w:rStyle w:val="Hyperlink"/>
                <w:rFonts w:ascii="Arial" w:hAnsi="Arial" w:cs="Arial"/>
                <w:noProof/>
                <w:szCs w:val="24"/>
                <w:lang w:val="en-IN"/>
              </w:rPr>
              <w:t>6.1 Description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_Toc223824746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10</w:t>
            </w:r>
            <w:r w:rsidRPr="00410BDC">
              <w:rPr>
                <w:rFonts w:ascii="Arial" w:hAnsi="Arial" w:cs="Arial"/>
                <w:noProof/>
                <w:webHidden/>
                <w:szCs w:val="24"/>
              </w:rPr>
              <w:fldChar w:fldCharType="end"/>
            </w:r>
          </w:hyperlink>
        </w:p>
        <w:p w14:paraId="6FD85D94" w14:textId="59712DDA"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47" w:history="1">
            <w:r w:rsidRPr="00410BDC">
              <w:rPr>
                <w:rStyle w:val="Hyperlink"/>
                <w:rFonts w:ascii="Arial" w:hAnsi="Arial" w:cs="Arial"/>
                <w:noProof/>
                <w:szCs w:val="24"/>
                <w:lang w:val="en-IN"/>
              </w:rPr>
              <w:t>6.2 Feelings</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_Toc223824747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11</w:t>
            </w:r>
            <w:r w:rsidRPr="00410BDC">
              <w:rPr>
                <w:rFonts w:ascii="Arial" w:hAnsi="Arial" w:cs="Arial"/>
                <w:noProof/>
                <w:webHidden/>
                <w:szCs w:val="24"/>
              </w:rPr>
              <w:fldChar w:fldCharType="end"/>
            </w:r>
          </w:hyperlink>
        </w:p>
        <w:p w14:paraId="5A8AEC7A" w14:textId="18BE01AF"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48" w:history="1">
            <w:r w:rsidRPr="00410BDC">
              <w:rPr>
                <w:rStyle w:val="Hyperlink"/>
                <w:rFonts w:ascii="Arial" w:hAnsi="Arial" w:cs="Arial"/>
                <w:noProof/>
                <w:szCs w:val="24"/>
                <w:lang w:val="en-IN"/>
              </w:rPr>
              <w:t>6.3 Evaluation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_Toc223824748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11</w:t>
            </w:r>
            <w:r w:rsidRPr="00410BDC">
              <w:rPr>
                <w:rFonts w:ascii="Arial" w:hAnsi="Arial" w:cs="Arial"/>
                <w:noProof/>
                <w:webHidden/>
                <w:szCs w:val="24"/>
              </w:rPr>
              <w:fldChar w:fldCharType="end"/>
            </w:r>
          </w:hyperlink>
        </w:p>
        <w:p w14:paraId="1E9EEBF3" w14:textId="341891B4"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49" w:history="1">
            <w:r w:rsidRPr="00410BDC">
              <w:rPr>
                <w:rStyle w:val="Hyperlink"/>
                <w:rFonts w:ascii="Arial" w:hAnsi="Arial" w:cs="Arial"/>
                <w:noProof/>
                <w:szCs w:val="24"/>
                <w:lang w:val="en-IN"/>
              </w:rPr>
              <w:t>6.4 Analysis</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_Toc223824749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11</w:t>
            </w:r>
            <w:r w:rsidRPr="00410BDC">
              <w:rPr>
                <w:rFonts w:ascii="Arial" w:hAnsi="Arial" w:cs="Arial"/>
                <w:noProof/>
                <w:webHidden/>
                <w:szCs w:val="24"/>
              </w:rPr>
              <w:fldChar w:fldCharType="end"/>
            </w:r>
          </w:hyperlink>
        </w:p>
        <w:p w14:paraId="51CE84C5" w14:textId="1A10F64D"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50" w:history="1">
            <w:r w:rsidRPr="00410BDC">
              <w:rPr>
                <w:rStyle w:val="Hyperlink"/>
                <w:rFonts w:ascii="Arial" w:hAnsi="Arial" w:cs="Arial"/>
                <w:noProof/>
                <w:szCs w:val="24"/>
                <w:lang w:val="en-IN"/>
              </w:rPr>
              <w:t>6.5 Conclusion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_Toc223824750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12</w:t>
            </w:r>
            <w:r w:rsidRPr="00410BDC">
              <w:rPr>
                <w:rFonts w:ascii="Arial" w:hAnsi="Arial" w:cs="Arial"/>
                <w:noProof/>
                <w:webHidden/>
                <w:szCs w:val="24"/>
              </w:rPr>
              <w:fldChar w:fldCharType="end"/>
            </w:r>
          </w:hyperlink>
        </w:p>
        <w:p w14:paraId="7AC85BF2" w14:textId="1298E013" w:rsidR="00653091" w:rsidRPr="00410BDC" w:rsidRDefault="00653091">
          <w:pPr>
            <w:pStyle w:val="TOC2"/>
            <w:tabs>
              <w:tab w:val="right" w:leader="dot" w:pos="9016"/>
            </w:tabs>
            <w:rPr>
              <w:rFonts w:ascii="Arial" w:eastAsiaTheme="minorEastAsia" w:hAnsi="Arial" w:cs="Arial"/>
              <w:noProof/>
              <w:szCs w:val="24"/>
              <w:lang w:val="en-IN" w:eastAsia="en-IN"/>
            </w:rPr>
          </w:pPr>
          <w:hyperlink w:anchor="_Toc223824751" w:history="1">
            <w:r w:rsidRPr="00410BDC">
              <w:rPr>
                <w:rStyle w:val="Hyperlink"/>
                <w:rFonts w:ascii="Arial" w:hAnsi="Arial" w:cs="Arial"/>
                <w:noProof/>
                <w:szCs w:val="24"/>
                <w:lang w:val="en-IN"/>
              </w:rPr>
              <w:t>6.6 Action Plan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_Toc223824751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12</w:t>
            </w:r>
            <w:r w:rsidRPr="00410BDC">
              <w:rPr>
                <w:rFonts w:ascii="Arial" w:hAnsi="Arial" w:cs="Arial"/>
                <w:noProof/>
                <w:webHidden/>
                <w:szCs w:val="24"/>
              </w:rPr>
              <w:fldChar w:fldCharType="end"/>
            </w:r>
          </w:hyperlink>
        </w:p>
        <w:p w14:paraId="737C3FB5" w14:textId="55EB572B"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52" w:history="1">
            <w:r w:rsidRPr="00410BDC">
              <w:rPr>
                <w:rStyle w:val="Hyperlink"/>
                <w:rFonts w:ascii="Arial" w:hAnsi="Arial" w:cs="Arial"/>
                <w:noProof/>
                <w:szCs w:val="24"/>
                <w:lang w:val="en-IN"/>
              </w:rPr>
              <w:t>7. Staying Relevant in an AI-Driven Workplace</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_Toc223824752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13</w:t>
            </w:r>
            <w:r w:rsidRPr="00410BDC">
              <w:rPr>
                <w:rFonts w:ascii="Arial" w:hAnsi="Arial" w:cs="Arial"/>
                <w:noProof/>
                <w:webHidden/>
                <w:szCs w:val="24"/>
              </w:rPr>
              <w:fldChar w:fldCharType="end"/>
            </w:r>
          </w:hyperlink>
        </w:p>
        <w:p w14:paraId="00A4F912" w14:textId="6D700116"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53" w:history="1">
            <w:r w:rsidRPr="00410BDC">
              <w:rPr>
                <w:rStyle w:val="Hyperlink"/>
                <w:rFonts w:ascii="Arial" w:hAnsi="Arial" w:cs="Arial"/>
                <w:noProof/>
                <w:szCs w:val="24"/>
                <w:lang w:val="en-IN"/>
              </w:rPr>
              <w:t>8. Conclusion</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_Toc223824753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14</w:t>
            </w:r>
            <w:r w:rsidRPr="00410BDC">
              <w:rPr>
                <w:rFonts w:ascii="Arial" w:hAnsi="Arial" w:cs="Arial"/>
                <w:noProof/>
                <w:webHidden/>
                <w:szCs w:val="24"/>
              </w:rPr>
              <w:fldChar w:fldCharType="end"/>
            </w:r>
          </w:hyperlink>
        </w:p>
        <w:p w14:paraId="53F3D3D2" w14:textId="36E78111" w:rsidR="00653091" w:rsidRPr="00410BDC" w:rsidRDefault="00653091">
          <w:pPr>
            <w:pStyle w:val="TOC1"/>
            <w:tabs>
              <w:tab w:val="right" w:leader="dot" w:pos="9016"/>
            </w:tabs>
            <w:rPr>
              <w:rFonts w:ascii="Arial" w:eastAsiaTheme="minorEastAsia" w:hAnsi="Arial" w:cs="Arial"/>
              <w:noProof/>
              <w:szCs w:val="24"/>
              <w:lang w:val="en-IN" w:eastAsia="en-IN"/>
            </w:rPr>
          </w:pPr>
          <w:hyperlink w:anchor="_Toc223824754" w:history="1">
            <w:r w:rsidRPr="00410BDC">
              <w:rPr>
                <w:rStyle w:val="Hyperlink"/>
                <w:rFonts w:ascii="Arial" w:hAnsi="Arial" w:cs="Arial"/>
                <w:noProof/>
                <w:szCs w:val="24"/>
              </w:rPr>
              <w:t>9. References</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_Toc223824754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15</w:t>
            </w:r>
            <w:r w:rsidRPr="00410BDC">
              <w:rPr>
                <w:rFonts w:ascii="Arial" w:hAnsi="Arial" w:cs="Arial"/>
                <w:noProof/>
                <w:webHidden/>
                <w:szCs w:val="24"/>
              </w:rPr>
              <w:fldChar w:fldCharType="end"/>
            </w:r>
          </w:hyperlink>
        </w:p>
        <w:p w14:paraId="0EB860F6" w14:textId="4C12068A" w:rsidR="003921BB" w:rsidRPr="00410BDC" w:rsidRDefault="003921BB" w:rsidP="003921BB">
          <w:pPr>
            <w:rPr>
              <w:rFonts w:ascii="Arial" w:hAnsi="Arial" w:cs="Arial"/>
              <w:szCs w:val="24"/>
            </w:rPr>
          </w:pPr>
          <w:r w:rsidRPr="00410BDC">
            <w:rPr>
              <w:rFonts w:ascii="Arial" w:hAnsi="Arial" w:cs="Arial"/>
              <w:b/>
              <w:bCs/>
              <w:noProof/>
              <w:szCs w:val="24"/>
            </w:rPr>
            <w:lastRenderedPageBreak/>
            <w:fldChar w:fldCharType="end"/>
          </w:r>
        </w:p>
      </w:sdtContent>
    </w:sdt>
    <w:p w14:paraId="72E10E8B" w14:textId="77777777" w:rsidR="00F34BA4" w:rsidRPr="00410BDC" w:rsidRDefault="00F34BA4">
      <w:pPr>
        <w:spacing w:line="259" w:lineRule="auto"/>
        <w:jc w:val="left"/>
        <w:rPr>
          <w:rFonts w:ascii="Arial" w:hAnsi="Arial" w:cs="Arial"/>
          <w:szCs w:val="24"/>
          <w:lang w:val="en-IN"/>
        </w:rPr>
      </w:pPr>
    </w:p>
    <w:p w14:paraId="43AEBA3C" w14:textId="77777777" w:rsidR="00F34BA4" w:rsidRPr="00410BDC" w:rsidRDefault="00F34BA4">
      <w:pPr>
        <w:spacing w:line="259" w:lineRule="auto"/>
        <w:jc w:val="left"/>
        <w:rPr>
          <w:rFonts w:ascii="Arial" w:hAnsi="Arial" w:cs="Arial"/>
          <w:b/>
          <w:bCs/>
          <w:szCs w:val="24"/>
          <w:lang w:val="en-IN"/>
        </w:rPr>
      </w:pPr>
      <w:r w:rsidRPr="00410BDC">
        <w:rPr>
          <w:rFonts w:ascii="Arial" w:hAnsi="Arial" w:cs="Arial"/>
          <w:b/>
          <w:bCs/>
          <w:szCs w:val="24"/>
          <w:lang w:val="en-IN"/>
        </w:rPr>
        <w:t>List of Figures</w:t>
      </w:r>
    </w:p>
    <w:p w14:paraId="71C985D8" w14:textId="30FA80C1" w:rsidR="00F34BA4" w:rsidRPr="00410BDC" w:rsidRDefault="00F34BA4">
      <w:pPr>
        <w:pStyle w:val="TableofFigures"/>
        <w:tabs>
          <w:tab w:val="right" w:leader="dot" w:pos="9016"/>
        </w:tabs>
        <w:rPr>
          <w:rFonts w:ascii="Arial" w:hAnsi="Arial" w:cs="Arial"/>
          <w:noProof/>
          <w:szCs w:val="24"/>
        </w:rPr>
      </w:pPr>
      <w:r w:rsidRPr="00410BDC">
        <w:rPr>
          <w:rFonts w:ascii="Arial" w:hAnsi="Arial" w:cs="Arial"/>
          <w:szCs w:val="24"/>
          <w:lang w:val="en-IN"/>
        </w:rPr>
        <w:fldChar w:fldCharType="begin"/>
      </w:r>
      <w:r w:rsidRPr="00410BDC">
        <w:rPr>
          <w:rFonts w:ascii="Arial" w:hAnsi="Arial" w:cs="Arial"/>
          <w:szCs w:val="24"/>
          <w:lang w:val="en-IN"/>
        </w:rPr>
        <w:instrText xml:space="preserve"> TOC \h \z \c "Figure" </w:instrText>
      </w:r>
      <w:r w:rsidRPr="00410BDC">
        <w:rPr>
          <w:rFonts w:ascii="Arial" w:hAnsi="Arial" w:cs="Arial"/>
          <w:szCs w:val="24"/>
          <w:lang w:val="en-IN"/>
        </w:rPr>
        <w:fldChar w:fldCharType="separate"/>
      </w:r>
      <w:hyperlink w:anchor="_Toc223825126" w:history="1">
        <w:r w:rsidRPr="00410BDC">
          <w:rPr>
            <w:rStyle w:val="Hyperlink"/>
            <w:rFonts w:ascii="Arial" w:hAnsi="Arial" w:cs="Arial"/>
            <w:noProof/>
            <w:szCs w:val="24"/>
          </w:rPr>
          <w:t>Figure 1 Innovation Culture Model</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_Toc223825126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7</w:t>
        </w:r>
        <w:r w:rsidRPr="00410BDC">
          <w:rPr>
            <w:rFonts w:ascii="Arial" w:hAnsi="Arial" w:cs="Arial"/>
            <w:noProof/>
            <w:webHidden/>
            <w:szCs w:val="24"/>
          </w:rPr>
          <w:fldChar w:fldCharType="end"/>
        </w:r>
      </w:hyperlink>
    </w:p>
    <w:p w14:paraId="5B209CCA" w14:textId="107FE230" w:rsidR="00F34BA4" w:rsidRPr="00410BDC" w:rsidRDefault="00F34BA4">
      <w:pPr>
        <w:pStyle w:val="TableofFigures"/>
        <w:tabs>
          <w:tab w:val="right" w:leader="dot" w:pos="9016"/>
        </w:tabs>
        <w:rPr>
          <w:rFonts w:ascii="Arial" w:hAnsi="Arial" w:cs="Arial"/>
          <w:noProof/>
          <w:szCs w:val="24"/>
        </w:rPr>
      </w:pPr>
      <w:hyperlink w:anchor="_Toc223825127" w:history="1">
        <w:r w:rsidRPr="00410BDC">
          <w:rPr>
            <w:rStyle w:val="Hyperlink"/>
            <w:rFonts w:ascii="Arial" w:hAnsi="Arial" w:cs="Arial"/>
            <w:noProof/>
            <w:szCs w:val="24"/>
          </w:rPr>
          <w:t>Figure 2 Hybrid Work Model</w:t>
        </w:r>
        <w:r w:rsidRPr="00410BDC">
          <w:rPr>
            <w:rFonts w:ascii="Arial" w:hAnsi="Arial" w:cs="Arial"/>
            <w:noProof/>
            <w:webHidden/>
            <w:szCs w:val="24"/>
          </w:rPr>
          <w:tab/>
        </w:r>
        <w:r w:rsidRPr="00410BDC">
          <w:rPr>
            <w:rFonts w:ascii="Arial" w:hAnsi="Arial" w:cs="Arial"/>
            <w:noProof/>
            <w:webHidden/>
            <w:szCs w:val="24"/>
          </w:rPr>
          <w:fldChar w:fldCharType="begin"/>
        </w:r>
        <w:r w:rsidRPr="00410BDC">
          <w:rPr>
            <w:rFonts w:ascii="Arial" w:hAnsi="Arial" w:cs="Arial"/>
            <w:noProof/>
            <w:webHidden/>
            <w:szCs w:val="24"/>
          </w:rPr>
          <w:instrText xml:space="preserve"> PAGEREF _Toc223825127 \h </w:instrText>
        </w:r>
        <w:r w:rsidRPr="00410BDC">
          <w:rPr>
            <w:rFonts w:ascii="Arial" w:hAnsi="Arial" w:cs="Arial"/>
            <w:noProof/>
            <w:webHidden/>
            <w:szCs w:val="24"/>
          </w:rPr>
        </w:r>
        <w:r w:rsidRPr="00410BDC">
          <w:rPr>
            <w:rFonts w:ascii="Arial" w:hAnsi="Arial" w:cs="Arial"/>
            <w:noProof/>
            <w:webHidden/>
            <w:szCs w:val="24"/>
          </w:rPr>
          <w:fldChar w:fldCharType="separate"/>
        </w:r>
        <w:r w:rsidRPr="00410BDC">
          <w:rPr>
            <w:rFonts w:ascii="Arial" w:hAnsi="Arial" w:cs="Arial"/>
            <w:noProof/>
            <w:webHidden/>
            <w:szCs w:val="24"/>
          </w:rPr>
          <w:t>9</w:t>
        </w:r>
        <w:r w:rsidRPr="00410BDC">
          <w:rPr>
            <w:rFonts w:ascii="Arial" w:hAnsi="Arial" w:cs="Arial"/>
            <w:noProof/>
            <w:webHidden/>
            <w:szCs w:val="24"/>
          </w:rPr>
          <w:fldChar w:fldCharType="end"/>
        </w:r>
      </w:hyperlink>
    </w:p>
    <w:p w14:paraId="7A07241B" w14:textId="0D2BCBD3" w:rsidR="003921BB" w:rsidRPr="00410BDC" w:rsidRDefault="00F34BA4">
      <w:pPr>
        <w:spacing w:line="259" w:lineRule="auto"/>
        <w:jc w:val="left"/>
        <w:rPr>
          <w:rFonts w:ascii="Arial" w:eastAsiaTheme="majorEastAsia" w:hAnsi="Arial" w:cs="Arial"/>
          <w:b/>
          <w:szCs w:val="24"/>
          <w:lang w:val="en-IN"/>
        </w:rPr>
      </w:pPr>
      <w:r w:rsidRPr="00410BDC">
        <w:rPr>
          <w:rFonts w:ascii="Arial" w:hAnsi="Arial" w:cs="Arial"/>
          <w:szCs w:val="24"/>
          <w:lang w:val="en-IN"/>
        </w:rPr>
        <w:fldChar w:fldCharType="end"/>
      </w:r>
      <w:r w:rsidR="003921BB" w:rsidRPr="00410BDC">
        <w:rPr>
          <w:rFonts w:ascii="Arial" w:hAnsi="Arial" w:cs="Arial"/>
          <w:szCs w:val="24"/>
          <w:lang w:val="en-IN"/>
        </w:rPr>
        <w:br w:type="page"/>
      </w:r>
    </w:p>
    <w:p w14:paraId="29ADAADA" w14:textId="5E338877" w:rsidR="00FC7C30" w:rsidRPr="00410BDC" w:rsidRDefault="00FC7C30" w:rsidP="003921BB">
      <w:pPr>
        <w:pStyle w:val="Heading1"/>
        <w:rPr>
          <w:rFonts w:ascii="Arial" w:hAnsi="Arial" w:cs="Arial"/>
          <w:sz w:val="24"/>
          <w:szCs w:val="24"/>
          <w:lang w:val="en-IN"/>
        </w:rPr>
      </w:pPr>
      <w:bookmarkStart w:id="1" w:name="_Toc223824730"/>
      <w:r w:rsidRPr="00410BDC">
        <w:rPr>
          <w:rFonts w:ascii="Arial" w:hAnsi="Arial" w:cs="Arial"/>
          <w:sz w:val="24"/>
          <w:szCs w:val="24"/>
          <w:lang w:val="en-IN"/>
        </w:rPr>
        <w:lastRenderedPageBreak/>
        <w:t>1. Introduction</w:t>
      </w:r>
      <w:bookmarkEnd w:id="1"/>
      <w:r w:rsidRPr="00410BDC">
        <w:rPr>
          <w:rFonts w:ascii="Arial" w:hAnsi="Arial" w:cs="Arial"/>
          <w:sz w:val="24"/>
          <w:szCs w:val="24"/>
          <w:lang w:val="en-IN"/>
        </w:rPr>
        <w:t xml:space="preserve"> </w:t>
      </w:r>
    </w:p>
    <w:p w14:paraId="7E917FB6" w14:textId="2D5D3E88" w:rsidR="00FC7C30" w:rsidRPr="00410BDC" w:rsidRDefault="0069549B" w:rsidP="00D948BD">
      <w:pPr>
        <w:ind w:firstLine="720"/>
        <w:rPr>
          <w:rFonts w:ascii="Arial" w:hAnsi="Arial" w:cs="Arial"/>
          <w:szCs w:val="24"/>
          <w:lang w:val="en-IN"/>
        </w:rPr>
      </w:pPr>
      <w:r w:rsidRPr="00410BDC">
        <w:rPr>
          <w:rFonts w:ascii="Arial" w:hAnsi="Arial" w:cs="Arial"/>
          <w:szCs w:val="24"/>
          <w:lang w:val="en-IN"/>
        </w:rPr>
        <w:t>Technology organisations work in the highly competitive environments where innovation, flexibility and staff involvement is the key to success in the long run. SHRM integrates the human resource management practices with organisational goals that can result in improved productivity and innovation outcomes (Rees and Smith, 2021). Aether innovations is a technology company that employs approximately 300 people and is presently undergoing sluggish growth, a high employee turnover, and poor customer satisfaction. Such problems tend to occur when the organisational culture and the work systems represent the failure to promote collaboration and creativity. It has been shown that HR practices, in which employee wellbeing and engagement are prized, enhance organisational innovation ability to a large degree (Ammirato et al., 2024). Hence, to enhance performance, it is necessary to incorporate the culture of innovation and flexibility in the working conditions</w:t>
      </w:r>
      <w:r w:rsidR="004A3070" w:rsidRPr="00410BDC">
        <w:rPr>
          <w:rFonts w:ascii="Arial" w:hAnsi="Arial" w:cs="Arial"/>
          <w:szCs w:val="24"/>
          <w:lang w:val="en-IN"/>
        </w:rPr>
        <w:t>.</w:t>
      </w:r>
    </w:p>
    <w:p w14:paraId="6BA842D9" w14:textId="62480EE5" w:rsidR="00A47FFA" w:rsidRPr="00410BDC" w:rsidRDefault="00FC7C30" w:rsidP="003921BB">
      <w:pPr>
        <w:pStyle w:val="Heading1"/>
        <w:rPr>
          <w:rFonts w:ascii="Arial" w:hAnsi="Arial" w:cs="Arial"/>
          <w:sz w:val="24"/>
          <w:szCs w:val="24"/>
        </w:rPr>
      </w:pPr>
      <w:bookmarkStart w:id="2" w:name="_Toc223824731"/>
      <w:r w:rsidRPr="00410BDC">
        <w:rPr>
          <w:rFonts w:ascii="Arial" w:hAnsi="Arial" w:cs="Arial"/>
          <w:sz w:val="24"/>
          <w:szCs w:val="24"/>
        </w:rPr>
        <w:t>PART 1 – Building a Culture of Innovation &amp; Future Work Practices</w:t>
      </w:r>
      <w:bookmarkEnd w:id="2"/>
    </w:p>
    <w:p w14:paraId="618A293A" w14:textId="2A5B999D" w:rsidR="00FC7C30" w:rsidRPr="00410BDC" w:rsidRDefault="00FC7C30" w:rsidP="003921BB">
      <w:pPr>
        <w:pStyle w:val="Heading1"/>
        <w:rPr>
          <w:rFonts w:ascii="Arial" w:hAnsi="Arial" w:cs="Arial"/>
          <w:sz w:val="24"/>
          <w:szCs w:val="24"/>
          <w:lang w:val="en-IN"/>
        </w:rPr>
      </w:pPr>
      <w:bookmarkStart w:id="3" w:name="_Toc223824732"/>
      <w:r w:rsidRPr="00410BDC">
        <w:rPr>
          <w:rFonts w:ascii="Arial" w:hAnsi="Arial" w:cs="Arial"/>
          <w:sz w:val="24"/>
          <w:szCs w:val="24"/>
          <w:lang w:val="en-IN"/>
        </w:rPr>
        <w:t>2. Current Culture and Work Practices in Technology Companies</w:t>
      </w:r>
      <w:bookmarkEnd w:id="3"/>
      <w:r w:rsidRPr="00410BDC">
        <w:rPr>
          <w:rFonts w:ascii="Arial" w:hAnsi="Arial" w:cs="Arial"/>
          <w:sz w:val="24"/>
          <w:szCs w:val="24"/>
          <w:lang w:val="en-IN"/>
        </w:rPr>
        <w:t xml:space="preserve"> </w:t>
      </w:r>
    </w:p>
    <w:p w14:paraId="0A4BE22E" w14:textId="1311B5FC" w:rsidR="002E0C86" w:rsidRPr="00410BDC" w:rsidRDefault="003F3DE0" w:rsidP="003F3DE0">
      <w:pPr>
        <w:pStyle w:val="Heading2"/>
        <w:rPr>
          <w:rFonts w:ascii="Arial" w:hAnsi="Arial" w:cs="Arial"/>
          <w:szCs w:val="24"/>
          <w:lang w:val="en-IN"/>
        </w:rPr>
      </w:pPr>
      <w:bookmarkStart w:id="4" w:name="_Toc223824733"/>
      <w:r w:rsidRPr="00410BDC">
        <w:rPr>
          <w:rFonts w:ascii="Arial" w:hAnsi="Arial" w:cs="Arial"/>
          <w:szCs w:val="24"/>
        </w:rPr>
        <w:t>2.1 Innovation Culture in Technology Organisations</w:t>
      </w:r>
      <w:bookmarkEnd w:id="4"/>
    </w:p>
    <w:p w14:paraId="17A23711" w14:textId="401041DC" w:rsidR="00FC7C30" w:rsidRPr="00410BDC" w:rsidRDefault="0047220C" w:rsidP="003F3DE0">
      <w:pPr>
        <w:rPr>
          <w:rFonts w:ascii="Arial" w:hAnsi="Arial" w:cs="Arial"/>
          <w:szCs w:val="24"/>
          <w:lang w:val="en-IN"/>
        </w:rPr>
      </w:pPr>
      <w:r w:rsidRPr="00410BDC">
        <w:rPr>
          <w:rFonts w:ascii="Arial" w:hAnsi="Arial" w:cs="Arial"/>
          <w:szCs w:val="24"/>
          <w:lang w:val="en-IN"/>
        </w:rPr>
        <w:t xml:space="preserve">Organisational culture entails the set of values, presumptions and behaviour pattern that comprises the employee behaviour and organisational occurrence (Schein, 2010). In technology companies, the culture of innovations focuses on experimentation, knowledge sharing and learning. Firmly coordinated HR systems face the integration of collaborative working habits with the transfer of knowledge to boost innovation activities within organisations (Boxall and Purcell, 2022). Top technology firms like Google and Microsoft also use cross-functional project teams and online knowledge campus to encourage innovation. Based on the study conducted by the Boston Consulting Group (2023), organisations with one of the top revolutionary companies across the world record 1.5 times greater revenue growth in contrast to the firms in the industry. Not only do such environments require psychological safety, but employees are also more apt to contribute ideas to such environment when they feel safe to explore without the fear of failure (Edmondson, 2019). Moreover, those organisations that tend to focus on the wellbeing of their employees have superior results of innovativeness because research of start-ups indicates that organisational resilience </w:t>
      </w:r>
      <w:r w:rsidRPr="00410BDC">
        <w:rPr>
          <w:rFonts w:ascii="Arial" w:hAnsi="Arial" w:cs="Arial"/>
          <w:szCs w:val="24"/>
          <w:lang w:val="en-IN"/>
        </w:rPr>
        <w:lastRenderedPageBreak/>
        <w:t>is high when wellbeing programs are incorporated in the HR strategies (Ammirato et al., 2024)</w:t>
      </w:r>
      <w:r w:rsidR="00F937F1" w:rsidRPr="00410BDC">
        <w:rPr>
          <w:rFonts w:ascii="Arial" w:hAnsi="Arial" w:cs="Arial"/>
          <w:szCs w:val="24"/>
          <w:lang w:val="en-IN"/>
        </w:rPr>
        <w:t>.</w:t>
      </w:r>
    </w:p>
    <w:p w14:paraId="48283A64" w14:textId="2B067B94" w:rsidR="003F3DE0" w:rsidRPr="00410BDC" w:rsidRDefault="007D6E1C" w:rsidP="007D6E1C">
      <w:pPr>
        <w:pStyle w:val="Heading2"/>
        <w:rPr>
          <w:rFonts w:ascii="Arial" w:hAnsi="Arial" w:cs="Arial"/>
          <w:szCs w:val="24"/>
        </w:rPr>
      </w:pPr>
      <w:bookmarkStart w:id="5" w:name="_Toc223824734"/>
      <w:r w:rsidRPr="00410BDC">
        <w:rPr>
          <w:rFonts w:ascii="Arial" w:hAnsi="Arial" w:cs="Arial"/>
          <w:szCs w:val="24"/>
        </w:rPr>
        <w:t>2.2 Current Work Trends in the Technology Industry</w:t>
      </w:r>
      <w:bookmarkEnd w:id="5"/>
    </w:p>
    <w:p w14:paraId="21FF5833" w14:textId="69F5EED6" w:rsidR="007D6E1C" w:rsidRPr="00410BDC" w:rsidRDefault="0047220C" w:rsidP="00F91CE0">
      <w:pPr>
        <w:rPr>
          <w:rFonts w:ascii="Arial" w:hAnsi="Arial" w:cs="Arial"/>
          <w:szCs w:val="24"/>
          <w:lang w:val="en-IN"/>
        </w:rPr>
      </w:pPr>
      <w:r w:rsidRPr="00410BDC">
        <w:rPr>
          <w:rFonts w:ascii="Arial" w:hAnsi="Arial" w:cs="Arial"/>
          <w:szCs w:val="24"/>
          <w:lang w:val="en-IN"/>
        </w:rPr>
        <w:t>The technological industry has undergone a profound transformation of work practices due to the spread of digital transformation and remote work tools. The hybrid working processes are flexible and yet present face to face work where employees are able to maintain high productivity and enhance the working life balance (Appel-Meulenbroek et al., 2022). The expectations of the workforce on flexibility have gone up significantly. The evidence in the industry indicates that roughly three out of every five digital employees desire to be a part of creating their hybrid working models (Gartner, 2023). On the same note, global workforce studies show that hybrid collaboration is now an established aspect of knowledge work, and organisations must restructure communication and teamwork systems (Microsoft, 2021). Nevertheless, the hybrid work also creates coordination problems. According to the reports of employees, knowledge sharing and collaboration in a distributed team needs greater leadership support and communication frameworks (Hanzis and Hallo, 2024). In turn, organisations are increasingly choosing the digital collaboration platform and knowledge systems to facilitate the work of a hybrid team and innovation (Vartiainen and Vanharanta, 2024)</w:t>
      </w:r>
      <w:r w:rsidR="00F91CE0" w:rsidRPr="00410BDC">
        <w:rPr>
          <w:rFonts w:ascii="Arial" w:hAnsi="Arial" w:cs="Arial"/>
          <w:szCs w:val="24"/>
          <w:lang w:val="en-IN"/>
        </w:rPr>
        <w:t>.</w:t>
      </w:r>
    </w:p>
    <w:p w14:paraId="4527399A" w14:textId="664BAFFD" w:rsidR="00FC7C30" w:rsidRPr="00410BDC" w:rsidRDefault="00FC7C30" w:rsidP="003921BB">
      <w:pPr>
        <w:pStyle w:val="Heading1"/>
        <w:rPr>
          <w:rFonts w:ascii="Arial" w:hAnsi="Arial" w:cs="Arial"/>
          <w:sz w:val="24"/>
          <w:szCs w:val="24"/>
          <w:lang w:val="en-IN"/>
        </w:rPr>
      </w:pPr>
      <w:bookmarkStart w:id="6" w:name="_Toc223824735"/>
      <w:r w:rsidRPr="00410BDC">
        <w:rPr>
          <w:rFonts w:ascii="Arial" w:hAnsi="Arial" w:cs="Arial"/>
          <w:sz w:val="24"/>
          <w:szCs w:val="24"/>
          <w:lang w:val="en-IN"/>
        </w:rPr>
        <w:t>3. Cultural and Structural Initiatives to Embed Innovation</w:t>
      </w:r>
      <w:bookmarkEnd w:id="6"/>
      <w:r w:rsidRPr="00410BDC">
        <w:rPr>
          <w:rFonts w:ascii="Arial" w:hAnsi="Arial" w:cs="Arial"/>
          <w:sz w:val="24"/>
          <w:szCs w:val="24"/>
          <w:lang w:val="en-IN"/>
        </w:rPr>
        <w:t xml:space="preserve"> </w:t>
      </w:r>
    </w:p>
    <w:p w14:paraId="52CCD888" w14:textId="40BB9992" w:rsidR="006838F0" w:rsidRPr="00410BDC" w:rsidRDefault="006838F0" w:rsidP="006838F0">
      <w:pPr>
        <w:pStyle w:val="Heading2"/>
        <w:rPr>
          <w:rFonts w:ascii="Arial" w:hAnsi="Arial" w:cs="Arial"/>
          <w:szCs w:val="24"/>
          <w:lang w:val="en-IN"/>
        </w:rPr>
      </w:pPr>
      <w:bookmarkStart w:id="7" w:name="_Toc223824736"/>
      <w:r w:rsidRPr="00410BDC">
        <w:rPr>
          <w:rFonts w:ascii="Arial" w:hAnsi="Arial" w:cs="Arial"/>
          <w:szCs w:val="24"/>
        </w:rPr>
        <w:t>3.1 Innovation Culture Framework</w:t>
      </w:r>
      <w:bookmarkEnd w:id="7"/>
    </w:p>
    <w:p w14:paraId="423A6242" w14:textId="5C67A602" w:rsidR="003921BB" w:rsidRPr="00410BDC" w:rsidRDefault="0073254E" w:rsidP="00372109">
      <w:pPr>
        <w:rPr>
          <w:rFonts w:ascii="Arial" w:hAnsi="Arial" w:cs="Arial"/>
          <w:szCs w:val="24"/>
          <w:lang w:val="en-IN"/>
        </w:rPr>
      </w:pPr>
      <w:r w:rsidRPr="00410BDC">
        <w:rPr>
          <w:rFonts w:ascii="Arial" w:hAnsi="Arial" w:cs="Arial"/>
          <w:szCs w:val="24"/>
          <w:lang w:val="en-IN"/>
        </w:rPr>
        <w:t xml:space="preserve">Innovation culture need HR systems that foster experimentation, teamwork and life-long learning. The organisational culture has a significant impact on the desire of the employees to share their knowledge and create innovative ideas, which is an important factor that determines the innovation performance (Mamun, 2026). Such cultures are centered on psychological safety since employees are confident to suggest ideas and criticize status quo. Team learning and team innovation behaviour are greatly promoted by the presence of psychologically safe environments (Edmondson, 2019). Innovation is also enhanced by knowledge-sharing systems and cross-functional work, and companies based on cross-functional teams record 1.5 times more innovation outputs than siloed companies (Deloitte Insights, 2021). Also, workplaces </w:t>
      </w:r>
      <w:r w:rsidRPr="00410BDC">
        <w:rPr>
          <w:rFonts w:ascii="Arial" w:hAnsi="Arial" w:cs="Arial"/>
          <w:szCs w:val="24"/>
          <w:lang w:val="en-IN"/>
        </w:rPr>
        <w:lastRenderedPageBreak/>
        <w:t>with a focus on wellbeing and digital capability contribute greatly to sustainable innovation performance (Li, Abdul Ghani Azmi and Norman, 2025)</w:t>
      </w:r>
      <w:r w:rsidR="00372109" w:rsidRPr="00410BDC">
        <w:rPr>
          <w:rFonts w:ascii="Arial" w:hAnsi="Arial" w:cs="Arial"/>
          <w:szCs w:val="24"/>
          <w:lang w:val="en-IN"/>
        </w:rPr>
        <w:t>.</w:t>
      </w:r>
    </w:p>
    <w:p w14:paraId="7E646AFD" w14:textId="77777777" w:rsidR="00631AEB" w:rsidRPr="00410BDC" w:rsidRDefault="00631AEB" w:rsidP="00631AEB">
      <w:pPr>
        <w:keepNext/>
        <w:jc w:val="center"/>
        <w:rPr>
          <w:rFonts w:ascii="Arial" w:hAnsi="Arial" w:cs="Arial"/>
          <w:szCs w:val="24"/>
        </w:rPr>
      </w:pPr>
      <w:r w:rsidRPr="00410BDC">
        <w:rPr>
          <w:rFonts w:ascii="Arial" w:hAnsi="Arial" w:cs="Arial"/>
          <w:noProof/>
          <w:szCs w:val="24"/>
          <w:lang w:val="en-IN"/>
        </w:rPr>
        <w:drawing>
          <wp:inline distT="0" distB="0" distL="0" distR="0" wp14:anchorId="1ABDA331" wp14:editId="782A52FC">
            <wp:extent cx="3105583" cy="2543530"/>
            <wp:effectExtent l="0" t="0" r="0" b="9525"/>
            <wp:docPr id="1674242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242482" name=""/>
                    <pic:cNvPicPr/>
                  </pic:nvPicPr>
                  <pic:blipFill>
                    <a:blip r:embed="rId8"/>
                    <a:stretch>
                      <a:fillRect/>
                    </a:stretch>
                  </pic:blipFill>
                  <pic:spPr>
                    <a:xfrm>
                      <a:off x="0" y="0"/>
                      <a:ext cx="3105583" cy="2543530"/>
                    </a:xfrm>
                    <a:prstGeom prst="rect">
                      <a:avLst/>
                    </a:prstGeom>
                  </pic:spPr>
                </pic:pic>
              </a:graphicData>
            </a:graphic>
          </wp:inline>
        </w:drawing>
      </w:r>
    </w:p>
    <w:p w14:paraId="69BD5D55" w14:textId="1A6C1D53" w:rsidR="00631AEB" w:rsidRPr="00410BDC" w:rsidRDefault="00631AEB" w:rsidP="00631AEB">
      <w:pPr>
        <w:pStyle w:val="Caption"/>
        <w:jc w:val="center"/>
        <w:rPr>
          <w:rFonts w:ascii="Arial" w:hAnsi="Arial" w:cs="Arial"/>
          <w:sz w:val="24"/>
          <w:szCs w:val="24"/>
        </w:rPr>
      </w:pPr>
      <w:bookmarkStart w:id="8" w:name="_Toc223825126"/>
      <w:r w:rsidRPr="00410BDC">
        <w:rPr>
          <w:rFonts w:ascii="Arial" w:hAnsi="Arial" w:cs="Arial"/>
          <w:sz w:val="24"/>
          <w:szCs w:val="24"/>
        </w:rPr>
        <w:t xml:space="preserve">Figure </w:t>
      </w:r>
      <w:r w:rsidRPr="00410BDC">
        <w:rPr>
          <w:rFonts w:ascii="Arial" w:hAnsi="Arial" w:cs="Arial"/>
          <w:sz w:val="24"/>
          <w:szCs w:val="24"/>
        </w:rPr>
        <w:fldChar w:fldCharType="begin"/>
      </w:r>
      <w:r w:rsidRPr="00410BDC">
        <w:rPr>
          <w:rFonts w:ascii="Arial" w:hAnsi="Arial" w:cs="Arial"/>
          <w:sz w:val="24"/>
          <w:szCs w:val="24"/>
        </w:rPr>
        <w:instrText xml:space="preserve"> SEQ Figure \* ARABIC </w:instrText>
      </w:r>
      <w:r w:rsidRPr="00410BDC">
        <w:rPr>
          <w:rFonts w:ascii="Arial" w:hAnsi="Arial" w:cs="Arial"/>
          <w:sz w:val="24"/>
          <w:szCs w:val="24"/>
        </w:rPr>
        <w:fldChar w:fldCharType="separate"/>
      </w:r>
      <w:r w:rsidR="0080406F" w:rsidRPr="00410BDC">
        <w:rPr>
          <w:rFonts w:ascii="Arial" w:hAnsi="Arial" w:cs="Arial"/>
          <w:noProof/>
          <w:sz w:val="24"/>
          <w:szCs w:val="24"/>
        </w:rPr>
        <w:t>1</w:t>
      </w:r>
      <w:r w:rsidRPr="00410BDC">
        <w:rPr>
          <w:rFonts w:ascii="Arial" w:hAnsi="Arial" w:cs="Arial"/>
          <w:sz w:val="24"/>
          <w:szCs w:val="24"/>
        </w:rPr>
        <w:fldChar w:fldCharType="end"/>
      </w:r>
      <w:r w:rsidRPr="00410BDC">
        <w:rPr>
          <w:rFonts w:ascii="Arial" w:hAnsi="Arial" w:cs="Arial"/>
          <w:sz w:val="24"/>
          <w:szCs w:val="24"/>
        </w:rPr>
        <w:t xml:space="preserve"> Innovation Culture Model</w:t>
      </w:r>
      <w:bookmarkEnd w:id="8"/>
    </w:p>
    <w:p w14:paraId="78835811" w14:textId="10F1A3BE" w:rsidR="00631AEB" w:rsidRPr="00410BDC" w:rsidRDefault="00631AEB" w:rsidP="00631AEB">
      <w:pPr>
        <w:jc w:val="center"/>
        <w:rPr>
          <w:rFonts w:ascii="Arial" w:hAnsi="Arial" w:cs="Arial"/>
          <w:szCs w:val="24"/>
        </w:rPr>
      </w:pPr>
      <w:r w:rsidRPr="00410BDC">
        <w:rPr>
          <w:rFonts w:ascii="Arial" w:hAnsi="Arial" w:cs="Arial"/>
          <w:szCs w:val="24"/>
        </w:rPr>
        <w:t>Source: Self-made</w:t>
      </w:r>
    </w:p>
    <w:p w14:paraId="54D865E7" w14:textId="1B93C16E" w:rsidR="003921BB" w:rsidRPr="00410BDC" w:rsidRDefault="003921BB" w:rsidP="003921BB">
      <w:pPr>
        <w:pStyle w:val="Heading2"/>
        <w:rPr>
          <w:rFonts w:ascii="Arial" w:hAnsi="Arial" w:cs="Arial"/>
          <w:szCs w:val="24"/>
          <w:lang w:val="en-IN"/>
        </w:rPr>
      </w:pPr>
      <w:bookmarkStart w:id="9" w:name="_Toc223824737"/>
      <w:r w:rsidRPr="00410BDC">
        <w:rPr>
          <w:rFonts w:ascii="Arial" w:hAnsi="Arial" w:cs="Arial"/>
          <w:szCs w:val="24"/>
          <w:lang w:val="en-IN"/>
        </w:rPr>
        <w:t xml:space="preserve">3.2 </w:t>
      </w:r>
      <w:r w:rsidR="00372109" w:rsidRPr="00410BDC">
        <w:rPr>
          <w:rFonts w:ascii="Arial" w:hAnsi="Arial" w:cs="Arial"/>
          <w:szCs w:val="24"/>
        </w:rPr>
        <w:t>Structural Initiatives for Innovation</w:t>
      </w:r>
      <w:bookmarkEnd w:id="9"/>
    </w:p>
    <w:p w14:paraId="422B906B" w14:textId="76C330C7" w:rsidR="003921BB" w:rsidRPr="00410BDC" w:rsidRDefault="00FC2385" w:rsidP="00F937F1">
      <w:pPr>
        <w:rPr>
          <w:rFonts w:ascii="Arial" w:hAnsi="Arial" w:cs="Arial"/>
          <w:szCs w:val="24"/>
          <w:lang w:val="en-IN"/>
        </w:rPr>
      </w:pPr>
      <w:r w:rsidRPr="00410BDC">
        <w:rPr>
          <w:rFonts w:ascii="Arial" w:hAnsi="Arial" w:cs="Arial"/>
          <w:szCs w:val="24"/>
        </w:rPr>
        <w:t>The behaviour of employees is influenced by organisational culture, and there should be the right structures that reinforce effective innovation. Decision-making and experimentation are accelerated by using the agile organisational structures. The innovation sprints enable the teams to experiment with ideas using short cycles and fast feedback, ensuring the promotion of experimentation and minimising organisational risk. The intrapreneurship programmes also enable the employees to suggest and come up with new products or services. Interdisciplinary teams which are made up of engineers, designers and marketing specialists bring different skills to resolve complex issues and enhance the performance of innovation (Deloitte Insights, 2021). A well-designed organisational change management accompanied by the commitment of leadership and communication are other critical factors in the successful implementation of such initiatives (Szabla et al., 2019)</w:t>
      </w:r>
      <w:r w:rsidR="00F937F1" w:rsidRPr="00410BDC">
        <w:rPr>
          <w:rFonts w:ascii="Arial" w:hAnsi="Arial" w:cs="Arial"/>
          <w:szCs w:val="24"/>
          <w:lang w:val="en-IN"/>
        </w:rPr>
        <w:t>.</w:t>
      </w:r>
    </w:p>
    <w:p w14:paraId="1C5020CE" w14:textId="5C732AAF" w:rsidR="003921BB" w:rsidRPr="00410BDC" w:rsidRDefault="003921BB" w:rsidP="003921BB">
      <w:pPr>
        <w:pStyle w:val="Heading2"/>
        <w:rPr>
          <w:rFonts w:ascii="Arial" w:hAnsi="Arial" w:cs="Arial"/>
          <w:szCs w:val="24"/>
          <w:lang w:val="en-IN"/>
        </w:rPr>
      </w:pPr>
      <w:bookmarkStart w:id="10" w:name="_Toc223824738"/>
      <w:r w:rsidRPr="00410BDC">
        <w:rPr>
          <w:rFonts w:ascii="Arial" w:hAnsi="Arial" w:cs="Arial"/>
          <w:szCs w:val="24"/>
          <w:lang w:val="en-IN"/>
        </w:rPr>
        <w:t xml:space="preserve">3.3 </w:t>
      </w:r>
      <w:r w:rsidR="00372109" w:rsidRPr="00410BDC">
        <w:rPr>
          <w:rFonts w:ascii="Arial" w:hAnsi="Arial" w:cs="Arial"/>
          <w:szCs w:val="24"/>
        </w:rPr>
        <w:t>HR Policies Supporting Innovation</w:t>
      </w:r>
      <w:bookmarkEnd w:id="10"/>
    </w:p>
    <w:p w14:paraId="4CA99762" w14:textId="5D1807DE" w:rsidR="007965B4" w:rsidRPr="00410BDC" w:rsidRDefault="007965B4" w:rsidP="007965B4">
      <w:pPr>
        <w:rPr>
          <w:rFonts w:ascii="Arial" w:hAnsi="Arial" w:cs="Arial"/>
          <w:szCs w:val="24"/>
          <w:lang w:val="en-IN"/>
        </w:rPr>
      </w:pPr>
      <w:r w:rsidRPr="00410BDC">
        <w:rPr>
          <w:rFonts w:ascii="Arial" w:hAnsi="Arial" w:cs="Arial"/>
          <w:szCs w:val="24"/>
          <w:lang w:val="en-IN"/>
        </w:rPr>
        <w:t xml:space="preserve">HR policies are essential to strengthen innovation based behaviours in organisations. A performance management system ought to compensate experimentation, </w:t>
      </w:r>
      <w:r w:rsidRPr="00410BDC">
        <w:rPr>
          <w:rFonts w:ascii="Arial" w:hAnsi="Arial" w:cs="Arial"/>
          <w:szCs w:val="24"/>
          <w:lang w:val="en-IN"/>
        </w:rPr>
        <w:lastRenderedPageBreak/>
        <w:t>knowledge sharing and collaborative problem solving, as opposed to nurturing resulted productivity metrics, which are short-term in nature. Evaluation systems that are innovation oriented also comprise of indicators like idea generation, learning participation and cross team work.</w:t>
      </w:r>
    </w:p>
    <w:p w14:paraId="17D24357" w14:textId="50C97EF3" w:rsidR="007965B4" w:rsidRPr="00410BDC" w:rsidRDefault="007965B4" w:rsidP="007965B4">
      <w:pPr>
        <w:rPr>
          <w:rFonts w:ascii="Arial" w:hAnsi="Arial" w:cs="Arial"/>
          <w:szCs w:val="24"/>
          <w:lang w:val="en-IN"/>
        </w:rPr>
      </w:pPr>
      <w:r w:rsidRPr="00410BDC">
        <w:rPr>
          <w:rFonts w:ascii="Arial" w:hAnsi="Arial" w:cs="Arial"/>
          <w:szCs w:val="24"/>
          <w:lang w:val="en-IN"/>
        </w:rPr>
        <w:t>Engagement of employees is also a very important factor in innovation. Highly engaged employees in organisations portray greater productivity, profitability and creativity. According to Gallup research, high employee engagement in companies can result in a 23% increase in profitability and 18% productivity as opposed to organisations with low rates of employee engagement (Sorenson, 2023).</w:t>
      </w:r>
    </w:p>
    <w:p w14:paraId="3CDCCB65" w14:textId="6EE9C605" w:rsidR="00FC7C30" w:rsidRPr="00410BDC" w:rsidRDefault="007965B4" w:rsidP="007965B4">
      <w:pPr>
        <w:rPr>
          <w:rFonts w:ascii="Arial" w:hAnsi="Arial" w:cs="Arial"/>
          <w:szCs w:val="24"/>
          <w:lang w:val="en-IN"/>
        </w:rPr>
      </w:pPr>
      <w:r w:rsidRPr="00410BDC">
        <w:rPr>
          <w:rFonts w:ascii="Arial" w:hAnsi="Arial" w:cs="Arial"/>
          <w:szCs w:val="24"/>
          <w:lang w:val="en-IN"/>
        </w:rPr>
        <w:t xml:space="preserve">The capability of innovation is another major determinant of organisational value under the expectations of the investors. According to the reports published by the PwC Global Investor Survey, more than three out of five investors around the world believe that innovation and workforce capability are the key factors in business growth in the long term (PwC, 2023). </w:t>
      </w:r>
      <w:r w:rsidR="00033849" w:rsidRPr="00410BDC">
        <w:rPr>
          <w:rFonts w:ascii="Arial" w:hAnsi="Arial" w:cs="Arial"/>
          <w:szCs w:val="24"/>
          <w:lang w:val="en-IN"/>
        </w:rPr>
        <w:t>Thus</w:t>
      </w:r>
      <w:r w:rsidRPr="00410BDC">
        <w:rPr>
          <w:rFonts w:ascii="Arial" w:hAnsi="Arial" w:cs="Arial"/>
          <w:szCs w:val="24"/>
          <w:lang w:val="en-IN"/>
        </w:rPr>
        <w:t xml:space="preserve">, </w:t>
      </w:r>
      <w:r w:rsidR="004C4EB4" w:rsidRPr="00410BDC">
        <w:rPr>
          <w:rFonts w:ascii="Arial" w:hAnsi="Arial" w:cs="Arial"/>
          <w:szCs w:val="24"/>
          <w:lang w:val="en-IN"/>
        </w:rPr>
        <w:t>it</w:t>
      </w:r>
      <w:r w:rsidRPr="00410BDC">
        <w:rPr>
          <w:rFonts w:ascii="Arial" w:hAnsi="Arial" w:cs="Arial"/>
          <w:szCs w:val="24"/>
          <w:lang w:val="en-IN"/>
        </w:rPr>
        <w:t xml:space="preserve"> enhances organisational innovation capabilities and competitive advantage crucially</w:t>
      </w:r>
      <w:r w:rsidR="00F937F1" w:rsidRPr="00410BDC">
        <w:rPr>
          <w:rFonts w:ascii="Arial" w:hAnsi="Arial" w:cs="Arial"/>
          <w:szCs w:val="24"/>
          <w:lang w:val="en-IN"/>
        </w:rPr>
        <w:t>.</w:t>
      </w:r>
    </w:p>
    <w:p w14:paraId="7D73C3C5" w14:textId="5243C7F7" w:rsidR="00FC7C30" w:rsidRPr="00410BDC" w:rsidRDefault="00FC7C30" w:rsidP="003921BB">
      <w:pPr>
        <w:pStyle w:val="Heading1"/>
        <w:rPr>
          <w:rFonts w:ascii="Arial" w:hAnsi="Arial" w:cs="Arial"/>
          <w:sz w:val="24"/>
          <w:szCs w:val="24"/>
          <w:lang w:val="en-IN"/>
        </w:rPr>
      </w:pPr>
      <w:bookmarkStart w:id="11" w:name="_Toc223824739"/>
      <w:r w:rsidRPr="00410BDC">
        <w:rPr>
          <w:rFonts w:ascii="Arial" w:hAnsi="Arial" w:cs="Arial"/>
          <w:sz w:val="24"/>
          <w:szCs w:val="24"/>
          <w:lang w:val="en-IN"/>
        </w:rPr>
        <w:t xml:space="preserve">4. </w:t>
      </w:r>
      <w:r w:rsidR="00E66A13" w:rsidRPr="00410BDC">
        <w:rPr>
          <w:rFonts w:ascii="Arial" w:hAnsi="Arial" w:cs="Arial"/>
          <w:sz w:val="24"/>
          <w:szCs w:val="24"/>
        </w:rPr>
        <w:t>Future of Work Model for Aether Innovations</w:t>
      </w:r>
      <w:bookmarkEnd w:id="11"/>
    </w:p>
    <w:p w14:paraId="2487E4B8" w14:textId="3FDE58EA" w:rsidR="00E403E9" w:rsidRPr="00410BDC" w:rsidRDefault="00E403E9" w:rsidP="00E403E9">
      <w:pPr>
        <w:pStyle w:val="Heading2"/>
        <w:rPr>
          <w:rFonts w:ascii="Arial" w:hAnsi="Arial" w:cs="Arial"/>
          <w:szCs w:val="24"/>
          <w:lang w:val="en-IN"/>
        </w:rPr>
      </w:pPr>
      <w:bookmarkStart w:id="12" w:name="_Toc223824740"/>
      <w:r w:rsidRPr="00410BDC">
        <w:rPr>
          <w:rFonts w:ascii="Arial" w:hAnsi="Arial" w:cs="Arial"/>
          <w:szCs w:val="24"/>
        </w:rPr>
        <w:t>4.1 Hybrid Work Structure</w:t>
      </w:r>
      <w:bookmarkEnd w:id="12"/>
    </w:p>
    <w:p w14:paraId="72DEA8F8" w14:textId="09B5073D" w:rsidR="00AC6A38" w:rsidRPr="00410BDC" w:rsidRDefault="00AC6A38" w:rsidP="00F937F1">
      <w:pPr>
        <w:rPr>
          <w:rFonts w:ascii="Arial" w:hAnsi="Arial" w:cs="Arial"/>
          <w:szCs w:val="24"/>
          <w:lang w:val="en-IN"/>
        </w:rPr>
      </w:pPr>
      <w:r w:rsidRPr="00410BDC">
        <w:rPr>
          <w:rFonts w:ascii="Arial" w:hAnsi="Arial" w:cs="Arial"/>
          <w:szCs w:val="24"/>
          <w:lang w:val="en-IN"/>
        </w:rPr>
        <w:t xml:space="preserve">The hybrid innovation work model, which is proposed by Aether Innovations, should include remote flexibility and more organized in-office work. Online working systems normally are a mix of 3 factors of operation. To begin with, remote work allows employees to do their work at home that requires high levels of concentration, like writing software, working on data, and coding. Second, the organisational learning and creativity is enhanced through structured collaboration days in offices whereby the innovation workshops, brainstorming and strategic meetings are held. Third, innovation labs offer physical facilities that cross-functional groups use to test their concepts and experiment with new technology. Empirical studies find that employee preference to flexible work systems is high. A massive-stated study of workplace preferences conducted showed that more than 60 percent of employees would like to work in a hybrid job structure and autonomy and flexibility is an important factor in increasing worker satisfaction and productivity (Appel-Meulenbroek et al., 2022). </w:t>
      </w:r>
    </w:p>
    <w:p w14:paraId="2632D7E4" w14:textId="77777777" w:rsidR="0080406F" w:rsidRPr="00410BDC" w:rsidRDefault="0080406F" w:rsidP="0080406F">
      <w:pPr>
        <w:keepNext/>
        <w:jc w:val="center"/>
        <w:rPr>
          <w:rFonts w:ascii="Arial" w:hAnsi="Arial" w:cs="Arial"/>
          <w:szCs w:val="24"/>
        </w:rPr>
      </w:pPr>
      <w:r w:rsidRPr="00410BDC">
        <w:rPr>
          <w:rFonts w:ascii="Arial" w:hAnsi="Arial" w:cs="Arial"/>
          <w:noProof/>
          <w:szCs w:val="24"/>
          <w:lang w:val="en-IN"/>
        </w:rPr>
        <w:lastRenderedPageBreak/>
        <w:drawing>
          <wp:inline distT="0" distB="0" distL="0" distR="0" wp14:anchorId="5ED144C3" wp14:editId="1D47CAE1">
            <wp:extent cx="3115110" cy="2495898"/>
            <wp:effectExtent l="0" t="0" r="9525" b="0"/>
            <wp:docPr id="318900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00808" name=""/>
                    <pic:cNvPicPr/>
                  </pic:nvPicPr>
                  <pic:blipFill>
                    <a:blip r:embed="rId9"/>
                    <a:stretch>
                      <a:fillRect/>
                    </a:stretch>
                  </pic:blipFill>
                  <pic:spPr>
                    <a:xfrm>
                      <a:off x="0" y="0"/>
                      <a:ext cx="3115110" cy="2495898"/>
                    </a:xfrm>
                    <a:prstGeom prst="rect">
                      <a:avLst/>
                    </a:prstGeom>
                  </pic:spPr>
                </pic:pic>
              </a:graphicData>
            </a:graphic>
          </wp:inline>
        </w:drawing>
      </w:r>
    </w:p>
    <w:p w14:paraId="66A9EBCA" w14:textId="505084D9" w:rsidR="00631AEB" w:rsidRPr="00410BDC" w:rsidRDefault="0080406F" w:rsidP="0080406F">
      <w:pPr>
        <w:pStyle w:val="Caption"/>
        <w:jc w:val="center"/>
        <w:rPr>
          <w:rFonts w:ascii="Arial" w:hAnsi="Arial" w:cs="Arial"/>
          <w:sz w:val="24"/>
          <w:szCs w:val="24"/>
        </w:rPr>
      </w:pPr>
      <w:bookmarkStart w:id="13" w:name="_Toc223825127"/>
      <w:r w:rsidRPr="00410BDC">
        <w:rPr>
          <w:rFonts w:ascii="Arial" w:hAnsi="Arial" w:cs="Arial"/>
          <w:sz w:val="24"/>
          <w:szCs w:val="24"/>
        </w:rPr>
        <w:t xml:space="preserve">Figure </w:t>
      </w:r>
      <w:r w:rsidRPr="00410BDC">
        <w:rPr>
          <w:rFonts w:ascii="Arial" w:hAnsi="Arial" w:cs="Arial"/>
          <w:sz w:val="24"/>
          <w:szCs w:val="24"/>
        </w:rPr>
        <w:fldChar w:fldCharType="begin"/>
      </w:r>
      <w:r w:rsidRPr="00410BDC">
        <w:rPr>
          <w:rFonts w:ascii="Arial" w:hAnsi="Arial" w:cs="Arial"/>
          <w:sz w:val="24"/>
          <w:szCs w:val="24"/>
        </w:rPr>
        <w:instrText xml:space="preserve"> SEQ Figure \* ARABIC </w:instrText>
      </w:r>
      <w:r w:rsidRPr="00410BDC">
        <w:rPr>
          <w:rFonts w:ascii="Arial" w:hAnsi="Arial" w:cs="Arial"/>
          <w:sz w:val="24"/>
          <w:szCs w:val="24"/>
        </w:rPr>
        <w:fldChar w:fldCharType="separate"/>
      </w:r>
      <w:r w:rsidRPr="00410BDC">
        <w:rPr>
          <w:rFonts w:ascii="Arial" w:hAnsi="Arial" w:cs="Arial"/>
          <w:noProof/>
          <w:sz w:val="24"/>
          <w:szCs w:val="24"/>
        </w:rPr>
        <w:t>2</w:t>
      </w:r>
      <w:r w:rsidRPr="00410BDC">
        <w:rPr>
          <w:rFonts w:ascii="Arial" w:hAnsi="Arial" w:cs="Arial"/>
          <w:sz w:val="24"/>
          <w:szCs w:val="24"/>
        </w:rPr>
        <w:fldChar w:fldCharType="end"/>
      </w:r>
      <w:r w:rsidRPr="00410BDC">
        <w:rPr>
          <w:rFonts w:ascii="Arial" w:hAnsi="Arial" w:cs="Arial"/>
          <w:sz w:val="24"/>
          <w:szCs w:val="24"/>
        </w:rPr>
        <w:t xml:space="preserve"> Hybrid Work Model</w:t>
      </w:r>
      <w:bookmarkEnd w:id="13"/>
    </w:p>
    <w:p w14:paraId="3192358E" w14:textId="4F55A6E5" w:rsidR="0080406F" w:rsidRPr="00410BDC" w:rsidRDefault="0080406F" w:rsidP="0080406F">
      <w:pPr>
        <w:jc w:val="center"/>
        <w:rPr>
          <w:rFonts w:ascii="Arial" w:hAnsi="Arial" w:cs="Arial"/>
          <w:szCs w:val="24"/>
        </w:rPr>
      </w:pPr>
      <w:r w:rsidRPr="00410BDC">
        <w:rPr>
          <w:rFonts w:ascii="Arial" w:hAnsi="Arial" w:cs="Arial"/>
          <w:szCs w:val="24"/>
        </w:rPr>
        <w:t>Source: Self Made</w:t>
      </w:r>
    </w:p>
    <w:p w14:paraId="338FC8E1" w14:textId="77777777" w:rsidR="00AC6A38" w:rsidRPr="00410BDC" w:rsidRDefault="00AC6A38" w:rsidP="00AC6A38">
      <w:pPr>
        <w:pStyle w:val="Heading2"/>
        <w:rPr>
          <w:rFonts w:ascii="Arial" w:hAnsi="Arial" w:cs="Arial"/>
          <w:szCs w:val="24"/>
        </w:rPr>
      </w:pPr>
      <w:bookmarkStart w:id="14" w:name="_Toc223824741"/>
      <w:r w:rsidRPr="00410BDC">
        <w:rPr>
          <w:rFonts w:ascii="Arial" w:hAnsi="Arial" w:cs="Arial"/>
          <w:szCs w:val="24"/>
        </w:rPr>
        <w:t>4.2 Digital Collaboration Infrastructure</w:t>
      </w:r>
      <w:bookmarkEnd w:id="14"/>
    </w:p>
    <w:p w14:paraId="3ECF380F" w14:textId="6F7AEF7F" w:rsidR="00AC6A38" w:rsidRPr="00410BDC" w:rsidRDefault="00D427B1" w:rsidP="00F937F1">
      <w:pPr>
        <w:rPr>
          <w:rFonts w:ascii="Arial" w:hAnsi="Arial" w:cs="Arial"/>
          <w:szCs w:val="24"/>
        </w:rPr>
      </w:pPr>
      <w:r w:rsidRPr="00410BDC">
        <w:rPr>
          <w:rFonts w:ascii="Arial" w:hAnsi="Arial" w:cs="Arial"/>
          <w:szCs w:val="24"/>
        </w:rPr>
        <w:t>Currently, hybrid work systems need to be built on a strong digital collaboration infrastructure that can provide distributed teams with communication and knowledge sharing. To maintain the organisation, organisations are increasingly relying on the digital platform like Microsoft Teams, Slack and collaborative cloud-based tools to facilitate projects coordination and decision-making. Through these technologies, the employees can share knowledge on real-time and work together despite geographical boundaries. The studies of digital transformation focus on the fact that organisations characterised by high digital orientation are much more capable of combining remote and face-to-face collaboration practices (Sanguineti et al., 2026). Online teamwork systems equally facilitate organisational learning by allowing access to common body of knowledge, project management dashboard and joint innovation system. Incorporating such infrastructures, Aether Innovations will be able to develop an integrated digital environment that reinforces communication, increases the level of collaborative work of different departments and expedites the process of innovation in hybrid teams.</w:t>
      </w:r>
    </w:p>
    <w:p w14:paraId="2683CE76" w14:textId="77777777" w:rsidR="00AC6A38" w:rsidRPr="00410BDC" w:rsidRDefault="00AC6A38" w:rsidP="00AC6A38">
      <w:pPr>
        <w:pStyle w:val="Heading2"/>
        <w:rPr>
          <w:rFonts w:ascii="Arial" w:hAnsi="Arial" w:cs="Arial"/>
          <w:szCs w:val="24"/>
        </w:rPr>
      </w:pPr>
      <w:bookmarkStart w:id="15" w:name="_Toc223824742"/>
      <w:r w:rsidRPr="00410BDC">
        <w:rPr>
          <w:rFonts w:ascii="Arial" w:hAnsi="Arial" w:cs="Arial"/>
          <w:szCs w:val="24"/>
        </w:rPr>
        <w:t>4.3 Motivation and Employee Performance</w:t>
      </w:r>
      <w:bookmarkEnd w:id="15"/>
    </w:p>
    <w:p w14:paraId="1999319F" w14:textId="25895BC1" w:rsidR="00FC7C30" w:rsidRPr="00410BDC" w:rsidRDefault="00D427B1" w:rsidP="00F937F1">
      <w:pPr>
        <w:rPr>
          <w:rFonts w:ascii="Arial" w:hAnsi="Arial" w:cs="Arial"/>
          <w:szCs w:val="24"/>
        </w:rPr>
      </w:pPr>
      <w:r w:rsidRPr="00410BDC">
        <w:rPr>
          <w:rFonts w:ascii="Arial" w:hAnsi="Arial" w:cs="Arial"/>
          <w:szCs w:val="24"/>
        </w:rPr>
        <w:t>The motivation of employees can be described as a very important factor of performance at the hybrid work place. Self-Determination Theory states that self-</w:t>
      </w:r>
      <w:r w:rsidRPr="00410BDC">
        <w:rPr>
          <w:rFonts w:ascii="Arial" w:hAnsi="Arial" w:cs="Arial"/>
          <w:szCs w:val="24"/>
        </w:rPr>
        <w:lastRenderedPageBreak/>
        <w:t xml:space="preserve">direction, competence and connectedness are the key factors influencing employee motivation and mental wellbeing (Deci and Ryan, 2017). The hybrid work models increase the level of autonomy since employees can determine their work schedules and place of work, which tends to boost job satisfaction and increased productivity. Nonetheless, organisations have to ensure that they are well socially connected to avoid seclusion of the employees. Studies that research on hybrid work environment show that employees have greater engagement and degree of organisational commitment when organisations actively seek to enhance communication, collaboration and cultural integration (Urrila et al., 2025). As a result, </w:t>
      </w:r>
      <w:r w:rsidR="001A0712" w:rsidRPr="00410BDC">
        <w:rPr>
          <w:rFonts w:ascii="Arial" w:hAnsi="Arial" w:cs="Arial"/>
          <w:szCs w:val="24"/>
        </w:rPr>
        <w:t>this</w:t>
      </w:r>
      <w:r w:rsidRPr="00410BDC">
        <w:rPr>
          <w:rFonts w:ascii="Arial" w:hAnsi="Arial" w:cs="Arial"/>
          <w:szCs w:val="24"/>
        </w:rPr>
        <w:t xml:space="preserve"> can enable organisations</w:t>
      </w:r>
      <w:r w:rsidR="001A0712" w:rsidRPr="00410BDC">
        <w:rPr>
          <w:rFonts w:ascii="Arial" w:hAnsi="Arial" w:cs="Arial"/>
          <w:szCs w:val="24"/>
        </w:rPr>
        <w:t xml:space="preserve"> like Aether</w:t>
      </w:r>
      <w:r w:rsidRPr="00410BDC">
        <w:rPr>
          <w:rFonts w:ascii="Arial" w:hAnsi="Arial" w:cs="Arial"/>
          <w:szCs w:val="24"/>
        </w:rPr>
        <w:t xml:space="preserve"> to maintain employee engagement and improve innovation capacity as well as overall organisational performance.</w:t>
      </w:r>
    </w:p>
    <w:p w14:paraId="25116985" w14:textId="7E321F28" w:rsidR="00FC7C30" w:rsidRPr="00410BDC" w:rsidRDefault="00FC7C30" w:rsidP="003921BB">
      <w:pPr>
        <w:pStyle w:val="Heading1"/>
        <w:rPr>
          <w:rFonts w:ascii="Arial" w:hAnsi="Arial" w:cs="Arial"/>
          <w:sz w:val="24"/>
          <w:szCs w:val="24"/>
          <w:lang w:val="en-IN"/>
        </w:rPr>
      </w:pPr>
      <w:bookmarkStart w:id="16" w:name="_Toc223824743"/>
      <w:r w:rsidRPr="00410BDC">
        <w:rPr>
          <w:rFonts w:ascii="Arial" w:hAnsi="Arial" w:cs="Arial"/>
          <w:sz w:val="24"/>
          <w:szCs w:val="24"/>
          <w:lang w:val="en-IN"/>
        </w:rPr>
        <w:t xml:space="preserve">5. </w:t>
      </w:r>
      <w:r w:rsidR="00AF7567" w:rsidRPr="00410BDC">
        <w:rPr>
          <w:rFonts w:ascii="Arial" w:hAnsi="Arial" w:cs="Arial"/>
          <w:sz w:val="24"/>
          <w:szCs w:val="24"/>
        </w:rPr>
        <w:t>Integration: Aligning Culture, Work Practices and Performance</w:t>
      </w:r>
      <w:bookmarkEnd w:id="16"/>
      <w:r w:rsidRPr="00410BDC">
        <w:rPr>
          <w:rFonts w:ascii="Arial" w:hAnsi="Arial" w:cs="Arial"/>
          <w:sz w:val="24"/>
          <w:szCs w:val="24"/>
          <w:lang w:val="en-IN"/>
        </w:rPr>
        <w:t xml:space="preserve"> </w:t>
      </w:r>
    </w:p>
    <w:p w14:paraId="3CBDB09D" w14:textId="5FBC7C17" w:rsidR="008106F8" w:rsidRPr="00410BDC" w:rsidRDefault="008106F8" w:rsidP="008106F8">
      <w:pPr>
        <w:rPr>
          <w:rFonts w:ascii="Arial" w:hAnsi="Arial" w:cs="Arial"/>
          <w:szCs w:val="24"/>
          <w:lang w:val="en-IN"/>
        </w:rPr>
      </w:pPr>
      <w:r w:rsidRPr="00410BDC">
        <w:rPr>
          <w:rFonts w:ascii="Arial" w:hAnsi="Arial" w:cs="Arial"/>
          <w:szCs w:val="24"/>
          <w:lang w:val="en-IN"/>
        </w:rPr>
        <w:t>The HR strategy proposed combines organisational culture, structural initiatives and hybrid working systems to enhance performance of innovation at Aether Innovations. Strategic HR structures have underlined that good people management systems resonate the organisational culture, leadership and workforce strengths with organisational goals (Armstrong and Taylor, 2023).</w:t>
      </w:r>
    </w:p>
    <w:p w14:paraId="6AA3E61D" w14:textId="4E70FD91" w:rsidR="008106F8" w:rsidRPr="00410BDC" w:rsidRDefault="008106F8" w:rsidP="008106F8">
      <w:pPr>
        <w:rPr>
          <w:rFonts w:ascii="Arial" w:hAnsi="Arial" w:cs="Arial"/>
          <w:szCs w:val="24"/>
          <w:lang w:val="en-IN"/>
        </w:rPr>
      </w:pPr>
      <w:r w:rsidRPr="00410BDC">
        <w:rPr>
          <w:rFonts w:ascii="Arial" w:hAnsi="Arial" w:cs="Arial"/>
          <w:szCs w:val="24"/>
          <w:lang w:val="en-IN"/>
        </w:rPr>
        <w:t>Innovation-driven culture promotes experiments, exchange of knowledge and psychological safety allowing the employees to bring innovative ideas. Organisational agility and cross-functional teams are reinforced by structural programs, like innovation sprints, cross-functional teams, etc.</w:t>
      </w:r>
    </w:p>
    <w:p w14:paraId="5F5BE89D" w14:textId="786235C8" w:rsidR="00FC7C30" w:rsidRPr="00410BDC" w:rsidRDefault="008106F8" w:rsidP="008106F8">
      <w:pPr>
        <w:rPr>
          <w:rFonts w:ascii="Arial" w:hAnsi="Arial" w:cs="Arial"/>
          <w:szCs w:val="24"/>
          <w:lang w:val="en-IN"/>
        </w:rPr>
      </w:pPr>
      <w:r w:rsidRPr="00410BDC">
        <w:rPr>
          <w:rFonts w:ascii="Arial" w:hAnsi="Arial" w:cs="Arial"/>
          <w:szCs w:val="24"/>
          <w:lang w:val="en-IN"/>
        </w:rPr>
        <w:t>The hybrid work systems give the employees flexibility without sacrificing on the opportunities of collaborative innovation. The hybrid working environment increases employee engagement and productivity when it is facilitated by the helpful use of digital collaboration systems and performance management systems.</w:t>
      </w:r>
    </w:p>
    <w:p w14:paraId="58FDC0AE" w14:textId="372A6ABF" w:rsidR="00FC7C30" w:rsidRPr="00410BDC" w:rsidRDefault="00FC7C30" w:rsidP="003921BB">
      <w:pPr>
        <w:pStyle w:val="Heading1"/>
        <w:rPr>
          <w:rFonts w:ascii="Arial" w:hAnsi="Arial" w:cs="Arial"/>
          <w:sz w:val="24"/>
          <w:szCs w:val="24"/>
        </w:rPr>
      </w:pPr>
      <w:bookmarkStart w:id="17" w:name="_Toc223824744"/>
      <w:r w:rsidRPr="00410BDC">
        <w:rPr>
          <w:rFonts w:ascii="Arial" w:hAnsi="Arial" w:cs="Arial"/>
          <w:sz w:val="24"/>
          <w:szCs w:val="24"/>
        </w:rPr>
        <w:lastRenderedPageBreak/>
        <w:t>PART 2 – Reflective Learning</w:t>
      </w:r>
      <w:bookmarkEnd w:id="17"/>
    </w:p>
    <w:p w14:paraId="43BD278B" w14:textId="0C9EDC22" w:rsidR="00FC7C30" w:rsidRPr="00410BDC" w:rsidRDefault="00FC7C30" w:rsidP="003921BB">
      <w:pPr>
        <w:pStyle w:val="Heading1"/>
        <w:rPr>
          <w:rFonts w:ascii="Arial" w:hAnsi="Arial" w:cs="Arial"/>
          <w:sz w:val="24"/>
          <w:szCs w:val="24"/>
          <w:lang w:val="en-IN"/>
        </w:rPr>
      </w:pPr>
      <w:bookmarkStart w:id="18" w:name="_Toc223824745"/>
      <w:r w:rsidRPr="00410BDC">
        <w:rPr>
          <w:rFonts w:ascii="Arial" w:hAnsi="Arial" w:cs="Arial"/>
          <w:sz w:val="24"/>
          <w:szCs w:val="24"/>
          <w:lang w:val="en-IN"/>
        </w:rPr>
        <w:t>6. Reflection Using Gibbs Reflective Cycle</w:t>
      </w:r>
      <w:bookmarkEnd w:id="18"/>
      <w:r w:rsidRPr="00410BDC">
        <w:rPr>
          <w:rFonts w:ascii="Arial" w:hAnsi="Arial" w:cs="Arial"/>
          <w:sz w:val="24"/>
          <w:szCs w:val="24"/>
          <w:lang w:val="en-IN"/>
        </w:rPr>
        <w:t xml:space="preserve"> </w:t>
      </w:r>
    </w:p>
    <w:p w14:paraId="4AA2CE8C" w14:textId="77777777" w:rsidR="00FC7C30" w:rsidRPr="00410BDC" w:rsidRDefault="00FC7C30" w:rsidP="003921BB">
      <w:pPr>
        <w:pStyle w:val="Heading2"/>
        <w:rPr>
          <w:rFonts w:ascii="Arial" w:hAnsi="Arial" w:cs="Arial"/>
          <w:szCs w:val="24"/>
          <w:lang w:val="en-IN"/>
        </w:rPr>
      </w:pPr>
      <w:bookmarkStart w:id="19" w:name="_Toc223824746"/>
      <w:r w:rsidRPr="00410BDC">
        <w:rPr>
          <w:rFonts w:ascii="Arial" w:hAnsi="Arial" w:cs="Arial"/>
          <w:szCs w:val="24"/>
          <w:lang w:val="en-IN"/>
        </w:rPr>
        <w:t>6.1 Description</w:t>
      </w:r>
      <w:bookmarkEnd w:id="19"/>
    </w:p>
    <w:p w14:paraId="62DA9C89" w14:textId="29F487E1" w:rsidR="00FC7C30" w:rsidRPr="00410BDC" w:rsidRDefault="00134839" w:rsidP="00134839">
      <w:pPr>
        <w:rPr>
          <w:rFonts w:ascii="Arial" w:hAnsi="Arial" w:cs="Arial"/>
          <w:szCs w:val="24"/>
          <w:lang w:val="en-IN"/>
        </w:rPr>
      </w:pPr>
      <w:r w:rsidRPr="00410BDC">
        <w:rPr>
          <w:rFonts w:ascii="Arial" w:hAnsi="Arial" w:cs="Arial"/>
          <w:szCs w:val="24"/>
          <w:lang w:val="en-IN"/>
        </w:rPr>
        <w:t>This Human Capital Management module has enabled me to gain a better insight into the impact of strategic human resource management on organisational performance and innovation. Before I started the course, my perception of HR was primarily of an administrative role which dealt with the recruitment, payroll and employee record. Nevertheless, the analysis of strategic HR models and theories of organisational culture assisted me in understanding that HR is a more strategic element in the contemporary organisations. The module highlighted the role of HR policies in organisational culture, employee participation and the ability to be innovative. In examining actual organisational issues and case studies, I gained some insights on how the HR leaders formulate workforce strategies that match the capabilities of employees with organisational goals. This learning experience made me realise that proper HR management assists in organisational change, efficiency and sustainability.</w:t>
      </w:r>
    </w:p>
    <w:p w14:paraId="77B41F24" w14:textId="77777777" w:rsidR="00FC7C30" w:rsidRPr="00410BDC" w:rsidRDefault="00FC7C30" w:rsidP="003921BB">
      <w:pPr>
        <w:pStyle w:val="Heading2"/>
        <w:rPr>
          <w:rFonts w:ascii="Arial" w:hAnsi="Arial" w:cs="Arial"/>
          <w:szCs w:val="24"/>
          <w:lang w:val="en-IN"/>
        </w:rPr>
      </w:pPr>
      <w:bookmarkStart w:id="20" w:name="_Toc223824747"/>
      <w:r w:rsidRPr="00410BDC">
        <w:rPr>
          <w:rFonts w:ascii="Arial" w:hAnsi="Arial" w:cs="Arial"/>
          <w:szCs w:val="24"/>
          <w:lang w:val="en-IN"/>
        </w:rPr>
        <w:t>6.2 Feelings</w:t>
      </w:r>
      <w:bookmarkEnd w:id="20"/>
    </w:p>
    <w:p w14:paraId="4FBC3220" w14:textId="6B423C6A" w:rsidR="00353044" w:rsidRPr="00410BDC" w:rsidRDefault="00353044" w:rsidP="00353044">
      <w:pPr>
        <w:rPr>
          <w:rFonts w:ascii="Arial" w:hAnsi="Arial" w:cs="Arial"/>
          <w:szCs w:val="24"/>
          <w:lang w:val="en-IN"/>
        </w:rPr>
      </w:pPr>
      <w:r w:rsidRPr="00410BDC">
        <w:rPr>
          <w:rFonts w:ascii="Arial" w:hAnsi="Arial" w:cs="Arial"/>
          <w:szCs w:val="24"/>
          <w:lang w:val="en-IN"/>
        </w:rPr>
        <w:t>I initially thought that HR activities were primarily operational as opposed to strategic decisions. I thought that the main activities of the HR specialists were hiring workers and organizing work processes. Nevertheless, my perception changed dramatically due to learning about strategic HR concepts in the course of the module.</w:t>
      </w:r>
    </w:p>
    <w:p w14:paraId="07A4FEB8" w14:textId="01DBE08D" w:rsidR="00807EBD" w:rsidRPr="00410BDC" w:rsidRDefault="00353044" w:rsidP="00353044">
      <w:pPr>
        <w:rPr>
          <w:rFonts w:ascii="Arial" w:hAnsi="Arial" w:cs="Arial"/>
          <w:szCs w:val="24"/>
          <w:lang w:val="en-IN"/>
        </w:rPr>
      </w:pPr>
      <w:r w:rsidRPr="00410BDC">
        <w:rPr>
          <w:rFonts w:ascii="Arial" w:hAnsi="Arial" w:cs="Arial"/>
          <w:szCs w:val="24"/>
          <w:lang w:val="en-IN"/>
        </w:rPr>
        <w:t>The purpose of the learning on innovation-based organisations re-enlightened me to understand that HR practices influence the motivation of employees, collaboration as well as organisational culture. These are what have a direct impact on creativity and innovative acts in organisations. The knowledge of such concepts made me more interested in strategy and organisational development in HR. I also started understanding the need associated with HR leadership in the establishment of favorable work conditions that promote learning and innovation.</w:t>
      </w:r>
    </w:p>
    <w:p w14:paraId="400032C6" w14:textId="77777777" w:rsidR="00FC7C30" w:rsidRPr="00410BDC" w:rsidRDefault="00FC7C30" w:rsidP="003921BB">
      <w:pPr>
        <w:pStyle w:val="Heading2"/>
        <w:rPr>
          <w:rFonts w:ascii="Arial" w:hAnsi="Arial" w:cs="Arial"/>
          <w:szCs w:val="24"/>
          <w:lang w:val="en-IN"/>
        </w:rPr>
      </w:pPr>
      <w:bookmarkStart w:id="21" w:name="_Toc223824748"/>
      <w:r w:rsidRPr="00410BDC">
        <w:rPr>
          <w:rFonts w:ascii="Arial" w:hAnsi="Arial" w:cs="Arial"/>
          <w:szCs w:val="24"/>
          <w:lang w:val="en-IN"/>
        </w:rPr>
        <w:lastRenderedPageBreak/>
        <w:t>6.3 Evaluation</w:t>
      </w:r>
      <w:bookmarkEnd w:id="21"/>
    </w:p>
    <w:p w14:paraId="6293DBE9" w14:textId="18BE1EA6" w:rsidR="00807EBD" w:rsidRPr="00410BDC" w:rsidRDefault="00353044" w:rsidP="00353044">
      <w:pPr>
        <w:rPr>
          <w:rFonts w:ascii="Arial" w:hAnsi="Arial" w:cs="Arial"/>
          <w:szCs w:val="24"/>
          <w:lang w:val="en-IN"/>
        </w:rPr>
      </w:pPr>
      <w:r w:rsidRPr="00410BDC">
        <w:rPr>
          <w:rFonts w:ascii="Arial" w:hAnsi="Arial" w:cs="Arial"/>
          <w:szCs w:val="24"/>
          <w:lang w:val="en-IN"/>
        </w:rPr>
        <w:t>There were several provisions of the learning experience that were valuable. The learning on strategic HR structures allowed me to realise the concordance of HR systems and business strategies and strategies. Organisational culture, staff engagement and leadership are also important theories that were introduced in this module. These theories offered effective means to the analysis of organisational issues and behaviour at the workplace. Nonetheless, there was initially the difficulty in applying the theoretical knowledge to the actual organisational contexts. Critical thinking and analytical abilities were needed to interpret organisational issues and find appropriate HR responses to them. I also became better at assessing organisational dilemma and elaborate more knowledgeable HR solutions in the long run.</w:t>
      </w:r>
    </w:p>
    <w:p w14:paraId="7C520B66" w14:textId="77777777" w:rsidR="00FC7C30" w:rsidRPr="00410BDC" w:rsidRDefault="00FC7C30" w:rsidP="003921BB">
      <w:pPr>
        <w:pStyle w:val="Heading2"/>
        <w:rPr>
          <w:rFonts w:ascii="Arial" w:hAnsi="Arial" w:cs="Arial"/>
          <w:szCs w:val="24"/>
          <w:lang w:val="en-IN"/>
        </w:rPr>
      </w:pPr>
      <w:bookmarkStart w:id="22" w:name="_Toc223824749"/>
      <w:r w:rsidRPr="00410BDC">
        <w:rPr>
          <w:rFonts w:ascii="Arial" w:hAnsi="Arial" w:cs="Arial"/>
          <w:szCs w:val="24"/>
          <w:lang w:val="en-IN"/>
        </w:rPr>
        <w:t>6.4 Analysis</w:t>
      </w:r>
      <w:bookmarkEnd w:id="22"/>
    </w:p>
    <w:p w14:paraId="3A95676B" w14:textId="1A0634CD" w:rsidR="00807EBD" w:rsidRPr="00410BDC" w:rsidRDefault="00353044" w:rsidP="00807EBD">
      <w:pPr>
        <w:rPr>
          <w:rFonts w:ascii="Arial" w:hAnsi="Arial" w:cs="Arial"/>
          <w:szCs w:val="24"/>
          <w:lang w:val="en-IN"/>
        </w:rPr>
      </w:pPr>
      <w:r w:rsidRPr="00410BDC">
        <w:rPr>
          <w:rFonts w:ascii="Arial" w:hAnsi="Arial" w:cs="Arial"/>
          <w:szCs w:val="24"/>
          <w:lang w:val="en-IN"/>
        </w:rPr>
        <w:t>Considering what I have learned, I noted that the HR strategy is significant in influencing innovation within organisations. Technology and financial investment alone are not the only factors required to establish innovation but also the organisational culture, the top management and the involvement of employees. Studies have shown that organisations that foster the wellbeing and ability of employees to be digital deliver better innovative performance and organisational health (Li, Abdul Ghani Azmi and Norman, 2025). This wisdom reinforced the role of the HR practice that enhances staff development, teamwork and learning.</w:t>
      </w:r>
    </w:p>
    <w:p w14:paraId="0A7AC0A0" w14:textId="77777777" w:rsidR="00FC7C30" w:rsidRPr="00410BDC" w:rsidRDefault="00FC7C30" w:rsidP="003921BB">
      <w:pPr>
        <w:pStyle w:val="Heading2"/>
        <w:rPr>
          <w:rFonts w:ascii="Arial" w:hAnsi="Arial" w:cs="Arial"/>
          <w:szCs w:val="24"/>
          <w:lang w:val="en-IN"/>
        </w:rPr>
      </w:pPr>
      <w:bookmarkStart w:id="23" w:name="_Toc223824750"/>
      <w:r w:rsidRPr="00410BDC">
        <w:rPr>
          <w:rFonts w:ascii="Arial" w:hAnsi="Arial" w:cs="Arial"/>
          <w:szCs w:val="24"/>
          <w:lang w:val="en-IN"/>
        </w:rPr>
        <w:t>6.5 Conclusion</w:t>
      </w:r>
      <w:bookmarkEnd w:id="23"/>
    </w:p>
    <w:p w14:paraId="3A929091" w14:textId="1ADF8ACA" w:rsidR="00807EBD" w:rsidRPr="00410BDC" w:rsidRDefault="00353044" w:rsidP="00807EBD">
      <w:pPr>
        <w:rPr>
          <w:rFonts w:ascii="Arial" w:hAnsi="Arial" w:cs="Arial"/>
          <w:szCs w:val="24"/>
          <w:lang w:val="en-IN"/>
        </w:rPr>
      </w:pPr>
      <w:r w:rsidRPr="00410BDC">
        <w:rPr>
          <w:rFonts w:ascii="Arial" w:hAnsi="Arial" w:cs="Arial"/>
          <w:szCs w:val="24"/>
          <w:lang w:val="en-IN"/>
        </w:rPr>
        <w:t>In general, the module has shown that the functions of the HR are not confined to the administrative aspect. The culture of the organisation, the motivational power and the ability to innovate among employees are the products of strategic HR practices. Organisations that integrate HR practices and business goals are in a better stand to enjoy sustainable performance and successful performance in the long run.</w:t>
      </w:r>
    </w:p>
    <w:p w14:paraId="05EBE01A" w14:textId="77777777" w:rsidR="00FC7C30" w:rsidRPr="00410BDC" w:rsidRDefault="00FC7C30" w:rsidP="003921BB">
      <w:pPr>
        <w:pStyle w:val="Heading2"/>
        <w:rPr>
          <w:rFonts w:ascii="Arial" w:hAnsi="Arial" w:cs="Arial"/>
          <w:szCs w:val="24"/>
          <w:lang w:val="en-IN"/>
        </w:rPr>
      </w:pPr>
      <w:bookmarkStart w:id="24" w:name="_Toc223824751"/>
      <w:r w:rsidRPr="00410BDC">
        <w:rPr>
          <w:rFonts w:ascii="Arial" w:hAnsi="Arial" w:cs="Arial"/>
          <w:szCs w:val="24"/>
          <w:lang w:val="en-IN"/>
        </w:rPr>
        <w:t>6.6 Action Plan</w:t>
      </w:r>
      <w:bookmarkEnd w:id="24"/>
    </w:p>
    <w:tbl>
      <w:tblPr>
        <w:tblStyle w:val="TableGrid"/>
        <w:tblW w:w="5000" w:type="pct"/>
        <w:tblLook w:val="04A0" w:firstRow="1" w:lastRow="0" w:firstColumn="1" w:lastColumn="0" w:noHBand="0" w:noVBand="1"/>
      </w:tblPr>
      <w:tblGrid>
        <w:gridCol w:w="1672"/>
        <w:gridCol w:w="1531"/>
        <w:gridCol w:w="1697"/>
        <w:gridCol w:w="1429"/>
        <w:gridCol w:w="1314"/>
        <w:gridCol w:w="1373"/>
      </w:tblGrid>
      <w:tr w:rsidR="00725A40" w:rsidRPr="00410BDC" w14:paraId="1D57EB8C" w14:textId="77777777" w:rsidTr="00725A40">
        <w:tc>
          <w:tcPr>
            <w:tcW w:w="927" w:type="pct"/>
            <w:hideMark/>
          </w:tcPr>
          <w:p w14:paraId="1E51EF8B" w14:textId="77777777" w:rsidR="00725A40" w:rsidRPr="00410BDC" w:rsidRDefault="00725A40" w:rsidP="00725A40">
            <w:pPr>
              <w:spacing w:after="160"/>
              <w:rPr>
                <w:rFonts w:ascii="Arial" w:hAnsi="Arial" w:cs="Arial"/>
                <w:b/>
                <w:bCs/>
                <w:szCs w:val="24"/>
                <w:lang w:val="en-IN"/>
              </w:rPr>
            </w:pPr>
            <w:r w:rsidRPr="00410BDC">
              <w:rPr>
                <w:rFonts w:ascii="Arial" w:hAnsi="Arial" w:cs="Arial"/>
                <w:b/>
                <w:bCs/>
                <w:szCs w:val="24"/>
                <w:lang w:val="en-IN"/>
              </w:rPr>
              <w:t>Goal</w:t>
            </w:r>
          </w:p>
        </w:tc>
        <w:tc>
          <w:tcPr>
            <w:tcW w:w="849" w:type="pct"/>
            <w:hideMark/>
          </w:tcPr>
          <w:p w14:paraId="485F707A" w14:textId="77777777" w:rsidR="00725A40" w:rsidRPr="00410BDC" w:rsidRDefault="00725A40" w:rsidP="00725A40">
            <w:pPr>
              <w:spacing w:after="160"/>
              <w:rPr>
                <w:rFonts w:ascii="Arial" w:hAnsi="Arial" w:cs="Arial"/>
                <w:b/>
                <w:bCs/>
                <w:szCs w:val="24"/>
                <w:lang w:val="en-IN"/>
              </w:rPr>
            </w:pPr>
            <w:r w:rsidRPr="00410BDC">
              <w:rPr>
                <w:rFonts w:ascii="Arial" w:hAnsi="Arial" w:cs="Arial"/>
                <w:b/>
                <w:bCs/>
                <w:szCs w:val="24"/>
                <w:lang w:val="en-IN"/>
              </w:rPr>
              <w:t>Specific Actions</w:t>
            </w:r>
          </w:p>
        </w:tc>
        <w:tc>
          <w:tcPr>
            <w:tcW w:w="941" w:type="pct"/>
            <w:hideMark/>
          </w:tcPr>
          <w:p w14:paraId="106ACF04" w14:textId="77777777" w:rsidR="00725A40" w:rsidRPr="00410BDC" w:rsidRDefault="00725A40" w:rsidP="00725A40">
            <w:pPr>
              <w:spacing w:after="160"/>
              <w:rPr>
                <w:rFonts w:ascii="Arial" w:hAnsi="Arial" w:cs="Arial"/>
                <w:b/>
                <w:bCs/>
                <w:szCs w:val="24"/>
                <w:lang w:val="en-IN"/>
              </w:rPr>
            </w:pPr>
            <w:r w:rsidRPr="00410BDC">
              <w:rPr>
                <w:rFonts w:ascii="Arial" w:hAnsi="Arial" w:cs="Arial"/>
                <w:b/>
                <w:bCs/>
                <w:szCs w:val="24"/>
                <w:lang w:val="en-IN"/>
              </w:rPr>
              <w:t>Measurement</w:t>
            </w:r>
          </w:p>
        </w:tc>
        <w:tc>
          <w:tcPr>
            <w:tcW w:w="792" w:type="pct"/>
            <w:hideMark/>
          </w:tcPr>
          <w:p w14:paraId="6C9485FF" w14:textId="77777777" w:rsidR="00725A40" w:rsidRPr="00410BDC" w:rsidRDefault="00725A40" w:rsidP="00725A40">
            <w:pPr>
              <w:spacing w:after="160"/>
              <w:rPr>
                <w:rFonts w:ascii="Arial" w:hAnsi="Arial" w:cs="Arial"/>
                <w:b/>
                <w:bCs/>
                <w:szCs w:val="24"/>
                <w:lang w:val="en-IN"/>
              </w:rPr>
            </w:pPr>
            <w:r w:rsidRPr="00410BDC">
              <w:rPr>
                <w:rFonts w:ascii="Arial" w:hAnsi="Arial" w:cs="Arial"/>
                <w:b/>
                <w:bCs/>
                <w:szCs w:val="24"/>
                <w:lang w:val="en-IN"/>
              </w:rPr>
              <w:t>Achievable</w:t>
            </w:r>
          </w:p>
        </w:tc>
        <w:tc>
          <w:tcPr>
            <w:tcW w:w="729" w:type="pct"/>
            <w:hideMark/>
          </w:tcPr>
          <w:p w14:paraId="18E574A9" w14:textId="77777777" w:rsidR="00725A40" w:rsidRPr="00410BDC" w:rsidRDefault="00725A40" w:rsidP="00725A40">
            <w:pPr>
              <w:spacing w:after="160"/>
              <w:rPr>
                <w:rFonts w:ascii="Arial" w:hAnsi="Arial" w:cs="Arial"/>
                <w:b/>
                <w:bCs/>
                <w:szCs w:val="24"/>
                <w:lang w:val="en-IN"/>
              </w:rPr>
            </w:pPr>
            <w:r w:rsidRPr="00410BDC">
              <w:rPr>
                <w:rFonts w:ascii="Arial" w:hAnsi="Arial" w:cs="Arial"/>
                <w:b/>
                <w:bCs/>
                <w:szCs w:val="24"/>
                <w:lang w:val="en-IN"/>
              </w:rPr>
              <w:t>Relevant</w:t>
            </w:r>
          </w:p>
        </w:tc>
        <w:tc>
          <w:tcPr>
            <w:tcW w:w="761" w:type="pct"/>
            <w:hideMark/>
          </w:tcPr>
          <w:p w14:paraId="35B935F6" w14:textId="77777777" w:rsidR="00725A40" w:rsidRPr="00410BDC" w:rsidRDefault="00725A40" w:rsidP="00725A40">
            <w:pPr>
              <w:spacing w:after="160"/>
              <w:rPr>
                <w:rFonts w:ascii="Arial" w:hAnsi="Arial" w:cs="Arial"/>
                <w:b/>
                <w:bCs/>
                <w:szCs w:val="24"/>
                <w:lang w:val="en-IN"/>
              </w:rPr>
            </w:pPr>
            <w:r w:rsidRPr="00410BDC">
              <w:rPr>
                <w:rFonts w:ascii="Arial" w:hAnsi="Arial" w:cs="Arial"/>
                <w:b/>
                <w:bCs/>
                <w:szCs w:val="24"/>
                <w:lang w:val="en-IN"/>
              </w:rPr>
              <w:t>Timeframe</w:t>
            </w:r>
          </w:p>
        </w:tc>
      </w:tr>
      <w:tr w:rsidR="00725A40" w:rsidRPr="00410BDC" w14:paraId="71E6BCBF" w14:textId="77777777" w:rsidTr="00725A40">
        <w:tc>
          <w:tcPr>
            <w:tcW w:w="927" w:type="pct"/>
            <w:hideMark/>
          </w:tcPr>
          <w:p w14:paraId="50F410C8"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lastRenderedPageBreak/>
              <w:t>Develop HR analytics skills</w:t>
            </w:r>
          </w:p>
        </w:tc>
        <w:tc>
          <w:tcPr>
            <w:tcW w:w="849" w:type="pct"/>
            <w:hideMark/>
          </w:tcPr>
          <w:p w14:paraId="3E34A7F7"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Complete HR analytics certification and practice workforce data analysis</w:t>
            </w:r>
          </w:p>
        </w:tc>
        <w:tc>
          <w:tcPr>
            <w:tcW w:w="941" w:type="pct"/>
            <w:hideMark/>
          </w:tcPr>
          <w:p w14:paraId="051C8A5F"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Certification completion and two HR dashboards</w:t>
            </w:r>
          </w:p>
        </w:tc>
        <w:tc>
          <w:tcPr>
            <w:tcW w:w="792" w:type="pct"/>
            <w:hideMark/>
          </w:tcPr>
          <w:p w14:paraId="32F5179C"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Study 4 hours weekly</w:t>
            </w:r>
          </w:p>
        </w:tc>
        <w:tc>
          <w:tcPr>
            <w:tcW w:w="729" w:type="pct"/>
            <w:hideMark/>
          </w:tcPr>
          <w:p w14:paraId="7F977EE1"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Supports evidence-based HR decisions</w:t>
            </w:r>
          </w:p>
        </w:tc>
        <w:tc>
          <w:tcPr>
            <w:tcW w:w="761" w:type="pct"/>
            <w:hideMark/>
          </w:tcPr>
          <w:p w14:paraId="71EB7B51"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6 months</w:t>
            </w:r>
          </w:p>
        </w:tc>
      </w:tr>
      <w:tr w:rsidR="00725A40" w:rsidRPr="00410BDC" w14:paraId="2BF8E921" w14:textId="77777777" w:rsidTr="00725A40">
        <w:tc>
          <w:tcPr>
            <w:tcW w:w="927" w:type="pct"/>
            <w:hideMark/>
          </w:tcPr>
          <w:p w14:paraId="3BE3E200"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Improve leadership capability</w:t>
            </w:r>
          </w:p>
        </w:tc>
        <w:tc>
          <w:tcPr>
            <w:tcW w:w="849" w:type="pct"/>
            <w:hideMark/>
          </w:tcPr>
          <w:p w14:paraId="3061E228"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Attend leadership development programmes</w:t>
            </w:r>
          </w:p>
        </w:tc>
        <w:tc>
          <w:tcPr>
            <w:tcW w:w="941" w:type="pct"/>
            <w:hideMark/>
          </w:tcPr>
          <w:p w14:paraId="362DEF4D"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Completion certificates</w:t>
            </w:r>
          </w:p>
        </w:tc>
        <w:tc>
          <w:tcPr>
            <w:tcW w:w="792" w:type="pct"/>
            <w:hideMark/>
          </w:tcPr>
          <w:p w14:paraId="1B421D7D"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Online leadership courses</w:t>
            </w:r>
          </w:p>
        </w:tc>
        <w:tc>
          <w:tcPr>
            <w:tcW w:w="729" w:type="pct"/>
            <w:hideMark/>
          </w:tcPr>
          <w:p w14:paraId="527206F2"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Supports innovation leadership</w:t>
            </w:r>
          </w:p>
        </w:tc>
        <w:tc>
          <w:tcPr>
            <w:tcW w:w="761" w:type="pct"/>
            <w:hideMark/>
          </w:tcPr>
          <w:p w14:paraId="7B815724"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8 months</w:t>
            </w:r>
          </w:p>
        </w:tc>
      </w:tr>
      <w:tr w:rsidR="00725A40" w:rsidRPr="00410BDC" w14:paraId="54B13262" w14:textId="77777777" w:rsidTr="00725A40">
        <w:tc>
          <w:tcPr>
            <w:tcW w:w="927" w:type="pct"/>
            <w:hideMark/>
          </w:tcPr>
          <w:p w14:paraId="071463F2"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Enhance understanding of organisational behaviour</w:t>
            </w:r>
          </w:p>
        </w:tc>
        <w:tc>
          <w:tcPr>
            <w:tcW w:w="849" w:type="pct"/>
            <w:hideMark/>
          </w:tcPr>
          <w:p w14:paraId="344ADCEF"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Review academic research weekly</w:t>
            </w:r>
          </w:p>
        </w:tc>
        <w:tc>
          <w:tcPr>
            <w:tcW w:w="941" w:type="pct"/>
            <w:hideMark/>
          </w:tcPr>
          <w:p w14:paraId="370A8222"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Three case analysis reports</w:t>
            </w:r>
          </w:p>
        </w:tc>
        <w:tc>
          <w:tcPr>
            <w:tcW w:w="792" w:type="pct"/>
            <w:hideMark/>
          </w:tcPr>
          <w:p w14:paraId="292F2CDE"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Access university databases</w:t>
            </w:r>
          </w:p>
        </w:tc>
        <w:tc>
          <w:tcPr>
            <w:tcW w:w="729" w:type="pct"/>
            <w:hideMark/>
          </w:tcPr>
          <w:p w14:paraId="11D90450"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Improves HR strategy knowledge</w:t>
            </w:r>
          </w:p>
        </w:tc>
        <w:tc>
          <w:tcPr>
            <w:tcW w:w="761" w:type="pct"/>
            <w:hideMark/>
          </w:tcPr>
          <w:p w14:paraId="4D87255D" w14:textId="77777777" w:rsidR="00725A40" w:rsidRPr="00410BDC" w:rsidRDefault="00725A40" w:rsidP="00725A40">
            <w:pPr>
              <w:spacing w:after="160"/>
              <w:rPr>
                <w:rFonts w:ascii="Arial" w:hAnsi="Arial" w:cs="Arial"/>
                <w:szCs w:val="24"/>
                <w:lang w:val="en-IN"/>
              </w:rPr>
            </w:pPr>
            <w:r w:rsidRPr="00410BDC">
              <w:rPr>
                <w:rFonts w:ascii="Arial" w:hAnsi="Arial" w:cs="Arial"/>
                <w:szCs w:val="24"/>
                <w:lang w:val="en-IN"/>
              </w:rPr>
              <w:t>4 months</w:t>
            </w:r>
          </w:p>
        </w:tc>
      </w:tr>
    </w:tbl>
    <w:p w14:paraId="78A632D1" w14:textId="411089E9" w:rsidR="00FC7C30" w:rsidRPr="00410BDC" w:rsidRDefault="00FC7C30" w:rsidP="00FC7C30">
      <w:pPr>
        <w:rPr>
          <w:rFonts w:ascii="Arial" w:hAnsi="Arial" w:cs="Arial"/>
          <w:szCs w:val="24"/>
          <w:lang w:val="en-IN"/>
        </w:rPr>
      </w:pPr>
    </w:p>
    <w:p w14:paraId="20A1596F" w14:textId="695BBFEF" w:rsidR="00FC7C30" w:rsidRPr="00410BDC" w:rsidRDefault="00FC7C30" w:rsidP="003921BB">
      <w:pPr>
        <w:pStyle w:val="Heading1"/>
        <w:rPr>
          <w:rFonts w:ascii="Arial" w:hAnsi="Arial" w:cs="Arial"/>
          <w:sz w:val="24"/>
          <w:szCs w:val="24"/>
          <w:lang w:val="en-IN"/>
        </w:rPr>
      </w:pPr>
      <w:bookmarkStart w:id="25" w:name="_Toc223824752"/>
      <w:r w:rsidRPr="00410BDC">
        <w:rPr>
          <w:rFonts w:ascii="Arial" w:hAnsi="Arial" w:cs="Arial"/>
          <w:sz w:val="24"/>
          <w:szCs w:val="24"/>
          <w:lang w:val="en-IN"/>
        </w:rPr>
        <w:t>7. Staying Relevant in an AI-Driven Workplace</w:t>
      </w:r>
      <w:bookmarkEnd w:id="25"/>
      <w:r w:rsidRPr="00410BDC">
        <w:rPr>
          <w:rFonts w:ascii="Arial" w:hAnsi="Arial" w:cs="Arial"/>
          <w:sz w:val="24"/>
          <w:szCs w:val="24"/>
          <w:lang w:val="en-IN"/>
        </w:rPr>
        <w:t xml:space="preserve"> </w:t>
      </w:r>
    </w:p>
    <w:p w14:paraId="2CD3C0C4" w14:textId="77777777" w:rsidR="000651A8" w:rsidRPr="00410BDC" w:rsidRDefault="000651A8" w:rsidP="000651A8">
      <w:pPr>
        <w:rPr>
          <w:rFonts w:ascii="Arial" w:hAnsi="Arial" w:cs="Arial"/>
          <w:szCs w:val="24"/>
          <w:lang w:val="en-IN"/>
        </w:rPr>
      </w:pPr>
      <w:bookmarkStart w:id="26" w:name="_Toc223824753"/>
      <w:r w:rsidRPr="00410BDC">
        <w:rPr>
          <w:rFonts w:ascii="Arial" w:hAnsi="Arial" w:cs="Arial"/>
          <w:szCs w:val="24"/>
          <w:lang w:val="en-IN"/>
        </w:rPr>
        <w:t>Artificial intelligence is quickly changing the human resource management (HRM) career by automating most of the administrative and analytical services. The application of AI technologies in modern HR systems is becoming more popular to assist in the screening of recruitment, workforce analytics, employee engagement tracking, and performance assessment. These technologies can help organisations to analyse high amounts of workforce data more efficiently and enhance strategic decision-making and organisational productivity. With the help of AI tools, the HR departments will be able to act more strategically as AI tools can determine the trends in the workforce, predict the risk of employee turnover and suggest personalised development opportunities.</w:t>
      </w:r>
    </w:p>
    <w:p w14:paraId="5296E1E3" w14:textId="77777777" w:rsidR="000651A8" w:rsidRPr="00410BDC" w:rsidRDefault="000651A8" w:rsidP="000651A8">
      <w:pPr>
        <w:rPr>
          <w:rFonts w:ascii="Arial" w:hAnsi="Arial" w:cs="Arial"/>
          <w:szCs w:val="24"/>
          <w:lang w:val="en-IN"/>
        </w:rPr>
      </w:pPr>
      <w:r w:rsidRPr="00410BDC">
        <w:rPr>
          <w:rFonts w:ascii="Arial" w:hAnsi="Arial" w:cs="Arial"/>
          <w:szCs w:val="24"/>
          <w:lang w:val="en-IN"/>
        </w:rPr>
        <w:lastRenderedPageBreak/>
        <w:t>It has been shown that AI-based HR systems have the potential to increase employee resilience and adaptive performance through personalised learning recommendations, real-time feedback and data-driven performance insights (Do, Chu and Shipton, 2025). Consequently, HR professionals are forced to become highly digital and analytical to be able to properly employ AI technologies in managing the workforce.</w:t>
      </w:r>
    </w:p>
    <w:p w14:paraId="0164B4A2" w14:textId="77777777" w:rsidR="000651A8" w:rsidRPr="00410BDC" w:rsidRDefault="000651A8" w:rsidP="000651A8">
      <w:pPr>
        <w:rPr>
          <w:rFonts w:ascii="Arial" w:hAnsi="Arial" w:cs="Arial"/>
          <w:szCs w:val="24"/>
          <w:lang w:val="en-IN"/>
        </w:rPr>
      </w:pPr>
      <w:r w:rsidRPr="00410BDC">
        <w:rPr>
          <w:rFonts w:ascii="Arial" w:hAnsi="Arial" w:cs="Arial"/>
          <w:szCs w:val="24"/>
          <w:lang w:val="en-IN"/>
        </w:rPr>
        <w:t>Nonetheless, with all these technological changes, AI cannot substitute such important human skills as leadership, emotional intelligence and moral judgement. HR professionals continue to play a crucial role in influencing organisational culture, employee relations and practices of fair and responsible management of the workplace.</w:t>
      </w:r>
    </w:p>
    <w:p w14:paraId="4C64ED36" w14:textId="77777777" w:rsidR="000651A8" w:rsidRPr="00410BDC" w:rsidRDefault="000651A8" w:rsidP="000651A8">
      <w:pPr>
        <w:rPr>
          <w:rFonts w:ascii="Arial" w:hAnsi="Arial" w:cs="Arial"/>
          <w:szCs w:val="24"/>
        </w:rPr>
      </w:pPr>
      <w:r w:rsidRPr="00410BDC">
        <w:rPr>
          <w:rFonts w:ascii="Arial" w:hAnsi="Arial" w:cs="Arial"/>
          <w:szCs w:val="24"/>
          <w:lang w:val="en-IN"/>
        </w:rPr>
        <w:t>To ensure that I am not phased out in a changing labour market, I will focus on constant professional growth through enhancing strategic thinking, digital HR capabilities and leadership competencies. The given approach will allow me to successfully incorporate AI tools without losing a human-centred approach to HR leadership and organisational development.</w:t>
      </w:r>
    </w:p>
    <w:p w14:paraId="65D2C2FD" w14:textId="7A633E96" w:rsidR="00FC7C30" w:rsidRPr="00410BDC" w:rsidRDefault="00FC7C30" w:rsidP="000651A8">
      <w:pPr>
        <w:pStyle w:val="Heading1"/>
        <w:rPr>
          <w:rFonts w:ascii="Arial" w:hAnsi="Arial" w:cs="Arial"/>
          <w:sz w:val="24"/>
          <w:szCs w:val="24"/>
          <w:lang w:val="en-IN"/>
        </w:rPr>
      </w:pPr>
      <w:r w:rsidRPr="00410BDC">
        <w:rPr>
          <w:rFonts w:ascii="Arial" w:hAnsi="Arial" w:cs="Arial"/>
          <w:sz w:val="24"/>
          <w:szCs w:val="24"/>
          <w:lang w:val="en-IN"/>
        </w:rPr>
        <w:t>8. Conclusion</w:t>
      </w:r>
      <w:bookmarkEnd w:id="26"/>
      <w:r w:rsidRPr="00410BDC">
        <w:rPr>
          <w:rFonts w:ascii="Arial" w:hAnsi="Arial" w:cs="Arial"/>
          <w:sz w:val="24"/>
          <w:szCs w:val="24"/>
          <w:lang w:val="en-IN"/>
        </w:rPr>
        <w:t xml:space="preserve"> </w:t>
      </w:r>
    </w:p>
    <w:p w14:paraId="0DA22385" w14:textId="518FEBCC" w:rsidR="003921BB" w:rsidRPr="00410BDC" w:rsidRDefault="00B94260" w:rsidP="00117541">
      <w:pPr>
        <w:ind w:firstLine="720"/>
        <w:rPr>
          <w:rFonts w:ascii="Arial" w:hAnsi="Arial" w:cs="Arial"/>
          <w:szCs w:val="24"/>
        </w:rPr>
      </w:pPr>
      <w:r w:rsidRPr="00410BDC">
        <w:rPr>
          <w:rFonts w:ascii="Arial" w:hAnsi="Arial" w:cs="Arial"/>
          <w:szCs w:val="24"/>
          <w:lang w:val="en-IN"/>
        </w:rPr>
        <w:t>This report has outlined a comprehensive HR plan which will increase the capacity of innovation and participation of employees in Aether Innovations. The plan will use cultural change, teamwork organisational structure and work-hybrid to create an innovation-oriented work environment. By encouraging psychological safety, lifelong learning and knowledge exchange, organisations will enhance creativity and organisational performance. The infrastructure of digital collaboration to facilitate hybrid work systems enables employees to be flexible and yet have the opportunity to be innovative and work in teams. Lastly, integrated HR practices are significant in aligning the organisational culture, workforce potentials and strategic objectives towards sustainable success of the organisation.</w:t>
      </w:r>
      <w:r w:rsidR="003921BB" w:rsidRPr="00410BDC">
        <w:rPr>
          <w:rFonts w:ascii="Arial" w:hAnsi="Arial" w:cs="Arial"/>
          <w:szCs w:val="24"/>
        </w:rPr>
        <w:br w:type="page"/>
      </w:r>
    </w:p>
    <w:p w14:paraId="135C371E" w14:textId="0BEF17E4" w:rsidR="00FC7C30" w:rsidRPr="00410BDC" w:rsidRDefault="003921BB" w:rsidP="003921BB">
      <w:pPr>
        <w:pStyle w:val="Heading1"/>
        <w:rPr>
          <w:rFonts w:ascii="Arial" w:hAnsi="Arial" w:cs="Arial"/>
          <w:sz w:val="24"/>
          <w:szCs w:val="24"/>
        </w:rPr>
      </w:pPr>
      <w:bookmarkStart w:id="27" w:name="_Toc223824754"/>
      <w:r w:rsidRPr="00410BDC">
        <w:rPr>
          <w:rFonts w:ascii="Arial" w:hAnsi="Arial" w:cs="Arial"/>
          <w:sz w:val="24"/>
          <w:szCs w:val="24"/>
        </w:rPr>
        <w:lastRenderedPageBreak/>
        <w:t>9. References</w:t>
      </w:r>
      <w:bookmarkEnd w:id="27"/>
    </w:p>
    <w:p w14:paraId="29AACDA7"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Ammirato, S., Felicetti, A.M., Troise, C., Santoro, G. and Rozsa, Z. (2024). Human resources well-being in innovative start-ups: Insights from a systematic review of the literature. </w:t>
      </w:r>
      <w:r w:rsidRPr="00410BDC">
        <w:rPr>
          <w:rFonts w:ascii="Arial" w:hAnsi="Arial" w:cs="Arial"/>
          <w:i/>
          <w:iCs/>
          <w:szCs w:val="24"/>
          <w:lang w:val="en-IN"/>
        </w:rPr>
        <w:t>Journal of Innovation &amp; Knowledge</w:t>
      </w:r>
      <w:r w:rsidRPr="00410BDC">
        <w:rPr>
          <w:rFonts w:ascii="Arial" w:hAnsi="Arial" w:cs="Arial"/>
          <w:szCs w:val="24"/>
          <w:lang w:val="en-IN"/>
        </w:rPr>
        <w:t xml:space="preserve">, [online] 9(4), p.100580. doi: </w:t>
      </w:r>
      <w:hyperlink r:id="rId10" w:history="1">
        <w:r w:rsidRPr="00410BDC">
          <w:rPr>
            <w:rStyle w:val="Hyperlink"/>
            <w:rFonts w:ascii="Arial" w:hAnsi="Arial" w:cs="Arial"/>
            <w:szCs w:val="24"/>
            <w:lang w:val="en-IN"/>
          </w:rPr>
          <w:t>https://doi.org/10.1016/j.jik.2024.100580</w:t>
        </w:r>
      </w:hyperlink>
      <w:r w:rsidRPr="00410BDC">
        <w:rPr>
          <w:rFonts w:ascii="Arial" w:hAnsi="Arial" w:cs="Arial"/>
          <w:szCs w:val="24"/>
          <w:lang w:val="en-IN"/>
        </w:rPr>
        <w:t xml:space="preserve">. </w:t>
      </w:r>
    </w:p>
    <w:p w14:paraId="18A0534A"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Appel-Meulenbroek, R., Kemperman, A., van de Water, A., Weijs-Perrée, M. and Verhaegh, J. (2022). How to Attract Employees Back to the office? a Stated Choice Study on Hybrid Working Preferences. </w:t>
      </w:r>
      <w:r w:rsidRPr="00410BDC">
        <w:rPr>
          <w:rFonts w:ascii="Arial" w:hAnsi="Arial" w:cs="Arial"/>
          <w:i/>
          <w:iCs/>
          <w:szCs w:val="24"/>
          <w:lang w:val="en-IN"/>
        </w:rPr>
        <w:t>Journal of Environmental Psychology</w:t>
      </w:r>
      <w:r w:rsidRPr="00410BDC">
        <w:rPr>
          <w:rFonts w:ascii="Arial" w:hAnsi="Arial" w:cs="Arial"/>
          <w:szCs w:val="24"/>
          <w:lang w:val="en-IN"/>
        </w:rPr>
        <w:t xml:space="preserve">, [online] 81(81), p.101784. doi: </w:t>
      </w:r>
      <w:hyperlink r:id="rId11" w:history="1">
        <w:r w:rsidRPr="00410BDC">
          <w:rPr>
            <w:rStyle w:val="Hyperlink"/>
            <w:rFonts w:ascii="Arial" w:hAnsi="Arial" w:cs="Arial"/>
            <w:szCs w:val="24"/>
            <w:lang w:val="en-IN"/>
          </w:rPr>
          <w:t>https://doi.org/10.1016/j.jenvp.2022.101784</w:t>
        </w:r>
      </w:hyperlink>
      <w:r w:rsidRPr="00410BDC">
        <w:rPr>
          <w:rFonts w:ascii="Arial" w:hAnsi="Arial" w:cs="Arial"/>
          <w:szCs w:val="24"/>
          <w:lang w:val="en-IN"/>
        </w:rPr>
        <w:t xml:space="preserve">. </w:t>
      </w:r>
    </w:p>
    <w:p w14:paraId="59A80CA2"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Armstrong, M. and Taylor, S. (2023). </w:t>
      </w:r>
      <w:r w:rsidRPr="00410BDC">
        <w:rPr>
          <w:rFonts w:ascii="Arial" w:hAnsi="Arial" w:cs="Arial"/>
          <w:i/>
          <w:iCs/>
          <w:szCs w:val="24"/>
          <w:lang w:val="en-IN"/>
        </w:rPr>
        <w:t>Armstrong’s Handbook of Human Resource Management Practice</w:t>
      </w:r>
      <w:r w:rsidRPr="00410BDC">
        <w:rPr>
          <w:rFonts w:ascii="Arial" w:hAnsi="Arial" w:cs="Arial"/>
          <w:szCs w:val="24"/>
          <w:lang w:val="en-IN"/>
        </w:rPr>
        <w:t>. 16th ed. London: Kogan Page.</w:t>
      </w:r>
    </w:p>
    <w:p w14:paraId="1EF97905" w14:textId="77777777" w:rsidR="004B450B" w:rsidRPr="00410BDC" w:rsidRDefault="004B450B" w:rsidP="0076199F">
      <w:pPr>
        <w:spacing w:line="240" w:lineRule="auto"/>
        <w:ind w:left="720" w:hanging="720"/>
        <w:rPr>
          <w:rFonts w:ascii="Arial" w:hAnsi="Arial" w:cs="Arial"/>
          <w:szCs w:val="24"/>
          <w:lang w:val="en-IN"/>
        </w:rPr>
      </w:pPr>
      <w:r w:rsidRPr="00410BDC">
        <w:rPr>
          <w:rFonts w:ascii="Arial" w:hAnsi="Arial" w:cs="Arial"/>
          <w:szCs w:val="24"/>
          <w:lang w:val="en-IN"/>
        </w:rPr>
        <w:t xml:space="preserve">Boston Consulting Group (2023). </w:t>
      </w:r>
      <w:r w:rsidRPr="00410BDC">
        <w:rPr>
          <w:rFonts w:ascii="Arial" w:hAnsi="Arial" w:cs="Arial"/>
          <w:i/>
          <w:iCs/>
          <w:szCs w:val="24"/>
          <w:lang w:val="en-IN"/>
        </w:rPr>
        <w:t>Most Innovative Companies 2023: Reaching New Heights in Uncertain Time</w:t>
      </w:r>
      <w:r w:rsidRPr="00410BDC">
        <w:rPr>
          <w:rFonts w:ascii="Arial" w:hAnsi="Arial" w:cs="Arial"/>
          <w:szCs w:val="24"/>
          <w:lang w:val="en-IN"/>
        </w:rPr>
        <w:t xml:space="preserve">. [online] BCG Global. Available at: </w:t>
      </w:r>
      <w:hyperlink r:id="rId12" w:history="1">
        <w:r w:rsidRPr="00410BDC">
          <w:rPr>
            <w:rStyle w:val="Hyperlink"/>
            <w:rFonts w:ascii="Arial" w:hAnsi="Arial" w:cs="Arial"/>
            <w:szCs w:val="24"/>
            <w:lang w:val="en-IN"/>
          </w:rPr>
          <w:t>https://www.bcg.com/publications/2023/advantages-through-innovation-in-uncertain-times</w:t>
        </w:r>
      </w:hyperlink>
      <w:r w:rsidRPr="00410BDC">
        <w:rPr>
          <w:rFonts w:ascii="Arial" w:hAnsi="Arial" w:cs="Arial"/>
          <w:szCs w:val="24"/>
          <w:lang w:val="en-IN"/>
        </w:rPr>
        <w:t>. (</w:t>
      </w:r>
      <w:r w:rsidRPr="00410BDC">
        <w:rPr>
          <w:rFonts w:ascii="Arial" w:hAnsi="Arial" w:cs="Arial"/>
          <w:szCs w:val="24"/>
        </w:rPr>
        <w:t>Accessed 01 March 2025</w:t>
      </w:r>
      <w:r w:rsidRPr="00410BDC">
        <w:rPr>
          <w:rFonts w:ascii="Arial" w:hAnsi="Arial" w:cs="Arial"/>
          <w:szCs w:val="24"/>
          <w:lang w:val="en-IN"/>
        </w:rPr>
        <w:t>)</w:t>
      </w:r>
    </w:p>
    <w:p w14:paraId="63A48A4F"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Boxall, P. and Purcell, J. (2022). </w:t>
      </w:r>
      <w:r w:rsidRPr="00410BDC">
        <w:rPr>
          <w:rFonts w:ascii="Arial" w:hAnsi="Arial" w:cs="Arial"/>
          <w:i/>
          <w:iCs/>
          <w:szCs w:val="24"/>
          <w:lang w:val="en-IN"/>
        </w:rPr>
        <w:t>Strategy And Human Resource Management.</w:t>
      </w:r>
      <w:r w:rsidRPr="00410BDC">
        <w:rPr>
          <w:rFonts w:ascii="Arial" w:hAnsi="Arial" w:cs="Arial"/>
          <w:szCs w:val="24"/>
          <w:lang w:val="en-IN"/>
        </w:rPr>
        <w:t xml:space="preserve"> S.L.: Bloomsbury Academic.</w:t>
      </w:r>
    </w:p>
    <w:p w14:paraId="3A5ADC34"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Deci, E.L. and Ryan, R.M. (2017). Self-Determination theory in work organizations: The state of a science. </w:t>
      </w:r>
      <w:r w:rsidRPr="00410BDC">
        <w:rPr>
          <w:rFonts w:ascii="Arial" w:hAnsi="Arial" w:cs="Arial"/>
          <w:i/>
          <w:iCs/>
          <w:szCs w:val="24"/>
          <w:lang w:val="en-IN"/>
        </w:rPr>
        <w:t>Annual Review of Organizational Psychology and Organizational Behavior</w:t>
      </w:r>
      <w:r w:rsidRPr="00410BDC">
        <w:rPr>
          <w:rFonts w:ascii="Arial" w:hAnsi="Arial" w:cs="Arial"/>
          <w:szCs w:val="24"/>
          <w:lang w:val="en-IN"/>
        </w:rPr>
        <w:t xml:space="preserve">, 4(1), pp.19–43. doi: </w:t>
      </w:r>
      <w:hyperlink r:id="rId13" w:history="1">
        <w:r w:rsidRPr="00410BDC">
          <w:rPr>
            <w:rStyle w:val="Hyperlink"/>
            <w:rFonts w:ascii="Arial" w:hAnsi="Arial" w:cs="Arial"/>
            <w:szCs w:val="24"/>
            <w:lang w:val="en-IN"/>
          </w:rPr>
          <w:t>https://doi.org/10.1146/annurev-orgpsych-032516-113108</w:t>
        </w:r>
      </w:hyperlink>
      <w:r w:rsidRPr="00410BDC">
        <w:rPr>
          <w:rFonts w:ascii="Arial" w:hAnsi="Arial" w:cs="Arial"/>
          <w:szCs w:val="24"/>
          <w:lang w:val="en-IN"/>
        </w:rPr>
        <w:t xml:space="preserve">. </w:t>
      </w:r>
    </w:p>
    <w:p w14:paraId="4ABE991F" w14:textId="77777777" w:rsidR="004B450B" w:rsidRPr="00410BDC" w:rsidRDefault="004B450B" w:rsidP="0076199F">
      <w:pPr>
        <w:spacing w:line="240" w:lineRule="auto"/>
        <w:ind w:left="720" w:hanging="720"/>
        <w:rPr>
          <w:rFonts w:ascii="Arial" w:hAnsi="Arial" w:cs="Arial"/>
          <w:szCs w:val="24"/>
          <w:lang w:val="en-IN"/>
        </w:rPr>
      </w:pPr>
      <w:r w:rsidRPr="00410BDC">
        <w:rPr>
          <w:rFonts w:ascii="Arial" w:hAnsi="Arial" w:cs="Arial"/>
          <w:szCs w:val="24"/>
          <w:lang w:val="en-IN"/>
        </w:rPr>
        <w:t xml:space="preserve">Deloitte Insights. (2021). </w:t>
      </w:r>
      <w:r w:rsidRPr="00410BDC">
        <w:rPr>
          <w:rFonts w:ascii="Arial" w:hAnsi="Arial" w:cs="Arial"/>
          <w:i/>
          <w:iCs/>
          <w:szCs w:val="24"/>
          <w:lang w:val="en-IN"/>
        </w:rPr>
        <w:t>Teaming your way through disruption</w:t>
      </w:r>
      <w:r w:rsidRPr="00410BDC">
        <w:rPr>
          <w:rFonts w:ascii="Arial" w:hAnsi="Arial" w:cs="Arial"/>
          <w:szCs w:val="24"/>
          <w:lang w:val="en-IN"/>
        </w:rPr>
        <w:t xml:space="preserve">. [online] Available at: </w:t>
      </w:r>
      <w:hyperlink r:id="rId14" w:history="1">
        <w:r w:rsidRPr="00410BDC">
          <w:rPr>
            <w:rStyle w:val="Hyperlink"/>
            <w:rFonts w:ascii="Arial" w:hAnsi="Arial" w:cs="Arial"/>
            <w:szCs w:val="24"/>
            <w:lang w:val="en-IN"/>
          </w:rPr>
          <w:t>https://www.deloitte.com/us/en/insights/topics/business-strategy-growth/cross-functional-collaboration.html</w:t>
        </w:r>
      </w:hyperlink>
      <w:r w:rsidRPr="00410BDC">
        <w:rPr>
          <w:rFonts w:ascii="Arial" w:hAnsi="Arial" w:cs="Arial"/>
          <w:szCs w:val="24"/>
          <w:lang w:val="en-IN"/>
        </w:rPr>
        <w:t xml:space="preserve"> (</w:t>
      </w:r>
      <w:r w:rsidRPr="00410BDC">
        <w:rPr>
          <w:rFonts w:ascii="Arial" w:hAnsi="Arial" w:cs="Arial"/>
          <w:szCs w:val="24"/>
        </w:rPr>
        <w:t>Accessed 06 March 2025</w:t>
      </w:r>
      <w:r w:rsidRPr="00410BDC">
        <w:rPr>
          <w:rFonts w:ascii="Arial" w:hAnsi="Arial" w:cs="Arial"/>
          <w:szCs w:val="24"/>
          <w:lang w:val="en-IN"/>
        </w:rPr>
        <w:t>)</w:t>
      </w:r>
    </w:p>
    <w:p w14:paraId="0D051920"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Do, H., Chu, L.X. and Shipton, H. (2025). How and when AI-driven HRM promotes employee resilience and adaptive performance: A self-determination theory. </w:t>
      </w:r>
      <w:r w:rsidRPr="00410BDC">
        <w:rPr>
          <w:rFonts w:ascii="Arial" w:hAnsi="Arial" w:cs="Arial"/>
          <w:i/>
          <w:iCs/>
          <w:szCs w:val="24"/>
          <w:lang w:val="en-IN"/>
        </w:rPr>
        <w:t>Journal of Business Research</w:t>
      </w:r>
      <w:r w:rsidRPr="00410BDC">
        <w:rPr>
          <w:rFonts w:ascii="Arial" w:hAnsi="Arial" w:cs="Arial"/>
          <w:szCs w:val="24"/>
          <w:lang w:val="en-IN"/>
        </w:rPr>
        <w:t xml:space="preserve">, 192, p.115279. doi: </w:t>
      </w:r>
      <w:hyperlink r:id="rId15" w:history="1">
        <w:r w:rsidRPr="00410BDC">
          <w:rPr>
            <w:rStyle w:val="Hyperlink"/>
            <w:rFonts w:ascii="Arial" w:hAnsi="Arial" w:cs="Arial"/>
            <w:szCs w:val="24"/>
            <w:lang w:val="en-IN"/>
          </w:rPr>
          <w:t>https://doi.org/10.1016/j.jbusres.2025.115279</w:t>
        </w:r>
      </w:hyperlink>
      <w:r w:rsidRPr="00410BDC">
        <w:rPr>
          <w:rFonts w:ascii="Arial" w:hAnsi="Arial" w:cs="Arial"/>
          <w:szCs w:val="24"/>
          <w:lang w:val="en-IN"/>
        </w:rPr>
        <w:t xml:space="preserve">. </w:t>
      </w:r>
    </w:p>
    <w:p w14:paraId="17A19275"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Edmondson, A.C. (2019). </w:t>
      </w:r>
      <w:r w:rsidRPr="00410BDC">
        <w:rPr>
          <w:rFonts w:ascii="Arial" w:hAnsi="Arial" w:cs="Arial"/>
          <w:i/>
          <w:iCs/>
          <w:szCs w:val="24"/>
          <w:lang w:val="en-IN"/>
        </w:rPr>
        <w:t>The Fearless Organization</w:t>
      </w:r>
      <w:r w:rsidRPr="00410BDC">
        <w:rPr>
          <w:rFonts w:ascii="Arial" w:hAnsi="Arial" w:cs="Arial"/>
          <w:szCs w:val="24"/>
          <w:lang w:val="en-IN"/>
        </w:rPr>
        <w:t>. John Wiley &amp; Sons.</w:t>
      </w:r>
    </w:p>
    <w:p w14:paraId="2C7C3DF7" w14:textId="77777777" w:rsidR="004B450B" w:rsidRPr="00410BDC" w:rsidRDefault="004B450B" w:rsidP="0076199F">
      <w:pPr>
        <w:spacing w:line="240" w:lineRule="auto"/>
        <w:ind w:left="720" w:hanging="720"/>
        <w:rPr>
          <w:rFonts w:ascii="Arial" w:hAnsi="Arial" w:cs="Arial"/>
          <w:szCs w:val="24"/>
          <w:lang w:val="en-IN"/>
        </w:rPr>
      </w:pPr>
      <w:r w:rsidRPr="00410BDC">
        <w:rPr>
          <w:rFonts w:ascii="Arial" w:hAnsi="Arial" w:cs="Arial"/>
          <w:szCs w:val="24"/>
          <w:lang w:val="en-IN"/>
        </w:rPr>
        <w:t xml:space="preserve">Gartner (2023). </w:t>
      </w:r>
      <w:r w:rsidRPr="00410BDC">
        <w:rPr>
          <w:rFonts w:ascii="Arial" w:hAnsi="Arial" w:cs="Arial"/>
          <w:i/>
          <w:iCs/>
          <w:szCs w:val="24"/>
          <w:lang w:val="en-IN"/>
        </w:rPr>
        <w:t>Three-Quarters of Digital Workers Want to Participate in Creating Their Hybrid Work Model, According to Gartner</w:t>
      </w:r>
      <w:r w:rsidRPr="00410BDC">
        <w:rPr>
          <w:rFonts w:ascii="Arial" w:hAnsi="Arial" w:cs="Arial"/>
          <w:szCs w:val="24"/>
          <w:lang w:val="en-IN"/>
        </w:rPr>
        <w:t xml:space="preserve">. [online] Gartner. Available at: </w:t>
      </w:r>
      <w:hyperlink r:id="rId16" w:history="1">
        <w:r w:rsidRPr="00410BDC">
          <w:rPr>
            <w:rStyle w:val="Hyperlink"/>
            <w:rFonts w:ascii="Arial" w:hAnsi="Arial" w:cs="Arial"/>
            <w:szCs w:val="24"/>
            <w:lang w:val="en-IN"/>
          </w:rPr>
          <w:t>https://www.gartner.com/en/newsroom/press-releases/2023-5-10-three-quarters-of-digital-workers-want-to-participate-in-creating-their-hybrid-work-model-according-to-gartner</w:t>
        </w:r>
      </w:hyperlink>
      <w:r w:rsidRPr="00410BDC">
        <w:rPr>
          <w:rFonts w:ascii="Arial" w:hAnsi="Arial" w:cs="Arial"/>
          <w:szCs w:val="24"/>
          <w:lang w:val="en-IN"/>
        </w:rPr>
        <w:t>. (</w:t>
      </w:r>
      <w:r w:rsidRPr="00410BDC">
        <w:rPr>
          <w:rFonts w:ascii="Arial" w:hAnsi="Arial" w:cs="Arial"/>
          <w:szCs w:val="24"/>
        </w:rPr>
        <w:t>Accessed 27 Feb. 2025</w:t>
      </w:r>
      <w:r w:rsidRPr="00410BDC">
        <w:rPr>
          <w:rFonts w:ascii="Arial" w:hAnsi="Arial" w:cs="Arial"/>
          <w:szCs w:val="24"/>
          <w:lang w:val="en-IN"/>
        </w:rPr>
        <w:t>)</w:t>
      </w:r>
    </w:p>
    <w:p w14:paraId="3561EDB2"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Hanzis, A. and Hallo, L. (2024). The Experiences and Views of Employees on Hybrid Ways of Working. </w:t>
      </w:r>
      <w:r w:rsidRPr="00410BDC">
        <w:rPr>
          <w:rFonts w:ascii="Arial" w:hAnsi="Arial" w:cs="Arial"/>
          <w:i/>
          <w:iCs/>
          <w:szCs w:val="24"/>
          <w:lang w:val="en-IN"/>
        </w:rPr>
        <w:t>Administrative Sciences</w:t>
      </w:r>
      <w:r w:rsidRPr="00410BDC">
        <w:rPr>
          <w:rFonts w:ascii="Arial" w:hAnsi="Arial" w:cs="Arial"/>
          <w:szCs w:val="24"/>
          <w:lang w:val="en-IN"/>
        </w:rPr>
        <w:t xml:space="preserve">, [online] 14(10), p.263. doi: </w:t>
      </w:r>
      <w:hyperlink r:id="rId17" w:history="1">
        <w:r w:rsidRPr="00410BDC">
          <w:rPr>
            <w:rStyle w:val="Hyperlink"/>
            <w:rFonts w:ascii="Arial" w:hAnsi="Arial" w:cs="Arial"/>
            <w:szCs w:val="24"/>
            <w:lang w:val="en-IN"/>
          </w:rPr>
          <w:t>https://doi.org/10.3390/admsci14100263</w:t>
        </w:r>
      </w:hyperlink>
      <w:r w:rsidRPr="00410BDC">
        <w:rPr>
          <w:rFonts w:ascii="Arial" w:hAnsi="Arial" w:cs="Arial"/>
          <w:szCs w:val="24"/>
          <w:lang w:val="en-IN"/>
        </w:rPr>
        <w:t xml:space="preserve">. </w:t>
      </w:r>
    </w:p>
    <w:p w14:paraId="5C422BCE"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Li, Q., Abdul Ghani Azmi, I. binti and Norman, A.A. binti (2025). Enhancing sustainable innovation through workplace well-being and digital capability: A systematic literature review toward responsible and cleaner consumption. </w:t>
      </w:r>
      <w:r w:rsidRPr="00410BDC">
        <w:rPr>
          <w:rFonts w:ascii="Arial" w:hAnsi="Arial" w:cs="Arial"/>
          <w:i/>
          <w:iCs/>
          <w:szCs w:val="24"/>
          <w:lang w:val="en-IN"/>
        </w:rPr>
        <w:t xml:space="preserve">Cleaner and </w:t>
      </w:r>
      <w:r w:rsidRPr="00410BDC">
        <w:rPr>
          <w:rFonts w:ascii="Arial" w:hAnsi="Arial" w:cs="Arial"/>
          <w:i/>
          <w:iCs/>
          <w:szCs w:val="24"/>
          <w:lang w:val="en-IN"/>
        </w:rPr>
        <w:lastRenderedPageBreak/>
        <w:t>Responsible Consumption</w:t>
      </w:r>
      <w:r w:rsidRPr="00410BDC">
        <w:rPr>
          <w:rFonts w:ascii="Arial" w:hAnsi="Arial" w:cs="Arial"/>
          <w:szCs w:val="24"/>
          <w:lang w:val="en-IN"/>
        </w:rPr>
        <w:t xml:space="preserve">, 18, p.100305. doi: </w:t>
      </w:r>
      <w:hyperlink r:id="rId18" w:history="1">
        <w:r w:rsidRPr="00410BDC">
          <w:rPr>
            <w:rStyle w:val="Hyperlink"/>
            <w:rFonts w:ascii="Arial" w:hAnsi="Arial" w:cs="Arial"/>
            <w:szCs w:val="24"/>
            <w:lang w:val="en-IN"/>
          </w:rPr>
          <w:t>https://doi.org/10.1016/j.clrc.2025.100305</w:t>
        </w:r>
      </w:hyperlink>
      <w:r w:rsidRPr="00410BDC">
        <w:rPr>
          <w:rFonts w:ascii="Arial" w:hAnsi="Arial" w:cs="Arial"/>
          <w:szCs w:val="24"/>
          <w:lang w:val="en-IN"/>
        </w:rPr>
        <w:t xml:space="preserve">. </w:t>
      </w:r>
    </w:p>
    <w:p w14:paraId="71976921"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Mamun, M. (2026). Green HRM and green innovation: Do environmental strategies and green culture matter? </w:t>
      </w:r>
      <w:r w:rsidRPr="00410BDC">
        <w:rPr>
          <w:rFonts w:ascii="Arial" w:hAnsi="Arial" w:cs="Arial"/>
          <w:i/>
          <w:iCs/>
          <w:szCs w:val="24"/>
          <w:lang w:val="en-IN"/>
        </w:rPr>
        <w:t>Journal of Innovation &amp; Knowledge</w:t>
      </w:r>
      <w:r w:rsidRPr="00410BDC">
        <w:rPr>
          <w:rFonts w:ascii="Arial" w:hAnsi="Arial" w:cs="Arial"/>
          <w:szCs w:val="24"/>
          <w:lang w:val="en-IN"/>
        </w:rPr>
        <w:t xml:space="preserve">, 12, p.100897. doi: </w:t>
      </w:r>
      <w:hyperlink r:id="rId19" w:history="1">
        <w:r w:rsidRPr="00410BDC">
          <w:rPr>
            <w:rStyle w:val="Hyperlink"/>
            <w:rFonts w:ascii="Arial" w:hAnsi="Arial" w:cs="Arial"/>
            <w:szCs w:val="24"/>
            <w:lang w:val="en-IN"/>
          </w:rPr>
          <w:t>https://doi.org/10.1016/j.jik.2025.100897</w:t>
        </w:r>
      </w:hyperlink>
      <w:r w:rsidRPr="00410BDC">
        <w:rPr>
          <w:rFonts w:ascii="Arial" w:hAnsi="Arial" w:cs="Arial"/>
          <w:szCs w:val="24"/>
          <w:lang w:val="en-IN"/>
        </w:rPr>
        <w:t xml:space="preserve">. </w:t>
      </w:r>
    </w:p>
    <w:p w14:paraId="58A91B63" w14:textId="77777777" w:rsidR="004B450B" w:rsidRPr="00410BDC" w:rsidRDefault="004B450B" w:rsidP="0076199F">
      <w:pPr>
        <w:spacing w:line="240" w:lineRule="auto"/>
        <w:ind w:left="720" w:hanging="720"/>
        <w:rPr>
          <w:rFonts w:ascii="Arial" w:hAnsi="Arial" w:cs="Arial"/>
          <w:szCs w:val="24"/>
          <w:lang w:val="en-IN"/>
        </w:rPr>
      </w:pPr>
      <w:r w:rsidRPr="00410BDC">
        <w:rPr>
          <w:rFonts w:ascii="Arial" w:hAnsi="Arial" w:cs="Arial"/>
          <w:szCs w:val="24"/>
          <w:lang w:val="en-IN"/>
        </w:rPr>
        <w:t xml:space="preserve">Microsoft (2021). </w:t>
      </w:r>
      <w:r w:rsidRPr="00410BDC">
        <w:rPr>
          <w:rFonts w:ascii="Arial" w:hAnsi="Arial" w:cs="Arial"/>
          <w:i/>
          <w:iCs/>
          <w:szCs w:val="24"/>
          <w:lang w:val="en-IN"/>
        </w:rPr>
        <w:t>Work Trend Index: Microsoft’s latest research on the ways we work.</w:t>
      </w:r>
      <w:r w:rsidRPr="00410BDC">
        <w:rPr>
          <w:rFonts w:ascii="Arial" w:hAnsi="Arial" w:cs="Arial"/>
          <w:szCs w:val="24"/>
          <w:lang w:val="en-IN"/>
        </w:rPr>
        <w:t xml:space="preserve"> [online] www.microsoft.com. Available at: </w:t>
      </w:r>
      <w:hyperlink r:id="rId20" w:history="1">
        <w:r w:rsidRPr="00410BDC">
          <w:rPr>
            <w:rStyle w:val="Hyperlink"/>
            <w:rFonts w:ascii="Arial" w:hAnsi="Arial" w:cs="Arial"/>
            <w:szCs w:val="24"/>
            <w:lang w:val="en-IN"/>
          </w:rPr>
          <w:t>https://www.microsoft.com/en-us/worklab/work-trend-index</w:t>
        </w:r>
      </w:hyperlink>
      <w:r w:rsidRPr="00410BDC">
        <w:rPr>
          <w:rFonts w:ascii="Arial" w:hAnsi="Arial" w:cs="Arial"/>
          <w:szCs w:val="24"/>
          <w:lang w:val="en-IN"/>
        </w:rPr>
        <w:t>. (</w:t>
      </w:r>
      <w:r w:rsidRPr="00410BDC">
        <w:rPr>
          <w:rFonts w:ascii="Arial" w:hAnsi="Arial" w:cs="Arial"/>
          <w:szCs w:val="24"/>
        </w:rPr>
        <w:t>Accessed 08 March 2025</w:t>
      </w:r>
      <w:r w:rsidRPr="00410BDC">
        <w:rPr>
          <w:rFonts w:ascii="Arial" w:hAnsi="Arial" w:cs="Arial"/>
          <w:szCs w:val="24"/>
          <w:lang w:val="en-IN"/>
        </w:rPr>
        <w:t>)</w:t>
      </w:r>
    </w:p>
    <w:p w14:paraId="6A8C7D4E" w14:textId="77777777" w:rsidR="004B450B" w:rsidRPr="00410BDC" w:rsidRDefault="004B450B" w:rsidP="0076199F">
      <w:pPr>
        <w:spacing w:line="240" w:lineRule="auto"/>
        <w:ind w:left="720" w:hanging="720"/>
        <w:rPr>
          <w:rFonts w:ascii="Arial" w:hAnsi="Arial" w:cs="Arial"/>
          <w:szCs w:val="24"/>
          <w:lang w:val="en-IN"/>
        </w:rPr>
      </w:pPr>
      <w:r w:rsidRPr="00410BDC">
        <w:rPr>
          <w:rFonts w:ascii="Arial" w:hAnsi="Arial" w:cs="Arial"/>
          <w:szCs w:val="24"/>
          <w:lang w:val="en-IN"/>
        </w:rPr>
        <w:t xml:space="preserve">PwC (2023). </w:t>
      </w:r>
      <w:r w:rsidRPr="00410BDC">
        <w:rPr>
          <w:rFonts w:ascii="Arial" w:hAnsi="Arial" w:cs="Arial"/>
          <w:i/>
          <w:iCs/>
          <w:szCs w:val="24"/>
          <w:lang w:val="en-IN"/>
        </w:rPr>
        <w:t>PwC 2023 Global Investor Survey</w:t>
      </w:r>
      <w:r w:rsidRPr="00410BDC">
        <w:rPr>
          <w:rFonts w:ascii="Arial" w:hAnsi="Arial" w:cs="Arial"/>
          <w:szCs w:val="24"/>
          <w:lang w:val="en-IN"/>
        </w:rPr>
        <w:t xml:space="preserve">. [online] PwC. Available at: </w:t>
      </w:r>
      <w:hyperlink r:id="rId21" w:history="1">
        <w:r w:rsidRPr="00410BDC">
          <w:rPr>
            <w:rStyle w:val="Hyperlink"/>
            <w:rFonts w:ascii="Arial" w:hAnsi="Arial" w:cs="Arial"/>
            <w:szCs w:val="24"/>
            <w:lang w:val="en-IN"/>
          </w:rPr>
          <w:t>https://www.pwc.com/id/en/media-centre/press-release/2024/english/pwc-2023-global--investor-survey.html</w:t>
        </w:r>
      </w:hyperlink>
      <w:r w:rsidRPr="00410BDC">
        <w:rPr>
          <w:rFonts w:ascii="Arial" w:hAnsi="Arial" w:cs="Arial"/>
          <w:szCs w:val="24"/>
          <w:lang w:val="en-IN"/>
        </w:rPr>
        <w:t>. (</w:t>
      </w:r>
      <w:r w:rsidRPr="00410BDC">
        <w:rPr>
          <w:rFonts w:ascii="Arial" w:hAnsi="Arial" w:cs="Arial"/>
          <w:szCs w:val="24"/>
        </w:rPr>
        <w:t>Accessed 04 March 2025</w:t>
      </w:r>
      <w:r w:rsidRPr="00410BDC">
        <w:rPr>
          <w:rFonts w:ascii="Arial" w:hAnsi="Arial" w:cs="Arial"/>
          <w:szCs w:val="24"/>
          <w:lang w:val="en-IN"/>
        </w:rPr>
        <w:t>)</w:t>
      </w:r>
    </w:p>
    <w:p w14:paraId="2AAFF919" w14:textId="77777777" w:rsidR="004B450B" w:rsidRPr="00410BDC" w:rsidRDefault="004B450B" w:rsidP="0076199F">
      <w:pPr>
        <w:spacing w:line="240" w:lineRule="auto"/>
        <w:ind w:left="720" w:hanging="720"/>
        <w:rPr>
          <w:rFonts w:ascii="Arial" w:hAnsi="Arial" w:cs="Arial"/>
          <w:szCs w:val="24"/>
          <w:lang w:val="en-IN"/>
        </w:rPr>
      </w:pPr>
      <w:r w:rsidRPr="00410BDC">
        <w:rPr>
          <w:rFonts w:ascii="Arial" w:hAnsi="Arial" w:cs="Arial"/>
          <w:szCs w:val="24"/>
          <w:lang w:val="en-IN"/>
        </w:rPr>
        <w:t xml:space="preserve">Rees, G. and Smith, P. (2021). </w:t>
      </w:r>
      <w:r w:rsidRPr="00410BDC">
        <w:rPr>
          <w:rFonts w:ascii="Arial" w:hAnsi="Arial" w:cs="Arial"/>
          <w:i/>
          <w:iCs/>
          <w:szCs w:val="24"/>
          <w:lang w:val="en-IN"/>
        </w:rPr>
        <w:t>Strategic Human Resource Management</w:t>
      </w:r>
      <w:r w:rsidRPr="00410BDC">
        <w:rPr>
          <w:rFonts w:ascii="Arial" w:hAnsi="Arial" w:cs="Arial"/>
          <w:szCs w:val="24"/>
          <w:lang w:val="en-IN"/>
        </w:rPr>
        <w:t>. SAGE.</w:t>
      </w:r>
    </w:p>
    <w:p w14:paraId="3BF3ECCE"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Sanguineti, F., Baldrighi, C., Denicolai, S. and Previtali, P. (2026). Digital orientation and the hybrid tipping point: Balancing in-person and remote work. </w:t>
      </w:r>
      <w:r w:rsidRPr="00410BDC">
        <w:rPr>
          <w:rFonts w:ascii="Arial" w:hAnsi="Arial" w:cs="Arial"/>
          <w:i/>
          <w:iCs/>
          <w:szCs w:val="24"/>
          <w:lang w:val="en-IN"/>
        </w:rPr>
        <w:t>Journal of Innovation &amp; Knowledge</w:t>
      </w:r>
      <w:r w:rsidRPr="00410BDC">
        <w:rPr>
          <w:rFonts w:ascii="Arial" w:hAnsi="Arial" w:cs="Arial"/>
          <w:szCs w:val="24"/>
          <w:lang w:val="en-IN"/>
        </w:rPr>
        <w:t xml:space="preserve">, 14, p.100949. doi: </w:t>
      </w:r>
      <w:hyperlink r:id="rId22" w:history="1">
        <w:r w:rsidRPr="00410BDC">
          <w:rPr>
            <w:rStyle w:val="Hyperlink"/>
            <w:rFonts w:ascii="Arial" w:hAnsi="Arial" w:cs="Arial"/>
            <w:szCs w:val="24"/>
            <w:lang w:val="en-IN"/>
          </w:rPr>
          <w:t>https://doi.org/10.1016/j.jik.2026.100949</w:t>
        </w:r>
      </w:hyperlink>
      <w:r w:rsidRPr="00410BDC">
        <w:rPr>
          <w:rFonts w:ascii="Arial" w:hAnsi="Arial" w:cs="Arial"/>
          <w:szCs w:val="24"/>
          <w:lang w:val="en-IN"/>
        </w:rPr>
        <w:t xml:space="preserve">. </w:t>
      </w:r>
    </w:p>
    <w:p w14:paraId="17D06192"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Schein, E.H. (2010). </w:t>
      </w:r>
      <w:r w:rsidRPr="00410BDC">
        <w:rPr>
          <w:rFonts w:ascii="Arial" w:hAnsi="Arial" w:cs="Arial"/>
          <w:i/>
          <w:iCs/>
          <w:szCs w:val="24"/>
          <w:lang w:val="en-IN"/>
        </w:rPr>
        <w:t>Organizational Culture and Leadership</w:t>
      </w:r>
      <w:r w:rsidRPr="00410BDC">
        <w:rPr>
          <w:rFonts w:ascii="Arial" w:hAnsi="Arial" w:cs="Arial"/>
          <w:szCs w:val="24"/>
          <w:lang w:val="en-IN"/>
        </w:rPr>
        <w:t>. 5th ed. Hoboken, New Jersey Wiley.</w:t>
      </w:r>
    </w:p>
    <w:p w14:paraId="303BE380" w14:textId="77777777" w:rsidR="004B450B" w:rsidRPr="00410BDC" w:rsidRDefault="004B450B" w:rsidP="0076199F">
      <w:pPr>
        <w:spacing w:line="240" w:lineRule="auto"/>
        <w:ind w:left="720" w:hanging="720"/>
        <w:rPr>
          <w:rFonts w:ascii="Arial" w:hAnsi="Arial" w:cs="Arial"/>
          <w:szCs w:val="24"/>
          <w:lang w:val="en-IN"/>
        </w:rPr>
      </w:pPr>
      <w:r w:rsidRPr="00410BDC">
        <w:rPr>
          <w:rFonts w:ascii="Arial" w:hAnsi="Arial" w:cs="Arial"/>
          <w:szCs w:val="24"/>
          <w:lang w:val="en-IN"/>
        </w:rPr>
        <w:t xml:space="preserve">Sorenson, S. (2023). </w:t>
      </w:r>
      <w:r w:rsidRPr="00410BDC">
        <w:rPr>
          <w:rFonts w:ascii="Arial" w:hAnsi="Arial" w:cs="Arial"/>
          <w:i/>
          <w:iCs/>
          <w:szCs w:val="24"/>
          <w:lang w:val="en-IN"/>
        </w:rPr>
        <w:t>How Employee Engagement Drives Growth</w:t>
      </w:r>
      <w:r w:rsidRPr="00410BDC">
        <w:rPr>
          <w:rFonts w:ascii="Arial" w:hAnsi="Arial" w:cs="Arial"/>
          <w:szCs w:val="24"/>
          <w:lang w:val="en-IN"/>
        </w:rPr>
        <w:t xml:space="preserve">. [online] Gallup. Available at: </w:t>
      </w:r>
      <w:hyperlink r:id="rId23" w:history="1">
        <w:r w:rsidRPr="00410BDC">
          <w:rPr>
            <w:rStyle w:val="Hyperlink"/>
            <w:rFonts w:ascii="Arial" w:hAnsi="Arial" w:cs="Arial"/>
            <w:szCs w:val="24"/>
            <w:lang w:val="en-IN"/>
          </w:rPr>
          <w:t>https://www.gallup.com/workplace/236927/employee-engagement-drives-growth.aspx</w:t>
        </w:r>
      </w:hyperlink>
      <w:r w:rsidRPr="00410BDC">
        <w:rPr>
          <w:rFonts w:ascii="Arial" w:hAnsi="Arial" w:cs="Arial"/>
          <w:szCs w:val="24"/>
          <w:lang w:val="en-IN"/>
        </w:rPr>
        <w:t>. (</w:t>
      </w:r>
      <w:r w:rsidRPr="00410BDC">
        <w:rPr>
          <w:rFonts w:ascii="Arial" w:hAnsi="Arial" w:cs="Arial"/>
          <w:szCs w:val="24"/>
        </w:rPr>
        <w:t>Accessed 02 March 2025</w:t>
      </w:r>
      <w:r w:rsidRPr="00410BDC">
        <w:rPr>
          <w:rFonts w:ascii="Arial" w:hAnsi="Arial" w:cs="Arial"/>
          <w:szCs w:val="24"/>
          <w:lang w:val="en-IN"/>
        </w:rPr>
        <w:t>)</w:t>
      </w:r>
    </w:p>
    <w:p w14:paraId="04936797"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Szabla, D.B., Pasmore, W.A., Barnes, M.A. and Gipson, A.N. (2019). </w:t>
      </w:r>
      <w:r w:rsidRPr="00410BDC">
        <w:rPr>
          <w:rFonts w:ascii="Arial" w:hAnsi="Arial" w:cs="Arial"/>
          <w:i/>
          <w:iCs/>
          <w:szCs w:val="24"/>
          <w:lang w:val="en-IN"/>
        </w:rPr>
        <w:t>The Palgrave Handbook of Organizational Change Thinkers</w:t>
      </w:r>
      <w:r w:rsidRPr="00410BDC">
        <w:rPr>
          <w:rFonts w:ascii="Arial" w:hAnsi="Arial" w:cs="Arial"/>
          <w:szCs w:val="24"/>
          <w:lang w:val="en-IN"/>
        </w:rPr>
        <w:t>. Cham Springer International Publishing Imprint: Palgrave Macmillan.</w:t>
      </w:r>
    </w:p>
    <w:p w14:paraId="25F9C747" w14:textId="77777777" w:rsidR="004B450B"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Urrila, L., Siiriäinen, A., Mäkelä, L. and Kangas, H. (2025). Sense of Belonging in Hybrid Work Settings. </w:t>
      </w:r>
      <w:r w:rsidRPr="00410BDC">
        <w:rPr>
          <w:rFonts w:ascii="Arial" w:hAnsi="Arial" w:cs="Arial"/>
          <w:i/>
          <w:iCs/>
          <w:szCs w:val="24"/>
          <w:lang w:val="en-IN"/>
        </w:rPr>
        <w:t>Journal of Vocational Behavior</w:t>
      </w:r>
      <w:r w:rsidRPr="00410BDC">
        <w:rPr>
          <w:rFonts w:ascii="Arial" w:hAnsi="Arial" w:cs="Arial"/>
          <w:szCs w:val="24"/>
          <w:lang w:val="en-IN"/>
        </w:rPr>
        <w:t xml:space="preserve">, [online] 157(157), p.104096. doi: </w:t>
      </w:r>
      <w:hyperlink r:id="rId24" w:history="1">
        <w:r w:rsidRPr="00410BDC">
          <w:rPr>
            <w:rStyle w:val="Hyperlink"/>
            <w:rFonts w:ascii="Arial" w:hAnsi="Arial" w:cs="Arial"/>
            <w:szCs w:val="24"/>
            <w:lang w:val="en-IN"/>
          </w:rPr>
          <w:t>https://doi.org/10.1016/j.jvb.2025.104096</w:t>
        </w:r>
      </w:hyperlink>
      <w:r w:rsidRPr="00410BDC">
        <w:rPr>
          <w:rFonts w:ascii="Arial" w:hAnsi="Arial" w:cs="Arial"/>
          <w:szCs w:val="24"/>
          <w:lang w:val="en-IN"/>
        </w:rPr>
        <w:t xml:space="preserve">. </w:t>
      </w:r>
    </w:p>
    <w:p w14:paraId="1BC06006" w14:textId="169101F9" w:rsidR="00721B71" w:rsidRPr="00410BDC" w:rsidRDefault="004B450B" w:rsidP="004B450B">
      <w:pPr>
        <w:spacing w:line="240" w:lineRule="auto"/>
        <w:ind w:left="720" w:hanging="720"/>
        <w:rPr>
          <w:rFonts w:ascii="Arial" w:hAnsi="Arial" w:cs="Arial"/>
          <w:szCs w:val="24"/>
          <w:lang w:val="en-IN"/>
        </w:rPr>
      </w:pPr>
      <w:r w:rsidRPr="00410BDC">
        <w:rPr>
          <w:rFonts w:ascii="Arial" w:hAnsi="Arial" w:cs="Arial"/>
          <w:szCs w:val="24"/>
          <w:lang w:val="en-IN"/>
        </w:rPr>
        <w:t xml:space="preserve">Vartiainen, M. and Vanharanta, O. (2024). True nature of hybrid work. </w:t>
      </w:r>
      <w:r w:rsidRPr="00410BDC">
        <w:rPr>
          <w:rFonts w:ascii="Arial" w:hAnsi="Arial" w:cs="Arial"/>
          <w:i/>
          <w:iCs/>
          <w:szCs w:val="24"/>
          <w:lang w:val="en-IN"/>
        </w:rPr>
        <w:t>Frontiers in Organizational Psychology</w:t>
      </w:r>
      <w:r w:rsidRPr="00410BDC">
        <w:rPr>
          <w:rFonts w:ascii="Arial" w:hAnsi="Arial" w:cs="Arial"/>
          <w:szCs w:val="24"/>
          <w:lang w:val="en-IN"/>
        </w:rPr>
        <w:t xml:space="preserve">, 2(1). doi: </w:t>
      </w:r>
      <w:hyperlink r:id="rId25" w:history="1">
        <w:r w:rsidRPr="00410BDC">
          <w:rPr>
            <w:rStyle w:val="Hyperlink"/>
            <w:rFonts w:ascii="Arial" w:hAnsi="Arial" w:cs="Arial"/>
            <w:szCs w:val="24"/>
            <w:lang w:val="en-IN"/>
          </w:rPr>
          <w:t>https://doi.org/10.3389/forgp.2024.1448894</w:t>
        </w:r>
      </w:hyperlink>
      <w:r w:rsidRPr="00410BDC">
        <w:rPr>
          <w:rFonts w:ascii="Arial" w:hAnsi="Arial" w:cs="Arial"/>
          <w:szCs w:val="24"/>
          <w:lang w:val="en-IN"/>
        </w:rPr>
        <w:t xml:space="preserve">. </w:t>
      </w:r>
    </w:p>
    <w:p w14:paraId="0E1380F7" w14:textId="1876F631" w:rsidR="003921BB" w:rsidRPr="00410BDC" w:rsidRDefault="003921BB" w:rsidP="00A21F03">
      <w:pPr>
        <w:spacing w:line="259" w:lineRule="auto"/>
        <w:jc w:val="left"/>
        <w:rPr>
          <w:rFonts w:ascii="Arial" w:hAnsi="Arial" w:cs="Arial"/>
          <w:szCs w:val="24"/>
          <w:lang w:val="en-IN"/>
        </w:rPr>
      </w:pPr>
    </w:p>
    <w:sectPr w:rsidR="003921BB" w:rsidRPr="00410BDC" w:rsidSect="00ED2B54">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D01E5" w14:textId="77777777" w:rsidR="0032470C" w:rsidRDefault="0032470C" w:rsidP="0014019B">
      <w:pPr>
        <w:spacing w:after="0" w:line="240" w:lineRule="auto"/>
      </w:pPr>
      <w:r>
        <w:separator/>
      </w:r>
    </w:p>
  </w:endnote>
  <w:endnote w:type="continuationSeparator" w:id="0">
    <w:p w14:paraId="5660A598" w14:textId="77777777" w:rsidR="0032470C" w:rsidRDefault="0032470C" w:rsidP="00140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5680"/>
      <w:docPartObj>
        <w:docPartGallery w:val="Page Numbers (Bottom of Page)"/>
        <w:docPartUnique/>
      </w:docPartObj>
    </w:sdtPr>
    <w:sdtEndPr>
      <w:rPr>
        <w:noProof/>
      </w:rPr>
    </w:sdtEndPr>
    <w:sdtContent>
      <w:p w14:paraId="7C2534FD" w14:textId="49CEAA4C" w:rsidR="0014019B" w:rsidRDefault="001401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0BDB73" w14:textId="77777777" w:rsidR="0014019B" w:rsidRDefault="00140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0ADC9" w14:textId="77777777" w:rsidR="0032470C" w:rsidRDefault="0032470C" w:rsidP="0014019B">
      <w:pPr>
        <w:spacing w:after="0" w:line="240" w:lineRule="auto"/>
      </w:pPr>
      <w:r>
        <w:separator/>
      </w:r>
    </w:p>
  </w:footnote>
  <w:footnote w:type="continuationSeparator" w:id="0">
    <w:p w14:paraId="0335C41B" w14:textId="77777777" w:rsidR="0032470C" w:rsidRDefault="0032470C" w:rsidP="001401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C30"/>
    <w:rsid w:val="00033849"/>
    <w:rsid w:val="00042E65"/>
    <w:rsid w:val="000651A8"/>
    <w:rsid w:val="001028B3"/>
    <w:rsid w:val="001168FF"/>
    <w:rsid w:val="00117541"/>
    <w:rsid w:val="00134839"/>
    <w:rsid w:val="0014019B"/>
    <w:rsid w:val="00176828"/>
    <w:rsid w:val="001A0712"/>
    <w:rsid w:val="0028735D"/>
    <w:rsid w:val="002915BF"/>
    <w:rsid w:val="002E0C86"/>
    <w:rsid w:val="002E766A"/>
    <w:rsid w:val="00313392"/>
    <w:rsid w:val="003225C4"/>
    <w:rsid w:val="0032470C"/>
    <w:rsid w:val="00353044"/>
    <w:rsid w:val="00372109"/>
    <w:rsid w:val="003921BB"/>
    <w:rsid w:val="003C4AEC"/>
    <w:rsid w:val="003D733C"/>
    <w:rsid w:val="003F3DE0"/>
    <w:rsid w:val="00410BDC"/>
    <w:rsid w:val="00467460"/>
    <w:rsid w:val="0047220C"/>
    <w:rsid w:val="004A3070"/>
    <w:rsid w:val="004A30D0"/>
    <w:rsid w:val="004B450B"/>
    <w:rsid w:val="004C4EB4"/>
    <w:rsid w:val="004E23E2"/>
    <w:rsid w:val="004F0968"/>
    <w:rsid w:val="0058454D"/>
    <w:rsid w:val="00585998"/>
    <w:rsid w:val="005C4C8A"/>
    <w:rsid w:val="005E585B"/>
    <w:rsid w:val="00631AEB"/>
    <w:rsid w:val="006345F1"/>
    <w:rsid w:val="00653091"/>
    <w:rsid w:val="00670618"/>
    <w:rsid w:val="006776B0"/>
    <w:rsid w:val="006838F0"/>
    <w:rsid w:val="0069549B"/>
    <w:rsid w:val="006D1B0F"/>
    <w:rsid w:val="006E0BA1"/>
    <w:rsid w:val="007032AD"/>
    <w:rsid w:val="00721B71"/>
    <w:rsid w:val="00725A40"/>
    <w:rsid w:val="0073254E"/>
    <w:rsid w:val="0076199F"/>
    <w:rsid w:val="00771ED5"/>
    <w:rsid w:val="007965B4"/>
    <w:rsid w:val="007A1F0B"/>
    <w:rsid w:val="007B2473"/>
    <w:rsid w:val="007D6E1C"/>
    <w:rsid w:val="0080406F"/>
    <w:rsid w:val="00807EBD"/>
    <w:rsid w:val="008106F8"/>
    <w:rsid w:val="00833F24"/>
    <w:rsid w:val="008B33D4"/>
    <w:rsid w:val="00913AF0"/>
    <w:rsid w:val="00952B64"/>
    <w:rsid w:val="00965E6D"/>
    <w:rsid w:val="009B7B0D"/>
    <w:rsid w:val="00A21F03"/>
    <w:rsid w:val="00A44111"/>
    <w:rsid w:val="00A47FFA"/>
    <w:rsid w:val="00A72FCC"/>
    <w:rsid w:val="00AB6EC6"/>
    <w:rsid w:val="00AC6A38"/>
    <w:rsid w:val="00AF7567"/>
    <w:rsid w:val="00B32033"/>
    <w:rsid w:val="00B94260"/>
    <w:rsid w:val="00BA3F14"/>
    <w:rsid w:val="00BD1660"/>
    <w:rsid w:val="00BE5D33"/>
    <w:rsid w:val="00BF2F78"/>
    <w:rsid w:val="00C22AA4"/>
    <w:rsid w:val="00CC61B2"/>
    <w:rsid w:val="00D23DA2"/>
    <w:rsid w:val="00D427B1"/>
    <w:rsid w:val="00D948BD"/>
    <w:rsid w:val="00DC1F8D"/>
    <w:rsid w:val="00E403E9"/>
    <w:rsid w:val="00E66A13"/>
    <w:rsid w:val="00ED2B54"/>
    <w:rsid w:val="00EE1D8B"/>
    <w:rsid w:val="00F16D2E"/>
    <w:rsid w:val="00F34BA4"/>
    <w:rsid w:val="00F77DC2"/>
    <w:rsid w:val="00F8570E"/>
    <w:rsid w:val="00F91CE0"/>
    <w:rsid w:val="00F937F1"/>
    <w:rsid w:val="00F97679"/>
    <w:rsid w:val="00FC2385"/>
    <w:rsid w:val="00FC7C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083A"/>
  <w15:chartTrackingRefBased/>
  <w15:docId w15:val="{D33BB780-B965-4AC2-A5AA-0C7DA9D3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70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21BB"/>
    <w:pPr>
      <w:keepNext/>
      <w:keepLines/>
      <w:spacing w:before="240" w:after="24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F8570E"/>
    <w:pPr>
      <w:keepNext/>
      <w:keepLines/>
      <w:spacing w:before="240" w:after="24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FC7C3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7C3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7C3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C7C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7C3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7C3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7C3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1BB"/>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F8570E"/>
    <w:rPr>
      <w:rFonts w:ascii="Times New Roman" w:eastAsiaTheme="majorEastAsia" w:hAnsi="Times New Roman" w:cstheme="majorBidi"/>
      <w:b/>
      <w:i/>
      <w:sz w:val="24"/>
      <w:szCs w:val="32"/>
      <w:lang w:val="en-GB"/>
    </w:rPr>
  </w:style>
  <w:style w:type="character" w:customStyle="1" w:styleId="Heading3Char">
    <w:name w:val="Heading 3 Char"/>
    <w:basedOn w:val="DefaultParagraphFont"/>
    <w:link w:val="Heading3"/>
    <w:uiPriority w:val="9"/>
    <w:semiHidden/>
    <w:rsid w:val="00FC7C3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C7C30"/>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FC7C30"/>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FC7C30"/>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FC7C30"/>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FC7C30"/>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FC7C30"/>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FC7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C3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C7C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C3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C7C30"/>
    <w:pPr>
      <w:spacing w:before="160"/>
      <w:jc w:val="center"/>
    </w:pPr>
    <w:rPr>
      <w:i/>
      <w:iCs/>
      <w:color w:val="404040" w:themeColor="text1" w:themeTint="BF"/>
    </w:rPr>
  </w:style>
  <w:style w:type="character" w:customStyle="1" w:styleId="QuoteChar">
    <w:name w:val="Quote Char"/>
    <w:basedOn w:val="DefaultParagraphFont"/>
    <w:link w:val="Quote"/>
    <w:uiPriority w:val="29"/>
    <w:rsid w:val="00FC7C30"/>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FC7C30"/>
    <w:pPr>
      <w:ind w:left="720"/>
      <w:contextualSpacing/>
    </w:pPr>
  </w:style>
  <w:style w:type="character" w:styleId="IntenseEmphasis">
    <w:name w:val="Intense Emphasis"/>
    <w:basedOn w:val="DefaultParagraphFont"/>
    <w:uiPriority w:val="21"/>
    <w:qFormat/>
    <w:rsid w:val="00FC7C30"/>
    <w:rPr>
      <w:i/>
      <w:iCs/>
      <w:color w:val="2F5496" w:themeColor="accent1" w:themeShade="BF"/>
    </w:rPr>
  </w:style>
  <w:style w:type="paragraph" w:styleId="IntenseQuote">
    <w:name w:val="Intense Quote"/>
    <w:basedOn w:val="Normal"/>
    <w:next w:val="Normal"/>
    <w:link w:val="IntenseQuoteChar"/>
    <w:uiPriority w:val="30"/>
    <w:qFormat/>
    <w:rsid w:val="00FC7C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7C30"/>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FC7C30"/>
    <w:rPr>
      <w:b/>
      <w:bCs/>
      <w:smallCaps/>
      <w:color w:val="2F5496" w:themeColor="accent1" w:themeShade="BF"/>
      <w:spacing w:val="5"/>
    </w:rPr>
  </w:style>
  <w:style w:type="paragraph" w:styleId="TOCHeading">
    <w:name w:val="TOC Heading"/>
    <w:basedOn w:val="Heading1"/>
    <w:next w:val="Normal"/>
    <w:uiPriority w:val="39"/>
    <w:unhideWhenUsed/>
    <w:qFormat/>
    <w:rsid w:val="003921BB"/>
    <w:pPr>
      <w:spacing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921BB"/>
    <w:pPr>
      <w:spacing w:after="100"/>
    </w:pPr>
  </w:style>
  <w:style w:type="paragraph" w:styleId="TOC2">
    <w:name w:val="toc 2"/>
    <w:basedOn w:val="Normal"/>
    <w:next w:val="Normal"/>
    <w:autoRedefine/>
    <w:uiPriority w:val="39"/>
    <w:unhideWhenUsed/>
    <w:rsid w:val="003921BB"/>
    <w:pPr>
      <w:spacing w:after="100"/>
      <w:ind w:left="240"/>
    </w:pPr>
  </w:style>
  <w:style w:type="character" w:styleId="Hyperlink">
    <w:name w:val="Hyperlink"/>
    <w:basedOn w:val="DefaultParagraphFont"/>
    <w:uiPriority w:val="99"/>
    <w:unhideWhenUsed/>
    <w:rsid w:val="003921BB"/>
    <w:rPr>
      <w:color w:val="0563C1" w:themeColor="hyperlink"/>
      <w:u w:val="single"/>
    </w:rPr>
  </w:style>
  <w:style w:type="table" w:styleId="TableGrid">
    <w:name w:val="Table Grid"/>
    <w:basedOn w:val="TableNormal"/>
    <w:uiPriority w:val="39"/>
    <w:rsid w:val="0039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0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19B"/>
    <w:rPr>
      <w:rFonts w:ascii="Times New Roman" w:hAnsi="Times New Roman"/>
      <w:sz w:val="24"/>
      <w:lang w:val="en-GB"/>
    </w:rPr>
  </w:style>
  <w:style w:type="paragraph" w:styleId="Footer">
    <w:name w:val="footer"/>
    <w:basedOn w:val="Normal"/>
    <w:link w:val="FooterChar"/>
    <w:uiPriority w:val="99"/>
    <w:unhideWhenUsed/>
    <w:rsid w:val="00140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19B"/>
    <w:rPr>
      <w:rFonts w:ascii="Times New Roman" w:hAnsi="Times New Roman"/>
      <w:sz w:val="24"/>
      <w:lang w:val="en-GB"/>
    </w:rPr>
  </w:style>
  <w:style w:type="character" w:styleId="UnresolvedMention">
    <w:name w:val="Unresolved Mention"/>
    <w:basedOn w:val="DefaultParagraphFont"/>
    <w:uiPriority w:val="99"/>
    <w:semiHidden/>
    <w:unhideWhenUsed/>
    <w:rsid w:val="0076199F"/>
    <w:rPr>
      <w:color w:val="605E5C"/>
      <w:shd w:val="clear" w:color="auto" w:fill="E1DFDD"/>
    </w:rPr>
  </w:style>
  <w:style w:type="paragraph" w:styleId="NormalWeb">
    <w:name w:val="Normal (Web)"/>
    <w:basedOn w:val="Normal"/>
    <w:uiPriority w:val="99"/>
    <w:semiHidden/>
    <w:unhideWhenUsed/>
    <w:rsid w:val="00B32033"/>
    <w:rPr>
      <w:rFonts w:cs="Times New Roman"/>
      <w:szCs w:val="24"/>
    </w:rPr>
  </w:style>
  <w:style w:type="paragraph" w:styleId="Caption">
    <w:name w:val="caption"/>
    <w:basedOn w:val="Normal"/>
    <w:next w:val="Normal"/>
    <w:uiPriority w:val="35"/>
    <w:unhideWhenUsed/>
    <w:qFormat/>
    <w:rsid w:val="00631AE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34B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46/annurev-orgpsych-032516-113108" TargetMode="External"/><Relationship Id="rId18" Type="http://schemas.openxmlformats.org/officeDocument/2006/relationships/hyperlink" Target="https://doi.org/10.1016/j.clrc.2025.100305"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pwc.com/id/en/media-centre/press-release/2024/english/pwc-2023-global--investor-survey.html" TargetMode="External"/><Relationship Id="rId7" Type="http://schemas.openxmlformats.org/officeDocument/2006/relationships/image" Target="media/image1.png"/><Relationship Id="rId12" Type="http://schemas.openxmlformats.org/officeDocument/2006/relationships/hyperlink" Target="https://www.bcg.com/publications/2023/advantages-through-innovation-in-uncertain-times" TargetMode="External"/><Relationship Id="rId17" Type="http://schemas.openxmlformats.org/officeDocument/2006/relationships/hyperlink" Target="https://doi.org/10.3390/admsci14100263" TargetMode="External"/><Relationship Id="rId25" Type="http://schemas.openxmlformats.org/officeDocument/2006/relationships/hyperlink" Target="https://doi.org/10.3389/forgp.2024.1448894" TargetMode="External"/><Relationship Id="rId2" Type="http://schemas.openxmlformats.org/officeDocument/2006/relationships/styles" Target="styles.xml"/><Relationship Id="rId16" Type="http://schemas.openxmlformats.org/officeDocument/2006/relationships/hyperlink" Target="https://www.gartner.com/en/newsroom/press-releases/2023-5-10-three-quarters-of-digital-workers-want-to-participate-in-creating-their-hybrid-work-model-according-to-gartner" TargetMode="External"/><Relationship Id="rId20" Type="http://schemas.openxmlformats.org/officeDocument/2006/relationships/hyperlink" Target="https://www.microsoft.com/en-us/worklab/work-trend-inde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jenvp.2022.101784" TargetMode="External"/><Relationship Id="rId24" Type="http://schemas.openxmlformats.org/officeDocument/2006/relationships/hyperlink" Target="https://doi.org/10.1016/j.jvb.2025.104096" TargetMode="External"/><Relationship Id="rId5" Type="http://schemas.openxmlformats.org/officeDocument/2006/relationships/footnotes" Target="footnotes.xml"/><Relationship Id="rId15" Type="http://schemas.openxmlformats.org/officeDocument/2006/relationships/hyperlink" Target="https://doi.org/10.1016/j.jbusres.2025.115279" TargetMode="External"/><Relationship Id="rId23" Type="http://schemas.openxmlformats.org/officeDocument/2006/relationships/hyperlink" Target="https://www.gallup.com/workplace/236927/employee-engagement-drives-growth.aspx" TargetMode="External"/><Relationship Id="rId28" Type="http://schemas.openxmlformats.org/officeDocument/2006/relationships/theme" Target="theme/theme1.xml"/><Relationship Id="rId10" Type="http://schemas.openxmlformats.org/officeDocument/2006/relationships/hyperlink" Target="https://doi.org/10.1016/j.jik.2024.100580" TargetMode="External"/><Relationship Id="rId19" Type="http://schemas.openxmlformats.org/officeDocument/2006/relationships/hyperlink" Target="https://doi.org/10.1016/j.jik.2025.10089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eloitte.com/us/en/insights/topics/business-strategy-growth/cross-functional-collaboration.html" TargetMode="External"/><Relationship Id="rId22" Type="http://schemas.openxmlformats.org/officeDocument/2006/relationships/hyperlink" Target="https://doi.org/10.1016/j.jik.2026.10094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5E112-A138-4800-8D13-330F8C33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16</Pages>
  <Words>4363</Words>
  <Characters>24871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vivek singireddy</cp:lastModifiedBy>
  <cp:revision>90</cp:revision>
  <dcterms:created xsi:type="dcterms:W3CDTF">2026-03-06T19:49:00Z</dcterms:created>
  <dcterms:modified xsi:type="dcterms:W3CDTF">2026-03-19T18:29:00Z</dcterms:modified>
</cp:coreProperties>
</file>