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62033" w:rsidRDefault="00726299">
      <w:r>
        <w:t>Is the insanity law in need of reform? First there is a need to understand what the requirement for proof of insanity would be for a successful case. In order for a defendant to successfully plead not guilty based on insanity, it must be clearly proven tha</w:t>
      </w:r>
      <w:r>
        <w:t>t at the time the crime was committed the defendant  was under a defect of reason due to  disease of the mind, such that: 1) the defendant must not have known the nature and quality of the act being done (for example, the defendant may have been delusional</w:t>
      </w:r>
      <w:r>
        <w:t xml:space="preserve"> where he believed he was cutting cheese but in fact he was  cutting a throat; 2) that the defendant  did not know what he was being done was wrong (wrong being contrary to the law) (CPS 2019). Looking at the case of R vs Johnson, Johnson was convicted of </w:t>
      </w:r>
      <w:r>
        <w:t xml:space="preserve">wounding with intent to cause  grievous body harm. Johnson was diagnosed with paranoid schizophrenia and therefore applied for an appeal in his case claiming he was  not guilty by reason of insanity. Unfortunately, Johnson’s appeal was dropped because the </w:t>
      </w:r>
      <w:r>
        <w:t>doctors agreed that at the time of the attack Johnson knew what he had done was wrong and against the law and that the special verdict of  not guilty by reason of insanity would not be upheld.</w:t>
      </w:r>
    </w:p>
    <w:p w14:paraId="00000002" w14:textId="77777777" w:rsidR="00362033" w:rsidRDefault="00726299">
      <w:r>
        <w:t xml:space="preserve">The </w:t>
      </w:r>
      <w:proofErr w:type="spellStart"/>
      <w:r>
        <w:t>M’naughten</w:t>
      </w:r>
      <w:proofErr w:type="spellEnd"/>
      <w:r>
        <w:t xml:space="preserve"> case of 1843 brought to light some new rules tha</w:t>
      </w:r>
      <w:r>
        <w:t xml:space="preserve">t were brought into force and known as the </w:t>
      </w:r>
      <w:proofErr w:type="spellStart"/>
      <w:r>
        <w:t>M’naughten</w:t>
      </w:r>
      <w:proofErr w:type="spellEnd"/>
      <w:r>
        <w:t xml:space="preserve"> rules.  These rules gave direction to the jury in regards to insanity cases  that ‘if the accused was conscious and aware that the act was one which he /she ought not to do, and if the act was at the sa</w:t>
      </w:r>
      <w:r>
        <w:t xml:space="preserve">me time contrary to the law of the land he/she is punishable!’. The current </w:t>
      </w:r>
      <w:proofErr w:type="spellStart"/>
      <w:r>
        <w:t>M’naughten</w:t>
      </w:r>
      <w:proofErr w:type="spellEnd"/>
      <w:r>
        <w:t xml:space="preserve"> rules which are in operation are. </w:t>
      </w:r>
    </w:p>
    <w:p w14:paraId="00000003" w14:textId="77777777" w:rsidR="00362033" w:rsidRDefault="00726299">
      <w:pPr>
        <w:numPr>
          <w:ilvl w:val="0"/>
          <w:numId w:val="1"/>
        </w:numPr>
        <w:pBdr>
          <w:top w:val="nil"/>
          <w:left w:val="nil"/>
          <w:bottom w:val="nil"/>
          <w:right w:val="nil"/>
          <w:between w:val="nil"/>
        </w:pBdr>
        <w:spacing w:after="0"/>
      </w:pPr>
      <w:r>
        <w:rPr>
          <w:color w:val="000000"/>
        </w:rPr>
        <w:t>The accused was labouring under defect of reason.</w:t>
      </w:r>
    </w:p>
    <w:p w14:paraId="00000004" w14:textId="77777777" w:rsidR="00362033" w:rsidRDefault="00726299">
      <w:pPr>
        <w:numPr>
          <w:ilvl w:val="0"/>
          <w:numId w:val="1"/>
        </w:numPr>
        <w:pBdr>
          <w:top w:val="nil"/>
          <w:left w:val="nil"/>
          <w:bottom w:val="nil"/>
          <w:right w:val="nil"/>
          <w:between w:val="nil"/>
        </w:pBdr>
        <w:spacing w:after="0"/>
      </w:pPr>
      <w:r>
        <w:rPr>
          <w:color w:val="000000"/>
        </w:rPr>
        <w:t xml:space="preserve">The defect arose from a disease of the mind and, therefore. </w:t>
      </w:r>
    </w:p>
    <w:p w14:paraId="00000005" w14:textId="77777777" w:rsidR="00362033" w:rsidRDefault="00726299">
      <w:pPr>
        <w:pBdr>
          <w:top w:val="nil"/>
          <w:left w:val="nil"/>
          <w:bottom w:val="nil"/>
          <w:right w:val="nil"/>
          <w:between w:val="nil"/>
        </w:pBdr>
        <w:spacing w:after="0"/>
        <w:ind w:left="720"/>
        <w:rPr>
          <w:color w:val="000000"/>
        </w:rPr>
      </w:pPr>
      <w:r>
        <w:rPr>
          <w:color w:val="000000"/>
        </w:rPr>
        <w:t>a) did not know the nat</w:t>
      </w:r>
      <w:r>
        <w:rPr>
          <w:color w:val="000000"/>
        </w:rPr>
        <w:t xml:space="preserve">ure or quality of the crime </w:t>
      </w:r>
    </w:p>
    <w:p w14:paraId="00000006" w14:textId="77777777" w:rsidR="00362033" w:rsidRDefault="00726299">
      <w:pPr>
        <w:pBdr>
          <w:top w:val="nil"/>
          <w:left w:val="nil"/>
          <w:bottom w:val="nil"/>
          <w:right w:val="nil"/>
          <w:between w:val="nil"/>
        </w:pBdr>
        <w:ind w:left="720"/>
        <w:rPr>
          <w:color w:val="000000"/>
        </w:rPr>
      </w:pPr>
      <w:r>
        <w:rPr>
          <w:color w:val="000000"/>
        </w:rPr>
        <w:t>b) did not know what he/she was doing was wrong</w:t>
      </w:r>
    </w:p>
    <w:p w14:paraId="00000007" w14:textId="77777777" w:rsidR="00362033" w:rsidRDefault="00726299">
      <w:r>
        <w:t>Medical evidence plays a part in the defence of insanity. For a defendant to successfully plead not guilty by way of insanity there needs to be the correct things in place such as</w:t>
      </w:r>
      <w:r>
        <w:t xml:space="preserve"> medical evidence. This evidence needs to be completed by two qualified doctors (with one being qualified and approved under section 12 of the Mental Health Act 1983) and that the defendant’s mental health must fall under the severe mental illness bracket </w:t>
      </w:r>
      <w:r>
        <w:t>(Fennel 1992). To be able to apply for the special plea, the defendant must prove that he has a disease of the mind that is a physical disease and not one that is  chosen such as drugs/alcoholism as  these are not a disease of the mind and would not qualif</w:t>
      </w:r>
      <w:r>
        <w:t xml:space="preserve">y for the special plea. </w:t>
      </w:r>
    </w:p>
    <w:p w14:paraId="00000008" w14:textId="77777777" w:rsidR="00362033" w:rsidRDefault="00726299">
      <w:r>
        <w:t>Automatism is the criminal responsibility of the crime; this term is used to describe behaviour that would occur when a person is unconscious and totally unaware of their surroundings and even if they are committing a crime. This w</w:t>
      </w:r>
      <w:r>
        <w:t>ould be where the crime was not done voluntarily and there was no intent. Example a man who murders his spouse whilst sleepwalking. Automatism is split into two categories, the first one being insane.  Insane automatism occurs when the condition giving ris</w:t>
      </w:r>
      <w:r>
        <w:t>e to the automatism is intrinsic to the mind of the accused person, for  example epilepsy. If they were to have epilepsy and were successful with an insanity plea, they would be found not guilty by reason of insanity. Non insane automatism is where the aut</w:t>
      </w:r>
      <w:r>
        <w:t xml:space="preserve">omatism is due to some factor external to the mind of the accused.  In other words the accused person has a normal mind that was temporally affected by external factors such as automatism by severe hypoglycaemia.  If  this defence is successfully used the </w:t>
      </w:r>
      <w:r>
        <w:t xml:space="preserve">accused person receives an absolute acquittal and is no longer under the control of the criminal justice system or mental health system. </w:t>
      </w:r>
    </w:p>
    <w:p w14:paraId="00000009" w14:textId="77777777" w:rsidR="00362033" w:rsidRDefault="00726299">
      <w:r>
        <w:t>R v Kemp 1957 case law showed that the defendant suffered from arteriosclerosis which would affect the flow of blood t</w:t>
      </w:r>
      <w:r>
        <w:t xml:space="preserve">o the brain, causing a temporary loss of consciousness, and that during such an episode he attacked his wife with a hammer and killed her.  It was held that this was a case of </w:t>
      </w:r>
      <w:r>
        <w:lastRenderedPageBreak/>
        <w:t xml:space="preserve">insanity and it  established  that a disease of the mind could be temporary and </w:t>
      </w:r>
      <w:r>
        <w:t>that the medical condition only needed to affect the brain rather than be of the brain .</w:t>
      </w:r>
    </w:p>
    <w:p w14:paraId="0000000A" w14:textId="77777777" w:rsidR="00362033" w:rsidRDefault="00362033"/>
    <w:p w14:paraId="0000000B" w14:textId="77777777" w:rsidR="00362033" w:rsidRDefault="00726299">
      <w:r>
        <w:t>There have been attempts to reform  the insanity law as some parties  believe that there are weaknesses in the insanity defence. The Butler Committee on Mentally Abno</w:t>
      </w:r>
      <w:r>
        <w:t xml:space="preserve">rmal Offenders put forward a new possible verdict of ‘not guilty by reason of mental disorder’ during 1975. The Committee recommended that the defence should be available where a mental disorder negated the men’s rea for an offence and where the defendant </w:t>
      </w:r>
      <w:r>
        <w:t>was suffering from severe mental disorder at the time of his actions. The proposal, if changed and taken on board, would have included psychopathy and no longer label epileptics or diabetics as insane but of normal mind. The Committee held that causality b</w:t>
      </w:r>
      <w:r>
        <w:t>etween the mental disorder and conduct should remain so that psychiatrists could only state facts without deciding on criminal responsibility. A clear, clinical description of facts would supposedly prevent juries from confusing medical definitions of ment</w:t>
      </w:r>
      <w:r>
        <w:t>al illness.</w:t>
      </w:r>
    </w:p>
    <w:p w14:paraId="0000000C" w14:textId="77777777" w:rsidR="00362033" w:rsidRDefault="00726299">
      <w:r>
        <w:t xml:space="preserve">In 2012 -13 the Law Commission attempted  reform once again and undertook a review of defences of insanity and automatism. When reviewing possible  reform in this area, the Law Commission briefly touched on possible implications of the growing </w:t>
      </w:r>
      <w:r>
        <w:t xml:space="preserve">scientific understanding of the brain for the reformed defence. The Law Commission identified a few hypothetical instances where their proposed new automatism defence would apply and believed that a defendant who wholly lacked capacity for his/her conduct </w:t>
      </w:r>
      <w:r>
        <w:t>should be entitled to acquittal, provided that the lack of capacity was not a result of the defendant’s prior fault. The Law Commission’s proposals, if adopted, would be a huge improvement to current law. The clarification of the boundary between the revis</w:t>
      </w:r>
      <w:r>
        <w:t>ed automatism defence and the new verdict of not criminally responsible by reason of a recognised medical condition is appropriately pragmatic. The new defence will allow the law to be fairer and treat those who are unable to make their behaviour to the re</w:t>
      </w:r>
      <w:r>
        <w:t>quirements of the law. The approach brings a welcome to this area of the law. However, the nature of its way will be of limited applicability. This means that those who are found to have impaired capacity to control their behaviour may remain within the pr</w:t>
      </w:r>
      <w:r>
        <w:t>ison system. The mental capacities of certain prisoners may mean that they are vulnerable, and this may be detrimental to them and to society. An issue which the Law Commission originally focused upon when setting out their ambitions in reforming the curre</w:t>
      </w:r>
      <w:r>
        <w:t>nt insanity defence.</w:t>
      </w:r>
    </w:p>
    <w:p w14:paraId="0000000D" w14:textId="77777777" w:rsidR="00362033" w:rsidRDefault="00362033"/>
    <w:p w14:paraId="0000000E" w14:textId="77777777" w:rsidR="00362033" w:rsidRDefault="00726299">
      <w:r>
        <w:t xml:space="preserve">Part 2 </w:t>
      </w:r>
    </w:p>
    <w:p w14:paraId="0000000F" w14:textId="77777777" w:rsidR="00362033" w:rsidRDefault="00362033"/>
    <w:p w14:paraId="00000010" w14:textId="084376BA" w:rsidR="00362033" w:rsidRDefault="00726299">
      <w:r>
        <w:t>Ali  has seen his ex-girlfriend out in a public place with her new boyfriend and</w:t>
      </w:r>
      <w:r>
        <w:t xml:space="preserve"> he is not happy. He and his friend had shouted some comments and a full scale fight had broken out with Ali  and Colin ( Ali’s ex-girlfriend's new boyfriend).  </w:t>
      </w:r>
      <w:r>
        <w:t>The doorman, Lee, had asked Ali to leave but Ali punched Lee with such  force that Lee  was knocked unconscious.  Ali and his friends  left the bar and Lee later passed away in hospital.  Based on this evidence, the potential offences Ali  faces are murder</w:t>
      </w:r>
      <w:r>
        <w:t xml:space="preserve"> or manslaughter. The actus reus of murder, which consists of the unlawful killing of a human being under the queen’s peace, would be the first thing considered and so the answer to this for Ali is yes, this was an unlawful killing under the queen’s peace.</w:t>
      </w:r>
      <w:r>
        <w:t xml:space="preserve"> The next issue to consider would be the </w:t>
      </w:r>
      <w:proofErr w:type="spellStart"/>
      <w:r>
        <w:t>mens</w:t>
      </w:r>
      <w:proofErr w:type="spellEnd"/>
      <w:r>
        <w:t xml:space="preserve"> rea for murder, being whether or not the defendant intended to kill or cause grievous bodily ha</w:t>
      </w:r>
      <w:r w:rsidR="00EC7A2B">
        <w:t>r</w:t>
      </w:r>
      <w:r>
        <w:t xml:space="preserve">m (GBH).  The  </w:t>
      </w:r>
      <w:proofErr w:type="spellStart"/>
      <w:r>
        <w:t>mens</w:t>
      </w:r>
      <w:proofErr w:type="spellEnd"/>
      <w:r>
        <w:t xml:space="preserve"> rea for murder can be satisfied by an intention to cause GBH and not just an </w:t>
      </w:r>
      <w:r>
        <w:lastRenderedPageBreak/>
        <w:t>intention to kill.</w:t>
      </w:r>
      <w:r>
        <w:t xml:space="preserve"> </w:t>
      </w:r>
      <w:r>
        <w:t xml:space="preserve"> </w:t>
      </w:r>
      <w:r w:rsidR="00EC7A2B">
        <w:t>I</w:t>
      </w:r>
      <w:r>
        <w:t>n Ali's case, there is a good argument that, although Ali may not have intended  to murder, he did in fact intend to cause grievous  bodily harm. The other offence which is possible is involuntary manslaughter which occurs when the defendant kills th</w:t>
      </w:r>
      <w:r>
        <w:t>e victim in circumstances where the defendant did not intend to kill or cause GBH.  This would then conclude on three things: was there gross negligence manslaughter (killing as a result of gross negligence), constructive manslaughter being an unlawful and</w:t>
      </w:r>
      <w:r>
        <w:t xml:space="preserve"> dangerous act (killing as a result  of committing some other crime)  or subjectively reckless manslaughter (killing recklessly).  Based on the description of Ali's actions, his  possible offence here would be subjectively reckless manslaughter (killing re</w:t>
      </w:r>
      <w:r>
        <w:t xml:space="preserve">cklessly).  This being because Ali was reckless with his behaviour which has caused the outcome of death on the victim . The actus reus being the act or omission need not to amount to an offence and the </w:t>
      </w:r>
      <w:proofErr w:type="spellStart"/>
      <w:r>
        <w:t>mens</w:t>
      </w:r>
      <w:proofErr w:type="spellEnd"/>
      <w:r>
        <w:t xml:space="preserve"> reus being aware that it is highly possible he w</w:t>
      </w:r>
      <w:r>
        <w:t xml:space="preserve">ill cause GBH. It could be highly likely that Ali could be found guilty of murder if you were to look at the R v </w:t>
      </w:r>
      <w:proofErr w:type="spellStart"/>
      <w:r>
        <w:t>Woollin</w:t>
      </w:r>
      <w:proofErr w:type="spellEnd"/>
      <w:r>
        <w:t xml:space="preserve"> case (1999) where  the defendant threw his 3 month old baby onto a hard surface which caused a fractured skull and later the baby died.</w:t>
      </w:r>
      <w:r>
        <w:t xml:space="preserve">  The judge advised the jury that if they were satisfied the defendant must have realised there was substantial risk of causing  injury,  then it would be open to them to find that the defendant intended to cause injury and should be convicted of murder.  </w:t>
      </w:r>
      <w:r>
        <w:t xml:space="preserve">Based on this there is a high chance Ali could face a murder charge due to having intend to cause GBH to Lee.  If  the jury were satisfied Ali  intended to harm Lee, there would be a possibility of murder. Based on the </w:t>
      </w:r>
      <w:proofErr w:type="spellStart"/>
      <w:r>
        <w:t>mens</w:t>
      </w:r>
      <w:proofErr w:type="spellEnd"/>
      <w:r>
        <w:t xml:space="preserve"> reus of the offences,  Ali most </w:t>
      </w:r>
      <w:r>
        <w:t xml:space="preserve">certainly would be liable to subjectively reckless manslaughter or murder by following the government guidelines for the certain offences. </w:t>
      </w:r>
    </w:p>
    <w:p w14:paraId="00000011" w14:textId="77777777" w:rsidR="00362033" w:rsidRDefault="00726299">
      <w:r>
        <w:t>The second part Colin (Jenny’s boyfriend) was on his way home from work when Ali approached him and asked what he ha</w:t>
      </w:r>
      <w:r>
        <w:t>d said to police, Ali grabbed Colin and stabbed him in the stomach causing Colin to die in minutes. There would only be one offence here that Ali is to face and that is murder. The actus reus is fulfilled in that there was an unlawful killing under the que</w:t>
      </w:r>
      <w:r>
        <w:t xml:space="preserve">en's peace. The  </w:t>
      </w:r>
      <w:proofErr w:type="spellStart"/>
      <w:r>
        <w:t>mens</w:t>
      </w:r>
      <w:proofErr w:type="spellEnd"/>
      <w:r>
        <w:t xml:space="preserve"> reus being intention to kill is also evident in that  Ali went there with a weapon knowing and intending to kill or cause serious harm to Colin.  Looking at the R v Maloney case 1985 where the defendant shot his stepfather after a few</w:t>
      </w:r>
      <w:r>
        <w:t xml:space="preserve"> drinks.  In that case the defendant told his stepfather he wanted to leave the army.  His stepfather was not happy and there was a game played with guns and the stepfather did not think the defendant would shoot.  The defendant  fired the gun and the step</w:t>
      </w:r>
      <w:r>
        <w:t>father died. The judge ruled that it was for the  jury  to decide whether the defendant  acted with intent. If this were Ali’s case then the answer would be yes because Ali did in fact intend to cause GBH or death by even the knife in the first place. Anot</w:t>
      </w:r>
      <w:r>
        <w:t>her case to look at would be the R v Cunningham 1985 where the defendant attacked the victim in a pub believing wrongly that the victim had had  sexual relations with the defendant's  fiancé.  The  defendant knocked the victim  to the ground and struck him</w:t>
      </w:r>
      <w:r>
        <w:t xml:space="preserve"> repeatedly on the head causing the victim to later die from his injuries.  The jury convicted the defendant of murder having found that he intended serious harm at the time of the attack.  This is another case where it is similar to Ali in the fact that A</w:t>
      </w:r>
      <w:r>
        <w:t xml:space="preserve">li intended to cause serious harm by carrying a knife and stabbing Colin, and Ali would have  known that Colin would either die or suffer serious injury therefor there was intent and so Ali could be convicted on a murder offence . </w:t>
      </w:r>
    </w:p>
    <w:p w14:paraId="00000012" w14:textId="77777777" w:rsidR="00362033" w:rsidRDefault="00362033"/>
    <w:p w14:paraId="00000013" w14:textId="77777777" w:rsidR="00362033" w:rsidRDefault="00362033"/>
    <w:p w14:paraId="00000014" w14:textId="77777777" w:rsidR="00362033" w:rsidRDefault="00362033"/>
    <w:p w14:paraId="00000015" w14:textId="77777777" w:rsidR="00362033" w:rsidRDefault="00726299">
      <w:pPr>
        <w:pBdr>
          <w:top w:val="nil"/>
          <w:left w:val="nil"/>
          <w:bottom w:val="nil"/>
          <w:right w:val="nil"/>
          <w:between w:val="nil"/>
        </w:pBdr>
        <w:spacing w:after="0"/>
        <w:ind w:left="720"/>
        <w:rPr>
          <w:color w:val="000000"/>
        </w:rPr>
      </w:pPr>
      <w:r>
        <w:rPr>
          <w:color w:val="000000"/>
        </w:rPr>
        <w:t xml:space="preserve"> </w:t>
      </w:r>
    </w:p>
    <w:p w14:paraId="00000016" w14:textId="77777777" w:rsidR="00362033" w:rsidRDefault="00362033">
      <w:pPr>
        <w:pBdr>
          <w:top w:val="nil"/>
          <w:left w:val="nil"/>
          <w:bottom w:val="nil"/>
          <w:right w:val="nil"/>
          <w:between w:val="nil"/>
        </w:pBdr>
        <w:ind w:left="720"/>
        <w:rPr>
          <w:color w:val="000000"/>
        </w:rPr>
      </w:pPr>
    </w:p>
    <w:p w14:paraId="00000017" w14:textId="77777777" w:rsidR="00362033" w:rsidRDefault="00726299">
      <w:r>
        <w:lastRenderedPageBreak/>
        <w:t>Reference list</w:t>
      </w:r>
    </w:p>
    <w:p w14:paraId="00000018" w14:textId="77777777" w:rsidR="00362033" w:rsidRDefault="00726299">
      <w:bookmarkStart w:id="0" w:name="_gjdgxs" w:colFirst="0" w:colLast="0"/>
      <w:bookmarkEnd w:id="0"/>
      <w:r>
        <w:t>CPS</w:t>
      </w:r>
      <w:r>
        <w:t xml:space="preserve"> (March 2019) </w:t>
      </w:r>
      <w:hyperlink r:id="rId5">
        <w:r>
          <w:rPr>
            <w:color w:val="0563C1"/>
            <w:u w:val="single"/>
          </w:rPr>
          <w:t>www.cps.gov.uk/publication/mental-health-conditions-and-disorders-draft-prosecution-guidence</w:t>
        </w:r>
      </w:hyperlink>
      <w:r>
        <w:t xml:space="preserve"> </w:t>
      </w:r>
    </w:p>
    <w:p w14:paraId="00000019" w14:textId="77777777" w:rsidR="00362033" w:rsidRDefault="00726299">
      <w:r>
        <w:t xml:space="preserve">Claydon, Lisa and </w:t>
      </w:r>
      <w:proofErr w:type="spellStart"/>
      <w:r>
        <w:t>Catley</w:t>
      </w:r>
      <w:proofErr w:type="spellEnd"/>
      <w:r>
        <w:t>, Pau</w:t>
      </w:r>
      <w:r>
        <w:t xml:space="preserve">l (2016). Abolishing the Insanity Verdict in England and Wales: A Better Balance between Legal Rules and Scientific Understanding? In: </w:t>
      </w:r>
      <w:proofErr w:type="spellStart"/>
      <w:r>
        <w:t>Moratti</w:t>
      </w:r>
      <w:proofErr w:type="spellEnd"/>
      <w:r>
        <w:t>, Sofia and Patterson, Dennis eds. Legal Insanity and the Brain: Science, Law and European Courts. Oxford: Hart Pu</w:t>
      </w:r>
      <w:r>
        <w:t>blishing, pp. 207–237.</w:t>
      </w:r>
    </w:p>
    <w:p w14:paraId="0000001A" w14:textId="77777777" w:rsidR="00362033" w:rsidRDefault="00726299">
      <w:r>
        <w:t xml:space="preserve">Insanity - definition - known as the McNaughton rules </w:t>
      </w:r>
      <w:hyperlink r:id="rId6">
        <w:r>
          <w:rPr>
            <w:color w:val="0563C1"/>
            <w:u w:val="single"/>
          </w:rPr>
          <w:t>www.alevellaw.doomby.com</w:t>
        </w:r>
      </w:hyperlink>
      <w:r>
        <w:t xml:space="preserve"> </w:t>
      </w:r>
    </w:p>
    <w:p w14:paraId="0000001B" w14:textId="77777777" w:rsidR="00362033" w:rsidRDefault="00726299">
      <w:r>
        <w:t>Johnson. V (2007) EWCA Crime 1978 (9</w:t>
      </w:r>
      <w:r>
        <w:rPr>
          <w:vertAlign w:val="superscript"/>
        </w:rPr>
        <w:t>th</w:t>
      </w:r>
      <w:r>
        <w:t xml:space="preserve"> July 2007) </w:t>
      </w:r>
      <w:hyperlink r:id="rId7">
        <w:r>
          <w:rPr>
            <w:color w:val="0563C1"/>
            <w:u w:val="single"/>
          </w:rPr>
          <w:t>https://www.bailii.org/ew/cases/EWCA/crim/2007/1978.html</w:t>
        </w:r>
      </w:hyperlink>
      <w:r>
        <w:t xml:space="preserve"> </w:t>
      </w:r>
    </w:p>
    <w:p w14:paraId="0000001C" w14:textId="77777777" w:rsidR="00362033" w:rsidRDefault="00726299">
      <w:r>
        <w:t xml:space="preserve">Keith J.B. Rix- Cambridge </w:t>
      </w:r>
      <w:proofErr w:type="spellStart"/>
      <w:r>
        <w:t>unipress</w:t>
      </w:r>
      <w:proofErr w:type="spellEnd"/>
      <w:r>
        <w:t xml:space="preserve"> (2/1/18) </w:t>
      </w:r>
      <w:hyperlink r:id="rId8">
        <w:r>
          <w:rPr>
            <w:color w:val="0563C1"/>
            <w:u w:val="single"/>
          </w:rPr>
          <w:t>www.cambridge.org/journels</w:t>
        </w:r>
      </w:hyperlink>
      <w:r>
        <w:t xml:space="preserve"> </w:t>
      </w:r>
    </w:p>
    <w:p w14:paraId="0000001D" w14:textId="77777777" w:rsidR="00362033" w:rsidRDefault="00726299">
      <w:r>
        <w:t xml:space="preserve">K.D. </w:t>
      </w:r>
      <w:proofErr w:type="spellStart"/>
      <w:r>
        <w:t>Defreitas</w:t>
      </w:r>
      <w:proofErr w:type="spellEnd"/>
      <w:r>
        <w:t xml:space="preserve">, S.J. </w:t>
      </w:r>
      <w:proofErr w:type="spellStart"/>
      <w:r>
        <w:t>Hucker</w:t>
      </w:r>
      <w:proofErr w:type="spellEnd"/>
      <w:r>
        <w:t xml:space="preserve">, in encyclopaedia of </w:t>
      </w:r>
      <w:r>
        <w:t>forensic and legal medicine (2</w:t>
      </w:r>
      <w:r>
        <w:rPr>
          <w:vertAlign w:val="superscript"/>
        </w:rPr>
        <w:t>nd</w:t>
      </w:r>
      <w:r>
        <w:t xml:space="preserve"> addition), 2015 </w:t>
      </w:r>
    </w:p>
    <w:p w14:paraId="0000001E" w14:textId="77777777" w:rsidR="00362033" w:rsidRDefault="00726299">
      <w:pPr>
        <w:rPr>
          <w:rFonts w:ascii="Helvetica Neue" w:eastAsia="Helvetica Neue" w:hAnsi="Helvetica Neue" w:cs="Helvetica Neue"/>
          <w:color w:val="181817"/>
          <w:shd w:val="clear" w:color="auto" w:fill="CAE7FF"/>
        </w:rPr>
      </w:pPr>
      <w:r>
        <w:t xml:space="preserve"> </w:t>
      </w:r>
      <w:r>
        <w:rPr>
          <w:rFonts w:ascii="Helvetica Neue" w:eastAsia="Helvetica Neue" w:hAnsi="Helvetica Neue" w:cs="Helvetica Neue"/>
          <w:color w:val="181817"/>
          <w:shd w:val="clear" w:color="auto" w:fill="CAE7FF"/>
        </w:rPr>
        <w:t>Rix, K. J. B. (2016) “Towards a more just insanity defence: recovering moral wrongfulness in the McNaughton Rules,” </w:t>
      </w:r>
      <w:proofErr w:type="spellStart"/>
      <w:r>
        <w:rPr>
          <w:rFonts w:ascii="Helvetica Neue" w:eastAsia="Helvetica Neue" w:hAnsi="Helvetica Neue" w:cs="Helvetica Neue"/>
          <w:i/>
          <w:color w:val="181817"/>
          <w:shd w:val="clear" w:color="auto" w:fill="CAE7FF"/>
        </w:rPr>
        <w:t>BJPsych</w:t>
      </w:r>
      <w:proofErr w:type="spellEnd"/>
      <w:r>
        <w:rPr>
          <w:rFonts w:ascii="Helvetica Neue" w:eastAsia="Helvetica Neue" w:hAnsi="Helvetica Neue" w:cs="Helvetica Neue"/>
          <w:i/>
          <w:color w:val="181817"/>
          <w:shd w:val="clear" w:color="auto" w:fill="CAE7FF"/>
        </w:rPr>
        <w:t xml:space="preserve"> Advances</w:t>
      </w:r>
      <w:r>
        <w:rPr>
          <w:rFonts w:ascii="Helvetica Neue" w:eastAsia="Helvetica Neue" w:hAnsi="Helvetica Neue" w:cs="Helvetica Neue"/>
          <w:color w:val="181817"/>
          <w:shd w:val="clear" w:color="auto" w:fill="CAE7FF"/>
        </w:rPr>
        <w:t xml:space="preserve">. Cambridge University Press, 22(1), pp. 44–52. </w:t>
      </w:r>
      <w:proofErr w:type="spellStart"/>
      <w:r>
        <w:rPr>
          <w:rFonts w:ascii="Helvetica Neue" w:eastAsia="Helvetica Neue" w:hAnsi="Helvetica Neue" w:cs="Helvetica Neue"/>
          <w:color w:val="181817"/>
          <w:shd w:val="clear" w:color="auto" w:fill="CAE7FF"/>
        </w:rPr>
        <w:t>doi</w:t>
      </w:r>
      <w:proofErr w:type="spellEnd"/>
      <w:r>
        <w:rPr>
          <w:rFonts w:ascii="Helvetica Neue" w:eastAsia="Helvetica Neue" w:hAnsi="Helvetica Neue" w:cs="Helvetica Neue"/>
          <w:color w:val="181817"/>
          <w:shd w:val="clear" w:color="auto" w:fill="CAE7FF"/>
        </w:rPr>
        <w:t>: 10.1192/apt.bp.115.014951.</w:t>
      </w:r>
    </w:p>
    <w:p w14:paraId="0000001F" w14:textId="77777777" w:rsidR="00362033" w:rsidRDefault="00362033"/>
    <w:p w14:paraId="00000020" w14:textId="77777777" w:rsidR="00362033" w:rsidRDefault="00726299">
      <w:r>
        <w:t xml:space="preserve">Part 2 reference list </w:t>
      </w:r>
    </w:p>
    <w:p w14:paraId="00000021" w14:textId="77777777" w:rsidR="00362033" w:rsidRDefault="00726299">
      <w:r>
        <w:t xml:space="preserve">CPS (March 2019) </w:t>
      </w:r>
      <w:hyperlink r:id="rId9">
        <w:r>
          <w:rPr>
            <w:color w:val="0563C1"/>
            <w:u w:val="single"/>
          </w:rPr>
          <w:t>www.cps.gov.uk/legal-guidance/homicide-murder-and-manslaughter</w:t>
        </w:r>
      </w:hyperlink>
      <w:r>
        <w:t xml:space="preserve"> </w:t>
      </w:r>
    </w:p>
    <w:p w14:paraId="00000022" w14:textId="77777777" w:rsidR="00362033" w:rsidRDefault="00726299">
      <w:r>
        <w:rPr>
          <w:i/>
          <w:color w:val="323D4F"/>
          <w:sz w:val="27"/>
          <w:szCs w:val="27"/>
          <w:highlight w:val="white"/>
        </w:rPr>
        <w:t>R v Cunningham</w:t>
      </w:r>
      <w:r>
        <w:rPr>
          <w:b/>
          <w:color w:val="323D4F"/>
          <w:sz w:val="27"/>
          <w:szCs w:val="27"/>
          <w:highlight w:val="white"/>
        </w:rPr>
        <w:t> [1982] AC 566</w:t>
      </w:r>
      <w:r>
        <w:rPr>
          <w:color w:val="323D4F"/>
          <w:sz w:val="27"/>
          <w:szCs w:val="27"/>
          <w:highlight w:val="white"/>
        </w:rPr>
        <w:t> House of Lords</w:t>
      </w:r>
    </w:p>
    <w:p w14:paraId="00000023" w14:textId="77777777" w:rsidR="00362033" w:rsidRDefault="00726299">
      <w:pPr>
        <w:rPr>
          <w:color w:val="323D4F"/>
          <w:sz w:val="27"/>
          <w:szCs w:val="27"/>
          <w:highlight w:val="white"/>
        </w:rPr>
      </w:pPr>
      <w:r>
        <w:rPr>
          <w:i/>
          <w:color w:val="323D4F"/>
          <w:sz w:val="27"/>
          <w:szCs w:val="27"/>
          <w:highlight w:val="white"/>
        </w:rPr>
        <w:t xml:space="preserve">R v </w:t>
      </w:r>
      <w:proofErr w:type="spellStart"/>
      <w:r>
        <w:rPr>
          <w:i/>
          <w:color w:val="323D4F"/>
          <w:sz w:val="27"/>
          <w:szCs w:val="27"/>
          <w:highlight w:val="white"/>
        </w:rPr>
        <w:t>Woollin</w:t>
      </w:r>
      <w:proofErr w:type="spellEnd"/>
      <w:r>
        <w:rPr>
          <w:b/>
          <w:color w:val="323D4F"/>
          <w:sz w:val="27"/>
          <w:szCs w:val="27"/>
          <w:highlight w:val="white"/>
        </w:rPr>
        <w:t xml:space="preserve"> [1999] </w:t>
      </w:r>
      <w:r>
        <w:rPr>
          <w:b/>
          <w:color w:val="323D4F"/>
          <w:sz w:val="27"/>
          <w:szCs w:val="27"/>
          <w:highlight w:val="white"/>
        </w:rPr>
        <w:t>AC 82</w:t>
      </w:r>
      <w:r>
        <w:rPr>
          <w:color w:val="323D4F"/>
          <w:sz w:val="27"/>
          <w:szCs w:val="27"/>
          <w:highlight w:val="white"/>
        </w:rPr>
        <w:t> House of Lords</w:t>
      </w:r>
    </w:p>
    <w:p w14:paraId="00000024" w14:textId="77777777" w:rsidR="00362033" w:rsidRDefault="00726299">
      <w:pPr>
        <w:spacing w:after="0" w:line="240" w:lineRule="auto"/>
        <w:rPr>
          <w:rFonts w:ascii="Verdana" w:eastAsia="Verdana" w:hAnsi="Verdana" w:cs="Verdana"/>
          <w:color w:val="000000"/>
          <w:sz w:val="18"/>
          <w:szCs w:val="18"/>
        </w:rPr>
      </w:pPr>
      <w:r>
        <w:rPr>
          <w:rFonts w:ascii="Verdana" w:eastAsia="Verdana" w:hAnsi="Verdana" w:cs="Verdana"/>
          <w:color w:val="000000"/>
          <w:sz w:val="18"/>
          <w:szCs w:val="18"/>
        </w:rPr>
        <w:t> </w:t>
      </w:r>
    </w:p>
    <w:p w14:paraId="00000025" w14:textId="77777777" w:rsidR="00362033" w:rsidRDefault="00726299">
      <w:r>
        <w:rPr>
          <w:i/>
          <w:color w:val="323D4F"/>
          <w:sz w:val="27"/>
          <w:szCs w:val="27"/>
        </w:rPr>
        <w:t>R v Moloney</w:t>
      </w:r>
      <w:r>
        <w:rPr>
          <w:color w:val="323D4F"/>
          <w:sz w:val="27"/>
          <w:szCs w:val="27"/>
        </w:rPr>
        <w:t> [1985] AC 905 House of Lords</w:t>
      </w:r>
    </w:p>
    <w:sectPr w:rsidR="00362033">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Helvetica Neue">
    <w:charset w:val="00"/>
    <w:family w:val="auto"/>
    <w:pitch w:val="default"/>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843D31"/>
    <w:multiLevelType w:val="multilevel"/>
    <w:tmpl w:val="730AE236"/>
    <w:lvl w:ilvl="0">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2033"/>
    <w:rsid w:val="00362033"/>
    <w:rsid w:val="00547C8C"/>
    <w:rsid w:val="005F7993"/>
    <w:rsid w:val="00726299"/>
    <w:rsid w:val="00EC7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E876A"/>
  <w15:docId w15:val="{84F29CDA-9FD2-42D6-BFD3-504C88001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480"/>
      <w:outlineLvl w:val="0"/>
    </w:pPr>
    <w:rPr>
      <w:b/>
      <w:color w:val="345A8A"/>
      <w:sz w:val="32"/>
      <w:szCs w:val="32"/>
    </w:rPr>
  </w:style>
  <w:style w:type="paragraph" w:styleId="Heading2">
    <w:name w:val="heading 2"/>
    <w:basedOn w:val="Normal"/>
    <w:next w:val="Normal"/>
    <w:uiPriority w:val="9"/>
    <w:semiHidden/>
    <w:unhideWhenUsed/>
    <w:qFormat/>
    <w:pPr>
      <w:spacing w:before="200"/>
      <w:outlineLvl w:val="1"/>
    </w:pPr>
    <w:rPr>
      <w:b/>
      <w:color w:val="4F81BD"/>
      <w:sz w:val="26"/>
      <w:szCs w:val="26"/>
    </w:rPr>
  </w:style>
  <w:style w:type="paragraph" w:styleId="Heading3">
    <w:name w:val="heading 3"/>
    <w:basedOn w:val="Normal"/>
    <w:next w:val="Normal"/>
    <w:uiPriority w:val="9"/>
    <w:semiHidden/>
    <w:unhideWhenUsed/>
    <w:qFormat/>
    <w:pPr>
      <w:spacing w:before="200"/>
      <w:outlineLvl w:val="2"/>
    </w:pPr>
    <w:rPr>
      <w:b/>
      <w:color w:val="4F81BD"/>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cambridge.org/journels" TargetMode="External"/><Relationship Id="rId3" Type="http://schemas.openxmlformats.org/officeDocument/2006/relationships/settings" Target="settings.xml"/><Relationship Id="rId7" Type="http://schemas.openxmlformats.org/officeDocument/2006/relationships/hyperlink" Target="https://www.bailii.org/ew/cases/EWCA/crim/2007/1978.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levellaw.doomby.com" TargetMode="External"/><Relationship Id="rId11" Type="http://schemas.openxmlformats.org/officeDocument/2006/relationships/theme" Target="theme/theme1.xml"/><Relationship Id="rId5" Type="http://schemas.openxmlformats.org/officeDocument/2006/relationships/hyperlink" Target="http://www.cps.gov.uk/publication/mental-health-conditions-and-disorders-draft-prosecution-guidenc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cps.gov.uk/legal-guidance/homicide-murder-and-manslaugh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1961</Words>
  <Characters>11181</Characters>
  <Application>Microsoft Office Word</Application>
  <DocSecurity>0</DocSecurity>
  <Lines>93</Lines>
  <Paragraphs>26</Paragraphs>
  <ScaleCrop>false</ScaleCrop>
  <Company/>
  <LinksUpToDate>false</LinksUpToDate>
  <CharactersWithSpaces>13116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ceri-anne johnson</dc:creator>
  <cp:lastModifiedBy>Alfie Bryant</cp:lastModifiedBy>
  <cp:revision>2</cp:revision>
  <dcterms:created xsi:type="dcterms:W3CDTF">2021-05-06T22:02:00Z</dcterms:created>
  <dcterms:modified xsi:type="dcterms:W3CDTF">2021-05-06T22:02:00Z</dcterms:modified>
</cp:coreProperties>
</file>