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61D3" w14:textId="77777777" w:rsidR="00B149AC" w:rsidRDefault="00B149AC" w:rsidP="00B149AC">
      <w:pPr>
        <w:spacing w:line="259" w:lineRule="auto"/>
        <w:jc w:val="center"/>
      </w:pPr>
      <w:r>
        <w:t>University of Wales Trinity Saint David</w:t>
      </w:r>
    </w:p>
    <w:p w14:paraId="122DCDD2" w14:textId="77777777" w:rsidR="00B149AC" w:rsidRDefault="00B149AC" w:rsidP="00B149AC">
      <w:pPr>
        <w:spacing w:line="259" w:lineRule="auto"/>
        <w:jc w:val="center"/>
      </w:pPr>
      <w:r>
        <w:t>School of Engineering</w:t>
      </w:r>
    </w:p>
    <w:p w14:paraId="11F8041A" w14:textId="77777777" w:rsidR="00B149AC" w:rsidRDefault="00B149AC" w:rsidP="00B149AC">
      <w:pPr>
        <w:spacing w:line="259" w:lineRule="auto"/>
        <w:jc w:val="center"/>
      </w:pPr>
    </w:p>
    <w:p w14:paraId="2743CD3E" w14:textId="26426EDC" w:rsidR="00B149AC" w:rsidRPr="00AD2923" w:rsidRDefault="00AD2923" w:rsidP="00B149AC">
      <w:pPr>
        <w:spacing w:line="259" w:lineRule="auto"/>
        <w:jc w:val="center"/>
      </w:pPr>
      <w:r w:rsidRPr="00AD2923">
        <w:t>Vehicle-to-Grid Technology</w:t>
      </w:r>
    </w:p>
    <w:p w14:paraId="371BF056" w14:textId="01FA5B32" w:rsidR="00B149AC" w:rsidRPr="00AD2923" w:rsidRDefault="00AD2923" w:rsidP="00B149AC">
      <w:pPr>
        <w:spacing w:line="259" w:lineRule="auto"/>
        <w:jc w:val="center"/>
      </w:pPr>
      <w:r w:rsidRPr="00AD2923">
        <w:t>Automotive Materials &amp; Sustainability</w:t>
      </w:r>
    </w:p>
    <w:p w14:paraId="7C893373" w14:textId="3903FEB8" w:rsidR="00AD2923" w:rsidRDefault="00AD2923" w:rsidP="00B149AC">
      <w:pPr>
        <w:spacing w:line="259" w:lineRule="auto"/>
        <w:jc w:val="center"/>
        <w:rPr>
          <w:i/>
          <w:iCs/>
        </w:rPr>
      </w:pPr>
      <w:r w:rsidRPr="00AD2923">
        <w:t>ACHA6012</w:t>
      </w:r>
    </w:p>
    <w:p w14:paraId="3AF30C2A" w14:textId="77777777" w:rsidR="00B149AC" w:rsidRDefault="00B149AC" w:rsidP="00B149AC">
      <w:pPr>
        <w:spacing w:line="259" w:lineRule="auto"/>
        <w:jc w:val="center"/>
        <w:rPr>
          <w:i/>
          <w:iCs/>
        </w:rPr>
      </w:pPr>
    </w:p>
    <w:p w14:paraId="1878A22E" w14:textId="2EBF2151" w:rsidR="00B149AC" w:rsidRPr="00EF12DC" w:rsidRDefault="00EF12DC" w:rsidP="00B149AC">
      <w:pPr>
        <w:spacing w:line="259" w:lineRule="auto"/>
        <w:jc w:val="center"/>
      </w:pPr>
      <w:r w:rsidRPr="00EF12DC">
        <w:t>Iestyn Webber</w:t>
      </w:r>
    </w:p>
    <w:p w14:paraId="5E8701C4" w14:textId="66BDB93F" w:rsidR="00B149AC" w:rsidRPr="00EF12DC" w:rsidRDefault="00EF12DC" w:rsidP="00B149AC">
      <w:pPr>
        <w:spacing w:line="259" w:lineRule="auto"/>
        <w:jc w:val="center"/>
      </w:pPr>
      <w:r>
        <w:t>1901363</w:t>
      </w:r>
    </w:p>
    <w:p w14:paraId="17F25BD4" w14:textId="4C1F7F50" w:rsidR="00B149AC" w:rsidRPr="00AD2923" w:rsidRDefault="00AD2923" w:rsidP="00B149AC">
      <w:pPr>
        <w:spacing w:line="259" w:lineRule="auto"/>
        <w:jc w:val="center"/>
      </w:pPr>
      <w:r w:rsidRPr="00AD2923">
        <w:t>22/11/2021</w:t>
      </w:r>
      <w:r w:rsidR="00B149AC" w:rsidRPr="00AD2923">
        <w:br w:type="page"/>
      </w:r>
    </w:p>
    <w:p w14:paraId="3D83C04D" w14:textId="3F3B39D9" w:rsidR="00B149AC" w:rsidRDefault="00B149AC">
      <w:pPr>
        <w:spacing w:line="259" w:lineRule="auto"/>
      </w:pPr>
    </w:p>
    <w:sdt>
      <w:sdtPr>
        <w:rPr>
          <w:rFonts w:asciiTheme="minorHAnsi" w:eastAsiaTheme="minorHAnsi" w:hAnsiTheme="minorHAnsi" w:cstheme="minorBidi"/>
          <w:color w:val="auto"/>
          <w:sz w:val="22"/>
          <w:szCs w:val="22"/>
          <w:lang w:val="en-GB"/>
        </w:rPr>
        <w:id w:val="1061282026"/>
        <w:docPartObj>
          <w:docPartGallery w:val="Table of Contents"/>
          <w:docPartUnique/>
        </w:docPartObj>
      </w:sdtPr>
      <w:sdtEndPr>
        <w:rPr>
          <w:b/>
          <w:bCs/>
          <w:noProof/>
        </w:rPr>
      </w:sdtEndPr>
      <w:sdtContent>
        <w:p w14:paraId="1800124B" w14:textId="184EBC75" w:rsidR="00B149AC" w:rsidRDefault="00B149AC">
          <w:pPr>
            <w:pStyle w:val="TOCHeading"/>
          </w:pPr>
          <w:r>
            <w:t>Contents</w:t>
          </w:r>
        </w:p>
        <w:p w14:paraId="4CAC5F0E" w14:textId="68A08B42" w:rsidR="009E5193" w:rsidRDefault="00B149A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9122281" w:history="1">
            <w:r w:rsidR="009E5193" w:rsidRPr="00260F8E">
              <w:rPr>
                <w:rStyle w:val="Hyperlink"/>
                <w:noProof/>
              </w:rPr>
              <w:t>1</w:t>
            </w:r>
            <w:r w:rsidR="009E5193">
              <w:rPr>
                <w:rFonts w:eastAsiaTheme="minorEastAsia"/>
                <w:noProof/>
                <w:lang w:eastAsia="en-GB"/>
              </w:rPr>
              <w:tab/>
            </w:r>
            <w:r w:rsidR="009E5193" w:rsidRPr="00260F8E">
              <w:rPr>
                <w:rStyle w:val="Hyperlink"/>
                <w:noProof/>
              </w:rPr>
              <w:t>Introduction</w:t>
            </w:r>
            <w:r w:rsidR="009E5193">
              <w:rPr>
                <w:noProof/>
                <w:webHidden/>
              </w:rPr>
              <w:tab/>
            </w:r>
            <w:r w:rsidR="009E5193">
              <w:rPr>
                <w:noProof/>
                <w:webHidden/>
              </w:rPr>
              <w:fldChar w:fldCharType="begin"/>
            </w:r>
            <w:r w:rsidR="009E5193">
              <w:rPr>
                <w:noProof/>
                <w:webHidden/>
              </w:rPr>
              <w:instrText xml:space="preserve"> PAGEREF _Toc89122281 \h </w:instrText>
            </w:r>
            <w:r w:rsidR="009E5193">
              <w:rPr>
                <w:noProof/>
                <w:webHidden/>
              </w:rPr>
            </w:r>
            <w:r w:rsidR="009E5193">
              <w:rPr>
                <w:noProof/>
                <w:webHidden/>
              </w:rPr>
              <w:fldChar w:fldCharType="separate"/>
            </w:r>
            <w:r w:rsidR="009E5193">
              <w:rPr>
                <w:noProof/>
                <w:webHidden/>
              </w:rPr>
              <w:t>1</w:t>
            </w:r>
            <w:r w:rsidR="009E5193">
              <w:rPr>
                <w:noProof/>
                <w:webHidden/>
              </w:rPr>
              <w:fldChar w:fldCharType="end"/>
            </w:r>
          </w:hyperlink>
        </w:p>
        <w:p w14:paraId="0BC78537" w14:textId="652B7E7D" w:rsidR="009E5193" w:rsidRDefault="005C4AE6">
          <w:pPr>
            <w:pStyle w:val="TOC2"/>
            <w:tabs>
              <w:tab w:val="left" w:pos="880"/>
              <w:tab w:val="right" w:leader="dot" w:pos="9016"/>
            </w:tabs>
            <w:rPr>
              <w:rFonts w:eastAsiaTheme="minorEastAsia"/>
              <w:noProof/>
              <w:lang w:eastAsia="en-GB"/>
            </w:rPr>
          </w:pPr>
          <w:hyperlink w:anchor="_Toc89122282" w:history="1">
            <w:r w:rsidR="009E5193" w:rsidRPr="00260F8E">
              <w:rPr>
                <w:rStyle w:val="Hyperlink"/>
                <w:noProof/>
              </w:rPr>
              <w:t>1.1</w:t>
            </w:r>
            <w:r w:rsidR="009E5193">
              <w:rPr>
                <w:rFonts w:eastAsiaTheme="minorEastAsia"/>
                <w:noProof/>
                <w:lang w:eastAsia="en-GB"/>
              </w:rPr>
              <w:tab/>
            </w:r>
            <w:r w:rsidR="009E5193" w:rsidRPr="00260F8E">
              <w:rPr>
                <w:rStyle w:val="Hyperlink"/>
                <w:noProof/>
              </w:rPr>
              <w:t>Aims</w:t>
            </w:r>
            <w:r w:rsidR="009E5193">
              <w:rPr>
                <w:noProof/>
                <w:webHidden/>
              </w:rPr>
              <w:tab/>
            </w:r>
            <w:r w:rsidR="009E5193">
              <w:rPr>
                <w:noProof/>
                <w:webHidden/>
              </w:rPr>
              <w:fldChar w:fldCharType="begin"/>
            </w:r>
            <w:r w:rsidR="009E5193">
              <w:rPr>
                <w:noProof/>
                <w:webHidden/>
              </w:rPr>
              <w:instrText xml:space="preserve"> PAGEREF _Toc89122282 \h </w:instrText>
            </w:r>
            <w:r w:rsidR="009E5193">
              <w:rPr>
                <w:noProof/>
                <w:webHidden/>
              </w:rPr>
            </w:r>
            <w:r w:rsidR="009E5193">
              <w:rPr>
                <w:noProof/>
                <w:webHidden/>
              </w:rPr>
              <w:fldChar w:fldCharType="separate"/>
            </w:r>
            <w:r w:rsidR="009E5193">
              <w:rPr>
                <w:noProof/>
                <w:webHidden/>
              </w:rPr>
              <w:t>1</w:t>
            </w:r>
            <w:r w:rsidR="009E5193">
              <w:rPr>
                <w:noProof/>
                <w:webHidden/>
              </w:rPr>
              <w:fldChar w:fldCharType="end"/>
            </w:r>
          </w:hyperlink>
        </w:p>
        <w:p w14:paraId="004E3C64" w14:textId="06966552" w:rsidR="009E5193" w:rsidRDefault="005C4AE6">
          <w:pPr>
            <w:pStyle w:val="TOC2"/>
            <w:tabs>
              <w:tab w:val="left" w:pos="880"/>
              <w:tab w:val="right" w:leader="dot" w:pos="9016"/>
            </w:tabs>
            <w:rPr>
              <w:rFonts w:eastAsiaTheme="minorEastAsia"/>
              <w:noProof/>
              <w:lang w:eastAsia="en-GB"/>
            </w:rPr>
          </w:pPr>
          <w:hyperlink w:anchor="_Toc89122283" w:history="1">
            <w:r w:rsidR="009E5193" w:rsidRPr="00260F8E">
              <w:rPr>
                <w:rStyle w:val="Hyperlink"/>
                <w:noProof/>
              </w:rPr>
              <w:t>1.2</w:t>
            </w:r>
            <w:r w:rsidR="009E5193">
              <w:rPr>
                <w:rFonts w:eastAsiaTheme="minorEastAsia"/>
                <w:noProof/>
                <w:lang w:eastAsia="en-GB"/>
              </w:rPr>
              <w:tab/>
            </w:r>
            <w:r w:rsidR="009E5193" w:rsidRPr="00260F8E">
              <w:rPr>
                <w:rStyle w:val="Hyperlink"/>
                <w:noProof/>
              </w:rPr>
              <w:t>Objectives</w:t>
            </w:r>
            <w:r w:rsidR="009E5193">
              <w:rPr>
                <w:noProof/>
                <w:webHidden/>
              </w:rPr>
              <w:tab/>
            </w:r>
            <w:r w:rsidR="009E5193">
              <w:rPr>
                <w:noProof/>
                <w:webHidden/>
              </w:rPr>
              <w:fldChar w:fldCharType="begin"/>
            </w:r>
            <w:r w:rsidR="009E5193">
              <w:rPr>
                <w:noProof/>
                <w:webHidden/>
              </w:rPr>
              <w:instrText xml:space="preserve"> PAGEREF _Toc89122283 \h </w:instrText>
            </w:r>
            <w:r w:rsidR="009E5193">
              <w:rPr>
                <w:noProof/>
                <w:webHidden/>
              </w:rPr>
            </w:r>
            <w:r w:rsidR="009E5193">
              <w:rPr>
                <w:noProof/>
                <w:webHidden/>
              </w:rPr>
              <w:fldChar w:fldCharType="separate"/>
            </w:r>
            <w:r w:rsidR="009E5193">
              <w:rPr>
                <w:noProof/>
                <w:webHidden/>
              </w:rPr>
              <w:t>1</w:t>
            </w:r>
            <w:r w:rsidR="009E5193">
              <w:rPr>
                <w:noProof/>
                <w:webHidden/>
              </w:rPr>
              <w:fldChar w:fldCharType="end"/>
            </w:r>
          </w:hyperlink>
        </w:p>
        <w:p w14:paraId="546F7EA6" w14:textId="0234AF68" w:rsidR="009E5193" w:rsidRDefault="005C4AE6">
          <w:pPr>
            <w:pStyle w:val="TOC1"/>
            <w:tabs>
              <w:tab w:val="left" w:pos="440"/>
              <w:tab w:val="right" w:leader="dot" w:pos="9016"/>
            </w:tabs>
            <w:rPr>
              <w:rFonts w:eastAsiaTheme="minorEastAsia"/>
              <w:noProof/>
              <w:lang w:eastAsia="en-GB"/>
            </w:rPr>
          </w:pPr>
          <w:hyperlink w:anchor="_Toc89122284" w:history="1">
            <w:r w:rsidR="009E5193" w:rsidRPr="00260F8E">
              <w:rPr>
                <w:rStyle w:val="Hyperlink"/>
                <w:noProof/>
              </w:rPr>
              <w:t>2</w:t>
            </w:r>
            <w:r w:rsidR="009E5193">
              <w:rPr>
                <w:rFonts w:eastAsiaTheme="minorEastAsia"/>
                <w:noProof/>
                <w:lang w:eastAsia="en-GB"/>
              </w:rPr>
              <w:tab/>
            </w:r>
            <w:r w:rsidR="009E5193" w:rsidRPr="00260F8E">
              <w:rPr>
                <w:rStyle w:val="Hyperlink"/>
                <w:noProof/>
              </w:rPr>
              <w:t>Literature Review</w:t>
            </w:r>
            <w:r w:rsidR="009E5193">
              <w:rPr>
                <w:noProof/>
                <w:webHidden/>
              </w:rPr>
              <w:tab/>
            </w:r>
            <w:r w:rsidR="009E5193">
              <w:rPr>
                <w:noProof/>
                <w:webHidden/>
              </w:rPr>
              <w:fldChar w:fldCharType="begin"/>
            </w:r>
            <w:r w:rsidR="009E5193">
              <w:rPr>
                <w:noProof/>
                <w:webHidden/>
              </w:rPr>
              <w:instrText xml:space="preserve"> PAGEREF _Toc89122284 \h </w:instrText>
            </w:r>
            <w:r w:rsidR="009E5193">
              <w:rPr>
                <w:noProof/>
                <w:webHidden/>
              </w:rPr>
            </w:r>
            <w:r w:rsidR="009E5193">
              <w:rPr>
                <w:noProof/>
                <w:webHidden/>
              </w:rPr>
              <w:fldChar w:fldCharType="separate"/>
            </w:r>
            <w:r w:rsidR="009E5193">
              <w:rPr>
                <w:noProof/>
                <w:webHidden/>
              </w:rPr>
              <w:t>3</w:t>
            </w:r>
            <w:r w:rsidR="009E5193">
              <w:rPr>
                <w:noProof/>
                <w:webHidden/>
              </w:rPr>
              <w:fldChar w:fldCharType="end"/>
            </w:r>
          </w:hyperlink>
        </w:p>
        <w:p w14:paraId="545A9A98" w14:textId="21C6A43D" w:rsidR="009E5193" w:rsidRDefault="005C4AE6">
          <w:pPr>
            <w:pStyle w:val="TOC2"/>
            <w:tabs>
              <w:tab w:val="left" w:pos="880"/>
              <w:tab w:val="right" w:leader="dot" w:pos="9016"/>
            </w:tabs>
            <w:rPr>
              <w:rFonts w:eastAsiaTheme="minorEastAsia"/>
              <w:noProof/>
              <w:lang w:eastAsia="en-GB"/>
            </w:rPr>
          </w:pPr>
          <w:hyperlink w:anchor="_Toc89122285" w:history="1">
            <w:r w:rsidR="009E5193" w:rsidRPr="00260F8E">
              <w:rPr>
                <w:rStyle w:val="Hyperlink"/>
                <w:noProof/>
              </w:rPr>
              <w:t>2.1</w:t>
            </w:r>
            <w:r w:rsidR="009E5193">
              <w:rPr>
                <w:rFonts w:eastAsiaTheme="minorEastAsia"/>
                <w:noProof/>
                <w:lang w:eastAsia="en-GB"/>
              </w:rPr>
              <w:tab/>
            </w:r>
            <w:r w:rsidR="009E5193" w:rsidRPr="00260F8E">
              <w:rPr>
                <w:rStyle w:val="Hyperlink"/>
                <w:noProof/>
              </w:rPr>
              <w:t>Vehicle-to-Grid</w:t>
            </w:r>
            <w:r w:rsidR="009E5193">
              <w:rPr>
                <w:noProof/>
                <w:webHidden/>
              </w:rPr>
              <w:tab/>
            </w:r>
            <w:r w:rsidR="009E5193">
              <w:rPr>
                <w:noProof/>
                <w:webHidden/>
              </w:rPr>
              <w:fldChar w:fldCharType="begin"/>
            </w:r>
            <w:r w:rsidR="009E5193">
              <w:rPr>
                <w:noProof/>
                <w:webHidden/>
              </w:rPr>
              <w:instrText xml:space="preserve"> PAGEREF _Toc89122285 \h </w:instrText>
            </w:r>
            <w:r w:rsidR="009E5193">
              <w:rPr>
                <w:noProof/>
                <w:webHidden/>
              </w:rPr>
            </w:r>
            <w:r w:rsidR="009E5193">
              <w:rPr>
                <w:noProof/>
                <w:webHidden/>
              </w:rPr>
              <w:fldChar w:fldCharType="separate"/>
            </w:r>
            <w:r w:rsidR="009E5193">
              <w:rPr>
                <w:noProof/>
                <w:webHidden/>
              </w:rPr>
              <w:t>3</w:t>
            </w:r>
            <w:r w:rsidR="009E5193">
              <w:rPr>
                <w:noProof/>
                <w:webHidden/>
              </w:rPr>
              <w:fldChar w:fldCharType="end"/>
            </w:r>
          </w:hyperlink>
        </w:p>
        <w:p w14:paraId="32E99DD9" w14:textId="69397608" w:rsidR="009E5193" w:rsidRDefault="005C4AE6">
          <w:pPr>
            <w:pStyle w:val="TOC2"/>
            <w:tabs>
              <w:tab w:val="left" w:pos="880"/>
              <w:tab w:val="right" w:leader="dot" w:pos="9016"/>
            </w:tabs>
            <w:rPr>
              <w:rFonts w:eastAsiaTheme="minorEastAsia"/>
              <w:noProof/>
              <w:lang w:eastAsia="en-GB"/>
            </w:rPr>
          </w:pPr>
          <w:hyperlink w:anchor="_Toc89122286" w:history="1">
            <w:r w:rsidR="009E5193" w:rsidRPr="00260F8E">
              <w:rPr>
                <w:rStyle w:val="Hyperlink"/>
                <w:noProof/>
              </w:rPr>
              <w:t>2.2</w:t>
            </w:r>
            <w:r w:rsidR="009E5193">
              <w:rPr>
                <w:rFonts w:eastAsiaTheme="minorEastAsia"/>
                <w:noProof/>
                <w:lang w:eastAsia="en-GB"/>
              </w:rPr>
              <w:tab/>
            </w:r>
            <w:r w:rsidR="009E5193" w:rsidRPr="00260F8E">
              <w:rPr>
                <w:rStyle w:val="Hyperlink"/>
                <w:noProof/>
              </w:rPr>
              <w:t>Charging</w:t>
            </w:r>
            <w:r w:rsidR="009E5193">
              <w:rPr>
                <w:noProof/>
                <w:webHidden/>
              </w:rPr>
              <w:tab/>
            </w:r>
            <w:r w:rsidR="009E5193">
              <w:rPr>
                <w:noProof/>
                <w:webHidden/>
              </w:rPr>
              <w:fldChar w:fldCharType="begin"/>
            </w:r>
            <w:r w:rsidR="009E5193">
              <w:rPr>
                <w:noProof/>
                <w:webHidden/>
              </w:rPr>
              <w:instrText xml:space="preserve"> PAGEREF _Toc89122286 \h </w:instrText>
            </w:r>
            <w:r w:rsidR="009E5193">
              <w:rPr>
                <w:noProof/>
                <w:webHidden/>
              </w:rPr>
            </w:r>
            <w:r w:rsidR="009E5193">
              <w:rPr>
                <w:noProof/>
                <w:webHidden/>
              </w:rPr>
              <w:fldChar w:fldCharType="separate"/>
            </w:r>
            <w:r w:rsidR="009E5193">
              <w:rPr>
                <w:noProof/>
                <w:webHidden/>
              </w:rPr>
              <w:t>4</w:t>
            </w:r>
            <w:r w:rsidR="009E5193">
              <w:rPr>
                <w:noProof/>
                <w:webHidden/>
              </w:rPr>
              <w:fldChar w:fldCharType="end"/>
            </w:r>
          </w:hyperlink>
        </w:p>
        <w:p w14:paraId="4759657F" w14:textId="189BD699" w:rsidR="009E5193" w:rsidRDefault="005C4AE6">
          <w:pPr>
            <w:pStyle w:val="TOC2"/>
            <w:tabs>
              <w:tab w:val="left" w:pos="880"/>
              <w:tab w:val="right" w:leader="dot" w:pos="9016"/>
            </w:tabs>
            <w:rPr>
              <w:rFonts w:eastAsiaTheme="minorEastAsia"/>
              <w:noProof/>
              <w:lang w:eastAsia="en-GB"/>
            </w:rPr>
          </w:pPr>
          <w:hyperlink w:anchor="_Toc89122287" w:history="1">
            <w:r w:rsidR="009E5193" w:rsidRPr="00260F8E">
              <w:rPr>
                <w:rStyle w:val="Hyperlink"/>
                <w:noProof/>
              </w:rPr>
              <w:t>2.3</w:t>
            </w:r>
            <w:r w:rsidR="009E5193">
              <w:rPr>
                <w:rFonts w:eastAsiaTheme="minorEastAsia"/>
                <w:noProof/>
                <w:lang w:eastAsia="en-GB"/>
              </w:rPr>
              <w:tab/>
            </w:r>
            <w:r w:rsidR="009E5193" w:rsidRPr="00260F8E">
              <w:rPr>
                <w:rStyle w:val="Hyperlink"/>
                <w:noProof/>
              </w:rPr>
              <w:t>Battery</w:t>
            </w:r>
            <w:r w:rsidR="009E5193">
              <w:rPr>
                <w:noProof/>
                <w:webHidden/>
              </w:rPr>
              <w:tab/>
            </w:r>
            <w:r w:rsidR="009E5193">
              <w:rPr>
                <w:noProof/>
                <w:webHidden/>
              </w:rPr>
              <w:fldChar w:fldCharType="begin"/>
            </w:r>
            <w:r w:rsidR="009E5193">
              <w:rPr>
                <w:noProof/>
                <w:webHidden/>
              </w:rPr>
              <w:instrText xml:space="preserve"> PAGEREF _Toc89122287 \h </w:instrText>
            </w:r>
            <w:r w:rsidR="009E5193">
              <w:rPr>
                <w:noProof/>
                <w:webHidden/>
              </w:rPr>
            </w:r>
            <w:r w:rsidR="009E5193">
              <w:rPr>
                <w:noProof/>
                <w:webHidden/>
              </w:rPr>
              <w:fldChar w:fldCharType="separate"/>
            </w:r>
            <w:r w:rsidR="009E5193">
              <w:rPr>
                <w:noProof/>
                <w:webHidden/>
              </w:rPr>
              <w:t>5</w:t>
            </w:r>
            <w:r w:rsidR="009E5193">
              <w:rPr>
                <w:noProof/>
                <w:webHidden/>
              </w:rPr>
              <w:fldChar w:fldCharType="end"/>
            </w:r>
          </w:hyperlink>
        </w:p>
        <w:p w14:paraId="4B97A6E8" w14:textId="1B5149AE" w:rsidR="009E5193" w:rsidRDefault="005C4AE6">
          <w:pPr>
            <w:pStyle w:val="TOC1"/>
            <w:tabs>
              <w:tab w:val="left" w:pos="440"/>
              <w:tab w:val="right" w:leader="dot" w:pos="9016"/>
            </w:tabs>
            <w:rPr>
              <w:rFonts w:eastAsiaTheme="minorEastAsia"/>
              <w:noProof/>
              <w:lang w:eastAsia="en-GB"/>
            </w:rPr>
          </w:pPr>
          <w:hyperlink w:anchor="_Toc89122288" w:history="1">
            <w:r w:rsidR="009E5193" w:rsidRPr="00260F8E">
              <w:rPr>
                <w:rStyle w:val="Hyperlink"/>
                <w:noProof/>
              </w:rPr>
              <w:t>3</w:t>
            </w:r>
            <w:r w:rsidR="009E5193">
              <w:rPr>
                <w:rFonts w:eastAsiaTheme="minorEastAsia"/>
                <w:noProof/>
                <w:lang w:eastAsia="en-GB"/>
              </w:rPr>
              <w:tab/>
            </w:r>
            <w:r w:rsidR="009E5193" w:rsidRPr="00260F8E">
              <w:rPr>
                <w:rStyle w:val="Hyperlink"/>
                <w:noProof/>
              </w:rPr>
              <w:t>Analysis and Discussion</w:t>
            </w:r>
            <w:r w:rsidR="009E5193">
              <w:rPr>
                <w:noProof/>
                <w:webHidden/>
              </w:rPr>
              <w:tab/>
            </w:r>
            <w:r w:rsidR="009E5193">
              <w:rPr>
                <w:noProof/>
                <w:webHidden/>
              </w:rPr>
              <w:fldChar w:fldCharType="begin"/>
            </w:r>
            <w:r w:rsidR="009E5193">
              <w:rPr>
                <w:noProof/>
                <w:webHidden/>
              </w:rPr>
              <w:instrText xml:space="preserve"> PAGEREF _Toc89122288 \h </w:instrText>
            </w:r>
            <w:r w:rsidR="009E5193">
              <w:rPr>
                <w:noProof/>
                <w:webHidden/>
              </w:rPr>
            </w:r>
            <w:r w:rsidR="009E5193">
              <w:rPr>
                <w:noProof/>
                <w:webHidden/>
              </w:rPr>
              <w:fldChar w:fldCharType="separate"/>
            </w:r>
            <w:r w:rsidR="009E5193">
              <w:rPr>
                <w:noProof/>
                <w:webHidden/>
              </w:rPr>
              <w:t>9</w:t>
            </w:r>
            <w:r w:rsidR="009E5193">
              <w:rPr>
                <w:noProof/>
                <w:webHidden/>
              </w:rPr>
              <w:fldChar w:fldCharType="end"/>
            </w:r>
          </w:hyperlink>
        </w:p>
        <w:p w14:paraId="13EAF018" w14:textId="399ACCB9" w:rsidR="009E5193" w:rsidRDefault="005C4AE6">
          <w:pPr>
            <w:pStyle w:val="TOC2"/>
            <w:tabs>
              <w:tab w:val="left" w:pos="880"/>
              <w:tab w:val="right" w:leader="dot" w:pos="9016"/>
            </w:tabs>
            <w:rPr>
              <w:rFonts w:eastAsiaTheme="minorEastAsia"/>
              <w:noProof/>
              <w:lang w:eastAsia="en-GB"/>
            </w:rPr>
          </w:pPr>
          <w:hyperlink w:anchor="_Toc89122289" w:history="1">
            <w:r w:rsidR="009E5193" w:rsidRPr="00260F8E">
              <w:rPr>
                <w:rStyle w:val="Hyperlink"/>
                <w:noProof/>
              </w:rPr>
              <w:t>3.1</w:t>
            </w:r>
            <w:r w:rsidR="009E5193">
              <w:rPr>
                <w:rFonts w:eastAsiaTheme="minorEastAsia"/>
                <w:noProof/>
                <w:lang w:eastAsia="en-GB"/>
              </w:rPr>
              <w:tab/>
            </w:r>
            <w:r w:rsidR="009E5193" w:rsidRPr="00260F8E">
              <w:rPr>
                <w:rStyle w:val="Hyperlink"/>
                <w:noProof/>
              </w:rPr>
              <w:t>PESTLE Analysis</w:t>
            </w:r>
            <w:r w:rsidR="009E5193">
              <w:rPr>
                <w:noProof/>
                <w:webHidden/>
              </w:rPr>
              <w:tab/>
            </w:r>
            <w:r w:rsidR="009E5193">
              <w:rPr>
                <w:noProof/>
                <w:webHidden/>
              </w:rPr>
              <w:fldChar w:fldCharType="begin"/>
            </w:r>
            <w:r w:rsidR="009E5193">
              <w:rPr>
                <w:noProof/>
                <w:webHidden/>
              </w:rPr>
              <w:instrText xml:space="preserve"> PAGEREF _Toc89122289 \h </w:instrText>
            </w:r>
            <w:r w:rsidR="009E5193">
              <w:rPr>
                <w:noProof/>
                <w:webHidden/>
              </w:rPr>
            </w:r>
            <w:r w:rsidR="009E5193">
              <w:rPr>
                <w:noProof/>
                <w:webHidden/>
              </w:rPr>
              <w:fldChar w:fldCharType="separate"/>
            </w:r>
            <w:r w:rsidR="009E5193">
              <w:rPr>
                <w:noProof/>
                <w:webHidden/>
              </w:rPr>
              <w:t>9</w:t>
            </w:r>
            <w:r w:rsidR="009E5193">
              <w:rPr>
                <w:noProof/>
                <w:webHidden/>
              </w:rPr>
              <w:fldChar w:fldCharType="end"/>
            </w:r>
          </w:hyperlink>
        </w:p>
        <w:p w14:paraId="37098C15" w14:textId="1395874A" w:rsidR="009E5193" w:rsidRDefault="005C4AE6">
          <w:pPr>
            <w:pStyle w:val="TOC2"/>
            <w:tabs>
              <w:tab w:val="left" w:pos="880"/>
              <w:tab w:val="right" w:leader="dot" w:pos="9016"/>
            </w:tabs>
            <w:rPr>
              <w:rFonts w:eastAsiaTheme="minorEastAsia"/>
              <w:noProof/>
              <w:lang w:eastAsia="en-GB"/>
            </w:rPr>
          </w:pPr>
          <w:hyperlink w:anchor="_Toc89122290" w:history="1">
            <w:r w:rsidR="009E5193" w:rsidRPr="00260F8E">
              <w:rPr>
                <w:rStyle w:val="Hyperlink"/>
                <w:noProof/>
              </w:rPr>
              <w:t>3.2</w:t>
            </w:r>
            <w:r w:rsidR="009E5193">
              <w:rPr>
                <w:rFonts w:eastAsiaTheme="minorEastAsia"/>
                <w:noProof/>
                <w:lang w:eastAsia="en-GB"/>
              </w:rPr>
              <w:tab/>
            </w:r>
            <w:r w:rsidR="009E5193" w:rsidRPr="00260F8E">
              <w:rPr>
                <w:rStyle w:val="Hyperlink"/>
                <w:noProof/>
              </w:rPr>
              <w:t>SWOT Analysis</w:t>
            </w:r>
            <w:r w:rsidR="009E5193">
              <w:rPr>
                <w:noProof/>
                <w:webHidden/>
              </w:rPr>
              <w:tab/>
            </w:r>
            <w:r w:rsidR="009E5193">
              <w:rPr>
                <w:noProof/>
                <w:webHidden/>
              </w:rPr>
              <w:fldChar w:fldCharType="begin"/>
            </w:r>
            <w:r w:rsidR="009E5193">
              <w:rPr>
                <w:noProof/>
                <w:webHidden/>
              </w:rPr>
              <w:instrText xml:space="preserve"> PAGEREF _Toc89122290 \h </w:instrText>
            </w:r>
            <w:r w:rsidR="009E5193">
              <w:rPr>
                <w:noProof/>
                <w:webHidden/>
              </w:rPr>
            </w:r>
            <w:r w:rsidR="009E5193">
              <w:rPr>
                <w:noProof/>
                <w:webHidden/>
              </w:rPr>
              <w:fldChar w:fldCharType="separate"/>
            </w:r>
            <w:r w:rsidR="009E5193">
              <w:rPr>
                <w:noProof/>
                <w:webHidden/>
              </w:rPr>
              <w:t>9</w:t>
            </w:r>
            <w:r w:rsidR="009E5193">
              <w:rPr>
                <w:noProof/>
                <w:webHidden/>
              </w:rPr>
              <w:fldChar w:fldCharType="end"/>
            </w:r>
          </w:hyperlink>
        </w:p>
        <w:p w14:paraId="044FC06C" w14:textId="494C4BC3" w:rsidR="009E5193" w:rsidRDefault="005C4AE6">
          <w:pPr>
            <w:pStyle w:val="TOC1"/>
            <w:tabs>
              <w:tab w:val="left" w:pos="440"/>
              <w:tab w:val="right" w:leader="dot" w:pos="9016"/>
            </w:tabs>
            <w:rPr>
              <w:rFonts w:eastAsiaTheme="minorEastAsia"/>
              <w:noProof/>
              <w:lang w:eastAsia="en-GB"/>
            </w:rPr>
          </w:pPr>
          <w:hyperlink w:anchor="_Toc89122291" w:history="1">
            <w:r w:rsidR="009E5193" w:rsidRPr="00260F8E">
              <w:rPr>
                <w:rStyle w:val="Hyperlink"/>
                <w:noProof/>
              </w:rPr>
              <w:t>4</w:t>
            </w:r>
            <w:r w:rsidR="009E5193">
              <w:rPr>
                <w:rFonts w:eastAsiaTheme="minorEastAsia"/>
                <w:noProof/>
                <w:lang w:eastAsia="en-GB"/>
              </w:rPr>
              <w:tab/>
            </w:r>
            <w:r w:rsidR="009E5193" w:rsidRPr="00260F8E">
              <w:rPr>
                <w:rStyle w:val="Hyperlink"/>
                <w:noProof/>
              </w:rPr>
              <w:t>Conclusion &amp; Further Work</w:t>
            </w:r>
            <w:r w:rsidR="009E5193">
              <w:rPr>
                <w:noProof/>
                <w:webHidden/>
              </w:rPr>
              <w:tab/>
            </w:r>
            <w:r w:rsidR="009E5193">
              <w:rPr>
                <w:noProof/>
                <w:webHidden/>
              </w:rPr>
              <w:fldChar w:fldCharType="begin"/>
            </w:r>
            <w:r w:rsidR="009E5193">
              <w:rPr>
                <w:noProof/>
                <w:webHidden/>
              </w:rPr>
              <w:instrText xml:space="preserve"> PAGEREF _Toc89122291 \h </w:instrText>
            </w:r>
            <w:r w:rsidR="009E5193">
              <w:rPr>
                <w:noProof/>
                <w:webHidden/>
              </w:rPr>
            </w:r>
            <w:r w:rsidR="009E5193">
              <w:rPr>
                <w:noProof/>
                <w:webHidden/>
              </w:rPr>
              <w:fldChar w:fldCharType="separate"/>
            </w:r>
            <w:r w:rsidR="009E5193">
              <w:rPr>
                <w:noProof/>
                <w:webHidden/>
              </w:rPr>
              <w:t>10</w:t>
            </w:r>
            <w:r w:rsidR="009E5193">
              <w:rPr>
                <w:noProof/>
                <w:webHidden/>
              </w:rPr>
              <w:fldChar w:fldCharType="end"/>
            </w:r>
          </w:hyperlink>
        </w:p>
        <w:p w14:paraId="0295AAF5" w14:textId="5E4DE298" w:rsidR="009E5193" w:rsidRDefault="005C4AE6">
          <w:pPr>
            <w:pStyle w:val="TOC1"/>
            <w:tabs>
              <w:tab w:val="left" w:pos="440"/>
              <w:tab w:val="right" w:leader="dot" w:pos="9016"/>
            </w:tabs>
            <w:rPr>
              <w:rFonts w:eastAsiaTheme="minorEastAsia"/>
              <w:noProof/>
              <w:lang w:eastAsia="en-GB"/>
            </w:rPr>
          </w:pPr>
          <w:hyperlink w:anchor="_Toc89122292" w:history="1">
            <w:r w:rsidR="009E5193" w:rsidRPr="00260F8E">
              <w:rPr>
                <w:rStyle w:val="Hyperlink"/>
                <w:noProof/>
              </w:rPr>
              <w:t>5</w:t>
            </w:r>
            <w:r w:rsidR="009E5193">
              <w:rPr>
                <w:rFonts w:eastAsiaTheme="minorEastAsia"/>
                <w:noProof/>
                <w:lang w:eastAsia="en-GB"/>
              </w:rPr>
              <w:tab/>
            </w:r>
            <w:r w:rsidR="009E5193" w:rsidRPr="00260F8E">
              <w:rPr>
                <w:rStyle w:val="Hyperlink"/>
                <w:noProof/>
              </w:rPr>
              <w:t>References</w:t>
            </w:r>
            <w:r w:rsidR="009E5193">
              <w:rPr>
                <w:noProof/>
                <w:webHidden/>
              </w:rPr>
              <w:tab/>
            </w:r>
            <w:r w:rsidR="009E5193">
              <w:rPr>
                <w:noProof/>
                <w:webHidden/>
              </w:rPr>
              <w:fldChar w:fldCharType="begin"/>
            </w:r>
            <w:r w:rsidR="009E5193">
              <w:rPr>
                <w:noProof/>
                <w:webHidden/>
              </w:rPr>
              <w:instrText xml:space="preserve"> PAGEREF _Toc89122292 \h </w:instrText>
            </w:r>
            <w:r w:rsidR="009E5193">
              <w:rPr>
                <w:noProof/>
                <w:webHidden/>
              </w:rPr>
            </w:r>
            <w:r w:rsidR="009E5193">
              <w:rPr>
                <w:noProof/>
                <w:webHidden/>
              </w:rPr>
              <w:fldChar w:fldCharType="separate"/>
            </w:r>
            <w:r w:rsidR="009E5193">
              <w:rPr>
                <w:noProof/>
                <w:webHidden/>
              </w:rPr>
              <w:t>11</w:t>
            </w:r>
            <w:r w:rsidR="009E5193">
              <w:rPr>
                <w:noProof/>
                <w:webHidden/>
              </w:rPr>
              <w:fldChar w:fldCharType="end"/>
            </w:r>
          </w:hyperlink>
        </w:p>
        <w:p w14:paraId="55CA8848" w14:textId="42CC2390" w:rsidR="00B149AC" w:rsidRDefault="00B149AC">
          <w:r>
            <w:rPr>
              <w:b/>
              <w:bCs/>
              <w:noProof/>
            </w:rPr>
            <w:fldChar w:fldCharType="end"/>
          </w:r>
        </w:p>
      </w:sdtContent>
    </w:sdt>
    <w:tbl>
      <w:tblPr>
        <w:tblStyle w:val="TableGrid"/>
        <w:tblW w:w="0" w:type="auto"/>
        <w:tblLook w:val="04A0" w:firstRow="1" w:lastRow="0" w:firstColumn="1" w:lastColumn="0" w:noHBand="0" w:noVBand="1"/>
      </w:tblPr>
      <w:tblGrid>
        <w:gridCol w:w="4508"/>
        <w:gridCol w:w="4508"/>
      </w:tblGrid>
      <w:tr w:rsidR="008D3B57" w14:paraId="6121869E" w14:textId="77777777" w:rsidTr="008D3B57">
        <w:tc>
          <w:tcPr>
            <w:tcW w:w="4508" w:type="dxa"/>
          </w:tcPr>
          <w:p w14:paraId="22AF49B0" w14:textId="223E0BE5" w:rsidR="008D3B57" w:rsidRDefault="00CB7CD2" w:rsidP="007D7774">
            <w:r>
              <w:t>Abbreviation</w:t>
            </w:r>
          </w:p>
        </w:tc>
        <w:tc>
          <w:tcPr>
            <w:tcW w:w="4508" w:type="dxa"/>
          </w:tcPr>
          <w:p w14:paraId="39AA9BA3" w14:textId="55638AEE" w:rsidR="008D3B57" w:rsidRDefault="00CB7CD2" w:rsidP="007D7774">
            <w:r>
              <w:t>Meaning</w:t>
            </w:r>
          </w:p>
        </w:tc>
      </w:tr>
      <w:tr w:rsidR="008D3B57" w14:paraId="2731901B" w14:textId="77777777" w:rsidTr="008D3B57">
        <w:tc>
          <w:tcPr>
            <w:tcW w:w="4508" w:type="dxa"/>
          </w:tcPr>
          <w:p w14:paraId="5E364366" w14:textId="134C4711" w:rsidR="008D3B57" w:rsidRDefault="00CB7CD2" w:rsidP="007D7774">
            <w:r>
              <w:t>EV’s</w:t>
            </w:r>
          </w:p>
        </w:tc>
        <w:tc>
          <w:tcPr>
            <w:tcW w:w="4508" w:type="dxa"/>
          </w:tcPr>
          <w:p w14:paraId="62C47E63" w14:textId="7732AB27" w:rsidR="008D3B57" w:rsidRDefault="00CB7CD2" w:rsidP="007D7774">
            <w:r>
              <w:t>Electric vehicles</w:t>
            </w:r>
          </w:p>
        </w:tc>
      </w:tr>
      <w:tr w:rsidR="008D3B57" w14:paraId="04996FCC" w14:textId="77777777" w:rsidTr="008D3B57">
        <w:tc>
          <w:tcPr>
            <w:tcW w:w="4508" w:type="dxa"/>
          </w:tcPr>
          <w:p w14:paraId="3372241E" w14:textId="2DE9961B" w:rsidR="008D3B57" w:rsidRDefault="00CB7CD2" w:rsidP="007D7774">
            <w:r>
              <w:t>ICEV’s</w:t>
            </w:r>
          </w:p>
        </w:tc>
        <w:tc>
          <w:tcPr>
            <w:tcW w:w="4508" w:type="dxa"/>
          </w:tcPr>
          <w:p w14:paraId="3CE0513D" w14:textId="7BC8E68A" w:rsidR="008D3B57" w:rsidRDefault="00CB7CD2" w:rsidP="007D7774">
            <w:r>
              <w:t>Internal combustion engine vehicles</w:t>
            </w:r>
          </w:p>
        </w:tc>
      </w:tr>
      <w:tr w:rsidR="008D3B57" w14:paraId="4CD85F94" w14:textId="77777777" w:rsidTr="008D3B57">
        <w:tc>
          <w:tcPr>
            <w:tcW w:w="4508" w:type="dxa"/>
          </w:tcPr>
          <w:p w14:paraId="0D62A866" w14:textId="67FD2F9E" w:rsidR="008D3B57" w:rsidRDefault="00CB7CD2" w:rsidP="007D7774">
            <w:r>
              <w:t>BEV’s</w:t>
            </w:r>
          </w:p>
        </w:tc>
        <w:tc>
          <w:tcPr>
            <w:tcW w:w="4508" w:type="dxa"/>
          </w:tcPr>
          <w:p w14:paraId="1CE308E1" w14:textId="47374C39" w:rsidR="00CB7CD2" w:rsidRDefault="00CB7CD2" w:rsidP="007D7774">
            <w:r>
              <w:t>Battery electric vehicles</w:t>
            </w:r>
          </w:p>
        </w:tc>
      </w:tr>
      <w:tr w:rsidR="008D3B57" w14:paraId="21EE8522" w14:textId="77777777" w:rsidTr="008D3B57">
        <w:tc>
          <w:tcPr>
            <w:tcW w:w="4508" w:type="dxa"/>
          </w:tcPr>
          <w:p w14:paraId="23D78151" w14:textId="3EE17E9D" w:rsidR="008D3B57" w:rsidRDefault="00CB7CD2" w:rsidP="007D7774">
            <w:r>
              <w:t>Li-ion</w:t>
            </w:r>
          </w:p>
        </w:tc>
        <w:tc>
          <w:tcPr>
            <w:tcW w:w="4508" w:type="dxa"/>
          </w:tcPr>
          <w:p w14:paraId="1D88BE05" w14:textId="2787E0BC" w:rsidR="008D3B57" w:rsidRDefault="00CB7CD2" w:rsidP="007D7774">
            <w:r>
              <w:t>Lithium-ion</w:t>
            </w:r>
          </w:p>
        </w:tc>
      </w:tr>
      <w:tr w:rsidR="008D3B57" w14:paraId="5482B21A" w14:textId="77777777" w:rsidTr="008D3B57">
        <w:tc>
          <w:tcPr>
            <w:tcW w:w="4508" w:type="dxa"/>
          </w:tcPr>
          <w:p w14:paraId="56762F7C" w14:textId="77777777" w:rsidR="008D3B57" w:rsidRDefault="008D3B57" w:rsidP="007D7774"/>
        </w:tc>
        <w:tc>
          <w:tcPr>
            <w:tcW w:w="4508" w:type="dxa"/>
          </w:tcPr>
          <w:p w14:paraId="0F08827D" w14:textId="77777777" w:rsidR="008D3B57" w:rsidRDefault="008D3B57" w:rsidP="007D7774"/>
        </w:tc>
      </w:tr>
      <w:tr w:rsidR="008D3B57" w14:paraId="7D6F68F8" w14:textId="77777777" w:rsidTr="008D3B57">
        <w:tc>
          <w:tcPr>
            <w:tcW w:w="4508" w:type="dxa"/>
          </w:tcPr>
          <w:p w14:paraId="34F76E3B" w14:textId="77777777" w:rsidR="008D3B57" w:rsidRDefault="008D3B57" w:rsidP="007D7774"/>
        </w:tc>
        <w:tc>
          <w:tcPr>
            <w:tcW w:w="4508" w:type="dxa"/>
          </w:tcPr>
          <w:p w14:paraId="134C9EA9" w14:textId="77777777" w:rsidR="008D3B57" w:rsidRDefault="008D3B57" w:rsidP="007D7774"/>
        </w:tc>
      </w:tr>
      <w:tr w:rsidR="008D3B57" w14:paraId="5ABB0927" w14:textId="77777777" w:rsidTr="008D3B57">
        <w:tc>
          <w:tcPr>
            <w:tcW w:w="4508" w:type="dxa"/>
          </w:tcPr>
          <w:p w14:paraId="361AFF69" w14:textId="77777777" w:rsidR="008D3B57" w:rsidRDefault="008D3B57" w:rsidP="007D7774"/>
        </w:tc>
        <w:tc>
          <w:tcPr>
            <w:tcW w:w="4508" w:type="dxa"/>
          </w:tcPr>
          <w:p w14:paraId="44C528CD" w14:textId="77777777" w:rsidR="008D3B57" w:rsidRDefault="008D3B57" w:rsidP="007D7774"/>
        </w:tc>
      </w:tr>
    </w:tbl>
    <w:p w14:paraId="414A3803" w14:textId="77777777" w:rsidR="007D7774" w:rsidRDefault="007D7774" w:rsidP="007D7774">
      <w:pPr>
        <w:sectPr w:rsidR="007D7774" w:rsidSect="00B149AC">
          <w:footerReference w:type="default" r:id="rId8"/>
          <w:pgSz w:w="11906" w:h="16838"/>
          <w:pgMar w:top="1440" w:right="1440" w:bottom="1440" w:left="1440" w:header="708" w:footer="708" w:gutter="0"/>
          <w:pgNumType w:fmt="lowerRoman"/>
          <w:cols w:space="708"/>
          <w:titlePg/>
          <w:docGrid w:linePitch="360"/>
        </w:sectPr>
      </w:pPr>
    </w:p>
    <w:p w14:paraId="0186DA2A" w14:textId="7F0672D3" w:rsidR="007D7774" w:rsidRDefault="007D7774" w:rsidP="007D7774">
      <w:pPr>
        <w:pStyle w:val="Heading1"/>
      </w:pPr>
      <w:bookmarkStart w:id="0" w:name="_Toc89122281"/>
      <w:r>
        <w:lastRenderedPageBreak/>
        <w:t>Introduction</w:t>
      </w:r>
      <w:bookmarkEnd w:id="0"/>
    </w:p>
    <w:p w14:paraId="0A71530C" w14:textId="56451033" w:rsidR="00F17A0A" w:rsidRDefault="00F17A0A" w:rsidP="00F17A0A">
      <w:r>
        <w:t>Currently, the focus on powering cars is shifting rapidly to renewable sources. The most popular and widespread with implementation so far is electric powered vehicles, fuelled by batteries on board the vehicle. In the UK, there are over 300,000 battery-powered electric vehicles (</w:t>
      </w:r>
      <w:r w:rsidR="005B27F2">
        <w:t xml:space="preserve">RAC Foundation, </w:t>
      </w:r>
      <w:r w:rsidR="000A22AD">
        <w:t>2021</w:t>
      </w:r>
      <w:r>
        <w:t>). With an estimation of more than 38.6 million vehicles registered on the road in the UK, battery powered vehicles form just 0.7% of all vehicles on the road in 2021 (</w:t>
      </w:r>
      <w:r w:rsidR="000A22AD">
        <w:t>RAC, 2021</w:t>
      </w:r>
      <w:r>
        <w:t xml:space="preserve">).    </w:t>
      </w:r>
    </w:p>
    <w:p w14:paraId="590AB291" w14:textId="3EADFAF4" w:rsidR="00F17A0A" w:rsidRPr="00F17A0A" w:rsidRDefault="00F17A0A" w:rsidP="00F17A0A">
      <w:r>
        <w:t>However, goals set by the government to limit and eventually counteract climate change are being implemented at a pace that will only increase the number of electric vehicles on the road. Indeed, from 2020 to 2021, there has already been an increase of 125,000 electric vehicles on the road; a gain of almost 38% (</w:t>
      </w:r>
      <w:r w:rsidR="000A22AD">
        <w:t>RAC Foundation, 2021</w:t>
      </w:r>
      <w:r>
        <w:t>). Even this is not the full picture however, as if vehicle ownership habits remain the same, then by 2035 all 38.6 million cars on the road will need to have zero emissions – currently, this is only provided</w:t>
      </w:r>
      <w:r w:rsidR="003747D4">
        <w:t xml:space="preserve"> on a large scale</w:t>
      </w:r>
      <w:r>
        <w:t xml:space="preserve"> by electrical power. </w:t>
      </w:r>
      <w:r w:rsidR="00DE78C9">
        <w:t xml:space="preserve">A transition to </w:t>
      </w:r>
      <w:r w:rsidR="00647444">
        <w:t>100% of cars on UK roads being EV’s</w:t>
      </w:r>
      <w:r>
        <w:t xml:space="preserve"> would </w:t>
      </w:r>
      <w:r w:rsidR="00BA14F4">
        <w:t>mean an overall increase in demand of</w:t>
      </w:r>
      <w:r w:rsidR="00647444">
        <w:t xml:space="preserve"> 86.3TWh of electricity</w:t>
      </w:r>
      <w:r w:rsidR="003747D4">
        <w:t xml:space="preserve"> </w:t>
      </w:r>
      <w:r w:rsidR="00BA14F4">
        <w:t>from the National Grid</w:t>
      </w:r>
      <w:r w:rsidR="003747D4">
        <w:t xml:space="preserve"> (</w:t>
      </w:r>
      <w:proofErr w:type="spellStart"/>
      <w:r w:rsidR="009D61B3" w:rsidRPr="009D61B3">
        <w:t>Milev</w:t>
      </w:r>
      <w:proofErr w:type="spellEnd"/>
      <w:r w:rsidR="009D61B3" w:rsidRPr="009D61B3">
        <w:t>, G</w:t>
      </w:r>
      <w:r w:rsidR="009D61B3">
        <w:t xml:space="preserve"> </w:t>
      </w:r>
      <w:r w:rsidR="009D61B3">
        <w:rPr>
          <w:i/>
          <w:iCs/>
        </w:rPr>
        <w:t xml:space="preserve">et al, </w:t>
      </w:r>
      <w:r w:rsidR="00BE0A63">
        <w:t>2021</w:t>
      </w:r>
      <w:r w:rsidR="003747D4">
        <w:t>)</w:t>
      </w:r>
      <w:r>
        <w:t>. Consequently, steps need to be taken to reduce the peak consumption of electricity from the grid, to avoid issues such as blackouts. This is where vehicle</w:t>
      </w:r>
      <w:r w:rsidR="00BA14F4">
        <w:t>-</w:t>
      </w:r>
      <w:r>
        <w:t>to</w:t>
      </w:r>
      <w:r w:rsidR="00BA14F4">
        <w:t>-</w:t>
      </w:r>
      <w:r>
        <w:t xml:space="preserve">grid technology can be useful. </w:t>
      </w:r>
    </w:p>
    <w:p w14:paraId="09BC6995" w14:textId="7087BCFF" w:rsidR="00B149AC" w:rsidRDefault="00B149AC" w:rsidP="00B149AC">
      <w:pPr>
        <w:pStyle w:val="Heading2"/>
      </w:pPr>
      <w:bookmarkStart w:id="1" w:name="_Toc89122282"/>
      <w:r>
        <w:t>Aims</w:t>
      </w:r>
      <w:bookmarkEnd w:id="1"/>
    </w:p>
    <w:p w14:paraId="258FB937" w14:textId="672A734E" w:rsidR="00031602" w:rsidRDefault="00031602" w:rsidP="00031602">
      <w:pPr>
        <w:pStyle w:val="ListParagraph"/>
        <w:numPr>
          <w:ilvl w:val="0"/>
          <w:numId w:val="3"/>
        </w:numPr>
      </w:pPr>
      <w:r>
        <w:t>Investigate the need for vehicle-to-grid technology.</w:t>
      </w:r>
    </w:p>
    <w:p w14:paraId="3F66B279" w14:textId="320057B4" w:rsidR="00031602" w:rsidRDefault="00554A99" w:rsidP="00031602">
      <w:pPr>
        <w:pStyle w:val="ListParagraph"/>
        <w:numPr>
          <w:ilvl w:val="0"/>
          <w:numId w:val="3"/>
        </w:numPr>
      </w:pPr>
      <w:r>
        <w:t xml:space="preserve"> </w:t>
      </w:r>
      <w:r w:rsidR="00B71B75">
        <w:t>Understand</w:t>
      </w:r>
      <w:r>
        <w:t xml:space="preserve"> the functions of vehicle-to-grid technology.</w:t>
      </w:r>
    </w:p>
    <w:p w14:paraId="5C5E6D91" w14:textId="2B7B924C" w:rsidR="00554A99" w:rsidRDefault="009302F1" w:rsidP="00031602">
      <w:pPr>
        <w:pStyle w:val="ListParagraph"/>
        <w:numPr>
          <w:ilvl w:val="0"/>
          <w:numId w:val="3"/>
        </w:numPr>
      </w:pPr>
      <w:r>
        <w:t>Evaluate the capability of current technologies.</w:t>
      </w:r>
    </w:p>
    <w:p w14:paraId="5856DD9F" w14:textId="27C8EAAD" w:rsidR="009302F1" w:rsidRDefault="009302F1" w:rsidP="00031602">
      <w:pPr>
        <w:pStyle w:val="ListParagraph"/>
        <w:numPr>
          <w:ilvl w:val="0"/>
          <w:numId w:val="3"/>
        </w:numPr>
      </w:pPr>
      <w:r>
        <w:t>Understand what developments will be needed to meet the requirements for an effective vehicle-to-grid system.</w:t>
      </w:r>
    </w:p>
    <w:p w14:paraId="5E4E7A33" w14:textId="01FEFA0B" w:rsidR="009302F1" w:rsidRPr="00031602" w:rsidRDefault="009302F1" w:rsidP="00031602">
      <w:pPr>
        <w:pStyle w:val="ListParagraph"/>
        <w:numPr>
          <w:ilvl w:val="0"/>
          <w:numId w:val="3"/>
        </w:numPr>
      </w:pPr>
      <w:r>
        <w:t xml:space="preserve">Form a conclusion as to the feasibility of vehicle-to-grid technology with regards to the chosen application. </w:t>
      </w:r>
    </w:p>
    <w:p w14:paraId="226A88C3" w14:textId="5A22DE31" w:rsidR="00B149AC" w:rsidRDefault="00B149AC" w:rsidP="00B149AC">
      <w:pPr>
        <w:pStyle w:val="Heading2"/>
      </w:pPr>
      <w:bookmarkStart w:id="2" w:name="_Toc89122283"/>
      <w:r>
        <w:t>Objectives</w:t>
      </w:r>
      <w:bookmarkEnd w:id="2"/>
    </w:p>
    <w:p w14:paraId="51E00E9E" w14:textId="3E0FB121" w:rsidR="00031602" w:rsidRDefault="00EC6369" w:rsidP="00031602">
      <w:pPr>
        <w:pStyle w:val="ListParagraph"/>
        <w:numPr>
          <w:ilvl w:val="0"/>
          <w:numId w:val="3"/>
        </w:numPr>
      </w:pPr>
      <w:r>
        <w:t>Research the impacts that fossil-fuelled vehicles have on the environment.</w:t>
      </w:r>
    </w:p>
    <w:p w14:paraId="7445A8DD" w14:textId="184E3D1C" w:rsidR="00EC6369" w:rsidRDefault="00AE276E" w:rsidP="00031602">
      <w:pPr>
        <w:pStyle w:val="ListParagraph"/>
        <w:numPr>
          <w:ilvl w:val="0"/>
          <w:numId w:val="3"/>
        </w:numPr>
      </w:pPr>
      <w:r>
        <w:t xml:space="preserve">Research </w:t>
      </w:r>
      <w:r w:rsidR="009E5CAF">
        <w:t>how vehicle-to-grid technology functions.</w:t>
      </w:r>
    </w:p>
    <w:p w14:paraId="212FCD7B" w14:textId="45F06057" w:rsidR="001101BD" w:rsidRDefault="001101BD" w:rsidP="0070356D">
      <w:pPr>
        <w:pStyle w:val="ListParagraph"/>
        <w:numPr>
          <w:ilvl w:val="0"/>
          <w:numId w:val="3"/>
        </w:numPr>
      </w:pPr>
      <w:r>
        <w:t>Obtain an understanding of what vehicle-to-grid requires to function properly.</w:t>
      </w:r>
    </w:p>
    <w:p w14:paraId="4B880173" w14:textId="3B894959" w:rsidR="0070356D" w:rsidRDefault="00BC432D" w:rsidP="0070356D">
      <w:pPr>
        <w:pStyle w:val="ListParagraph"/>
        <w:numPr>
          <w:ilvl w:val="0"/>
          <w:numId w:val="3"/>
        </w:numPr>
      </w:pPr>
      <w:r>
        <w:t>Formulate the key areas in which technology is affected by a vehicle-to-grid system.</w:t>
      </w:r>
    </w:p>
    <w:p w14:paraId="681862A3" w14:textId="7C4C97D2" w:rsidR="00BC432D" w:rsidRDefault="00360B18" w:rsidP="0070356D">
      <w:pPr>
        <w:pStyle w:val="ListParagraph"/>
        <w:numPr>
          <w:ilvl w:val="0"/>
          <w:numId w:val="3"/>
        </w:numPr>
      </w:pPr>
      <w:r>
        <w:t xml:space="preserve">Research into the current, and proposed, technologies for each key area. </w:t>
      </w:r>
    </w:p>
    <w:p w14:paraId="5E02F98F" w14:textId="339A075D" w:rsidR="00360B18" w:rsidRDefault="00BF723E" w:rsidP="0070356D">
      <w:pPr>
        <w:pStyle w:val="ListParagraph"/>
        <w:numPr>
          <w:ilvl w:val="0"/>
          <w:numId w:val="3"/>
        </w:numPr>
      </w:pPr>
      <w:r>
        <w:t xml:space="preserve">Analyse the research to </w:t>
      </w:r>
      <w:r w:rsidR="004014DF">
        <w:t>demonstrate the progress required to reach a beneficial vehicle-to-grid system.</w:t>
      </w:r>
    </w:p>
    <w:p w14:paraId="618E32C5" w14:textId="759318AA" w:rsidR="004014DF" w:rsidRDefault="004014DF" w:rsidP="0070356D">
      <w:pPr>
        <w:pStyle w:val="ListParagraph"/>
        <w:numPr>
          <w:ilvl w:val="0"/>
          <w:numId w:val="3"/>
        </w:numPr>
      </w:pPr>
      <w:r>
        <w:lastRenderedPageBreak/>
        <w:t xml:space="preserve">Evaluate the </w:t>
      </w:r>
      <w:r w:rsidR="00C16679">
        <w:t>possibilities of widespread implementation of vehicle-to-grid systems.</w:t>
      </w:r>
    </w:p>
    <w:p w14:paraId="7E2F695B" w14:textId="70481182" w:rsidR="00C16679" w:rsidRPr="00031602" w:rsidRDefault="00C16679" w:rsidP="0070356D">
      <w:pPr>
        <w:pStyle w:val="ListParagraph"/>
        <w:numPr>
          <w:ilvl w:val="0"/>
          <w:numId w:val="3"/>
        </w:numPr>
      </w:pPr>
      <w:r>
        <w:t xml:space="preserve">Evaluate the </w:t>
      </w:r>
      <w:r w:rsidR="00DB5956">
        <w:t xml:space="preserve">suitability of vehicle-to-grid for the application of </w:t>
      </w:r>
      <w:r w:rsidR="001A1813">
        <w:t xml:space="preserve">domestic vehicle usage. </w:t>
      </w:r>
    </w:p>
    <w:p w14:paraId="1DE08D7A" w14:textId="77777777" w:rsidR="007D7774" w:rsidRDefault="007D7774">
      <w:r>
        <w:br w:type="page"/>
      </w:r>
    </w:p>
    <w:p w14:paraId="49134603" w14:textId="25CA46B6" w:rsidR="007D7774" w:rsidRDefault="007D7774" w:rsidP="007D7774">
      <w:pPr>
        <w:pStyle w:val="Heading1"/>
      </w:pPr>
      <w:bookmarkStart w:id="3" w:name="_Toc89122284"/>
      <w:r>
        <w:lastRenderedPageBreak/>
        <w:t>Literature Review</w:t>
      </w:r>
      <w:bookmarkEnd w:id="3"/>
    </w:p>
    <w:p w14:paraId="4E9B48A8" w14:textId="77777777" w:rsidR="006712E4" w:rsidRDefault="006712E4" w:rsidP="006712E4">
      <w:pPr>
        <w:ind w:left="48"/>
      </w:pPr>
    </w:p>
    <w:p w14:paraId="4C9F448D" w14:textId="26782965" w:rsidR="00837DE4" w:rsidRDefault="006B5F27" w:rsidP="00ED0EA0">
      <w:pPr>
        <w:pStyle w:val="Heading2"/>
      </w:pPr>
      <w:bookmarkStart w:id="4" w:name="_Toc89122285"/>
      <w:r>
        <w:t>Vehicle-to-Grid</w:t>
      </w:r>
      <w:bookmarkEnd w:id="4"/>
    </w:p>
    <w:p w14:paraId="341F4577" w14:textId="37C779C0" w:rsidR="00D06963" w:rsidRPr="00917037" w:rsidRDefault="00D06963" w:rsidP="00D06963">
      <w:pPr>
        <w:rPr>
          <w:color w:val="0563C1" w:themeColor="hyperlink"/>
          <w:u w:val="single"/>
        </w:rPr>
      </w:pPr>
      <w:r>
        <w:t>Allows for electricity stored to be fed back into national grid. Can be chosen by the owner, or through smart chargers which communicate with the grid. One possibility is charging at off-peak times and discharging at peak times, so money can be earned. Being a source that can be used in peak times, they can replace unclean energy sources that would need to supplement energy supply. They can prevent blackouts by ensuring sufficient energy is available; in November 2020, OVO customers’ cars prevented a potential blackout situation. They can also charge during surges, mitigating damages. Smart chargers allow for optimisation of this system; however, they require CHAdeMO chargers and only Nissan provide vehicles that are compatible as of Feb 2021</w:t>
      </w:r>
      <w:r w:rsidR="00917037">
        <w:t xml:space="preserve"> (</w:t>
      </w:r>
      <w:r w:rsidR="000F2587">
        <w:t xml:space="preserve">Topping, C, 2021). </w:t>
      </w:r>
    </w:p>
    <w:p w14:paraId="7F4B5A5E" w14:textId="77777777" w:rsidR="00D06963" w:rsidRDefault="00D06963" w:rsidP="00D06963"/>
    <w:p w14:paraId="677C10D9" w14:textId="32E8C037" w:rsidR="006B6E8A" w:rsidRPr="00F80E70" w:rsidRDefault="006B6E8A" w:rsidP="006B6E8A">
      <w:pPr>
        <w:rPr>
          <w:color w:val="0563C1" w:themeColor="hyperlink"/>
          <w:u w:val="single"/>
        </w:rPr>
      </w:pPr>
      <w:r>
        <w:t>It provides the possibility of smoothing the curve, reducing peak demand. Paper considers batteries, hybrids, and fuel cells. Battery vehicles are the easiest to implement as the only hardware change required is a smart charger to dictate charging and discharging, and the technology to discharge back to the grid in the car. The study shows 85% of an EV’s battery capacity can be used without harming the battery. HEV’s are unlikely to have batteries large enough to provide V2G, although the paper does suggest running the vehicle using its fuel to generate electricity. Fuel cell EV’s would require many changes to be V2G viable, as the fuel levels would deplete to generate electricity. V2G could not replace base load power, however they could act as peak power sources or spinning reserves, which are like peak sources except always available to the grid. Peak power sources are used for a short time annually, however, can be required for up to 5 hours at one time, beyond the capability of current EV batteries. Spinning reserves are paid for the time they are kept available, not just when used. As energy stores, they are most useful in countries with significant renewable dependence (10-30%), however suggested as a secondary priority after peak power and spinning reserves. They provide possibility for peak shaving; charging in the dips in demand and being available as stores during peak, they decrease fluctuation and therefore costs. Using V2G to charge local buildings reduces line losses. Obviously, no emissions are given out while V2G is occurring</w:t>
      </w:r>
      <w:r w:rsidR="00F80E70">
        <w:t xml:space="preserve"> (</w:t>
      </w:r>
      <w:r w:rsidR="00F14609" w:rsidRPr="00F14609">
        <w:t>Tu, Y.</w:t>
      </w:r>
      <w:r w:rsidR="00F14609">
        <w:t xml:space="preserve"> </w:t>
      </w:r>
      <w:r w:rsidR="00F14609">
        <w:rPr>
          <w:i/>
          <w:iCs/>
        </w:rPr>
        <w:t xml:space="preserve">et al, </w:t>
      </w:r>
      <w:r w:rsidR="00F14609" w:rsidRPr="00F14609">
        <w:t>2011).</w:t>
      </w:r>
    </w:p>
    <w:p w14:paraId="75189DF1" w14:textId="0932B6F8" w:rsidR="00624C34" w:rsidRPr="00342813" w:rsidRDefault="001951A0" w:rsidP="00D06963">
      <w:pPr>
        <w:rPr>
          <w:color w:val="0563C1" w:themeColor="hyperlink"/>
          <w:u w:val="single"/>
        </w:rPr>
      </w:pPr>
      <w:r>
        <w:t xml:space="preserve">Different signals given to the vehicle would dictate whether to charge or discharge the battery. V2X is a term which refers to “vehicle-to-anything”, including building and houses, not just the grid. Virta asserts three factors – electrifications, increased energy consumption, and decarbonisation. </w:t>
      </w:r>
      <w:r>
        <w:lastRenderedPageBreak/>
        <w:t>Decarbonisation with regards to energy production primarily means moving away from carbon-emitting fuels such as fossil fuels. Fossil fuels act as an energy store, while solar and wind just produce energy, so storage systems are required. EV batteries are the most cost-efficient method for this as no further hardware is required. With an assumption of 140-240 million EV’s on the roads by 2030, this provides a potential 7TWh of additional storage. Current energy storage systems, such as water lifting stations, are expensive to maintain. Virta’s system focuses on the driver being able to dictate when they next want to use the car</w:t>
      </w:r>
      <w:r w:rsidR="00342813">
        <w:t xml:space="preserve"> (</w:t>
      </w:r>
      <w:r w:rsidR="001A28A3">
        <w:t>Virta, n.d.)</w:t>
      </w:r>
      <w:r w:rsidR="00342813">
        <w:rPr>
          <w:rStyle w:val="Hyperlink"/>
        </w:rPr>
        <w:t xml:space="preserve"> </w:t>
      </w:r>
    </w:p>
    <w:p w14:paraId="03E21F01" w14:textId="08B0B44A" w:rsidR="00624C34" w:rsidRDefault="00B90FCB" w:rsidP="00ED0EA0">
      <w:pPr>
        <w:pStyle w:val="Heading2"/>
      </w:pPr>
      <w:bookmarkStart w:id="5" w:name="_Toc89122286"/>
      <w:r>
        <w:t>Charging</w:t>
      </w:r>
      <w:bookmarkEnd w:id="5"/>
    </w:p>
    <w:p w14:paraId="101CBCEC" w14:textId="77777777" w:rsidR="00B90FCB" w:rsidRDefault="00B90FCB" w:rsidP="00B90FCB"/>
    <w:p w14:paraId="42B1E31B" w14:textId="349D4489" w:rsidR="00B14C94" w:rsidRDefault="00B14C94" w:rsidP="00B14C94">
      <w:r>
        <w:t xml:space="preserve">The widespread implementation of EV’s hinges primarily on the creation of necessary infrastructure. This is the main obstacle for governments aiming to focus on EV’s. There are three different charging speeds available; classified as Level 1, Level 2, and Level 3 (also known as “fast charging”, or DC charging). The power, voltage, and safety requirements increase with each level of charging. Chargers can also be classified as slow, fast, or rapid, describing the charging speed in ascending order. Rapid chargers require the most power and are 50-100kW typically, using either AC or DC.  However, chargers such as the CCS charger or Tesla’s Type 2 can provide up to 350kW and 150kW respectively, being referred to as ultra-rapid chargers. Vehicles compatible with these chargers can be charged within 40 minutes. Tesla’s Model S and Model X use the Type 2 Charger while the Model 3 must use the CCS charger, however adapters can be used to make cars accept different chargers. Charging rates also depend on the capacity of the car to receive charge; cars that cannot receive more than 50kW can use a 100kW source and will simply be limited to receiving 50kW, and the same applies to other charging speeds. Fast chargers, typically providing 7 or 22kW AC, can take 4-6 hours and 12 hours respectively, and so are usually placed in areas where cars will be parked a while e.g., shops car parks. Slow charging units are much lower power, up to 3kW, resulting in a greater time to charge (quoted here as 6-12 hours). Due to this, they are most appropriate for home use, particularly overnight charging; this goes well with the ability to slow charge using a standard three-pin plug found in all UK homes. Most cars are equipped with two ports: one with a connector for home-charging using a domestic plug, and one compatible with a commercial charger. Since there are multiple charger types and therefore connectors, not all vehicles are compatible with all chargers outside of three-pin plugs. This tends to differ based on the manufacturer’s region; European cars typically connect to the European CCS system, while vehicles from the Asian market such as the Nissan Leaf connect to the CHAdeMO chargers. The paper states that in 2018 global energy consumption by EV’s was 58TWh, saving 36 megatons of CO2 in comparison to equivalent fossil-fuel powered vehicles. The benefits of planning the charging point locations include reduced </w:t>
      </w:r>
      <w:r>
        <w:lastRenderedPageBreak/>
        <w:t>congestion, minimised stress on the grid, and optimised parking. The factors used to plan this include population density, the amenities with parking space, power supply, cost, and traffic patterns. The authors of the paper conclude that increased charging infrastructure, financial incentives, and the organisation of the charging infrastructure are key to successfully adopting EV’s</w:t>
      </w:r>
      <w:r w:rsidR="000F08AE">
        <w:t xml:space="preserve"> (</w:t>
      </w:r>
      <w:proofErr w:type="spellStart"/>
      <w:r w:rsidR="0093748D" w:rsidRPr="00ED4459">
        <w:t>Altaleb</w:t>
      </w:r>
      <w:proofErr w:type="spellEnd"/>
      <w:r w:rsidR="0093748D" w:rsidRPr="00ED4459">
        <w:t xml:space="preserve">, H., &amp; </w:t>
      </w:r>
      <w:proofErr w:type="spellStart"/>
      <w:r w:rsidR="0093748D" w:rsidRPr="00ED4459">
        <w:t>Rajnai</w:t>
      </w:r>
      <w:proofErr w:type="spellEnd"/>
      <w:r w:rsidR="0093748D" w:rsidRPr="00ED4459">
        <w:t>, Z.</w:t>
      </w:r>
      <w:r w:rsidR="0093748D">
        <w:t>,</w:t>
      </w:r>
      <w:r w:rsidR="0093748D" w:rsidRPr="00ED4459">
        <w:t xml:space="preserve"> 2020</w:t>
      </w:r>
      <w:r w:rsidR="000F08AE">
        <w:t>)</w:t>
      </w:r>
      <w:r>
        <w:t xml:space="preserve">. </w:t>
      </w:r>
    </w:p>
    <w:p w14:paraId="40C5A2C5" w14:textId="22557EE7" w:rsidR="00B90FCB" w:rsidRDefault="007316B2" w:rsidP="00B90FCB">
      <w:r>
        <w:t>This paper credits rising usage of V2G as increasing EV uptake. There are three contemporary methods of charging an EV: standard conductive charging, wireless charging, and battery-swapping. The battery swap, or “Battery Exchange”, method, involves the battery of the EV being swapped out at a station for a charged battery, with the removed battery being charged and stored until needed. Rent is paid to the swap station for its use. The battery is charged slowly to prolong its lifespan and can be used as part of a V2G system. However, the drawbacks to this system are that the rental of batteries can cost more than the fuelling of a fossil fuel powered vehicle over the same period, while the area needed to store many batteries could be expensive in cities where land is at a premium. Wirelessly charging an EV requires two coils, one inside the vehicle and one in the point of charging, between which electricity is transferred using electromagnetic induction. The range of the electromagnetic currents is usually under a metre. Conductive charging allows for a V2G function and is beneficial in reducing losses to the grid and keeping voltage the same. Of the three levels, Level 3 has the biggest challenges when implementing. The high power and voltage can lead to losses through the transformer, as well as impacting the lifespan of the transformer, and requiring specific infrastructure including exclusive grid connection. Charging standards differ across regions, with the US utilising “IEEE” and “SAE” standards, while Japan and Europe utilise “CHAdeMO”. This leads to differences in classifications of charging types, split into “levels” in SAE standards, while others use “modes”</w:t>
      </w:r>
      <w:r w:rsidR="00F931B4">
        <w:t xml:space="preserve"> (</w:t>
      </w:r>
      <w:proofErr w:type="spellStart"/>
      <w:r w:rsidR="00F931B4" w:rsidRPr="00B64BF8">
        <w:t>Arif</w:t>
      </w:r>
      <w:proofErr w:type="spellEnd"/>
      <w:r w:rsidR="00F931B4" w:rsidRPr="00B64BF8">
        <w:t>, S. M.</w:t>
      </w:r>
      <w:r w:rsidR="00F931B4">
        <w:t xml:space="preserve"> </w:t>
      </w:r>
      <w:r w:rsidR="00F931B4">
        <w:rPr>
          <w:i/>
          <w:iCs/>
        </w:rPr>
        <w:t xml:space="preserve">et al, </w:t>
      </w:r>
      <w:r w:rsidR="00F931B4" w:rsidRPr="00B64BF8">
        <w:t>2021).</w:t>
      </w:r>
    </w:p>
    <w:p w14:paraId="19BA7DCC" w14:textId="7274E981" w:rsidR="007316B2" w:rsidRDefault="00A4563C" w:rsidP="00ED0EA0">
      <w:pPr>
        <w:pStyle w:val="Heading2"/>
      </w:pPr>
      <w:bookmarkStart w:id="6" w:name="_Toc89122287"/>
      <w:r>
        <w:t>Battery</w:t>
      </w:r>
      <w:bookmarkEnd w:id="6"/>
    </w:p>
    <w:p w14:paraId="64D6B6F6" w14:textId="1B400137" w:rsidR="00F16259" w:rsidRDefault="00F16259" w:rsidP="00F16259">
      <w:r>
        <w:t xml:space="preserve">The aim of this paper was to provide a complete study into the impact of EV’s on the environment by considering the range of sizes and comparing to fossil fuel vehicles. Data collected for vehicles using the NEDC provided energy usage across the cycle and kerb weight, which provided a strong correlation for ICE vehicles. Four categories of vehicle were compared: a mini car, medium-sized car, a large car and a luxury car, with charger and battery efficiencies accounted for. Lifecycle inventories were compiled using separate data for both EV’s and lithium-ion batteries. Lifetime use for the vehicles assumed a 12-year lifespan of 15000km driven per year. Average electricity emissions were assumed as European average of 521g CO2/kWh. Meanwhile, disposal of the battery included the separation of its constituent elements. The differences in emissions between the most and least efficient vehicles were similar for EV’s and ICEV’s. The results demonstrate that EV’s are more </w:t>
      </w:r>
      <w:r>
        <w:lastRenderedPageBreak/>
        <w:t xml:space="preserve">damaging with regards to emissions than their counterparts during the production phase, however the ICEV’s cumulative emissions quickly become higher during the usage phase. This difference between contemporaries is accounted for quicker by the most polluting cars, at about 40000km travelled, increasing up to roughly 70000km for the least polluting category. This trend continues to be seen with total lifecycle emissions outputs, as the greatest disparity is between the most harmful EV and ICEV. For both ICEV’s and EV’s, however, the greatest </w:t>
      </w:r>
      <w:proofErr w:type="gramStart"/>
      <w:r>
        <w:t>amount</w:t>
      </w:r>
      <w:proofErr w:type="gramEnd"/>
      <w:r>
        <w:t xml:space="preserve"> of emissions were produced during the usage phase. Between 31 and 46% of the EV’s lifetime emissions were due to the battery production, by far the largest contributor to the difference between ICEV’s and EV’s. Additionally, the batteries caused increased end of life emissions when compared to ICEV’s, causing between 14 and 23% of the </w:t>
      </w:r>
      <w:r w:rsidR="00632A4B">
        <w:t>end-of-life</w:t>
      </w:r>
      <w:r>
        <w:t xml:space="preserve"> emissions of the vehicles, which would not be present in ICEV’s. In a situation where exclusively green electricity was used, the use phase emissions were lowered, making battery production up to 34% of total lifecycle emissions</w:t>
      </w:r>
      <w:r w:rsidR="004A72FD">
        <w:t xml:space="preserve"> (</w:t>
      </w:r>
      <w:proofErr w:type="spellStart"/>
      <w:r w:rsidR="004A72FD" w:rsidRPr="00415DF0">
        <w:t>Ellingsen</w:t>
      </w:r>
      <w:proofErr w:type="spellEnd"/>
      <w:r w:rsidR="004A72FD" w:rsidRPr="00415DF0">
        <w:t>, L. A. W.</w:t>
      </w:r>
      <w:r w:rsidR="004A72FD">
        <w:t xml:space="preserve"> </w:t>
      </w:r>
      <w:r w:rsidR="004A72FD">
        <w:rPr>
          <w:i/>
          <w:iCs/>
        </w:rPr>
        <w:t>et al</w:t>
      </w:r>
      <w:r w:rsidR="004A72FD">
        <w:t xml:space="preserve">, </w:t>
      </w:r>
      <w:r w:rsidR="004A72FD" w:rsidRPr="00415DF0">
        <w:t>2016</w:t>
      </w:r>
      <w:r w:rsidR="004A72FD">
        <w:t>)</w:t>
      </w:r>
      <w:r>
        <w:t xml:space="preserve">. </w:t>
      </w:r>
    </w:p>
    <w:p w14:paraId="45DA9FC1" w14:textId="22006DCF" w:rsidR="00A4563C" w:rsidRDefault="00D25691" w:rsidP="00A4563C">
      <w:r>
        <w:t>Using their modelling, the paper estimates the appropriate lithium batteries will not be up to standard until potentially 2050</w:t>
      </w:r>
      <w:r w:rsidR="00364972">
        <w:t xml:space="preserve"> </w:t>
      </w:r>
      <w:r w:rsidR="00FE1FE6">
        <w:t>(</w:t>
      </w:r>
      <w:proofErr w:type="spellStart"/>
      <w:r w:rsidR="00FE1FE6" w:rsidRPr="00FE1FE6">
        <w:t>Alankus</w:t>
      </w:r>
      <w:proofErr w:type="spellEnd"/>
      <w:r w:rsidR="00FE1FE6" w:rsidRPr="00FE1FE6">
        <w:t>, O. B.</w:t>
      </w:r>
      <w:r w:rsidR="00B64B51">
        <w:t>,</w:t>
      </w:r>
      <w:r w:rsidR="00FE1FE6" w:rsidRPr="00FE1FE6">
        <w:t xml:space="preserve"> 2017).</w:t>
      </w:r>
    </w:p>
    <w:p w14:paraId="58A01C96" w14:textId="61AF1A80" w:rsidR="00B01A31" w:rsidRDefault="00B01A31" w:rsidP="00B01A31">
      <w:r>
        <w:t xml:space="preserve"> With regards to the vehicles themselves, there is great fluctuation even among like vehicles in lifetime emissions due to the differing electricity production of different countries. This affect increases in correlation with vehicle size, due to the increased energy consumption along with mass. The results obtained show that the emissions during the production of the vehicle have the greatest proportional impact on the lifetime emissions of the vehicle in countries with the cleanest electricity production – since the use phase is therefore less harmful in these countries. Larger vehicle batteries do cause increased emissions during their production, which is harmful to the emissions-reducing aims of EV’s. In countries where electricity production is highly dependent on emission-heavy means, the switch to EV’s while maintaining the same energy production infrastructure could cause an increase in overall carbon emissions as opposed to current emissions from ICEV’s, or at the least negligible improvements. In all countries, prioritising larger vehicle categories to EV’s is more effective, also as a result of their higher energy consumption. However, the paper suggests countries which would be negatively affected by the switch to EV’s would be better off focusing on decarbonising their energy production before transferring to a focus on EV’s. Some manufacturers use steam alongside electricity to provide energy, which makes differences between energy usage and electricity usage important to consider. The figure for electricity usage for battery production used by this paper is 43kWh per kWh of battery power, which is the average taken by the authors. The electricity consumption throughout the battery production process is the largest source of emissions during this phase; largely due to the main countries in battery production possessing relatively emission-heavy electricity production. The European Commission aims to have up to 25% </w:t>
      </w:r>
      <w:r>
        <w:lastRenderedPageBreak/>
        <w:t>of global battery production within Europe by 2028. Organising production strategically so that most batteries are produced domestically, or within a close radius, could have benefit, but could also negatively impact that nation’s emissions, as well as potentially being more harmful than current battery production due to the chosen countries’ energy production – Poland here is quoted as being the proposed site of one of the largest battery-production “gigafactories” in Europe, but its electrical production composition is very carbon-based</w:t>
      </w:r>
      <w:r w:rsidR="0043496A">
        <w:t xml:space="preserve"> </w:t>
      </w:r>
      <w:r w:rsidR="001579B6">
        <w:t>(</w:t>
      </w:r>
      <w:r w:rsidR="001579B6" w:rsidRPr="001579B6">
        <w:t>Hung, C. R.</w:t>
      </w:r>
      <w:r w:rsidR="001579B6">
        <w:t xml:space="preserve"> </w:t>
      </w:r>
      <w:r w:rsidR="001579B6">
        <w:rPr>
          <w:i/>
          <w:iCs/>
        </w:rPr>
        <w:t xml:space="preserve">et al, </w:t>
      </w:r>
      <w:r w:rsidR="001579B6" w:rsidRPr="001579B6">
        <w:t>2021)</w:t>
      </w:r>
      <w:r>
        <w:t xml:space="preserve">.  </w:t>
      </w:r>
    </w:p>
    <w:p w14:paraId="08F1FA71" w14:textId="77777777" w:rsidR="00D25691" w:rsidRDefault="00D25691" w:rsidP="00A4563C"/>
    <w:p w14:paraId="69DB5B78" w14:textId="7D81819B" w:rsidR="008638BF" w:rsidRDefault="008638BF" w:rsidP="008638BF">
      <w:r>
        <w:t xml:space="preserve">The resource use of EV’s is a critical part of the analysis of their impact. The objective of this paper is to evaluate the resource use in the production of both EV’s and ICEV’s, enabling a comparison of the two. The paper mainly assesses TMR – total material requirement. This is considered an extensive representation of the resource usage of a vehicle, including materials removed or otherwise disturbed yet unused during the process. The total TMR is vastly lower for the fossil-fuel powered vehicles, at 24,300kg, than any of the others. The TMR for the electric vehicles was almost triple the TMR of the gasoline-powered vehicle, with the electric and hybrid-electric vehicles providing similar figures, less than 10,000kg lower than that of battery electric vehicles at 70,300kg. Certain elements have greater specific TMR during their sourcing, for example copper, which has a much greater TMR than iron. Almost half of the TMR of BEV production is from the primary battery elements, making this by far the most resource-intensive section. Considering maintenance for EV’s can cause a large contribution towards emissions, as replacing the li-ion battery (if necessary) recreates the most emissions-intensive part of the production of the vehicle. While tyres and batteries do affect the TMR of the fossil-fuel vehicles, this is not as great as for the EV’s. While unable to be accurately gauged, the effects of mine water must be accounted for. Typically stored behind dams, this does not cause a problem unless improperly stored or a disaster occurs, in which case the polluting water would be released from its storage, causing harm to the surrounding ecosystem including damage to the vegetation and contaminating the water. The TMR of battery production for EV’s is likely to increase in the future, as the availability of ores along with their quality decreases. Additionally, the capacity of the batteries increasing will also lead to an increase in TMR. Annually, global resource mining for the automotive industry displaces over 2 billion tonnes of land. Recycling the constituent metals of the battery, mainly copper, nickel, manganese and cobalt, could reduce this TMR by 12% however, which could somewhat counteract the future increase if implemented. An even more promising approach is the development of new batteries which are free from some of these metals; for example, a li-ion battery is in development which will not require cobalt. </w:t>
      </w:r>
    </w:p>
    <w:p w14:paraId="177010B2" w14:textId="606B0DE4" w:rsidR="00710908" w:rsidRPr="00710908" w:rsidRDefault="00710908" w:rsidP="00710908">
      <w:r>
        <w:lastRenderedPageBreak/>
        <w:t>The battery, especially li-ion as typically used in transportation, is usually the most expensive aspect of the powertrain system, as well as the part with the lowest lifespan; therefore, needing to be replaced the most often. The paper tested the degradation of a battery through repeated cycling in order to use the data to generate a degradation model, however, only the degradation data is useful to this paper. The paper’s data showed that after 2,000 cycles, the battery’s capacity had been reduced to around 85%. At 80% of original capacity, the battery was considered “dead”</w:t>
      </w:r>
      <w:r w:rsidR="00BA2EA1">
        <w:t>;</w:t>
      </w:r>
      <w:r>
        <w:t xml:space="preserve"> beyond reasonable use for transport purposes</w:t>
      </w:r>
      <w:r w:rsidR="00D41287">
        <w:t xml:space="preserve"> (</w:t>
      </w:r>
      <w:r w:rsidR="00D41287" w:rsidRPr="003A4017">
        <w:t>Kosai, S.</w:t>
      </w:r>
      <w:r w:rsidR="00D41287">
        <w:t xml:space="preserve"> </w:t>
      </w:r>
      <w:r w:rsidR="00D41287">
        <w:rPr>
          <w:i/>
          <w:iCs/>
        </w:rPr>
        <w:t xml:space="preserve">et al, </w:t>
      </w:r>
      <w:r w:rsidR="00D41287" w:rsidRPr="003A4017">
        <w:t>2021).</w:t>
      </w:r>
    </w:p>
    <w:p w14:paraId="1C459C1C" w14:textId="77777777" w:rsidR="006B5F27" w:rsidRPr="006B5F27" w:rsidRDefault="006B5F27" w:rsidP="006B5F27"/>
    <w:p w14:paraId="625D647D" w14:textId="46976A09" w:rsidR="006712E4" w:rsidRDefault="00ED0EA0" w:rsidP="00ED0EA0">
      <w:pPr>
        <w:spacing w:line="259" w:lineRule="auto"/>
      </w:pPr>
      <w:r>
        <w:br w:type="page"/>
      </w:r>
    </w:p>
    <w:p w14:paraId="521AC7C5" w14:textId="4989178B" w:rsidR="00F50A7C" w:rsidRDefault="00AD2923" w:rsidP="00F50A7C">
      <w:pPr>
        <w:pStyle w:val="Heading1"/>
      </w:pPr>
      <w:bookmarkStart w:id="7" w:name="_Toc89122288"/>
      <w:r>
        <w:lastRenderedPageBreak/>
        <w:t>Analysis and Discussion</w:t>
      </w:r>
      <w:bookmarkEnd w:id="7"/>
    </w:p>
    <w:p w14:paraId="0F55561C" w14:textId="37F60EA7" w:rsidR="00F50A7C" w:rsidRDefault="00434BD1" w:rsidP="00F50A7C">
      <w:r>
        <w:t>Allowing owners to choose when they want their vehicles charged by reduces range anxiety and allows for less routine journeys to be easily completed. Charging off-peak and discharging on-peak can earn money for the vehicle’s owner.</w:t>
      </w:r>
    </w:p>
    <w:p w14:paraId="513CD2B5" w14:textId="36123387" w:rsidR="006273AD" w:rsidRDefault="006273AD" w:rsidP="008A1B98">
      <w:pPr>
        <w:pStyle w:val="Heading2"/>
      </w:pPr>
      <w:bookmarkStart w:id="8" w:name="_Toc89122289"/>
      <w:r>
        <w:t>PESTLE Analysis</w:t>
      </w:r>
      <w:bookmarkEnd w:id="8"/>
    </w:p>
    <w:p w14:paraId="788183B8" w14:textId="77777777" w:rsidR="008A1B98" w:rsidRPr="008A1B98" w:rsidRDefault="008A1B98" w:rsidP="008A1B98">
      <w:pPr>
        <w:pStyle w:val="ListParagraph"/>
        <w:numPr>
          <w:ilvl w:val="0"/>
          <w:numId w:val="4"/>
        </w:numPr>
        <w:spacing w:line="259" w:lineRule="auto"/>
      </w:pPr>
      <w:r w:rsidRPr="008A1B98">
        <w:t>Political – government need to invest; government propose harsh regulations on emissions.</w:t>
      </w:r>
    </w:p>
    <w:p w14:paraId="1BA70FE6" w14:textId="77777777" w:rsidR="008A1B98" w:rsidRPr="008A1B98" w:rsidRDefault="008A1B98" w:rsidP="008A1B98">
      <w:pPr>
        <w:pStyle w:val="ListParagraph"/>
        <w:numPr>
          <w:ilvl w:val="0"/>
          <w:numId w:val="4"/>
        </w:numPr>
        <w:spacing w:line="259" w:lineRule="auto"/>
      </w:pPr>
      <w:r w:rsidRPr="008A1B98">
        <w:t>Economical - costs of infrastructure, costs of tech development, costs of more battery production, savings in energy usage.</w:t>
      </w:r>
    </w:p>
    <w:p w14:paraId="7319AD50" w14:textId="77777777" w:rsidR="008A1B98" w:rsidRPr="008A1B98" w:rsidRDefault="008A1B98" w:rsidP="008A1B98">
      <w:pPr>
        <w:pStyle w:val="ListParagraph"/>
        <w:numPr>
          <w:ilvl w:val="0"/>
          <w:numId w:val="4"/>
        </w:numPr>
        <w:spacing w:line="259" w:lineRule="auto"/>
      </w:pPr>
      <w:r w:rsidRPr="008A1B98">
        <w:t>Social – emergencies, changes to driving patterns, some people do not have space to charge a car, implementing to household, electric cars are expensive, savings on energy.</w:t>
      </w:r>
    </w:p>
    <w:p w14:paraId="3B1AD032" w14:textId="77777777" w:rsidR="008A1B98" w:rsidRPr="008A1B98" w:rsidRDefault="008A1B98" w:rsidP="008A1B98">
      <w:pPr>
        <w:pStyle w:val="ListParagraph"/>
        <w:numPr>
          <w:ilvl w:val="0"/>
          <w:numId w:val="4"/>
        </w:numPr>
        <w:spacing w:line="259" w:lineRule="auto"/>
      </w:pPr>
      <w:r w:rsidRPr="008A1B98">
        <w:t xml:space="preserve">Technological – covered in research above, only certain vehicles have it available, fast charging. </w:t>
      </w:r>
    </w:p>
    <w:p w14:paraId="0EB1EB01" w14:textId="77777777" w:rsidR="008A1B98" w:rsidRPr="008A1B98" w:rsidRDefault="008A1B98" w:rsidP="008A1B98">
      <w:pPr>
        <w:pStyle w:val="ListParagraph"/>
        <w:numPr>
          <w:ilvl w:val="0"/>
          <w:numId w:val="4"/>
        </w:numPr>
        <w:spacing w:line="259" w:lineRule="auto"/>
      </w:pPr>
      <w:r w:rsidRPr="008A1B98">
        <w:t>Legal – Regulations.</w:t>
      </w:r>
    </w:p>
    <w:p w14:paraId="5A913ADC" w14:textId="77777777" w:rsidR="008A1B98" w:rsidRDefault="008A1B98" w:rsidP="008A1B98">
      <w:pPr>
        <w:pStyle w:val="ListParagraph"/>
        <w:numPr>
          <w:ilvl w:val="0"/>
          <w:numId w:val="4"/>
        </w:numPr>
        <w:spacing w:line="259" w:lineRule="auto"/>
      </w:pPr>
      <w:r w:rsidRPr="008A1B98">
        <w:t xml:space="preserve">Environmental – helping with renewables, encouraging electric car use, prevents energy wastage (line losses), more energy usage needed to charge electric vehicles, increased battery production. </w:t>
      </w:r>
    </w:p>
    <w:p w14:paraId="6B718226" w14:textId="206719E6" w:rsidR="008A1B98" w:rsidRPr="008A1B98" w:rsidRDefault="008A1B98" w:rsidP="008A1B98">
      <w:pPr>
        <w:pStyle w:val="Heading2"/>
      </w:pPr>
      <w:bookmarkStart w:id="9" w:name="_Toc89122290"/>
      <w:r>
        <w:t>SWOT Analysis</w:t>
      </w:r>
      <w:bookmarkEnd w:id="9"/>
    </w:p>
    <w:p w14:paraId="4F588791" w14:textId="6FBA2C6A" w:rsidR="006273AD" w:rsidRDefault="008A1B98" w:rsidP="008A1B98">
      <w:pPr>
        <w:pStyle w:val="ListParagraph"/>
        <w:numPr>
          <w:ilvl w:val="0"/>
          <w:numId w:val="5"/>
        </w:numPr>
      </w:pPr>
      <w:r>
        <w:t xml:space="preserve">Strengths </w:t>
      </w:r>
      <w:r w:rsidR="00517CA3">
        <w:t>–</w:t>
      </w:r>
      <w:r>
        <w:t xml:space="preserve"> </w:t>
      </w:r>
      <w:r w:rsidR="00517CA3">
        <w:t xml:space="preserve">enables </w:t>
      </w:r>
    </w:p>
    <w:p w14:paraId="0AE95DB6" w14:textId="0799F990" w:rsidR="009E5193" w:rsidRDefault="009E5193" w:rsidP="008A1B98">
      <w:pPr>
        <w:pStyle w:val="ListParagraph"/>
        <w:numPr>
          <w:ilvl w:val="0"/>
          <w:numId w:val="5"/>
        </w:numPr>
      </w:pPr>
      <w:r>
        <w:t xml:space="preserve">Weaknesses – </w:t>
      </w:r>
    </w:p>
    <w:p w14:paraId="631CC5E5" w14:textId="1C1B6D92" w:rsidR="009E5193" w:rsidRDefault="009E5193" w:rsidP="008A1B98">
      <w:pPr>
        <w:pStyle w:val="ListParagraph"/>
        <w:numPr>
          <w:ilvl w:val="0"/>
          <w:numId w:val="5"/>
        </w:numPr>
      </w:pPr>
      <w:r>
        <w:t xml:space="preserve">Opportunities – </w:t>
      </w:r>
    </w:p>
    <w:p w14:paraId="030F6E40" w14:textId="1946E60D" w:rsidR="009E5193" w:rsidRPr="00F50A7C" w:rsidRDefault="009E5193" w:rsidP="008A1B98">
      <w:pPr>
        <w:pStyle w:val="ListParagraph"/>
        <w:numPr>
          <w:ilvl w:val="0"/>
          <w:numId w:val="5"/>
        </w:numPr>
      </w:pPr>
      <w:r>
        <w:t xml:space="preserve">Threats - </w:t>
      </w:r>
    </w:p>
    <w:p w14:paraId="2056F3CC" w14:textId="2E6CFA57" w:rsidR="007D7774" w:rsidRDefault="007D7774">
      <w:r>
        <w:br w:type="page"/>
      </w:r>
    </w:p>
    <w:p w14:paraId="69BC5515" w14:textId="0CFF85C5" w:rsidR="009E5193" w:rsidRDefault="007D7774" w:rsidP="00AC185C">
      <w:pPr>
        <w:pStyle w:val="Heading1"/>
      </w:pPr>
      <w:bookmarkStart w:id="10" w:name="_Toc89122291"/>
      <w:r>
        <w:lastRenderedPageBreak/>
        <w:t>Conclusion &amp; Further Work</w:t>
      </w:r>
      <w:bookmarkEnd w:id="10"/>
    </w:p>
    <w:p w14:paraId="4B5102CA" w14:textId="08FA10D8" w:rsidR="009E5193" w:rsidRDefault="009E5193" w:rsidP="00AC185C">
      <w:pPr>
        <w:pStyle w:val="Heading2"/>
      </w:pPr>
      <w:r>
        <w:t xml:space="preserve">Feasibility of </w:t>
      </w:r>
      <w:r w:rsidR="00AC185C">
        <w:t>Vehicle-to-Grid currently</w:t>
      </w:r>
    </w:p>
    <w:p w14:paraId="42CFEE85" w14:textId="67606AEC" w:rsidR="00AC185C" w:rsidRDefault="00AC185C" w:rsidP="00AC185C">
      <w:pPr>
        <w:pStyle w:val="Heading2"/>
      </w:pPr>
      <w:r>
        <w:t>Future Feasibility/Possibilities</w:t>
      </w:r>
    </w:p>
    <w:p w14:paraId="0CFDF62E" w14:textId="77777777" w:rsidR="00AC185C" w:rsidRDefault="00AC185C" w:rsidP="009E5193"/>
    <w:p w14:paraId="5D27F32C" w14:textId="77777777" w:rsidR="00415DF0" w:rsidRDefault="00415DF0" w:rsidP="00ED4459"/>
    <w:p w14:paraId="1FFEDEAA" w14:textId="77777777" w:rsidR="00B64BF8" w:rsidRDefault="00B64BF8" w:rsidP="00ED4459"/>
    <w:p w14:paraId="0DB32A55" w14:textId="77777777" w:rsidR="00B64BF8" w:rsidRPr="00ED4459" w:rsidRDefault="00B64BF8" w:rsidP="00ED4459"/>
    <w:p w14:paraId="39AA9447" w14:textId="77777777" w:rsidR="00D34FFA" w:rsidRPr="009E5193" w:rsidRDefault="00D34FFA" w:rsidP="009E5193"/>
    <w:p w14:paraId="7D15FE72" w14:textId="323470B8" w:rsidR="00FE6E2C" w:rsidRPr="00FE6E2C" w:rsidRDefault="00FE6E2C" w:rsidP="00C50F9C">
      <w:r>
        <w:br w:type="page"/>
      </w:r>
    </w:p>
    <w:p w14:paraId="2E96F2A0" w14:textId="18D12D35" w:rsidR="007D7774" w:rsidRDefault="007D7774" w:rsidP="007D7774">
      <w:pPr>
        <w:pStyle w:val="Heading1"/>
      </w:pPr>
      <w:bookmarkStart w:id="11" w:name="_Toc89122292"/>
      <w:r w:rsidRPr="007D7774">
        <w:lastRenderedPageBreak/>
        <w:t>References</w:t>
      </w:r>
      <w:bookmarkEnd w:id="11"/>
    </w:p>
    <w:p w14:paraId="3F2D110D" w14:textId="77777777" w:rsidR="005C4AE6" w:rsidRPr="005C4AE6" w:rsidRDefault="005C4AE6" w:rsidP="005C4AE6"/>
    <w:p w14:paraId="4E87C914" w14:textId="4A39F568" w:rsidR="00253284" w:rsidRDefault="00253284" w:rsidP="005C4AE6">
      <w:pPr>
        <w:pStyle w:val="ListParagraph"/>
        <w:numPr>
          <w:ilvl w:val="0"/>
          <w:numId w:val="6"/>
        </w:numPr>
      </w:pPr>
      <w:r>
        <w:t xml:space="preserve">RAC. (2021). </w:t>
      </w:r>
      <w:r w:rsidRPr="005C4AE6">
        <w:rPr>
          <w:i/>
          <w:iCs/>
        </w:rPr>
        <w:t>The road to electric - in charts and data.</w:t>
      </w:r>
      <w:r>
        <w:t xml:space="preserve"> Available: https://www.rac.co.uk/drive/electric-cars/choosing/road-to-electric/. Last accessed 29/11/2021.</w:t>
      </w:r>
      <w:r>
        <w:t xml:space="preserve"> </w:t>
      </w:r>
    </w:p>
    <w:p w14:paraId="72B3D5B5" w14:textId="77777777" w:rsidR="00017670" w:rsidRDefault="00017670" w:rsidP="005C4AE6">
      <w:pPr>
        <w:pStyle w:val="ListParagraph"/>
        <w:numPr>
          <w:ilvl w:val="0"/>
          <w:numId w:val="6"/>
        </w:numPr>
      </w:pPr>
      <w:r>
        <w:t xml:space="preserve">RAC Foundation. (2021). </w:t>
      </w:r>
      <w:r w:rsidRPr="005C4AE6">
        <w:rPr>
          <w:i/>
          <w:iCs/>
        </w:rPr>
        <w:t>Mobility.</w:t>
      </w:r>
      <w:r>
        <w:t xml:space="preserve"> Available: https://www.racfoundation.org/motoring-faqs/mobility#a1. Last accessed 29/11/2021.</w:t>
      </w:r>
    </w:p>
    <w:p w14:paraId="079FC723" w14:textId="63709FEB" w:rsidR="00E56D2F" w:rsidRDefault="00E56D2F" w:rsidP="005C4AE6">
      <w:pPr>
        <w:pStyle w:val="ListParagraph"/>
        <w:numPr>
          <w:ilvl w:val="0"/>
          <w:numId w:val="6"/>
        </w:numPr>
      </w:pPr>
      <w:proofErr w:type="spellStart"/>
      <w:r w:rsidRPr="00E56D2F">
        <w:t>Milev</w:t>
      </w:r>
      <w:proofErr w:type="spellEnd"/>
      <w:r w:rsidRPr="00E56D2F">
        <w:t>, G., Al-</w:t>
      </w:r>
      <w:proofErr w:type="spellStart"/>
      <w:r w:rsidRPr="00E56D2F">
        <w:t>Habaibeh</w:t>
      </w:r>
      <w:proofErr w:type="spellEnd"/>
      <w:r w:rsidRPr="00E56D2F">
        <w:t xml:space="preserve">, A., &amp; Shin, D. (2021). </w:t>
      </w:r>
      <w:r w:rsidRPr="005C4AE6">
        <w:rPr>
          <w:i/>
          <w:iCs/>
        </w:rPr>
        <w:t>Impact of Replacing Conventional Cars with Electric Vehicles on UK Electricity Grid and Carbon Emissions</w:t>
      </w:r>
      <w:r w:rsidRPr="00E56D2F">
        <w:t xml:space="preserve">. </w:t>
      </w:r>
      <w:hyperlink r:id="rId9" w:history="1">
        <w:r w:rsidRPr="00E56D2F">
          <w:rPr>
            <w:rStyle w:val="Hyperlink"/>
          </w:rPr>
          <w:t>https://doi.org/10.1007/978-3-030-63916-7_25</w:t>
        </w:r>
      </w:hyperlink>
      <w:r>
        <w:t xml:space="preserve"> </w:t>
      </w:r>
    </w:p>
    <w:p w14:paraId="089FAB23" w14:textId="7075020D" w:rsidR="001926C6" w:rsidRDefault="001926C6" w:rsidP="005C4AE6">
      <w:pPr>
        <w:pStyle w:val="ListParagraph"/>
        <w:numPr>
          <w:ilvl w:val="0"/>
          <w:numId w:val="6"/>
        </w:numPr>
      </w:pPr>
      <w:r>
        <w:t xml:space="preserve">Topping, C. (2021). </w:t>
      </w:r>
      <w:r w:rsidRPr="005C4AE6">
        <w:rPr>
          <w:i/>
          <w:iCs/>
        </w:rPr>
        <w:t>Vehicle-to-Grid (V2G) explained: What it is and how it works.</w:t>
      </w:r>
      <w:r>
        <w:t xml:space="preserve"> Available: https://www.ovoenergy.com/guides/electric-cars/vehicle-to-grid-technology. Last accessed 29/11/2021.</w:t>
      </w:r>
      <w:r>
        <w:t xml:space="preserve"> </w:t>
      </w:r>
    </w:p>
    <w:p w14:paraId="47E0AF7B" w14:textId="76B49406" w:rsidR="00F14609" w:rsidRPr="00F14609" w:rsidRDefault="00F14609" w:rsidP="005C4AE6">
      <w:pPr>
        <w:pStyle w:val="ListParagraph"/>
        <w:numPr>
          <w:ilvl w:val="0"/>
          <w:numId w:val="6"/>
        </w:numPr>
      </w:pPr>
      <w:r w:rsidRPr="00F14609">
        <w:t xml:space="preserve">Tu, Y., Li, C., Cheng, L., &amp; Le, L. (2011). Research on vehicle-to-grid technology. </w:t>
      </w:r>
      <w:r w:rsidRPr="005C4AE6">
        <w:rPr>
          <w:i/>
          <w:iCs/>
        </w:rPr>
        <w:t>Proceedings - International Conference on Computer Distributed Control and Intelligent Environmental Monitoring, CDCIEM 2011</w:t>
      </w:r>
      <w:r w:rsidRPr="00F14609">
        <w:t xml:space="preserve">. </w:t>
      </w:r>
      <w:hyperlink r:id="rId10" w:history="1">
        <w:r w:rsidRPr="00F14609">
          <w:rPr>
            <w:rStyle w:val="Hyperlink"/>
          </w:rPr>
          <w:t>https://doi.org/10.1109/CDCIEM.2011.194</w:t>
        </w:r>
      </w:hyperlink>
      <w:r>
        <w:t xml:space="preserve"> </w:t>
      </w:r>
    </w:p>
    <w:p w14:paraId="30638271" w14:textId="6318C9C0" w:rsidR="00AE5666" w:rsidRDefault="00AE5666" w:rsidP="005C4AE6">
      <w:pPr>
        <w:pStyle w:val="ListParagraph"/>
        <w:numPr>
          <w:ilvl w:val="0"/>
          <w:numId w:val="6"/>
        </w:numPr>
      </w:pPr>
      <w:r>
        <w:t xml:space="preserve">Virta. (n.d.). </w:t>
      </w:r>
      <w:r w:rsidRPr="005C4AE6">
        <w:rPr>
          <w:i/>
          <w:iCs/>
        </w:rPr>
        <w:t>Vehicle-to-Grid (V2G): Everything you need to know.</w:t>
      </w:r>
      <w:r>
        <w:t xml:space="preserve"> Available: </w:t>
      </w:r>
      <w:hyperlink r:id="rId11" w:history="1">
        <w:r w:rsidRPr="005B736A">
          <w:rPr>
            <w:rStyle w:val="Hyperlink"/>
          </w:rPr>
          <w:t>https://www.virta.global/vehicle-to-grid-v2g. Last accessed 29/11/2021</w:t>
        </w:r>
      </w:hyperlink>
      <w:r>
        <w:t>.</w:t>
      </w:r>
    </w:p>
    <w:p w14:paraId="16BF9BD3" w14:textId="6566B610" w:rsidR="00ED4459" w:rsidRDefault="00ED4459" w:rsidP="005C4AE6">
      <w:pPr>
        <w:pStyle w:val="ListParagraph"/>
        <w:numPr>
          <w:ilvl w:val="0"/>
          <w:numId w:val="6"/>
        </w:numPr>
      </w:pPr>
      <w:proofErr w:type="spellStart"/>
      <w:r w:rsidRPr="00ED4459">
        <w:t>Altaleb</w:t>
      </w:r>
      <w:proofErr w:type="spellEnd"/>
      <w:r w:rsidRPr="00ED4459">
        <w:t xml:space="preserve">, H., &amp; </w:t>
      </w:r>
      <w:proofErr w:type="spellStart"/>
      <w:r w:rsidRPr="00ED4459">
        <w:t>Rajnai</w:t>
      </w:r>
      <w:proofErr w:type="spellEnd"/>
      <w:r w:rsidRPr="00ED4459">
        <w:t xml:space="preserve">, Z. (2020). Electric Vehicle Charging Infrastructure and Charging Technologies. </w:t>
      </w:r>
      <w:proofErr w:type="spellStart"/>
      <w:r w:rsidRPr="005C4AE6">
        <w:rPr>
          <w:i/>
          <w:iCs/>
        </w:rPr>
        <w:t>Haditechnika</w:t>
      </w:r>
      <w:proofErr w:type="spellEnd"/>
      <w:r w:rsidRPr="00ED4459">
        <w:t xml:space="preserve">, </w:t>
      </w:r>
      <w:r w:rsidRPr="005C4AE6">
        <w:rPr>
          <w:i/>
          <w:iCs/>
        </w:rPr>
        <w:t>54</w:t>
      </w:r>
      <w:r w:rsidRPr="00ED4459">
        <w:t xml:space="preserve">(4). </w:t>
      </w:r>
      <w:hyperlink r:id="rId12" w:history="1">
        <w:r w:rsidR="00B64BF8" w:rsidRPr="00ED4459">
          <w:rPr>
            <w:rStyle w:val="Hyperlink"/>
          </w:rPr>
          <w:t>https://doi.org/10.23713/ht.54.4.03</w:t>
        </w:r>
      </w:hyperlink>
      <w:r w:rsidR="00B64BF8">
        <w:t xml:space="preserve"> </w:t>
      </w:r>
    </w:p>
    <w:p w14:paraId="48181639" w14:textId="77777777" w:rsidR="00B64BF8" w:rsidRPr="00B64BF8" w:rsidRDefault="00B64BF8" w:rsidP="005C4AE6">
      <w:pPr>
        <w:pStyle w:val="ListParagraph"/>
        <w:numPr>
          <w:ilvl w:val="0"/>
          <w:numId w:val="6"/>
        </w:numPr>
      </w:pPr>
      <w:proofErr w:type="spellStart"/>
      <w:r w:rsidRPr="00B64BF8">
        <w:t>Arif</w:t>
      </w:r>
      <w:proofErr w:type="spellEnd"/>
      <w:r w:rsidRPr="00B64BF8">
        <w:t xml:space="preserve">, S. M., Lie, T. T., </w:t>
      </w:r>
      <w:proofErr w:type="spellStart"/>
      <w:r w:rsidRPr="00B64BF8">
        <w:t>Seet</w:t>
      </w:r>
      <w:proofErr w:type="spellEnd"/>
      <w:r w:rsidRPr="00B64BF8">
        <w:t xml:space="preserve">, B. C., </w:t>
      </w:r>
      <w:proofErr w:type="spellStart"/>
      <w:r w:rsidRPr="00B64BF8">
        <w:t>Ayyadi</w:t>
      </w:r>
      <w:proofErr w:type="spellEnd"/>
      <w:r w:rsidRPr="00B64BF8">
        <w:t xml:space="preserve">, S., &amp; Jensen, K. (2021). Review of electric vehicle technologies, charging methods, standards and optimization techniques. In </w:t>
      </w:r>
      <w:r w:rsidRPr="005C4AE6">
        <w:rPr>
          <w:i/>
          <w:iCs/>
        </w:rPr>
        <w:t>Electronics (Switzerland)</w:t>
      </w:r>
      <w:r w:rsidRPr="00B64BF8">
        <w:t xml:space="preserve"> (Vol. 10, Issue 16). </w:t>
      </w:r>
      <w:hyperlink r:id="rId13" w:history="1">
        <w:r w:rsidRPr="00B64BF8">
          <w:rPr>
            <w:rStyle w:val="Hyperlink"/>
          </w:rPr>
          <w:t>https://doi.org/10.3390/electronics10161910</w:t>
        </w:r>
      </w:hyperlink>
      <w:r>
        <w:t xml:space="preserve"> </w:t>
      </w:r>
    </w:p>
    <w:p w14:paraId="76BC2DCA" w14:textId="77777777" w:rsidR="00415DF0" w:rsidRDefault="00415DF0" w:rsidP="005C4AE6">
      <w:pPr>
        <w:pStyle w:val="ListParagraph"/>
        <w:numPr>
          <w:ilvl w:val="0"/>
          <w:numId w:val="6"/>
        </w:numPr>
      </w:pPr>
      <w:proofErr w:type="spellStart"/>
      <w:r w:rsidRPr="00415DF0">
        <w:t>Ellingsen</w:t>
      </w:r>
      <w:proofErr w:type="spellEnd"/>
      <w:r w:rsidRPr="00415DF0">
        <w:t xml:space="preserve">, L. A. W., Singh, B., &amp; </w:t>
      </w:r>
      <w:proofErr w:type="spellStart"/>
      <w:r w:rsidRPr="00415DF0">
        <w:t>Strømman</w:t>
      </w:r>
      <w:proofErr w:type="spellEnd"/>
      <w:r w:rsidRPr="00415DF0">
        <w:t xml:space="preserve">, A. H. (2016). The size and range effect: Lifecycle greenhouse gas emissions of electric vehicles. </w:t>
      </w:r>
      <w:r w:rsidRPr="005C4AE6">
        <w:rPr>
          <w:i/>
          <w:iCs/>
        </w:rPr>
        <w:t>Environmental Research Letters</w:t>
      </w:r>
      <w:r w:rsidRPr="00415DF0">
        <w:t xml:space="preserve">, </w:t>
      </w:r>
      <w:r w:rsidRPr="005C4AE6">
        <w:rPr>
          <w:i/>
          <w:iCs/>
        </w:rPr>
        <w:t>11</w:t>
      </w:r>
      <w:r w:rsidRPr="00415DF0">
        <w:t xml:space="preserve">(5). </w:t>
      </w:r>
      <w:hyperlink r:id="rId14" w:history="1">
        <w:r w:rsidRPr="00415DF0">
          <w:rPr>
            <w:rStyle w:val="Hyperlink"/>
          </w:rPr>
          <w:t>https://doi.org/10.1088/1748-9326/11/5/054010</w:t>
        </w:r>
      </w:hyperlink>
      <w:r>
        <w:t xml:space="preserve"> </w:t>
      </w:r>
    </w:p>
    <w:p w14:paraId="454D8ECB" w14:textId="77777777" w:rsidR="00FE1FE6" w:rsidRDefault="00FE1FE6" w:rsidP="005C4AE6">
      <w:pPr>
        <w:pStyle w:val="ListParagraph"/>
        <w:numPr>
          <w:ilvl w:val="0"/>
          <w:numId w:val="6"/>
        </w:numPr>
      </w:pPr>
      <w:proofErr w:type="spellStart"/>
      <w:r w:rsidRPr="00FE1FE6">
        <w:t>Alankus</w:t>
      </w:r>
      <w:proofErr w:type="spellEnd"/>
      <w:r w:rsidRPr="00FE1FE6">
        <w:t xml:space="preserve">, O. B. (2017). Technology Forecast for Electrical Vehicle Battery Technology and Future Electric Vehicle Market Estimation. </w:t>
      </w:r>
      <w:r w:rsidRPr="005C4AE6">
        <w:rPr>
          <w:i/>
          <w:iCs/>
        </w:rPr>
        <w:t>Advances in Automobile Engineering</w:t>
      </w:r>
      <w:r w:rsidRPr="00FE1FE6">
        <w:t xml:space="preserve">, </w:t>
      </w:r>
      <w:r w:rsidRPr="005C4AE6">
        <w:rPr>
          <w:i/>
          <w:iCs/>
        </w:rPr>
        <w:t>06</w:t>
      </w:r>
      <w:r w:rsidRPr="00FE1FE6">
        <w:t xml:space="preserve">(02). </w:t>
      </w:r>
      <w:hyperlink r:id="rId15" w:history="1">
        <w:r w:rsidRPr="00FE1FE6">
          <w:rPr>
            <w:rStyle w:val="Hyperlink"/>
          </w:rPr>
          <w:t>https://doi.org/10.4172/2167-7670.1000164</w:t>
        </w:r>
      </w:hyperlink>
      <w:r>
        <w:t xml:space="preserve"> </w:t>
      </w:r>
    </w:p>
    <w:p w14:paraId="264F1448" w14:textId="77777777" w:rsidR="001579B6" w:rsidRDefault="001579B6" w:rsidP="005C4AE6">
      <w:pPr>
        <w:pStyle w:val="ListParagraph"/>
        <w:numPr>
          <w:ilvl w:val="0"/>
          <w:numId w:val="6"/>
        </w:numPr>
      </w:pPr>
      <w:r w:rsidRPr="001579B6">
        <w:t xml:space="preserve">Hung, C. R., </w:t>
      </w:r>
      <w:proofErr w:type="spellStart"/>
      <w:r w:rsidRPr="001579B6">
        <w:t>Völler</w:t>
      </w:r>
      <w:proofErr w:type="spellEnd"/>
      <w:r w:rsidRPr="001579B6">
        <w:t xml:space="preserve">, S., </w:t>
      </w:r>
      <w:proofErr w:type="spellStart"/>
      <w:r w:rsidRPr="001579B6">
        <w:t>Agez</w:t>
      </w:r>
      <w:proofErr w:type="spellEnd"/>
      <w:r w:rsidRPr="001579B6">
        <w:t xml:space="preserve">, M., </w:t>
      </w:r>
      <w:proofErr w:type="spellStart"/>
      <w:r w:rsidRPr="001579B6">
        <w:t>Majeau-Bettez</w:t>
      </w:r>
      <w:proofErr w:type="spellEnd"/>
      <w:r w:rsidRPr="001579B6">
        <w:t xml:space="preserve">, G., &amp; </w:t>
      </w:r>
      <w:proofErr w:type="spellStart"/>
      <w:r w:rsidRPr="001579B6">
        <w:t>Strømman</w:t>
      </w:r>
      <w:proofErr w:type="spellEnd"/>
      <w:r w:rsidRPr="001579B6">
        <w:t xml:space="preserve">, A. H. (2021). Regionalized climate footprints of battery electric vehicles in Europe. </w:t>
      </w:r>
      <w:r w:rsidRPr="005C4AE6">
        <w:rPr>
          <w:i/>
          <w:iCs/>
        </w:rPr>
        <w:t>Journal of Cleaner Production</w:t>
      </w:r>
      <w:r w:rsidRPr="001579B6">
        <w:t xml:space="preserve">, </w:t>
      </w:r>
      <w:r w:rsidRPr="005C4AE6">
        <w:rPr>
          <w:i/>
          <w:iCs/>
        </w:rPr>
        <w:t>322</w:t>
      </w:r>
      <w:r w:rsidRPr="001579B6">
        <w:t xml:space="preserve">. </w:t>
      </w:r>
      <w:hyperlink r:id="rId16" w:history="1">
        <w:r w:rsidRPr="001579B6">
          <w:rPr>
            <w:rStyle w:val="Hyperlink"/>
          </w:rPr>
          <w:t>https://doi.org/10.1016/j.jclepro.2021.129052</w:t>
        </w:r>
      </w:hyperlink>
      <w:r>
        <w:t xml:space="preserve"> </w:t>
      </w:r>
    </w:p>
    <w:p w14:paraId="12CAECBB" w14:textId="77777777" w:rsidR="003A4017" w:rsidRPr="003A4017" w:rsidRDefault="003A4017" w:rsidP="005C4AE6">
      <w:pPr>
        <w:pStyle w:val="ListParagraph"/>
        <w:numPr>
          <w:ilvl w:val="0"/>
          <w:numId w:val="6"/>
        </w:numPr>
      </w:pPr>
      <w:r w:rsidRPr="003A4017">
        <w:lastRenderedPageBreak/>
        <w:t xml:space="preserve">Kosai, S., Matsui, K., </w:t>
      </w:r>
      <w:proofErr w:type="spellStart"/>
      <w:r w:rsidRPr="003A4017">
        <w:t>Matsubae</w:t>
      </w:r>
      <w:proofErr w:type="spellEnd"/>
      <w:r w:rsidRPr="003A4017">
        <w:t xml:space="preserve">, K., </w:t>
      </w:r>
      <w:proofErr w:type="spellStart"/>
      <w:r w:rsidRPr="003A4017">
        <w:t>Yamasue</w:t>
      </w:r>
      <w:proofErr w:type="spellEnd"/>
      <w:r w:rsidRPr="003A4017">
        <w:t xml:space="preserve">, E., &amp; </w:t>
      </w:r>
      <w:proofErr w:type="spellStart"/>
      <w:r w:rsidRPr="003A4017">
        <w:t>Nagasaka</w:t>
      </w:r>
      <w:proofErr w:type="spellEnd"/>
      <w:r w:rsidRPr="003A4017">
        <w:t xml:space="preserve">, T. (2021). Natural resource use of gasoline, hybrid, electric and fuel cell vehicles considering land disturbances. </w:t>
      </w:r>
      <w:r w:rsidRPr="005C4AE6">
        <w:rPr>
          <w:i/>
          <w:iCs/>
        </w:rPr>
        <w:t>Resources, Conservation and Recycling</w:t>
      </w:r>
      <w:r w:rsidRPr="003A4017">
        <w:t xml:space="preserve">, </w:t>
      </w:r>
      <w:r w:rsidRPr="005C4AE6">
        <w:rPr>
          <w:i/>
          <w:iCs/>
        </w:rPr>
        <w:t>166</w:t>
      </w:r>
      <w:r w:rsidRPr="003A4017">
        <w:t xml:space="preserve">. </w:t>
      </w:r>
      <w:hyperlink r:id="rId17" w:history="1">
        <w:r w:rsidRPr="003A4017">
          <w:rPr>
            <w:rStyle w:val="Hyperlink"/>
          </w:rPr>
          <w:t>https://doi.org/10.1016/j.resconrec.2020.105256</w:t>
        </w:r>
      </w:hyperlink>
      <w:r>
        <w:t xml:space="preserve"> </w:t>
      </w:r>
    </w:p>
    <w:p w14:paraId="3CEE088D" w14:textId="77777777" w:rsidR="003A4017" w:rsidRPr="001579B6" w:rsidRDefault="003A4017" w:rsidP="001579B6"/>
    <w:p w14:paraId="1C19D6B8" w14:textId="77777777" w:rsidR="001579B6" w:rsidRPr="00FE1FE6" w:rsidRDefault="001579B6" w:rsidP="00FE1FE6"/>
    <w:p w14:paraId="71BB9B9B" w14:textId="77777777" w:rsidR="00FE1FE6" w:rsidRPr="00415DF0" w:rsidRDefault="00FE1FE6" w:rsidP="00415DF0"/>
    <w:p w14:paraId="334DBB52" w14:textId="77777777" w:rsidR="00B64BF8" w:rsidRPr="00ED4459" w:rsidRDefault="00B64BF8" w:rsidP="00ED4459"/>
    <w:p w14:paraId="233F719E" w14:textId="77777777" w:rsidR="00D34FFA" w:rsidRDefault="00D34FFA" w:rsidP="00C7690D">
      <w:pPr>
        <w:rPr>
          <w:rStyle w:val="Hyperlink"/>
        </w:rPr>
      </w:pPr>
    </w:p>
    <w:p w14:paraId="30CE993E" w14:textId="77777777" w:rsidR="00342813" w:rsidRDefault="00342813" w:rsidP="00F80E70">
      <w:pPr>
        <w:rPr>
          <w:rStyle w:val="Hyperlink"/>
        </w:rPr>
      </w:pPr>
    </w:p>
    <w:p w14:paraId="729DDC59" w14:textId="77777777" w:rsidR="00DB5DBF" w:rsidRDefault="00DB5DBF" w:rsidP="005B27F2"/>
    <w:p w14:paraId="622DCD33" w14:textId="77777777" w:rsidR="008E6902" w:rsidRPr="005B27F2" w:rsidRDefault="008E6902" w:rsidP="005B27F2"/>
    <w:sectPr w:rsidR="008E6902" w:rsidRPr="005B27F2" w:rsidSect="007D777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08BE7" w14:textId="77777777" w:rsidR="00EE68C3" w:rsidRDefault="00EE68C3" w:rsidP="007D7774">
      <w:pPr>
        <w:spacing w:after="0" w:line="240" w:lineRule="auto"/>
      </w:pPr>
      <w:r>
        <w:separator/>
      </w:r>
    </w:p>
  </w:endnote>
  <w:endnote w:type="continuationSeparator" w:id="0">
    <w:p w14:paraId="42C6867D" w14:textId="77777777" w:rsidR="00EE68C3" w:rsidRDefault="00EE68C3" w:rsidP="007D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429504"/>
      <w:docPartObj>
        <w:docPartGallery w:val="Page Numbers (Bottom of Page)"/>
        <w:docPartUnique/>
      </w:docPartObj>
    </w:sdtPr>
    <w:sdtEndPr>
      <w:rPr>
        <w:noProof/>
      </w:rPr>
    </w:sdtEndPr>
    <w:sdtContent>
      <w:p w14:paraId="686DD3E9" w14:textId="162B1C56" w:rsidR="007D7774" w:rsidRDefault="007D77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DEAED" w14:textId="77777777" w:rsidR="007D7774" w:rsidRDefault="007D7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08BBA" w14:textId="77777777" w:rsidR="00EE68C3" w:rsidRDefault="00EE68C3" w:rsidP="007D7774">
      <w:pPr>
        <w:spacing w:after="0" w:line="240" w:lineRule="auto"/>
      </w:pPr>
      <w:r>
        <w:separator/>
      </w:r>
    </w:p>
  </w:footnote>
  <w:footnote w:type="continuationSeparator" w:id="0">
    <w:p w14:paraId="4E6C5E1D" w14:textId="77777777" w:rsidR="00EE68C3" w:rsidRDefault="00EE68C3" w:rsidP="007D7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171AD"/>
    <w:multiLevelType w:val="hybridMultilevel"/>
    <w:tmpl w:val="373A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832B1"/>
    <w:multiLevelType w:val="hybridMultilevel"/>
    <w:tmpl w:val="E874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01493"/>
    <w:multiLevelType w:val="hybridMultilevel"/>
    <w:tmpl w:val="DEFE5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817DC"/>
    <w:multiLevelType w:val="hybridMultilevel"/>
    <w:tmpl w:val="2A38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E0CF6"/>
    <w:multiLevelType w:val="hybridMultilevel"/>
    <w:tmpl w:val="34089B9E"/>
    <w:lvl w:ilvl="0" w:tplc="48B234F6">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start w:val="1"/>
      <w:numFmt w:val="bullet"/>
      <w:lvlText w:val=""/>
      <w:lvlJc w:val="left"/>
      <w:pPr>
        <w:ind w:left="1848" w:hanging="360"/>
      </w:pPr>
      <w:rPr>
        <w:rFonts w:ascii="Wingdings" w:hAnsi="Wingdings" w:hint="default"/>
      </w:rPr>
    </w:lvl>
    <w:lvl w:ilvl="3" w:tplc="08090001">
      <w:start w:val="1"/>
      <w:numFmt w:val="bullet"/>
      <w:lvlText w:val=""/>
      <w:lvlJc w:val="left"/>
      <w:pPr>
        <w:ind w:left="2568" w:hanging="360"/>
      </w:pPr>
      <w:rPr>
        <w:rFonts w:ascii="Symbol" w:hAnsi="Symbol" w:hint="default"/>
      </w:rPr>
    </w:lvl>
    <w:lvl w:ilvl="4" w:tplc="08090003">
      <w:start w:val="1"/>
      <w:numFmt w:val="bullet"/>
      <w:lvlText w:val="o"/>
      <w:lvlJc w:val="left"/>
      <w:pPr>
        <w:ind w:left="3288" w:hanging="360"/>
      </w:pPr>
      <w:rPr>
        <w:rFonts w:ascii="Courier New" w:hAnsi="Courier New" w:cs="Courier New" w:hint="default"/>
      </w:rPr>
    </w:lvl>
    <w:lvl w:ilvl="5" w:tplc="08090005">
      <w:start w:val="1"/>
      <w:numFmt w:val="bullet"/>
      <w:lvlText w:val=""/>
      <w:lvlJc w:val="left"/>
      <w:pPr>
        <w:ind w:left="4008" w:hanging="360"/>
      </w:pPr>
      <w:rPr>
        <w:rFonts w:ascii="Wingdings" w:hAnsi="Wingdings" w:hint="default"/>
      </w:rPr>
    </w:lvl>
    <w:lvl w:ilvl="6" w:tplc="08090001">
      <w:start w:val="1"/>
      <w:numFmt w:val="bullet"/>
      <w:lvlText w:val=""/>
      <w:lvlJc w:val="left"/>
      <w:pPr>
        <w:ind w:left="4728" w:hanging="360"/>
      </w:pPr>
      <w:rPr>
        <w:rFonts w:ascii="Symbol" w:hAnsi="Symbol" w:hint="default"/>
      </w:rPr>
    </w:lvl>
    <w:lvl w:ilvl="7" w:tplc="08090003">
      <w:start w:val="1"/>
      <w:numFmt w:val="bullet"/>
      <w:lvlText w:val="o"/>
      <w:lvlJc w:val="left"/>
      <w:pPr>
        <w:ind w:left="5448" w:hanging="360"/>
      </w:pPr>
      <w:rPr>
        <w:rFonts w:ascii="Courier New" w:hAnsi="Courier New" w:cs="Courier New" w:hint="default"/>
      </w:rPr>
    </w:lvl>
    <w:lvl w:ilvl="8" w:tplc="08090005">
      <w:start w:val="1"/>
      <w:numFmt w:val="bullet"/>
      <w:lvlText w:val=""/>
      <w:lvlJc w:val="left"/>
      <w:pPr>
        <w:ind w:left="6168" w:hanging="360"/>
      </w:pPr>
      <w:rPr>
        <w:rFonts w:ascii="Wingdings" w:hAnsi="Wingdings" w:hint="default"/>
      </w:rPr>
    </w:lvl>
  </w:abstractNum>
  <w:abstractNum w:abstractNumId="5" w15:restartNumberingAfterBreak="0">
    <w:nsid w:val="694676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10"/>
    <w:rsid w:val="00013921"/>
    <w:rsid w:val="00017670"/>
    <w:rsid w:val="00031602"/>
    <w:rsid w:val="00073AEF"/>
    <w:rsid w:val="000A22AD"/>
    <w:rsid w:val="000C2C0B"/>
    <w:rsid w:val="000F08AE"/>
    <w:rsid w:val="000F2587"/>
    <w:rsid w:val="001101BD"/>
    <w:rsid w:val="001579B6"/>
    <w:rsid w:val="00163771"/>
    <w:rsid w:val="001926C6"/>
    <w:rsid w:val="001951A0"/>
    <w:rsid w:val="001A1813"/>
    <w:rsid w:val="001A28A3"/>
    <w:rsid w:val="001C004D"/>
    <w:rsid w:val="00253284"/>
    <w:rsid w:val="002B26C6"/>
    <w:rsid w:val="00342813"/>
    <w:rsid w:val="00344252"/>
    <w:rsid w:val="00360B18"/>
    <w:rsid w:val="00364972"/>
    <w:rsid w:val="003747D4"/>
    <w:rsid w:val="003A4017"/>
    <w:rsid w:val="003A66BB"/>
    <w:rsid w:val="004014DF"/>
    <w:rsid w:val="00415DF0"/>
    <w:rsid w:val="0043496A"/>
    <w:rsid w:val="00434BD1"/>
    <w:rsid w:val="00450639"/>
    <w:rsid w:val="00477BAF"/>
    <w:rsid w:val="004A72FD"/>
    <w:rsid w:val="004F1DE0"/>
    <w:rsid w:val="00517CA3"/>
    <w:rsid w:val="00551032"/>
    <w:rsid w:val="00554A99"/>
    <w:rsid w:val="005B27F2"/>
    <w:rsid w:val="005C4AE6"/>
    <w:rsid w:val="005E3913"/>
    <w:rsid w:val="00624C34"/>
    <w:rsid w:val="006273AD"/>
    <w:rsid w:val="00632A4B"/>
    <w:rsid w:val="00636010"/>
    <w:rsid w:val="00647444"/>
    <w:rsid w:val="006712E4"/>
    <w:rsid w:val="006B5F27"/>
    <w:rsid w:val="006B6E8A"/>
    <w:rsid w:val="006F501D"/>
    <w:rsid w:val="0070356D"/>
    <w:rsid w:val="00710908"/>
    <w:rsid w:val="007316B2"/>
    <w:rsid w:val="00775CAC"/>
    <w:rsid w:val="007D7774"/>
    <w:rsid w:val="00831761"/>
    <w:rsid w:val="00837DE4"/>
    <w:rsid w:val="008638BF"/>
    <w:rsid w:val="008947A6"/>
    <w:rsid w:val="008A1B98"/>
    <w:rsid w:val="008D3B57"/>
    <w:rsid w:val="008E6902"/>
    <w:rsid w:val="00905F31"/>
    <w:rsid w:val="00917037"/>
    <w:rsid w:val="009302F1"/>
    <w:rsid w:val="0093748D"/>
    <w:rsid w:val="009579E3"/>
    <w:rsid w:val="00981AC4"/>
    <w:rsid w:val="009D61B3"/>
    <w:rsid w:val="009E5193"/>
    <w:rsid w:val="009E5CAF"/>
    <w:rsid w:val="00A00AB3"/>
    <w:rsid w:val="00A433A0"/>
    <w:rsid w:val="00A4563C"/>
    <w:rsid w:val="00A51F93"/>
    <w:rsid w:val="00A620DA"/>
    <w:rsid w:val="00AC185C"/>
    <w:rsid w:val="00AD2923"/>
    <w:rsid w:val="00AE276E"/>
    <w:rsid w:val="00AE5666"/>
    <w:rsid w:val="00B01A31"/>
    <w:rsid w:val="00B149AC"/>
    <w:rsid w:val="00B14C94"/>
    <w:rsid w:val="00B4661E"/>
    <w:rsid w:val="00B47E93"/>
    <w:rsid w:val="00B5515C"/>
    <w:rsid w:val="00B64B51"/>
    <w:rsid w:val="00B64BF8"/>
    <w:rsid w:val="00B71B75"/>
    <w:rsid w:val="00B90FCB"/>
    <w:rsid w:val="00BA14F4"/>
    <w:rsid w:val="00BA2EA1"/>
    <w:rsid w:val="00BC2A0B"/>
    <w:rsid w:val="00BC432D"/>
    <w:rsid w:val="00BD3BDB"/>
    <w:rsid w:val="00BE0A63"/>
    <w:rsid w:val="00BF723E"/>
    <w:rsid w:val="00C16679"/>
    <w:rsid w:val="00C50F9C"/>
    <w:rsid w:val="00C7690D"/>
    <w:rsid w:val="00C96406"/>
    <w:rsid w:val="00CB2831"/>
    <w:rsid w:val="00CB7CD2"/>
    <w:rsid w:val="00CC72CE"/>
    <w:rsid w:val="00D06963"/>
    <w:rsid w:val="00D25691"/>
    <w:rsid w:val="00D27D9A"/>
    <w:rsid w:val="00D34FFA"/>
    <w:rsid w:val="00D41287"/>
    <w:rsid w:val="00D46AD7"/>
    <w:rsid w:val="00DB5956"/>
    <w:rsid w:val="00DB5DBF"/>
    <w:rsid w:val="00DD2ADF"/>
    <w:rsid w:val="00DE78C9"/>
    <w:rsid w:val="00E06F34"/>
    <w:rsid w:val="00E073DA"/>
    <w:rsid w:val="00E56D2F"/>
    <w:rsid w:val="00EB0478"/>
    <w:rsid w:val="00EC6369"/>
    <w:rsid w:val="00ED0EA0"/>
    <w:rsid w:val="00ED4459"/>
    <w:rsid w:val="00EE68C3"/>
    <w:rsid w:val="00EF12DC"/>
    <w:rsid w:val="00EF157A"/>
    <w:rsid w:val="00F14609"/>
    <w:rsid w:val="00F16259"/>
    <w:rsid w:val="00F17A0A"/>
    <w:rsid w:val="00F27101"/>
    <w:rsid w:val="00F50A7C"/>
    <w:rsid w:val="00F80E70"/>
    <w:rsid w:val="00F931B4"/>
    <w:rsid w:val="00FD61C5"/>
    <w:rsid w:val="00FE1FE6"/>
    <w:rsid w:val="00FE2500"/>
    <w:rsid w:val="00FE6E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414"/>
  <w15:chartTrackingRefBased/>
  <w15:docId w15:val="{EFD6E78E-3216-4CAD-8D62-2C7218CE3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74"/>
    <w:pPr>
      <w:spacing w:line="360" w:lineRule="auto"/>
    </w:pPr>
  </w:style>
  <w:style w:type="paragraph" w:styleId="Heading1">
    <w:name w:val="heading 1"/>
    <w:basedOn w:val="Normal"/>
    <w:next w:val="Normal"/>
    <w:link w:val="Heading1Char"/>
    <w:uiPriority w:val="9"/>
    <w:qFormat/>
    <w:rsid w:val="007D7774"/>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774"/>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77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77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77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77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77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77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77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7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D7774"/>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rsid w:val="007D77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D77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77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77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77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77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777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774"/>
  </w:style>
  <w:style w:type="paragraph" w:styleId="Footer">
    <w:name w:val="footer"/>
    <w:basedOn w:val="Normal"/>
    <w:link w:val="FooterChar"/>
    <w:uiPriority w:val="99"/>
    <w:unhideWhenUsed/>
    <w:rsid w:val="007D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774"/>
  </w:style>
  <w:style w:type="paragraph" w:styleId="TOCHeading">
    <w:name w:val="TOC Heading"/>
    <w:basedOn w:val="Heading1"/>
    <w:next w:val="Normal"/>
    <w:uiPriority w:val="39"/>
    <w:unhideWhenUsed/>
    <w:qFormat/>
    <w:rsid w:val="00B149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149AC"/>
    <w:pPr>
      <w:spacing w:after="100"/>
    </w:pPr>
  </w:style>
  <w:style w:type="character" w:styleId="Hyperlink">
    <w:name w:val="Hyperlink"/>
    <w:basedOn w:val="DefaultParagraphFont"/>
    <w:uiPriority w:val="99"/>
    <w:unhideWhenUsed/>
    <w:rsid w:val="00B149AC"/>
    <w:rPr>
      <w:color w:val="0563C1" w:themeColor="hyperlink"/>
      <w:u w:val="single"/>
    </w:rPr>
  </w:style>
  <w:style w:type="paragraph" w:styleId="TOC2">
    <w:name w:val="toc 2"/>
    <w:basedOn w:val="Normal"/>
    <w:next w:val="Normal"/>
    <w:autoRedefine/>
    <w:uiPriority w:val="39"/>
    <w:unhideWhenUsed/>
    <w:rsid w:val="00B149AC"/>
    <w:pPr>
      <w:spacing w:after="100"/>
      <w:ind w:left="220"/>
    </w:pPr>
  </w:style>
  <w:style w:type="table" w:styleId="TableGrid">
    <w:name w:val="Table Grid"/>
    <w:basedOn w:val="TableNormal"/>
    <w:uiPriority w:val="39"/>
    <w:rsid w:val="00B14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49AC"/>
    <w:pPr>
      <w:spacing w:after="200" w:line="240" w:lineRule="auto"/>
    </w:pPr>
    <w:rPr>
      <w:i/>
      <w:iCs/>
      <w:color w:val="44546A" w:themeColor="text2"/>
      <w:sz w:val="18"/>
      <w:szCs w:val="18"/>
    </w:rPr>
  </w:style>
  <w:style w:type="paragraph" w:styleId="ListParagraph">
    <w:name w:val="List Paragraph"/>
    <w:basedOn w:val="Normal"/>
    <w:uiPriority w:val="34"/>
    <w:qFormat/>
    <w:rsid w:val="006712E4"/>
    <w:pPr>
      <w:ind w:left="720"/>
      <w:contextualSpacing/>
    </w:pPr>
  </w:style>
  <w:style w:type="character" w:styleId="FollowedHyperlink">
    <w:name w:val="FollowedHyperlink"/>
    <w:basedOn w:val="DefaultParagraphFont"/>
    <w:uiPriority w:val="99"/>
    <w:semiHidden/>
    <w:unhideWhenUsed/>
    <w:rsid w:val="00D27D9A"/>
    <w:rPr>
      <w:color w:val="954F72" w:themeColor="followedHyperlink"/>
      <w:u w:val="single"/>
    </w:rPr>
  </w:style>
  <w:style w:type="character" w:styleId="UnresolvedMention">
    <w:name w:val="Unresolved Mention"/>
    <w:basedOn w:val="DefaultParagraphFont"/>
    <w:uiPriority w:val="99"/>
    <w:semiHidden/>
    <w:unhideWhenUsed/>
    <w:rsid w:val="004F1DE0"/>
    <w:rPr>
      <w:color w:val="605E5C"/>
      <w:shd w:val="clear" w:color="auto" w:fill="E1DFDD"/>
    </w:rPr>
  </w:style>
  <w:style w:type="table" w:customStyle="1" w:styleId="TableGrid1">
    <w:name w:val="Table Grid1"/>
    <w:basedOn w:val="TableNormal"/>
    <w:next w:val="TableGrid"/>
    <w:uiPriority w:val="39"/>
    <w:rsid w:val="00F2710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B283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23869">
      <w:bodyDiv w:val="1"/>
      <w:marLeft w:val="0"/>
      <w:marRight w:val="0"/>
      <w:marTop w:val="0"/>
      <w:marBottom w:val="0"/>
      <w:divBdr>
        <w:top w:val="none" w:sz="0" w:space="0" w:color="auto"/>
        <w:left w:val="none" w:sz="0" w:space="0" w:color="auto"/>
        <w:bottom w:val="none" w:sz="0" w:space="0" w:color="auto"/>
        <w:right w:val="none" w:sz="0" w:space="0" w:color="auto"/>
      </w:divBdr>
      <w:divsChild>
        <w:div w:id="1005286469">
          <w:marLeft w:val="0"/>
          <w:marRight w:val="0"/>
          <w:marTop w:val="0"/>
          <w:marBottom w:val="0"/>
          <w:divBdr>
            <w:top w:val="none" w:sz="0" w:space="0" w:color="auto"/>
            <w:left w:val="none" w:sz="0" w:space="0" w:color="auto"/>
            <w:bottom w:val="none" w:sz="0" w:space="0" w:color="auto"/>
            <w:right w:val="none" w:sz="0" w:space="0" w:color="auto"/>
          </w:divBdr>
        </w:div>
      </w:divsChild>
    </w:div>
    <w:div w:id="454448497">
      <w:bodyDiv w:val="1"/>
      <w:marLeft w:val="0"/>
      <w:marRight w:val="0"/>
      <w:marTop w:val="0"/>
      <w:marBottom w:val="0"/>
      <w:divBdr>
        <w:top w:val="none" w:sz="0" w:space="0" w:color="auto"/>
        <w:left w:val="none" w:sz="0" w:space="0" w:color="auto"/>
        <w:bottom w:val="none" w:sz="0" w:space="0" w:color="auto"/>
        <w:right w:val="none" w:sz="0" w:space="0" w:color="auto"/>
      </w:divBdr>
      <w:divsChild>
        <w:div w:id="3172387">
          <w:marLeft w:val="0"/>
          <w:marRight w:val="0"/>
          <w:marTop w:val="0"/>
          <w:marBottom w:val="0"/>
          <w:divBdr>
            <w:top w:val="none" w:sz="0" w:space="0" w:color="auto"/>
            <w:left w:val="none" w:sz="0" w:space="0" w:color="auto"/>
            <w:bottom w:val="none" w:sz="0" w:space="0" w:color="auto"/>
            <w:right w:val="none" w:sz="0" w:space="0" w:color="auto"/>
          </w:divBdr>
        </w:div>
      </w:divsChild>
    </w:div>
    <w:div w:id="569736776">
      <w:bodyDiv w:val="1"/>
      <w:marLeft w:val="0"/>
      <w:marRight w:val="0"/>
      <w:marTop w:val="0"/>
      <w:marBottom w:val="0"/>
      <w:divBdr>
        <w:top w:val="none" w:sz="0" w:space="0" w:color="auto"/>
        <w:left w:val="none" w:sz="0" w:space="0" w:color="auto"/>
        <w:bottom w:val="none" w:sz="0" w:space="0" w:color="auto"/>
        <w:right w:val="none" w:sz="0" w:space="0" w:color="auto"/>
      </w:divBdr>
      <w:divsChild>
        <w:div w:id="847250476">
          <w:marLeft w:val="0"/>
          <w:marRight w:val="0"/>
          <w:marTop w:val="0"/>
          <w:marBottom w:val="0"/>
          <w:divBdr>
            <w:top w:val="none" w:sz="0" w:space="0" w:color="auto"/>
            <w:left w:val="none" w:sz="0" w:space="0" w:color="auto"/>
            <w:bottom w:val="none" w:sz="0" w:space="0" w:color="auto"/>
            <w:right w:val="none" w:sz="0" w:space="0" w:color="auto"/>
          </w:divBdr>
        </w:div>
      </w:divsChild>
    </w:div>
    <w:div w:id="645210773">
      <w:bodyDiv w:val="1"/>
      <w:marLeft w:val="0"/>
      <w:marRight w:val="0"/>
      <w:marTop w:val="0"/>
      <w:marBottom w:val="0"/>
      <w:divBdr>
        <w:top w:val="none" w:sz="0" w:space="0" w:color="auto"/>
        <w:left w:val="none" w:sz="0" w:space="0" w:color="auto"/>
        <w:bottom w:val="none" w:sz="0" w:space="0" w:color="auto"/>
        <w:right w:val="none" w:sz="0" w:space="0" w:color="auto"/>
      </w:divBdr>
      <w:divsChild>
        <w:div w:id="617297961">
          <w:marLeft w:val="0"/>
          <w:marRight w:val="0"/>
          <w:marTop w:val="0"/>
          <w:marBottom w:val="0"/>
          <w:divBdr>
            <w:top w:val="none" w:sz="0" w:space="0" w:color="auto"/>
            <w:left w:val="none" w:sz="0" w:space="0" w:color="auto"/>
            <w:bottom w:val="none" w:sz="0" w:space="0" w:color="auto"/>
            <w:right w:val="none" w:sz="0" w:space="0" w:color="auto"/>
          </w:divBdr>
        </w:div>
      </w:divsChild>
    </w:div>
    <w:div w:id="812721823">
      <w:bodyDiv w:val="1"/>
      <w:marLeft w:val="0"/>
      <w:marRight w:val="0"/>
      <w:marTop w:val="0"/>
      <w:marBottom w:val="0"/>
      <w:divBdr>
        <w:top w:val="none" w:sz="0" w:space="0" w:color="auto"/>
        <w:left w:val="none" w:sz="0" w:space="0" w:color="auto"/>
        <w:bottom w:val="none" w:sz="0" w:space="0" w:color="auto"/>
        <w:right w:val="none" w:sz="0" w:space="0" w:color="auto"/>
      </w:divBdr>
      <w:divsChild>
        <w:div w:id="912659555">
          <w:marLeft w:val="0"/>
          <w:marRight w:val="0"/>
          <w:marTop w:val="0"/>
          <w:marBottom w:val="0"/>
          <w:divBdr>
            <w:top w:val="none" w:sz="0" w:space="0" w:color="auto"/>
            <w:left w:val="none" w:sz="0" w:space="0" w:color="auto"/>
            <w:bottom w:val="none" w:sz="0" w:space="0" w:color="auto"/>
            <w:right w:val="none" w:sz="0" w:space="0" w:color="auto"/>
          </w:divBdr>
        </w:div>
      </w:divsChild>
    </w:div>
    <w:div w:id="890265066">
      <w:bodyDiv w:val="1"/>
      <w:marLeft w:val="0"/>
      <w:marRight w:val="0"/>
      <w:marTop w:val="0"/>
      <w:marBottom w:val="0"/>
      <w:divBdr>
        <w:top w:val="none" w:sz="0" w:space="0" w:color="auto"/>
        <w:left w:val="none" w:sz="0" w:space="0" w:color="auto"/>
        <w:bottom w:val="none" w:sz="0" w:space="0" w:color="auto"/>
        <w:right w:val="none" w:sz="0" w:space="0" w:color="auto"/>
      </w:divBdr>
    </w:div>
    <w:div w:id="971013989">
      <w:bodyDiv w:val="1"/>
      <w:marLeft w:val="0"/>
      <w:marRight w:val="0"/>
      <w:marTop w:val="0"/>
      <w:marBottom w:val="0"/>
      <w:divBdr>
        <w:top w:val="none" w:sz="0" w:space="0" w:color="auto"/>
        <w:left w:val="none" w:sz="0" w:space="0" w:color="auto"/>
        <w:bottom w:val="none" w:sz="0" w:space="0" w:color="auto"/>
        <w:right w:val="none" w:sz="0" w:space="0" w:color="auto"/>
      </w:divBdr>
      <w:divsChild>
        <w:div w:id="1292402021">
          <w:marLeft w:val="0"/>
          <w:marRight w:val="0"/>
          <w:marTop w:val="0"/>
          <w:marBottom w:val="0"/>
          <w:divBdr>
            <w:top w:val="none" w:sz="0" w:space="0" w:color="auto"/>
            <w:left w:val="none" w:sz="0" w:space="0" w:color="auto"/>
            <w:bottom w:val="none" w:sz="0" w:space="0" w:color="auto"/>
            <w:right w:val="none" w:sz="0" w:space="0" w:color="auto"/>
          </w:divBdr>
        </w:div>
      </w:divsChild>
    </w:div>
    <w:div w:id="990211171">
      <w:bodyDiv w:val="1"/>
      <w:marLeft w:val="0"/>
      <w:marRight w:val="0"/>
      <w:marTop w:val="0"/>
      <w:marBottom w:val="0"/>
      <w:divBdr>
        <w:top w:val="none" w:sz="0" w:space="0" w:color="auto"/>
        <w:left w:val="none" w:sz="0" w:space="0" w:color="auto"/>
        <w:bottom w:val="none" w:sz="0" w:space="0" w:color="auto"/>
        <w:right w:val="none" w:sz="0" w:space="0" w:color="auto"/>
      </w:divBdr>
      <w:divsChild>
        <w:div w:id="2129354733">
          <w:marLeft w:val="0"/>
          <w:marRight w:val="0"/>
          <w:marTop w:val="0"/>
          <w:marBottom w:val="0"/>
          <w:divBdr>
            <w:top w:val="none" w:sz="0" w:space="0" w:color="auto"/>
            <w:left w:val="none" w:sz="0" w:space="0" w:color="auto"/>
            <w:bottom w:val="none" w:sz="0" w:space="0" w:color="auto"/>
            <w:right w:val="none" w:sz="0" w:space="0" w:color="auto"/>
          </w:divBdr>
        </w:div>
      </w:divsChild>
    </w:div>
    <w:div w:id="1088430799">
      <w:bodyDiv w:val="1"/>
      <w:marLeft w:val="0"/>
      <w:marRight w:val="0"/>
      <w:marTop w:val="0"/>
      <w:marBottom w:val="0"/>
      <w:divBdr>
        <w:top w:val="none" w:sz="0" w:space="0" w:color="auto"/>
        <w:left w:val="none" w:sz="0" w:space="0" w:color="auto"/>
        <w:bottom w:val="none" w:sz="0" w:space="0" w:color="auto"/>
        <w:right w:val="none" w:sz="0" w:space="0" w:color="auto"/>
      </w:divBdr>
    </w:div>
    <w:div w:id="1270315498">
      <w:bodyDiv w:val="1"/>
      <w:marLeft w:val="0"/>
      <w:marRight w:val="0"/>
      <w:marTop w:val="0"/>
      <w:marBottom w:val="0"/>
      <w:divBdr>
        <w:top w:val="none" w:sz="0" w:space="0" w:color="auto"/>
        <w:left w:val="none" w:sz="0" w:space="0" w:color="auto"/>
        <w:bottom w:val="none" w:sz="0" w:space="0" w:color="auto"/>
        <w:right w:val="none" w:sz="0" w:space="0" w:color="auto"/>
      </w:divBdr>
      <w:divsChild>
        <w:div w:id="730083290">
          <w:marLeft w:val="0"/>
          <w:marRight w:val="0"/>
          <w:marTop w:val="0"/>
          <w:marBottom w:val="0"/>
          <w:divBdr>
            <w:top w:val="none" w:sz="0" w:space="0" w:color="auto"/>
            <w:left w:val="none" w:sz="0" w:space="0" w:color="auto"/>
            <w:bottom w:val="none" w:sz="0" w:space="0" w:color="auto"/>
            <w:right w:val="none" w:sz="0" w:space="0" w:color="auto"/>
          </w:divBdr>
        </w:div>
      </w:divsChild>
    </w:div>
    <w:div w:id="1741519305">
      <w:bodyDiv w:val="1"/>
      <w:marLeft w:val="0"/>
      <w:marRight w:val="0"/>
      <w:marTop w:val="0"/>
      <w:marBottom w:val="0"/>
      <w:divBdr>
        <w:top w:val="none" w:sz="0" w:space="0" w:color="auto"/>
        <w:left w:val="none" w:sz="0" w:space="0" w:color="auto"/>
        <w:bottom w:val="none" w:sz="0" w:space="0" w:color="auto"/>
        <w:right w:val="none" w:sz="0" w:space="0" w:color="auto"/>
      </w:divBdr>
      <w:divsChild>
        <w:div w:id="1594705701">
          <w:marLeft w:val="0"/>
          <w:marRight w:val="0"/>
          <w:marTop w:val="0"/>
          <w:marBottom w:val="0"/>
          <w:divBdr>
            <w:top w:val="none" w:sz="0" w:space="0" w:color="auto"/>
            <w:left w:val="none" w:sz="0" w:space="0" w:color="auto"/>
            <w:bottom w:val="none" w:sz="0" w:space="0" w:color="auto"/>
            <w:right w:val="none" w:sz="0" w:space="0" w:color="auto"/>
          </w:divBdr>
        </w:div>
      </w:divsChild>
    </w:div>
    <w:div w:id="1863280413">
      <w:bodyDiv w:val="1"/>
      <w:marLeft w:val="0"/>
      <w:marRight w:val="0"/>
      <w:marTop w:val="0"/>
      <w:marBottom w:val="0"/>
      <w:divBdr>
        <w:top w:val="none" w:sz="0" w:space="0" w:color="auto"/>
        <w:left w:val="none" w:sz="0" w:space="0" w:color="auto"/>
        <w:bottom w:val="none" w:sz="0" w:space="0" w:color="auto"/>
        <w:right w:val="none" w:sz="0" w:space="0" w:color="auto"/>
      </w:divBdr>
      <w:divsChild>
        <w:div w:id="57680394">
          <w:marLeft w:val="0"/>
          <w:marRight w:val="0"/>
          <w:marTop w:val="0"/>
          <w:marBottom w:val="0"/>
          <w:divBdr>
            <w:top w:val="none" w:sz="0" w:space="0" w:color="auto"/>
            <w:left w:val="none" w:sz="0" w:space="0" w:color="auto"/>
            <w:bottom w:val="none" w:sz="0" w:space="0" w:color="auto"/>
            <w:right w:val="none" w:sz="0" w:space="0" w:color="auto"/>
          </w:divBdr>
        </w:div>
      </w:divsChild>
    </w:div>
    <w:div w:id="1935815942">
      <w:bodyDiv w:val="1"/>
      <w:marLeft w:val="0"/>
      <w:marRight w:val="0"/>
      <w:marTop w:val="0"/>
      <w:marBottom w:val="0"/>
      <w:divBdr>
        <w:top w:val="none" w:sz="0" w:space="0" w:color="auto"/>
        <w:left w:val="none" w:sz="0" w:space="0" w:color="auto"/>
        <w:bottom w:val="none" w:sz="0" w:space="0" w:color="auto"/>
        <w:right w:val="none" w:sz="0" w:space="0" w:color="auto"/>
      </w:divBdr>
      <w:divsChild>
        <w:div w:id="1748843250">
          <w:marLeft w:val="0"/>
          <w:marRight w:val="0"/>
          <w:marTop w:val="0"/>
          <w:marBottom w:val="0"/>
          <w:divBdr>
            <w:top w:val="none" w:sz="0" w:space="0" w:color="auto"/>
            <w:left w:val="none" w:sz="0" w:space="0" w:color="auto"/>
            <w:bottom w:val="none" w:sz="0" w:space="0" w:color="auto"/>
            <w:right w:val="none" w:sz="0" w:space="0" w:color="auto"/>
          </w:divBdr>
        </w:div>
      </w:divsChild>
    </w:div>
    <w:div w:id="1939099745">
      <w:bodyDiv w:val="1"/>
      <w:marLeft w:val="0"/>
      <w:marRight w:val="0"/>
      <w:marTop w:val="0"/>
      <w:marBottom w:val="0"/>
      <w:divBdr>
        <w:top w:val="none" w:sz="0" w:space="0" w:color="auto"/>
        <w:left w:val="none" w:sz="0" w:space="0" w:color="auto"/>
        <w:bottom w:val="none" w:sz="0" w:space="0" w:color="auto"/>
        <w:right w:val="none" w:sz="0" w:space="0" w:color="auto"/>
      </w:divBdr>
      <w:divsChild>
        <w:div w:id="1967926745">
          <w:marLeft w:val="0"/>
          <w:marRight w:val="0"/>
          <w:marTop w:val="0"/>
          <w:marBottom w:val="0"/>
          <w:divBdr>
            <w:top w:val="none" w:sz="0" w:space="0" w:color="auto"/>
            <w:left w:val="none" w:sz="0" w:space="0" w:color="auto"/>
            <w:bottom w:val="none" w:sz="0" w:space="0" w:color="auto"/>
            <w:right w:val="none" w:sz="0" w:space="0" w:color="auto"/>
          </w:divBdr>
        </w:div>
      </w:divsChild>
    </w:div>
    <w:div w:id="2063281989">
      <w:bodyDiv w:val="1"/>
      <w:marLeft w:val="0"/>
      <w:marRight w:val="0"/>
      <w:marTop w:val="0"/>
      <w:marBottom w:val="0"/>
      <w:divBdr>
        <w:top w:val="none" w:sz="0" w:space="0" w:color="auto"/>
        <w:left w:val="none" w:sz="0" w:space="0" w:color="auto"/>
        <w:bottom w:val="none" w:sz="0" w:space="0" w:color="auto"/>
        <w:right w:val="none" w:sz="0" w:space="0" w:color="auto"/>
      </w:divBdr>
      <w:divsChild>
        <w:div w:id="1705521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90/electronics101619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3713/ht.54.4.03" TargetMode="External"/><Relationship Id="rId17" Type="http://schemas.openxmlformats.org/officeDocument/2006/relationships/hyperlink" Target="https://doi.org/10.1016/j.resconrec.2020.105256" TargetMode="External"/><Relationship Id="rId2" Type="http://schemas.openxmlformats.org/officeDocument/2006/relationships/numbering" Target="numbering.xml"/><Relationship Id="rId16" Type="http://schemas.openxmlformats.org/officeDocument/2006/relationships/hyperlink" Target="https://doi.org/10.1016/j.jclepro.2021.1290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rta.global/vehicle-to-grid-v2g.%20Last%20accessed%2029/11/2021" TargetMode="External"/><Relationship Id="rId5" Type="http://schemas.openxmlformats.org/officeDocument/2006/relationships/webSettings" Target="webSettings.xml"/><Relationship Id="rId15" Type="http://schemas.openxmlformats.org/officeDocument/2006/relationships/hyperlink" Target="https://doi.org/10.4172/2167-7670.1000164" TargetMode="External"/><Relationship Id="rId10" Type="http://schemas.openxmlformats.org/officeDocument/2006/relationships/hyperlink" Target="https://doi.org/10.1109/CDCIEM.2011.19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7/978-3-030-63916-7_25" TargetMode="External"/><Relationship Id="rId14" Type="http://schemas.openxmlformats.org/officeDocument/2006/relationships/hyperlink" Target="https://doi.org/10.1088/1748-9326/11/5/054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SourceType>Journal Article</b:SourceType>
    <b:Title>The size and range effect: Lifecycle greenhouse gas emissions of electric vehicles</b:Title>
    <b:Year>2016</b:Year>
    <b:StandardNumber>17489326</b:StandardNumber>
    <b:JournalName>Environmental Research Letters</b:JournalName>
    <b:Volume>11</b:Volume>
    <b:Issue>5</b:Issue>
    <b:Author>
      <b:Author>
        <b:NameList>
          <b:Person>
            <b:First>Linda Ager Wick</b:First>
            <b:Last>Ellingsen</b:Last>
          </b:Person>
          <b:Person>
            <b:First>Bhawna</b:First>
            <b:Last>Singh</b:Last>
          </b:Person>
          <b:Person>
            <b:First>Anders Hammer</b:First>
            <b:Last>Strømman</b:Last>
          </b:Person>
        </b:NameList>
      </b:Author>
      <b:Editor>
        <b:NameList>
				</b:NameList>
      </b:Editor>
    </b:Author>
    <b:Tag>the-size-and-range-effect:-lifecycle-greenhouse-gas-emissions-of-electric-vehicles</b:Tag>
    <b:RefOrder>2</b:RefOrder>
  </b:Source>
  <b:Source>
    <b:SourceType>Journal Article</b:SourceType>
    <b:Title>The role of electric vehicles in near-term mitigation pathways and achieving the UK's carbon budget</b:Title>
    <b:Year>2019</b:Year>
    <b:StandardNumber>03062619</b:StandardNumber>
    <b:JournalName>Applied Energy</b:JournalName>
    <b:Volume>251</b:Volume>
    <b:Author>
      <b:Author>
        <b:NameList>
          <b:Person>
            <b:First>Graeme</b:First>
            <b:Last>Hill</b:Last>
          </b:Person>
          <b:Person>
            <b:First>Oliver</b:First>
            <b:Last>Heidrich</b:Last>
          </b:Person>
          <b:Person>
            <b:First>Felix</b:First>
            <b:Last>Creutzig</b:Last>
          </b:Person>
          <b:Person>
            <b:First>Phil</b:First>
            <b:Last>Blythe</b:Last>
          </b:Person>
        </b:NameList>
      </b:Author>
      <b:Editor>
        <b:NameList>
				</b:NameList>
      </b:Editor>
    </b:Author>
    <b:Tag>the-role-of-electric-vehicles-in-near-term-mitigation-pathways-and-achieving-the-uk's-carbon-budget</b:Tag>
    <b:RefOrder>3</b:RefOrder>
  </b:Source>
  <b:Source>
    <b:SourceType>Journal Article</b:SourceType>
    <b:Title>Technology Forecast for Electrical Vehicle Battery Technology and Future Electric Vehicle Market Estimation</b:Title>
    <b:Year>2017</b:Year>
    <b:JournalName>Advances in Automobile Engineering</b:JournalName>
    <b:Volume>06</b:Volume>
    <b:Issue>02</b:Issue>
    <b:Author>
      <b:Author>
        <b:NameList>
          <b:Person>
            <b:First>Orhan B</b:First>
            <b:Last>Alankus</b:Last>
          </b:Person>
        </b:NameList>
      </b:Author>
      <b:Editor>
        <b:NameList>
				</b:NameList>
      </b:Editor>
    </b:Author>
    <b:Tag>technology-forecast-for-electrical-vehicle-battery-technology-and-future-electric-vehicle-market-estimation</b:Tag>
    <b:RefOrder>4</b:RefOrder>
  </b:Source>
  <b:Source>
    <b:SourceType>Journal Article</b:SourceType>
    <b:Title>Techno-environmental analysis of battery storage for grid level energy services</b:Title>
    <b:Year>2020</b:Year>
    <b:StandardNumber>18790690</b:StandardNumber>
    <b:JournalName>Renewable and Sustainable Energy Reviews</b:JournalName>
    <b:Volume>131</b:Volume>
    <b:Author>
      <b:Author>
        <b:NameList>
          <b:Person>
            <b:First>Jahedul Islam</b:First>
            <b:Last>Chowdhury</b:Last>
          </b:Person>
          <b:Person>
            <b:First>Nazmiye</b:First>
            <b:Last>Balta-Ozkan</b:Last>
          </b:Person>
          <b:Person>
            <b:First>Pietro</b:First>
            <b:Last>Goglio</b:Last>
          </b:Person>
          <b:Person>
            <b:First>Yukun</b:First>
            <b:Last>Hu</b:Last>
          </b:Person>
          <b:Person>
            <b:First>Liz</b:First>
            <b:Last>Varga</b:Last>
          </b:Person>
          <b:Person>
            <b:First>Leah</b:First>
            <b:Last>McCabe</b:Last>
          </b:Person>
        </b:NameList>
      </b:Author>
      <b:Editor>
        <b:NameList>
				</b:NameList>
      </b:Editor>
    </b:Author>
    <b:Tag>techno-environmental-analysis-of-battery-storage-for-grid-level-energy-services</b:Tag>
    <b:RefOrder>5</b:RefOrder>
  </b:Source>
  <b:Source>
    <b:SourceType>generic</b:SourceType>
    <b:Title>Review of electric vehicle technologies, charging methods, standards and optimization techniques</b:Title>
    <b:Year>2021</b:Year>
    <b:StandardNumber>20799292</b:StandardNumber>
    <b:JournalName>Electronics (Switzerland)</b:JournalName>
    <b:Volume>10</b:Volume>
    <b:Issue>16</b:Issue>
    <b:Author>
      <b:Author>
        <b:NameList>
          <b:Person>
            <b:First>Syed Muhammad</b:First>
            <b:Last>Arif</b:Last>
          </b:Person>
          <b:Person>
            <b:First>Tek Tjing</b:First>
            <b:Last>Lie</b:Last>
          </b:Person>
          <b:Person>
            <b:First>Boon Chong</b:First>
            <b:Last>Seet</b:Last>
          </b:Person>
          <b:Person>
            <b:First>Soumia</b:First>
            <b:Last>Ayyadi</b:Last>
          </b:Person>
          <b:Person>
            <b:First>Kristian</b:First>
            <b:Last>Jensen</b:Last>
          </b:Person>
        </b:NameList>
      </b:Author>
      <b:Editor>
        <b:NameList>
				</b:NameList>
      </b:Editor>
    </b:Author>
    <b:Tag>review-of-electric-vehicle-technologies,-charging-methods,-standards-and-optimization-techniques</b:Tag>
    <b:RefOrder>6</b:RefOrder>
  </b:Source>
  <b:Source>
    <b:SourceType>Conference Proceedings</b:SourceType>
    <b:Title>Research on vehicle-to-grid technology</b:Title>
    <b:Year>2011</b:Year>
    <b:JournalName>Proceedings - International Conference on Computer Distributed Control and Intelligent Environmental Monitoring, CDCIEM 2011</b:JournalName>
    <b:Author>
      <b:Author>
        <b:NameList>
          <b:Person>
            <b:First>Yiyun</b:First>
            <b:Last>Tu</b:Last>
          </b:Person>
          <b:Person>
            <b:First>Can</b:First>
            <b:Last>Li</b:Last>
          </b:Person>
          <b:Person>
            <b:First>Lin</b:First>
            <b:Last>Cheng</b:Last>
          </b:Person>
          <b:Person>
            <b:First>Lin</b:First>
            <b:Last>Le</b:Last>
          </b:Person>
        </b:NameList>
      </b:Author>
      <b:Editor>
        <b:NameList>
				</b:NameList>
      </b:Editor>
    </b:Author>
    <b:Tag>research-on-vehicle-to-grid-technology</b:Tag>
    <b:RefOrder>7</b:RefOrder>
  </b:Source>
  <b:Source>
    <b:SourceType>Journal Article</b:SourceType>
    <b:Title>Regionalized climate footprints of battery electric vehicles in Europe</b:Title>
    <b:Year>2021</b:Year>
    <b:StandardNumber>09596526</b:StandardNumber>
    <b:JournalName>Journal of Cleaner Production</b:JournalName>
    <b:Volume>322</b:Volume>
    <b:Author>
      <b:Author>
        <b:NameList>
          <b:Person>
            <b:First>Christine Roxanne</b:First>
            <b:Last>Hung</b:Last>
          </b:Person>
          <b:Person>
            <b:First>Steve</b:First>
            <b:Last>Völler</b:Last>
          </b:Person>
          <b:Person>
            <b:First>Maxime</b:First>
            <b:Last>Agez</b:Last>
          </b:Person>
          <b:Person>
            <b:First>Guillaume</b:First>
            <b:Last>Majeau-Bettez</b:Last>
          </b:Person>
          <b:Person>
            <b:First>Anders Hammer</b:First>
            <b:Last>Strømman</b:Last>
          </b:Person>
        </b:NameList>
      </b:Author>
      <b:Editor>
        <b:NameList>
				</b:NameList>
      </b:Editor>
    </b:Author>
    <b:Tag>regionalized-climate-footprints-of-battery-electric-vehicles-in-europe</b:Tag>
    <b:RefOrder>8</b:RefOrder>
  </b:Source>
  <b:Source>
    <b:SourceType>Journal Article</b:SourceType>
    <b:Title>Natural resource use of gasoline, hybrid, electric and fuel cell vehicles considering land disturbances</b:Title>
    <b:Year>2021</b:Year>
    <b:StandardNumber>18790658</b:StandardNumber>
    <b:JournalName>Resources, Conservation and Recycling</b:JournalName>
    <b:Volume>166</b:Volume>
    <b:Author>
      <b:Author>
        <b:NameList>
          <b:Person>
            <b:First>Shoki</b:First>
            <b:Last>Kosai</b:Last>
          </b:Person>
          <b:Person>
            <b:First>Kenyu</b:First>
            <b:Last>Matsui</b:Last>
          </b:Person>
          <b:Person>
            <b:First>Kazuyo</b:First>
            <b:Last>Matsubae</b:Last>
          </b:Person>
          <b:Person>
            <b:First>Eiji</b:First>
            <b:Last>Yamasue</b:Last>
          </b:Person>
          <b:Person>
            <b:First>Tetsuya</b:First>
            <b:Last>Nagasaka</b:Last>
          </b:Person>
        </b:NameList>
      </b:Author>
      <b:Editor>
        <b:NameList>
				</b:NameList>
      </b:Editor>
    </b:Author>
    <b:Tag>natural-resource-use-of-gasoline,-hybrid,-electric-and-fuel-cell-vehicles-considering-land-disturbances</b:Tag>
    <b:RefOrder>9</b:RefOrder>
  </b:Source>
  <b:Source>
    <b:SourceType>Journal Article</b:SourceType>
    <b:Title>Li-ion battery performance degradation modeling for the optimal design and energy management of electrified propulsion systems</b:Title>
    <b:Year>2020</b:Year>
    <b:StandardNumber>19961073</b:StandardNumber>
    <b:JournalName>Energies</b:JournalName>
    <b:Volume>13</b:Volume>
    <b:Issue>7</b:Issue>
    <b:Author>
      <b:Author>
        <b:NameList>
          <b:Person>
            <b:First>Li</b:First>
            <b:Last>Chen</b:Last>
          </b:Person>
          <b:Person>
            <b:First>Yuqi</b:First>
            <b:Last>Tong</b:Last>
          </b:Person>
          <b:Person>
            <b:First>Zuomin</b:First>
            <b:Last>Dong</b:Last>
          </b:Person>
        </b:NameList>
      </b:Author>
      <b:Editor>
        <b:NameList>
				</b:NameList>
      </b:Editor>
    </b:Author>
    <b:Tag>li-ion-battery-performance-degradation-modeling-for-the-optimal-design-and-energy-management-of-electrified-propulsion-systems</b:Tag>
    <b:RefOrder>10</b:RefOrder>
  </b:Source>
  <b:Source>
    <b:SourceType>Conference Proceedings</b:SourceType>
    <b:Title>Integration of electric vehicle user charging preferences into Vehicle-to-Grid aggregator controls</b:Title>
    <b:Year>2020</b:Year>
    <b:StandardNumber>23524847</b:StandardNumber>
    <b:JournalName>Energy Reports</b:JournalName>
    <b:Volume>6</b:Volume>
    <b:Author>
      <b:Author>
        <b:NameList>
          <b:Person>
            <b:First>Hannes</b:First>
            <b:Last>Krueger</b:Last>
          </b:Person>
          <b:Person>
            <b:First>Andrew</b:First>
            <b:Last>Cruden</b:Last>
          </b:Person>
        </b:NameList>
      </b:Author>
      <b:Editor>
        <b:NameList>
				</b:NameList>
      </b:Editor>
    </b:Author>
    <b:Tag>integration-of-electric-vehicle-user-charging-preferences-into-vehicle-to-grid-aggregator-controls</b:Tag>
    <b:RefOrder>11</b:RefOrder>
  </b:Source>
  <b:Source>
    <b:SourceType>book_section</b:SourceType>
    <b:Title>Impact of Replacing Conventional Cars with Electric Vehicles on UK Electricity Grid and Carbon Emissions</b:Title>
    <b:Year>2021</b:Year>
    <b:Author>
      <b:Author>
        <b:NameList>
          <b:Person>
            <b:First>George</b:First>
            <b:Last>Milev</b:Last>
          </b:Person>
          <b:Person>
            <b:First>Amin</b:First>
            <b:Last>Al-Habaibeh</b:Last>
          </b:Person>
          <b:Person>
            <b:First>Daniel</b:First>
            <b:Last>Shin</b:Last>
          </b:Person>
        </b:NameList>
      </b:Author>
      <b:Editor>
        <b:NameList>
				</b:NameList>
      </b:Editor>
    </b:Author>
    <b:Tag>impact-of-replacing-conventional-cars-with-electric-vehicles-on-uk-electricity-grid-and-carbon-emissions</b:Tag>
    <b:RefOrder>1</b:RefOrder>
  </b:Source>
  <b:Source>
    <b:SourceType>Journal Article</b:SourceType>
    <b:Title>Framework for the introduction of vehicle-to-grid technology into the polish electricity market</b:Title>
    <b:Year>2021</b:Year>
    <b:StandardNumber>19961073</b:StandardNumber>
    <b:JournalName>Energies</b:JournalName>
    <b:Volume>14</b:Volume>
    <b:Issue>12</b:Issue>
    <b:Author>
      <b:Author>
        <b:NameList>
          <b:Person>
            <b:First>Krzysztof</b:First>
            <b:Last>Zagrajek</b:Last>
          </b:Person>
          <b:Person>
            <b:First>Józef</b:First>
            <b:Last>Paska</b:Last>
          </b:Person>
          <b:Person>
            <b:First>Łukasz</b:First>
            <b:Last>Sosnowski</b:Last>
          </b:Person>
          <b:Person>
            <b:First>Konrad</b:First>
            <b:Last>Gobosz</b:Last>
          </b:Person>
          <b:Person>
            <b:First>Konrad</b:First>
            <b:Last>Wróblewski</b:Last>
          </b:Person>
        </b:NameList>
      </b:Author>
      <b:Editor>
        <b:NameList>
				</b:NameList>
      </b:Editor>
    </b:Author>
    <b:Tag>framework-for-the-introduction-of-vehicle-to-grid-technology-into-the-polish-electricity-market</b:Tag>
    <b:RefOrder>12</b:RefOrder>
  </b:Source>
  <b:Source>
    <b:SourceType>Journal Article</b:SourceType>
    <b:Title>Electric Vehicles Charging Technology Review and Optimal Size Estimation</b:Title>
    <b:Year>2020</b:Year>
    <b:StandardNumber>20937423</b:StandardNumber>
    <b:JournalName>Journal of Electrical Engineering and Technology</b:JournalName>
    <b:Volume>15</b:Volume>
    <b:Issue>6</b:Issue>
    <b:Author>
      <b:Author>
        <b:NameList>
          <b:Person>
            <b:First>Morris</b:First>
            <b:Last>Brenna</b:Last>
          </b:Person>
          <b:Person>
            <b:First>Federica</b:First>
            <b:Last>Foiadelli</b:Last>
          </b:Person>
          <b:Person>
            <b:First>Carola</b:First>
            <b:Last>Leone</b:Last>
          </b:Person>
          <b:Person>
            <b:First>Michela</b:First>
            <b:Last>Longo</b:Last>
          </b:Person>
        </b:NameList>
      </b:Author>
      <b:Editor>
        <b:NameList>
				</b:NameList>
      </b:Editor>
    </b:Author>
    <b:Tag>electric-vehicles-charging-technology-review-and-optimal-size-estimation</b:Tag>
    <b:RefOrder>13</b:RefOrder>
  </b:Source>
  <b:Source>
    <b:SourceType>Journal Article</b:SourceType>
    <b:Title>Electric vehicles as flexibility management strategy for the electricity system—A comparison between different regions of Europe</b:Title>
    <b:Year>2019</b:Year>
    <b:StandardNumber>19961073</b:StandardNumber>
    <b:JournalName>Energies</b:JournalName>
    <b:Volume>12</b:Volume>
    <b:Issue>13</b:Issue>
    <b:Author>
      <b:Author>
        <b:NameList>
          <b:Person>
            <b:First>Maria</b:First>
            <b:Last>Taljegard</b:Last>
          </b:Person>
          <b:Person>
            <b:First>Lisa</b:First>
            <b:Last>Göransson</b:Last>
          </b:Person>
          <b:Person>
            <b:First>Mikael</b:First>
            <b:Last>Odenberger</b:Last>
          </b:Person>
          <b:Person>
            <b:First>Filip</b:First>
            <b:Last>Johnsson</b:Last>
          </b:Person>
        </b:NameList>
      </b:Author>
      <b:Editor>
        <b:NameList>
				</b:NameList>
      </b:Editor>
    </b:Author>
    <b:Tag>electric-vehicles-as-flexibility-management-strategy-for-the-electricity-system—a-comparison-between-different-regions-of-europe</b:Tag>
    <b:RefOrder>14</b:RefOrder>
  </b:Source>
  <b:Source>
    <b:SourceType>Journal Article</b:SourceType>
    <b:Title>Electric Vehicle Charging Infrastructure and Charging Technologies</b:Title>
    <b:Year>2020</b:Year>
    <b:StandardNumber>02306891</b:StandardNumber>
    <b:JournalName>Haditechnika</b:JournalName>
    <b:Volume>54</b:Volume>
    <b:Issue>4</b:Issue>
    <b:Author>
      <b:Author>
        <b:NameList>
          <b:Person>
            <b:First>Haya</b:First>
            <b:Last>Altaleb</b:Last>
          </b:Person>
          <b:Person>
            <b:First>Zoltán</b:First>
            <b:Last>Rajnai</b:Last>
          </b:Person>
        </b:NameList>
      </b:Author>
      <b:Editor>
        <b:NameList>
				</b:NameList>
      </b:Editor>
    </b:Author>
    <b:Tag>electric-vehicle-charging-infrastructure-and-charging-technologies</b:Tag>
    <b:RefOrder>15</b:RefOrder>
  </b:Source>
  <b:Source>
    <b:SourceType>generic</b:SourceType>
    <b:Title>Beyond the state of the art of electric vehicles: A fact-based paper of the current and prospective electric vehicle technologies</b:Title>
    <b:Year>2021</b:Year>
    <b:StandardNumber>20326653</b:StandardNumber>
    <b:JournalName>World Electric Vehicle Journal</b:JournalName>
    <b:Volume>12</b:Volume>
    <b:Issue>1</b:Issue>
    <b:Author>
      <b:Author>
        <b:NameList>
          <b:Person>
            <b:First>Joeri Van</b:First>
            <b:Last>Mierlo</b:Last>
          </b:Person>
          <b:Person>
            <b:First>Maitane</b:First>
            <b:Last>Berecibar</b:Last>
          </b:Person>
          <b:Person>
            <b:First>Mohamed El</b:First>
            <b:Last>Baghdadi</b:Last>
          </b:Person>
          <b:Person>
            <b:First>Cedric</b:First>
            <b:Last>De Cauwer</b:Last>
          </b:Person>
          <b:Person>
            <b:First>Maarten</b:First>
            <b:Last>Messagie</b:Last>
          </b:Person>
          <b:Person>
            <b:First>Thierry</b:First>
            <b:Last>Coosemans</b:Last>
          </b:Person>
          <b:Person>
            <b:First>Valéry Ann</b:First>
            <b:Last>Jacobs</b:Last>
          </b:Person>
          <b:Person>
            <b:First>Omar</b:First>
            <b:Last>Hegazy</b:Last>
          </b:Person>
        </b:NameList>
      </b:Author>
      <b:Editor>
        <b:NameList>
				</b:NameList>
      </b:Editor>
    </b:Author>
    <b:Tag>beyond-the-state-of-the-art-of-electric-vehicles:-a-fact-based-paper-of-the-current-and-prospective-electric-vehicle-technologies</b:Tag>
    <b:RefOrder>16</b:RefOrder>
  </b:Source>
  <b:Source>
    <b:SourceType>Journal Article</b:SourceType>
    <b:Title>Analysis of electric vehicles on utility networks</b:Title>
    <b:Year>2009</b:Year>
    <b:StandardNumber>20326653</b:StandardNumber>
    <b:JournalName>World Electric Vehicle Journal</b:JournalName>
    <b:Volume>3</b:Volume>
    <b:Issue>4</b:Issue>
    <b:Author>
      <b:Author>
        <b:NameList>
          <b:Person>
            <b:First>K.</b:First>
            <b:Last>Dyke</b:Last>
          </b:Person>
          <b:Person>
            <b:First>N.</b:First>
            <b:Last>Schofield</b:Last>
          </b:Person>
          <b:Person>
            <b:First>M.</b:First>
            <b:Last>Barnes</b:Last>
          </b:Person>
        </b:NameList>
      </b:Author>
      <b:Editor>
        <b:NameList>
				</b:NameList>
      </b:Editor>
    </b:Author>
    <b:Tag>analysis-of-electric-vehicles-on-utility-networks</b:Tag>
    <b:RefOrder>17</b:RefOrder>
  </b:Source>
  <b:Source>
    <b:SourceType>Journal Article</b:SourceType>
    <b:Title>Advanced Electric Vehicle Fast-Charging Technologies</b:Title>
    <b:Year>2019</b:Year>
    <b:StandardNumber>19961073</b:StandardNumber>
    <b:JournalName>Energies</b:JournalName>
    <b:Volume>12</b:Volume>
    <b:Issue>10</b:Issue>
    <b:Author>
      <b:Author>
        <b:NameList>
          <b:Person>
            <b:First>Ryan</b:First>
            <b:Last>Collin</b:Last>
          </b:Person>
          <b:Person>
            <b:First>Yu</b:First>
            <b:Last>Miao</b:Last>
          </b:Person>
          <b:Person>
            <b:First>Alex</b:First>
            <b:Last>Yokochi</b:Last>
          </b:Person>
          <b:Person>
            <b:First>Prasad</b:First>
            <b:Last>Enjeti</b:Last>
          </b:Person>
          <b:Person>
            <b:First>Annette</b:First>
            <b:Last>Von Jouanne</b:Last>
          </b:Person>
        </b:NameList>
      </b:Author>
      <b:Editor>
        <b:NameList>
				</b:NameList>
      </b:Editor>
    </b:Author>
    <b:Tag>advanced-electric-vehicle-fast-charging-technologies</b:Tag>
    <b:RefOrder>18</b:RefOrder>
  </b:Source>
  <b:Source>
    <b:SourceType>Journal Article</b:SourceType>
    <b:Title>A fast and efficient coordinated vehicle-to-grid discharging control scheme for peak shaving in power distribution system</b:Title>
    <b:Year>2018</b:Year>
    <b:StandardNumber>21965420</b:StandardNumber>
    <b:JournalName>Journal of Modern Power Systems and Clean Energy</b:JournalName>
    <b:Volume>6</b:Volume>
    <b:Issue>3</b:Issue>
    <b:Author>
      <b:Author>
        <b:NameList>
          <b:Person>
            <b:First>Nuh</b:First>
            <b:Last>Erdogan</b:Last>
          </b:Person>
          <b:Person>
            <b:First>Fatih</b:First>
            <b:Last>Erden</b:Last>
          </b:Person>
          <b:Person>
            <b:First>Mithat</b:First>
            <b:Last>Kisacikoglu</b:Last>
          </b:Person>
        </b:NameList>
      </b:Author>
      <b:Editor>
        <b:NameList>
				</b:NameList>
      </b:Editor>
    </b:Author>
    <b:Tag>a-fast-and-efficient-coordinated-vehicle-to-grid-discharging-control-scheme-for-peak-shaving-in-power-distribution-system</b:Tag>
    <b:RefOrder>19</b:RefOrder>
  </b:Source>
  <b:Source>
    <b:SourceType>Journal Article</b:SourceType>
    <b:Title>A comprehensive analysis of Vehicle to Grid (V2G) systems and scholarly literature on the application of such systems</b:Title>
    <b:Year>2021</b:Year>
    <b:StandardNumber>17550084</b:StandardNumber>
    <b:JournalName>Renewable Energy Focus</b:JournalName>
    <b:Volume>36</b:Volume>
    <b:Author>
      <b:Author>
        <b:NameList>
          <b:Person>
            <b:First>Bijan</b:First>
            <b:Last>Bibak</b:Last>
          </b:Person>
          <b:Person>
            <b:First>Hatice</b:First>
            <b:Last>Tekiner-Moğulkoç</b:Last>
          </b:Person>
        </b:NameList>
      </b:Author>
      <b:Editor>
        <b:NameList>
				</b:NameList>
      </b:Editor>
    </b:Author>
    <b:Tag>a-comprehensive-analysis-of-vehicle-to-grid-(v2g)-systems-and-scholarly-literature-on-the-application-of-such-systems</b:Tag>
    <b:RefOrder>20</b:RefOrder>
  </b:Source>
</b:Sources>
</file>

<file path=customXml/itemProps1.xml><?xml version="1.0" encoding="utf-8"?>
<ds:datastoreItem xmlns:ds="http://schemas.openxmlformats.org/officeDocument/2006/customXml" ds:itemID="{37184C88-C38B-43BF-90DA-380A0F2E4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14</Pages>
  <Words>3570</Words>
  <Characters>20352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dc:creator>
  <cp:keywords/>
  <dc:description/>
  <cp:lastModifiedBy>Iestyn Webber</cp:lastModifiedBy>
  <cp:revision>128</cp:revision>
  <dcterms:created xsi:type="dcterms:W3CDTF">2021-11-21T21:46:00Z</dcterms:created>
  <dcterms:modified xsi:type="dcterms:W3CDTF">2021-11-30T00:37:00Z</dcterms:modified>
</cp:coreProperties>
</file>