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12FBA" w14:textId="77777777" w:rsidR="00416A6C" w:rsidRPr="00C051CE" w:rsidRDefault="00416A6C" w:rsidP="00416A6C">
      <w:pPr>
        <w:jc w:val="center"/>
        <w:rPr>
          <w:sz w:val="36"/>
          <w:szCs w:val="36"/>
          <w:u w:val="single"/>
        </w:rPr>
      </w:pPr>
      <w:r w:rsidRPr="00C051CE">
        <w:rPr>
          <w:sz w:val="36"/>
          <w:szCs w:val="36"/>
          <w:u w:val="single"/>
        </w:rPr>
        <w:t>Reflective Journal Project.</w:t>
      </w:r>
    </w:p>
    <w:p w14:paraId="7F80C2D1" w14:textId="77777777" w:rsidR="00416A6C" w:rsidRDefault="00416A6C" w:rsidP="00416A6C"/>
    <w:p w14:paraId="09BEBA60" w14:textId="77777777" w:rsidR="00416A6C" w:rsidRPr="00C051CE" w:rsidRDefault="00416A6C" w:rsidP="00416A6C">
      <w:pPr>
        <w:pStyle w:val="NoSpacing"/>
        <w:jc w:val="right"/>
        <w:rPr>
          <w:sz w:val="16"/>
          <w:szCs w:val="16"/>
        </w:rPr>
      </w:pPr>
      <w:r w:rsidRPr="00C051CE">
        <w:rPr>
          <w:sz w:val="16"/>
          <w:szCs w:val="16"/>
        </w:rPr>
        <w:t>Darren Tierney</w:t>
      </w:r>
    </w:p>
    <w:p w14:paraId="75009E75" w14:textId="77777777" w:rsidR="00416A6C" w:rsidRPr="00C051CE" w:rsidRDefault="00416A6C" w:rsidP="00416A6C">
      <w:pPr>
        <w:pStyle w:val="NoSpacing"/>
        <w:jc w:val="right"/>
        <w:rPr>
          <w:sz w:val="16"/>
          <w:szCs w:val="16"/>
        </w:rPr>
      </w:pPr>
      <w:r w:rsidRPr="00C051CE">
        <w:rPr>
          <w:sz w:val="16"/>
          <w:szCs w:val="16"/>
        </w:rPr>
        <w:t>Level 6</w:t>
      </w:r>
    </w:p>
    <w:p w14:paraId="33CBE770" w14:textId="77777777" w:rsidR="00416A6C" w:rsidRPr="00C051CE" w:rsidRDefault="00416A6C" w:rsidP="00416A6C">
      <w:pPr>
        <w:pStyle w:val="NoSpacing"/>
        <w:jc w:val="right"/>
        <w:rPr>
          <w:sz w:val="16"/>
          <w:szCs w:val="16"/>
        </w:rPr>
      </w:pPr>
      <w:r w:rsidRPr="00C051CE">
        <w:rPr>
          <w:sz w:val="16"/>
          <w:szCs w:val="16"/>
        </w:rPr>
        <w:t>08/04/2024</w:t>
      </w:r>
    </w:p>
    <w:p w14:paraId="307A941F" w14:textId="77777777" w:rsidR="00416A6C" w:rsidRDefault="00416A6C" w:rsidP="00416A6C"/>
    <w:p w14:paraId="14CC4B2A" w14:textId="77777777" w:rsidR="00293AC2" w:rsidRDefault="00293AC2" w:rsidP="00416A6C"/>
    <w:p w14:paraId="66FD3362" w14:textId="1549D36A" w:rsidR="00416A6C" w:rsidRDefault="00416A6C" w:rsidP="00416A6C">
      <w:r>
        <w:t>In this essay I will be discussing my progress of learning recorded in both a personal journal and commonplace notes found within my work while attending the Special Collections Research module.  In this essay I will be aiming to achieve an understanding of the process of learning through analysis of my personal notes</w:t>
      </w:r>
      <w:r w:rsidR="00A85C46">
        <w:t>. I will format my work</w:t>
      </w:r>
      <w:r>
        <w:t xml:space="preserve"> into</w:t>
      </w:r>
      <w:r w:rsidR="00A85C46">
        <w:t xml:space="preserve"> a</w:t>
      </w:r>
      <w:r>
        <w:t xml:space="preserve"> cohesive structure that shows </w:t>
      </w:r>
      <w:r w:rsidR="00A85C46">
        <w:t>due diligence</w:t>
      </w:r>
      <w:r>
        <w:t xml:space="preserve"> </w:t>
      </w:r>
      <w:r w:rsidR="00A85C46">
        <w:t>d</w:t>
      </w:r>
      <w:r>
        <w:t xml:space="preserve">uring my time researching multiple different projects. </w:t>
      </w:r>
      <w:r w:rsidR="00A85C46">
        <w:t xml:space="preserve">I will reflect on </w:t>
      </w:r>
      <w:r>
        <w:t xml:space="preserve">my experience, and I will aim to demonstrate </w:t>
      </w:r>
      <w:r w:rsidR="00A85C46">
        <w:t>this</w:t>
      </w:r>
      <w:r>
        <w:t xml:space="preserve"> has given me an advantage when researching my dissertation and my time at my studies.</w:t>
      </w:r>
    </w:p>
    <w:p w14:paraId="5E3640F9" w14:textId="77777777" w:rsidR="009D6579" w:rsidRDefault="009D6579"/>
    <w:p w14:paraId="650D9805" w14:textId="028654AC" w:rsidR="00416A6C" w:rsidRDefault="00416A6C">
      <w:r>
        <w:t xml:space="preserve">The importance of primary sources and their preservation was a key motif of this module, the ability to cite sources </w:t>
      </w:r>
      <w:r w:rsidR="0003461C">
        <w:t xml:space="preserve">of this nature is </w:t>
      </w:r>
      <w:r>
        <w:t>key to good academic due diligence. This coincides with the lecture on provenance that brought forth the importance of the owners of a book too, as early libraries and archives have tried to remove personal marks that show who owned the book previously.</w:t>
      </w:r>
      <w:r w:rsidR="00AD6E20">
        <w:rPr>
          <w:rStyle w:val="FootnoteReference"/>
        </w:rPr>
        <w:footnoteReference w:id="1"/>
      </w:r>
      <w:r>
        <w:t xml:space="preserve"> This is applicable in my wider studies as not only can you gain information about subject through its initial production, but also at a secondary source </w:t>
      </w:r>
      <w:r w:rsidR="0003461C">
        <w:t>through its ownership</w:t>
      </w:r>
      <w:r>
        <w:t xml:space="preserve">. </w:t>
      </w:r>
      <w:r w:rsidR="0003461C">
        <w:t>I</w:t>
      </w:r>
      <w:r>
        <w:t>t is important to note that many of the books that were shown during the module had examples of people taking great care</w:t>
      </w:r>
      <w:r w:rsidR="0003461C">
        <w:t>,</w:t>
      </w:r>
      <w:r>
        <w:t xml:space="preserve"> and underlying important passages that ‘spoke to the reader</w:t>
      </w:r>
      <w:r w:rsidR="0003461C">
        <w:t>.</w:t>
      </w:r>
      <w:r>
        <w:t>’</w:t>
      </w:r>
      <w:r w:rsidR="0003461C">
        <w:t xml:space="preserve"> I found it very intriguing that if pointing to a line or phrase/word in a book a hand with a finger would be used instead of a modern-day arrow.</w:t>
      </w:r>
    </w:p>
    <w:p w14:paraId="3026E7A7" w14:textId="77777777" w:rsidR="000936C2" w:rsidRDefault="000936C2"/>
    <w:p w14:paraId="74A4EE6A" w14:textId="4215EBE4" w:rsidR="00377A67" w:rsidRDefault="00416A6C">
      <w:r>
        <w:t xml:space="preserve">Learning the ability to navigate the archives was essentially key to achieve a proper understanding of the breadth of its information, as an archive itself is usually quite vast, and it is through this classification system that a person can gain </w:t>
      </w:r>
      <w:r w:rsidR="0003461C">
        <w:t>a</w:t>
      </w:r>
      <w:r>
        <w:t>ccess to the</w:t>
      </w:r>
      <w:r w:rsidR="0003461C">
        <w:t xml:space="preserve"> sea of</w:t>
      </w:r>
      <w:r>
        <w:t xml:space="preserve"> information</w:t>
      </w:r>
      <w:r w:rsidR="0003461C">
        <w:t xml:space="preserve"> with relative ease</w:t>
      </w:r>
      <w:r>
        <w:t xml:space="preserve">. This has helped me in my wider studies, being able to approach the archive and request information that is applicable to my work is a skill that will be extremely important to the </w:t>
      </w:r>
      <w:r w:rsidR="0003461C">
        <w:t xml:space="preserve">personal </w:t>
      </w:r>
      <w:r>
        <w:t xml:space="preserve">success </w:t>
      </w:r>
      <w:r w:rsidR="0003461C">
        <w:t>towards</w:t>
      </w:r>
      <w:r>
        <w:t xml:space="preserve"> my </w:t>
      </w:r>
      <w:r w:rsidR="0003461C">
        <w:t>bachelor’s degree</w:t>
      </w:r>
      <w:r>
        <w:t xml:space="preserve">. </w:t>
      </w:r>
      <w:r w:rsidR="003C0F39">
        <w:t>An opinion</w:t>
      </w:r>
      <w:r w:rsidR="00377A67">
        <w:t xml:space="preserve"> </w:t>
      </w:r>
      <w:r w:rsidR="0003461C">
        <w:t>of mine is the public library seems to be a pivoting point and is taken for granted in the twenty first century, this could also include various institutions put in place for the access of knowledge</w:t>
      </w:r>
      <w:r w:rsidR="00377A67">
        <w:t>. The freedom of information has brought the humanities from an aristocratic or religious class to the wider public, rather than it being difficult to approach</w:t>
      </w:r>
      <w:r w:rsidR="0003461C">
        <w:t>,</w:t>
      </w:r>
      <w:r w:rsidR="00377A67">
        <w:t xml:space="preserve"> as</w:t>
      </w:r>
      <w:r w:rsidR="0003461C">
        <w:t xml:space="preserve"> previously</w:t>
      </w:r>
      <w:r w:rsidR="00377A67">
        <w:t xml:space="preserve"> you</w:t>
      </w:r>
      <w:r w:rsidR="0003461C">
        <w:t xml:space="preserve"> would</w:t>
      </w:r>
      <w:r w:rsidR="00377A67">
        <w:t xml:space="preserve"> need a patron to allow you to access their personal library.</w:t>
      </w:r>
    </w:p>
    <w:p w14:paraId="2FB634CC" w14:textId="77777777" w:rsidR="000936C2" w:rsidRDefault="000936C2" w:rsidP="00377A67"/>
    <w:p w14:paraId="12936854" w14:textId="6D2895AD" w:rsidR="00377A67" w:rsidRDefault="00377A67" w:rsidP="00377A67">
      <w:r>
        <w:t xml:space="preserve">The difficulty of transcribing manuscripts into digital works or translation was a key </w:t>
      </w:r>
      <w:r w:rsidR="003C0F39">
        <w:t>lesson</w:t>
      </w:r>
      <w:r>
        <w:t xml:space="preserve"> that I </w:t>
      </w:r>
      <w:r w:rsidR="003C0F39">
        <w:t xml:space="preserve">experienced </w:t>
      </w:r>
      <w:r>
        <w:t>during my time at Roderi</w:t>
      </w:r>
      <w:r w:rsidR="003C0F39">
        <w:t>c</w:t>
      </w:r>
      <w:r>
        <w:t xml:space="preserve"> Bowen, the effort it took to transcribe in a bibliographical </w:t>
      </w:r>
      <w:r>
        <w:lastRenderedPageBreak/>
        <w:t xml:space="preserve">context the front page of a simple printed volume of </w:t>
      </w:r>
      <w:r w:rsidR="00A85C46">
        <w:t>‘CLAVIS SCRIPTVRAE S.’</w:t>
      </w:r>
      <w:r w:rsidR="00A85C46">
        <w:rPr>
          <w:rStyle w:val="FootnoteReference"/>
        </w:rPr>
        <w:footnoteReference w:id="2"/>
      </w:r>
      <w:r>
        <w:t xml:space="preserve"> was surprisingly challenging considering the apparent ease of the task. I ran into a similar issue when attempting to decipher the primary source for the archives project</w:t>
      </w:r>
      <w:r w:rsidR="003C0F39">
        <w:t>,</w:t>
      </w:r>
      <w:r>
        <w:t xml:space="preserve"> the principles notes. The cursive writing of </w:t>
      </w:r>
      <w:proofErr w:type="spellStart"/>
      <w:r>
        <w:t>Archdall</w:t>
      </w:r>
      <w:proofErr w:type="spellEnd"/>
      <w:r>
        <w:t xml:space="preserve"> was to my own eyes </w:t>
      </w:r>
      <w:r w:rsidR="003C0F39">
        <w:t xml:space="preserve">difficult to decipher, and </w:t>
      </w:r>
      <w:r>
        <w:t>I</w:t>
      </w:r>
      <w:r w:rsidR="003C0F39">
        <w:t xml:space="preserve"> made the</w:t>
      </w:r>
      <w:r>
        <w:t xml:space="preserve"> deci</w:t>
      </w:r>
      <w:r w:rsidR="003C0F39">
        <w:t>sion</w:t>
      </w:r>
      <w:r>
        <w:t xml:space="preserve"> not use it as a primary source, due to</w:t>
      </w:r>
      <w:r w:rsidR="003C0F39">
        <w:t xml:space="preserve"> likely</w:t>
      </w:r>
      <w:r>
        <w:t xml:space="preserve"> misinterpr</w:t>
      </w:r>
      <w:r w:rsidR="003C0F39">
        <w:t>eting</w:t>
      </w:r>
      <w:r>
        <w:t xml:space="preserve"> the notes.</w:t>
      </w:r>
      <w:r w:rsidR="00AD6E20">
        <w:rPr>
          <w:rStyle w:val="FootnoteReference"/>
        </w:rPr>
        <w:footnoteReference w:id="3"/>
      </w:r>
      <w:r>
        <w:t xml:space="preserve"> This shows what work people put in to read some manuscripts and translate them, especially early medieval manuscripts that would be my focus due to the degree that I am undertaking. Some of the</w:t>
      </w:r>
      <w:r w:rsidR="003C0F39">
        <w:t xml:space="preserve"> most prized manuscripts in the special collection</w:t>
      </w:r>
      <w:r>
        <w:t xml:space="preserve"> showed significant wear and tea</w:t>
      </w:r>
      <w:r w:rsidR="003C0F39">
        <w:t>r and</w:t>
      </w:r>
      <w:r>
        <w:t xml:space="preserve"> </w:t>
      </w:r>
      <w:r w:rsidR="00A5615F">
        <w:t>most of the binding had worn in some way</w:t>
      </w:r>
      <w:r w:rsidR="003C0F39">
        <w:t>.</w:t>
      </w:r>
      <w:r w:rsidR="00A5615F">
        <w:t xml:space="preserve"> </w:t>
      </w:r>
      <w:r w:rsidR="003C0F39">
        <w:t>I</w:t>
      </w:r>
      <w:r w:rsidR="00A5615F">
        <w:t>t was rare that every single page was in good condition</w:t>
      </w:r>
      <w:r w:rsidR="003C0F39">
        <w:t xml:space="preserve">, </w:t>
      </w:r>
      <w:r w:rsidR="00A5615F">
        <w:t>entirely intact</w:t>
      </w:r>
      <w:r w:rsidR="003C0F39">
        <w:t xml:space="preserve"> and without defacing/graffiti</w:t>
      </w:r>
      <w:r w:rsidR="00A5615F">
        <w:t>.</w:t>
      </w:r>
    </w:p>
    <w:p w14:paraId="734418FC" w14:textId="77777777" w:rsidR="000936C2" w:rsidRDefault="000936C2" w:rsidP="00377A67"/>
    <w:p w14:paraId="3B0A4F21" w14:textId="0B68E685" w:rsidR="00A5615F" w:rsidRDefault="00A5615F" w:rsidP="00377A67">
      <w:r>
        <w:t>Note keeping in a professional setting was also brought to the limelight when considering ease of access to information, the process of note keeping, and meticulous organisation certainly proves a benefit when dealing with a mass of information. The individual notes I had in my journal proved to be extremely helpful throughout the studies and research projects</w:t>
      </w:r>
      <w:r w:rsidR="003C0F39">
        <w:t>.</w:t>
      </w:r>
      <w:r>
        <w:t xml:space="preserve"> </w:t>
      </w:r>
      <w:r w:rsidR="003C0F39">
        <w:t>I</w:t>
      </w:r>
      <w:r>
        <w:t xml:space="preserve">n a wider context it personally proves the importance of proper documentation, and it is also why we have many journals and primary sources from scholars and historians of the past that have been extremely useful when dealing with specific projects and research. </w:t>
      </w:r>
    </w:p>
    <w:p w14:paraId="410E829C" w14:textId="77777777" w:rsidR="00A5615F" w:rsidRDefault="00A5615F" w:rsidP="00377A67"/>
    <w:p w14:paraId="68C59C06" w14:textId="0DAE0F4F" w:rsidR="00416A6C" w:rsidRDefault="00A5615F">
      <w:r>
        <w:t>The library project that I undertook was difficult to achieve, the book I was researching was a 16</w:t>
      </w:r>
      <w:r w:rsidRPr="00A5615F">
        <w:rPr>
          <w:vertAlign w:val="superscript"/>
        </w:rPr>
        <w:t>th</w:t>
      </w:r>
      <w:r>
        <w:t xml:space="preserve"> century printed book titled ‘CLAVIS SCRIPTVRAE S.’</w:t>
      </w:r>
      <w:r w:rsidR="00AD6E20">
        <w:rPr>
          <w:rStyle w:val="FootnoteReference"/>
        </w:rPr>
        <w:footnoteReference w:id="4"/>
      </w:r>
      <w:r>
        <w:t xml:space="preserve"> This project was particularly challenging</w:t>
      </w:r>
      <w:r w:rsidR="003C0F39">
        <w:t>,</w:t>
      </w:r>
      <w:r>
        <w:t xml:space="preserve"> the binding</w:t>
      </w:r>
      <w:r w:rsidR="003C0F39">
        <w:t xml:space="preserve"> material</w:t>
      </w:r>
      <w:r>
        <w:t xml:space="preserve"> was difficult to</w:t>
      </w:r>
      <w:r w:rsidR="003C0F39">
        <w:t xml:space="preserve"> pin down and</w:t>
      </w:r>
      <w:r>
        <w:t xml:space="preserve"> get a reputable source for. I ended up settling for alum-tawed pig skin</w:t>
      </w:r>
      <w:r w:rsidR="003C0F39">
        <w:t>,</w:t>
      </w:r>
      <w:r>
        <w:t xml:space="preserve"> this seemed </w:t>
      </w:r>
      <w:r w:rsidR="003C0F39">
        <w:t>l</w:t>
      </w:r>
      <w:r>
        <w:t>ikely due to the feel</w:t>
      </w:r>
      <w:r w:rsidR="003C0F39">
        <w:t xml:space="preserve"> and colour</w:t>
      </w:r>
      <w:r>
        <w:t xml:space="preserve"> of the binding.</w:t>
      </w:r>
      <w:r w:rsidR="00AD6E20">
        <w:rPr>
          <w:rStyle w:val="FootnoteReference"/>
        </w:rPr>
        <w:footnoteReference w:id="5"/>
      </w:r>
      <w:r>
        <w:t xml:space="preserve"> I believe throughout the weeks I came to a more definite answer to what the book was, its page layout and format as well as its font type. I noted that the book itself was surprisingly heavy</w:t>
      </w:r>
      <w:r w:rsidR="003C0F39">
        <w:t>,</w:t>
      </w:r>
      <w:r>
        <w:t xml:space="preserve"> </w:t>
      </w:r>
      <w:r w:rsidR="0050613D">
        <w:t>very large</w:t>
      </w:r>
      <w:r w:rsidR="003C0F39">
        <w:t>,</w:t>
      </w:r>
      <w:r w:rsidR="0050613D">
        <w:t xml:space="preserve"> and cumbersome</w:t>
      </w:r>
      <w:r w:rsidR="003C0F39">
        <w:t>.</w:t>
      </w:r>
      <w:r w:rsidR="0050613D">
        <w:t xml:space="preserve"> </w:t>
      </w:r>
      <w:r w:rsidR="003C0F39">
        <w:t xml:space="preserve">The book </w:t>
      </w:r>
      <w:r w:rsidR="0050613D">
        <w:t>ha</w:t>
      </w:r>
      <w:r w:rsidR="003C0F39">
        <w:t>d</w:t>
      </w:r>
      <w:r w:rsidR="0050613D">
        <w:t xml:space="preserve"> a large amount of provenanc</w:t>
      </w:r>
      <w:r w:rsidR="003C0F39">
        <w:t>e</w:t>
      </w:r>
      <w:r w:rsidR="0050613D">
        <w:t xml:space="preserve"> </w:t>
      </w:r>
      <w:r w:rsidR="003C0F39">
        <w:t>and</w:t>
      </w:r>
      <w:r w:rsidR="0050613D">
        <w:t xml:space="preserve"> towards the </w:t>
      </w:r>
      <w:r w:rsidR="003C0F39">
        <w:t>latter</w:t>
      </w:r>
      <w:r w:rsidR="0050613D">
        <w:t xml:space="preserve"> half of my studies</w:t>
      </w:r>
      <w:r w:rsidR="003C0F39">
        <w:t xml:space="preserve"> I deciphered the</w:t>
      </w:r>
      <w:r w:rsidR="0050613D">
        <w:t xml:space="preserve"> text and who it belonged to. I achieved in finding out who the printer was, and that was Johannes Oporinus. This is due to the unique printer’s mark, and it pointed the creation of the manuscript to Basel. This was </w:t>
      </w:r>
      <w:r w:rsidR="006C4DDD">
        <w:t>a</w:t>
      </w:r>
      <w:r w:rsidR="00AD6E20">
        <w:t>n</w:t>
      </w:r>
      <w:r w:rsidR="0050613D">
        <w:t xml:space="preserve"> </w:t>
      </w:r>
      <w:r w:rsidR="006C4DDD">
        <w:t xml:space="preserve">extensive undertaking </w:t>
      </w:r>
      <w:r w:rsidR="0050613D">
        <w:t xml:space="preserve">that I </w:t>
      </w:r>
      <w:r w:rsidR="006C4DDD">
        <w:t>felt I had achieved in th</w:t>
      </w:r>
      <w:r w:rsidR="0050613D">
        <w:t>e final week of the module, and it was certainly exciting to be able to pin it down to a singular person</w:t>
      </w:r>
      <w:r w:rsidR="00AD6E20">
        <w:t xml:space="preserve"> which brought upon</w:t>
      </w:r>
      <w:r w:rsidR="0050613D">
        <w:t xml:space="preserve"> an almost personal feeling.</w:t>
      </w:r>
      <w:r w:rsidR="00377A67">
        <w:t xml:space="preserve"> </w:t>
      </w:r>
    </w:p>
    <w:p w14:paraId="2DE4C8F3" w14:textId="77777777" w:rsidR="000936C2" w:rsidRDefault="000936C2"/>
    <w:p w14:paraId="542FC479" w14:textId="71333B75" w:rsidR="006C4DDD" w:rsidRDefault="0050613D">
      <w:r>
        <w:t>The archive project that I undertook was a particularly challenging experience, and as it had been mentioned before, it seems the legibility of some of the more eloquent cursive handwriting was especially difficult to decipher</w:t>
      </w:r>
      <w:r w:rsidR="003C0F39">
        <w:t xml:space="preserve"> and brought me to a standstill</w:t>
      </w:r>
      <w:r>
        <w:t xml:space="preserve">. The printed articles were easy enough, and they brought a lot of information to light that allowed me to guess the subject of the principal </w:t>
      </w:r>
      <w:proofErr w:type="spellStart"/>
      <w:r>
        <w:t>Archdall’s</w:t>
      </w:r>
      <w:proofErr w:type="spellEnd"/>
      <w:r>
        <w:t xml:space="preserve"> writing</w:t>
      </w:r>
      <w:r w:rsidR="003C0F39">
        <w:t>,</w:t>
      </w:r>
      <w:r>
        <w:t xml:space="preserve"> but I omitted using it as a primary source as I was certainly </w:t>
      </w:r>
      <w:r w:rsidR="003C0F39">
        <w:lastRenderedPageBreak/>
        <w:t>filling in too many gaps</w:t>
      </w:r>
      <w:r>
        <w:t xml:space="preserve">. It seemed to be a lesson </w:t>
      </w:r>
      <w:r w:rsidR="00CC218D">
        <w:t>on the nature</w:t>
      </w:r>
      <w:r>
        <w:t xml:space="preserve"> of translation</w:t>
      </w:r>
      <w:r w:rsidR="00CC218D">
        <w:t xml:space="preserve"> and the many difficulties that one can face</w:t>
      </w:r>
      <w:r>
        <w:t>.</w:t>
      </w:r>
      <w:r w:rsidR="006C4DDD">
        <w:t xml:space="preserve"> Although my focus of studies is the medieval era, I did find it enthralling to be immersed in the </w:t>
      </w:r>
      <w:r w:rsidR="00CC218D">
        <w:t>period</w:t>
      </w:r>
      <w:r w:rsidR="006C4DDD">
        <w:t xml:space="preserve">, as the small details such as clubs, games, achievements of individual students and the looming war certainly kept my attention. </w:t>
      </w:r>
      <w:r w:rsidR="000936C2">
        <w:t xml:space="preserve">Although one interesting part I </w:t>
      </w:r>
      <w:r w:rsidR="00CC218D">
        <w:t>found in</w:t>
      </w:r>
      <w:r w:rsidR="000936C2">
        <w:t xml:space="preserve"> the Lampeter magazine from this time was</w:t>
      </w:r>
      <w:r w:rsidR="0075588B">
        <w:t xml:space="preserve"> an excerpt by the Rev. W. E. T. Morgan about life at St. Davids College between 1886-1870, he states the following, </w:t>
      </w:r>
    </w:p>
    <w:p w14:paraId="11F3BC29" w14:textId="76E1996E" w:rsidR="0075588B" w:rsidRDefault="0075588B" w:rsidP="00A85C46">
      <w:pPr>
        <w:jc w:val="center"/>
      </w:pPr>
      <w:r>
        <w:t>‘As there was no gas or electricity we used candles and lamps. Probably this explains why the College kept a fire engine - the only one in town - which occasionally we had out for a fire drill. I remember the students extinguishing a fire in the town with it.’</w:t>
      </w:r>
      <w:r>
        <w:rPr>
          <w:rStyle w:val="FootnoteReference"/>
        </w:rPr>
        <w:footnoteReference w:id="6"/>
      </w:r>
    </w:p>
    <w:p w14:paraId="7464AC7C" w14:textId="25A8AAB6" w:rsidR="000936C2" w:rsidRDefault="00A85C46">
      <w:r>
        <w:t>This firsthand account would be most likely impossible if there was no meticulous tradition at UWTSD to preserve papers and knowledge found in something as simple as a magazine.</w:t>
      </w:r>
    </w:p>
    <w:p w14:paraId="557D1D28" w14:textId="77777777" w:rsidR="00A85C46" w:rsidRDefault="00A85C46"/>
    <w:p w14:paraId="5F8EFF6F" w14:textId="3E81BC85" w:rsidR="006C4DDD" w:rsidRDefault="006C4DDD">
      <w:r>
        <w:t>The presentation of a singular image was also a challenge, the image that I chose was out of John Milton’s paradise lost, and the images that were contained within this book were produced by Gustave Dore.</w:t>
      </w:r>
      <w:r w:rsidR="00AD6E20">
        <w:rPr>
          <w:rStyle w:val="FootnoteReference"/>
        </w:rPr>
        <w:footnoteReference w:id="7"/>
      </w:r>
      <w:r>
        <w:t xml:space="preserve"> He was an artist of many skills, from sculptures to oil paintings, and many of his images in paradise lost were simply excellent. The image that I chose was t</w:t>
      </w:r>
      <w:r w:rsidR="00CC218D">
        <w:t>itled</w:t>
      </w:r>
      <w:r>
        <w:t xml:space="preserve"> ‘Leviathan’, and it was an image of a great serpent or primordial sea beast</w:t>
      </w:r>
      <w:r w:rsidR="00CC218D">
        <w:t>.</w:t>
      </w:r>
      <w:r>
        <w:t xml:space="preserve"> </w:t>
      </w:r>
      <w:r w:rsidR="00CC218D">
        <w:t>T</w:t>
      </w:r>
      <w:r>
        <w:t xml:space="preserve">he text that accompanied the image was </w:t>
      </w:r>
      <w:r w:rsidR="00CC218D">
        <w:t xml:space="preserve">the following excerpt from paradise lost, </w:t>
      </w:r>
      <w:r>
        <w:t xml:space="preserve">‘and seems a moving land; and at his gills draws in, and at his trunk spouts out a sea.’ </w:t>
      </w:r>
      <w:r w:rsidR="00CC218D">
        <w:t>As I</w:t>
      </w:r>
      <w:r>
        <w:t xml:space="preserve"> </w:t>
      </w:r>
      <w:r w:rsidR="00CC218D">
        <w:t>presented,</w:t>
      </w:r>
      <w:r>
        <w:t xml:space="preserve"> </w:t>
      </w:r>
      <w:r w:rsidR="00CC218D">
        <w:t>I found myself struggling to describe many of the</w:t>
      </w:r>
      <w:r>
        <w:t xml:space="preserve"> techniques Dore used for his printing, and that taught me a valuable lesson on due diligence that I have also commented on previously in this essay. </w:t>
      </w:r>
    </w:p>
    <w:p w14:paraId="3235A35A" w14:textId="77777777" w:rsidR="006C4DDD" w:rsidRDefault="006C4DDD"/>
    <w:p w14:paraId="49BD3CAD" w14:textId="61E1E27F" w:rsidR="0050613D" w:rsidRDefault="006C4DDD">
      <w:r>
        <w:t>In conclusion, my time at the Roderick Bowen library and archives have been invaluable to my studies on both a bas</w:t>
      </w:r>
      <w:r w:rsidR="00CC218D">
        <w:t>ic</w:t>
      </w:r>
      <w:r>
        <w:t xml:space="preserve"> and advanced level. The key concepts that I had been taught certainly </w:t>
      </w:r>
      <w:r w:rsidR="00992518">
        <w:t xml:space="preserve">have given me a basis on what </w:t>
      </w:r>
      <w:r w:rsidR="00CC218D">
        <w:t>I have achieved and also need to</w:t>
      </w:r>
      <w:r w:rsidR="00992518">
        <w:t xml:space="preserve"> improve</w:t>
      </w:r>
      <w:r w:rsidR="00CC218D">
        <w:t xml:space="preserve">. This will </w:t>
      </w:r>
      <w:r w:rsidR="00906087">
        <w:t xml:space="preserve"> help </w:t>
      </w:r>
      <w:r w:rsidR="00CC218D">
        <w:t xml:space="preserve">me </w:t>
      </w:r>
      <w:r w:rsidR="00906087">
        <w:t>to make</w:t>
      </w:r>
      <w:r w:rsidR="00992518">
        <w:t xml:space="preserve"> the most out of my studies at the Lampeter campus. I will be able to use these in a wider context</w:t>
      </w:r>
      <w:r w:rsidR="00CC218D">
        <w:t>.</w:t>
      </w:r>
      <w:r w:rsidR="00992518">
        <w:t xml:space="preserve"> </w:t>
      </w:r>
      <w:r w:rsidR="00CC218D">
        <w:t xml:space="preserve">I have come to </w:t>
      </w:r>
      <w:r w:rsidR="00992518">
        <w:t xml:space="preserve">appreciate the concept of a public library, and the focus on individuals in the fifteenth to sixteenth centuries that had pushed the era of printing into the forefront of societal evolution. The depth that one </w:t>
      </w:r>
      <w:r w:rsidR="00AD6E20">
        <w:t>must</w:t>
      </w:r>
      <w:r w:rsidR="00992518">
        <w:t xml:space="preserve"> take </w:t>
      </w:r>
      <w:r w:rsidR="000936C2">
        <w:t>to</w:t>
      </w:r>
      <w:r w:rsidR="00992518">
        <w:t xml:space="preserve"> evaluate a simple book is vast, from provenance to under what circumstances it was purchased for an institution which we find with the Phillip Thomas collection.</w:t>
      </w:r>
      <w:r w:rsidR="00AD6E20">
        <w:rPr>
          <w:rStyle w:val="FootnoteReference"/>
        </w:rPr>
        <w:footnoteReference w:id="8"/>
      </w:r>
      <w:r w:rsidR="00992518">
        <w:t xml:space="preserve"> I will be using the journal notes as a firm ground for the rest of my studies, improving where necessary as well as adapting where applicable.  </w:t>
      </w:r>
      <w:r w:rsidR="0050613D">
        <w:t xml:space="preserve"> </w:t>
      </w:r>
    </w:p>
    <w:p w14:paraId="6998A3B4" w14:textId="77777777" w:rsidR="00AD6E20" w:rsidRDefault="00AD6E20"/>
    <w:p w14:paraId="5E12A666" w14:textId="77777777" w:rsidR="00A85C46" w:rsidRDefault="00A85C46"/>
    <w:p w14:paraId="7104EAB8" w14:textId="77777777" w:rsidR="00CC218D" w:rsidRDefault="00CC218D"/>
    <w:p w14:paraId="0E19053F" w14:textId="77777777" w:rsidR="00AD6E20" w:rsidRDefault="00AD6E20" w:rsidP="00AD6E20">
      <w:pPr>
        <w:jc w:val="center"/>
        <w:rPr>
          <w:b/>
          <w:bCs/>
          <w:sz w:val="44"/>
          <w:szCs w:val="44"/>
          <w:u w:val="single"/>
        </w:rPr>
      </w:pPr>
      <w:r w:rsidRPr="00726403">
        <w:rPr>
          <w:b/>
          <w:bCs/>
          <w:sz w:val="44"/>
          <w:szCs w:val="44"/>
          <w:u w:val="single"/>
        </w:rPr>
        <w:lastRenderedPageBreak/>
        <w:t>Bibliography.</w:t>
      </w:r>
    </w:p>
    <w:p w14:paraId="70EB0A0A" w14:textId="77777777" w:rsidR="00AD6E20" w:rsidRDefault="00AD6E20" w:rsidP="00AD6E20">
      <w:pPr>
        <w:rPr>
          <w:sz w:val="32"/>
          <w:szCs w:val="32"/>
          <w:u w:val="single"/>
        </w:rPr>
      </w:pPr>
      <w:r w:rsidRPr="00726403">
        <w:rPr>
          <w:sz w:val="32"/>
          <w:szCs w:val="32"/>
          <w:u w:val="single"/>
        </w:rPr>
        <w:t>Primary Sources.</w:t>
      </w:r>
    </w:p>
    <w:p w14:paraId="6DD2BC30" w14:textId="77777777" w:rsidR="00AD6E20" w:rsidRDefault="00AD6E20" w:rsidP="00AD6E20"/>
    <w:p w14:paraId="03ED1EC4" w14:textId="38FD7087" w:rsidR="00AD6E20" w:rsidRDefault="00AD6E20" w:rsidP="00AD6E20">
      <w:r>
        <w:t xml:space="preserve">Roderick Bowen Library and Archives, PHI01238, </w:t>
      </w:r>
      <w:proofErr w:type="spellStart"/>
      <w:r>
        <w:t>Clavis</w:t>
      </w:r>
      <w:proofErr w:type="spellEnd"/>
      <w:r>
        <w:t xml:space="preserve"> </w:t>
      </w:r>
      <w:proofErr w:type="spellStart"/>
      <w:r>
        <w:t>Scriptvrae</w:t>
      </w:r>
      <w:proofErr w:type="spellEnd"/>
      <w:r>
        <w:t xml:space="preserve"> S., 1567.</w:t>
      </w:r>
    </w:p>
    <w:p w14:paraId="63E08FE7" w14:textId="77777777" w:rsidR="00AD6E20" w:rsidRDefault="00AD6E20" w:rsidP="00AD6E20"/>
    <w:p w14:paraId="3AC205DE" w14:textId="37521AF2" w:rsidR="00AD6E20" w:rsidRPr="00726403" w:rsidRDefault="00AD6E20" w:rsidP="00AD6E20">
      <w:r>
        <w:t>Roderick Bowen Library and Archives, UA/C/1/8, Minute Book, 1912-1942.</w:t>
      </w:r>
    </w:p>
    <w:p w14:paraId="07DC0317" w14:textId="77777777" w:rsidR="00AD6E20" w:rsidRDefault="00AD6E20" w:rsidP="00AD6E20"/>
    <w:p w14:paraId="62DE1C8E" w14:textId="3F2EF78F" w:rsidR="00AD6E20" w:rsidRPr="00AD6E20" w:rsidRDefault="00AD6E20" w:rsidP="00AD6E20">
      <w:r w:rsidRPr="00AD6E20">
        <w:t xml:space="preserve">Milton, John, Gustave Doré, and Robert Vaughan, </w:t>
      </w:r>
      <w:r w:rsidRPr="00AD6E20">
        <w:rPr>
          <w:i/>
          <w:iCs/>
        </w:rPr>
        <w:t>Milton’s Paradise Lost</w:t>
      </w:r>
      <w:r w:rsidRPr="00AD6E20">
        <w:t xml:space="preserve"> (London: Cassell, Petter, Galpin &amp; Co., 1882)</w:t>
      </w:r>
    </w:p>
    <w:p w14:paraId="3D03B567" w14:textId="77777777" w:rsidR="0075588B" w:rsidRDefault="0075588B" w:rsidP="00AD6E20"/>
    <w:p w14:paraId="5302F296" w14:textId="4E94C984" w:rsidR="00AD6E20" w:rsidRDefault="0075588B" w:rsidP="00AD6E20">
      <w:pPr>
        <w:rPr>
          <w:sz w:val="32"/>
          <w:szCs w:val="32"/>
          <w:u w:val="single"/>
        </w:rPr>
      </w:pPr>
      <w:r>
        <w:t>Roderic Bowen Library and Archives: University Archive, UA/SP/1/13, S.D.C. Magazine, 1938-1941,</w:t>
      </w:r>
    </w:p>
    <w:p w14:paraId="57EE09F0" w14:textId="77777777" w:rsidR="0075588B" w:rsidRDefault="0075588B" w:rsidP="00AD6E20">
      <w:pPr>
        <w:rPr>
          <w:sz w:val="32"/>
          <w:szCs w:val="32"/>
          <w:u w:val="single"/>
        </w:rPr>
      </w:pPr>
    </w:p>
    <w:p w14:paraId="4067E61F" w14:textId="52531233" w:rsidR="00AD6E20" w:rsidRDefault="00AD6E20" w:rsidP="00AD6E20">
      <w:pPr>
        <w:rPr>
          <w:sz w:val="32"/>
          <w:szCs w:val="32"/>
          <w:u w:val="single"/>
        </w:rPr>
      </w:pPr>
      <w:r>
        <w:rPr>
          <w:sz w:val="32"/>
          <w:szCs w:val="32"/>
          <w:u w:val="single"/>
        </w:rPr>
        <w:t>Secondary Sources.</w:t>
      </w:r>
    </w:p>
    <w:p w14:paraId="350BABBA" w14:textId="77777777" w:rsidR="00906087" w:rsidRDefault="00906087" w:rsidP="00AD6E20"/>
    <w:p w14:paraId="6F1267B1" w14:textId="78998837" w:rsidR="00AD6E20" w:rsidRDefault="00AD6E20" w:rsidP="00AD6E20">
      <w:r>
        <w:t xml:space="preserve">Pearson, David, </w:t>
      </w:r>
      <w:r>
        <w:rPr>
          <w:i/>
          <w:iCs/>
        </w:rPr>
        <w:t>Provenance Research in Book History : a Handbook</w:t>
      </w:r>
      <w:r>
        <w:t>, [Amended reprint]. (London: British Library, 1998).</w:t>
      </w:r>
    </w:p>
    <w:p w14:paraId="213C2A49" w14:textId="77777777" w:rsidR="00906087" w:rsidRDefault="00906087" w:rsidP="00AD6E20"/>
    <w:p w14:paraId="3020F5A0" w14:textId="68AF1EC4" w:rsidR="00AD6E20" w:rsidRPr="00726403" w:rsidRDefault="00AD6E20" w:rsidP="00AD6E20">
      <w:pPr>
        <w:rPr>
          <w:sz w:val="32"/>
          <w:szCs w:val="32"/>
          <w:u w:val="single"/>
        </w:rPr>
      </w:pPr>
      <w:r>
        <w:t xml:space="preserve">Prokop, ‘Evolution of Bookbinding’, </w:t>
      </w:r>
      <w:r>
        <w:rPr>
          <w:i/>
          <w:iCs/>
        </w:rPr>
        <w:t>The Chronicle of the Early American Industries Association, Inc.</w:t>
      </w:r>
      <w:r>
        <w:t>, 74.2 (2021), 76–77</w:t>
      </w:r>
    </w:p>
    <w:p w14:paraId="1935FA3B" w14:textId="77777777" w:rsidR="00906087" w:rsidRDefault="00906087" w:rsidP="00AD6E20"/>
    <w:p w14:paraId="7B7BCC92" w14:textId="44054507" w:rsidR="00AD6E20" w:rsidRDefault="00AD6E20" w:rsidP="00AD6E20">
      <w:r>
        <w:t xml:space="preserve">Thomas Phillips Collection, UWTSD.ac.uk, Available at: </w:t>
      </w:r>
      <w:hyperlink r:id="rId7" w:history="1">
        <w:r w:rsidRPr="00430DAD">
          <w:rPr>
            <w:rStyle w:val="Hyperlink"/>
          </w:rPr>
          <w:t>https://www.uwtsd.ac.uk/rbla/a-z-list-of-collections/thomas-phillips-collection/</w:t>
        </w:r>
      </w:hyperlink>
      <w:r>
        <w:t>, [Accessed 20/10/23]</w:t>
      </w:r>
    </w:p>
    <w:p w14:paraId="5368DAAA" w14:textId="77777777" w:rsidR="00906087" w:rsidRDefault="00906087" w:rsidP="00AD6E20"/>
    <w:p w14:paraId="5763E7E3" w14:textId="46CD775C" w:rsidR="00AD6E20" w:rsidRDefault="00AD6E20" w:rsidP="00AD6E20">
      <w:proofErr w:type="spellStart"/>
      <w:r>
        <w:t>Tourais</w:t>
      </w:r>
      <w:proofErr w:type="spellEnd"/>
      <w:r>
        <w:t xml:space="preserve">, Ana, Conceição Casanova, and Catarina Fernandes Barreira, ‘Filling the Gap: New Approaches to Medieval Bookbinding Studies’, </w:t>
      </w:r>
      <w:r>
        <w:rPr>
          <w:i/>
          <w:iCs/>
        </w:rPr>
        <w:t>Journal of Medieval Iberian Studies</w:t>
      </w:r>
      <w:r>
        <w:t>, 14.1 (2022), 109–</w:t>
      </w:r>
      <w:r w:rsidR="00A85C46">
        <w:t>1</w:t>
      </w:r>
      <w:r>
        <w:t>26</w:t>
      </w:r>
    </w:p>
    <w:p w14:paraId="2EC3CA34" w14:textId="77777777" w:rsidR="00AD6E20" w:rsidRPr="00726403" w:rsidRDefault="00AD6E20" w:rsidP="00AD6E20">
      <w:pPr>
        <w:rPr>
          <w:sz w:val="32"/>
          <w:szCs w:val="32"/>
          <w:u w:val="single"/>
        </w:rPr>
      </w:pPr>
    </w:p>
    <w:p w14:paraId="08B7CBFB" w14:textId="77777777" w:rsidR="00AD6E20" w:rsidRDefault="00AD6E20"/>
    <w:sectPr w:rsidR="00AD6E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59288B" w14:textId="77777777" w:rsidR="00F77B04" w:rsidRDefault="00F77B04" w:rsidP="00AD6E20">
      <w:pPr>
        <w:spacing w:after="0" w:line="240" w:lineRule="auto"/>
      </w:pPr>
      <w:r>
        <w:separator/>
      </w:r>
    </w:p>
  </w:endnote>
  <w:endnote w:type="continuationSeparator" w:id="0">
    <w:p w14:paraId="6EEE2DAA" w14:textId="77777777" w:rsidR="00F77B04" w:rsidRDefault="00F77B04" w:rsidP="00AD6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29ADA" w14:textId="77777777" w:rsidR="00F77B04" w:rsidRDefault="00F77B04" w:rsidP="00AD6E20">
      <w:pPr>
        <w:spacing w:after="0" w:line="240" w:lineRule="auto"/>
      </w:pPr>
      <w:r>
        <w:separator/>
      </w:r>
    </w:p>
  </w:footnote>
  <w:footnote w:type="continuationSeparator" w:id="0">
    <w:p w14:paraId="3DD3036E" w14:textId="77777777" w:rsidR="00F77B04" w:rsidRDefault="00F77B04" w:rsidP="00AD6E20">
      <w:pPr>
        <w:spacing w:after="0" w:line="240" w:lineRule="auto"/>
      </w:pPr>
      <w:r>
        <w:continuationSeparator/>
      </w:r>
    </w:p>
  </w:footnote>
  <w:footnote w:id="1">
    <w:p w14:paraId="115F2B7F" w14:textId="2094E9C8" w:rsidR="00AD6E20" w:rsidRDefault="00AD6E20">
      <w:pPr>
        <w:pStyle w:val="FootnoteText"/>
      </w:pPr>
      <w:r>
        <w:rPr>
          <w:rStyle w:val="FootnoteReference"/>
        </w:rPr>
        <w:footnoteRef/>
      </w:r>
      <w:r>
        <w:t xml:space="preserve"> </w:t>
      </w:r>
      <w:r>
        <w:t xml:space="preserve">Pearson, David, </w:t>
      </w:r>
      <w:r>
        <w:rPr>
          <w:i/>
          <w:iCs/>
        </w:rPr>
        <w:t>Provenance Research in Book History : a Handbook</w:t>
      </w:r>
      <w:r>
        <w:t>, [Amended reprint]. (London: British Library, 1998).</w:t>
      </w:r>
    </w:p>
  </w:footnote>
  <w:footnote w:id="2">
    <w:p w14:paraId="1DF86E4B" w14:textId="5ADEF551" w:rsidR="00A85C46" w:rsidRDefault="00A85C46">
      <w:pPr>
        <w:pStyle w:val="FootnoteText"/>
      </w:pPr>
      <w:r>
        <w:rPr>
          <w:rStyle w:val="FootnoteReference"/>
        </w:rPr>
        <w:footnoteRef/>
      </w:r>
      <w:r>
        <w:t xml:space="preserve"> </w:t>
      </w:r>
      <w:r w:rsidRPr="00F84BEF">
        <w:t xml:space="preserve">Roderick Bowen Library and Archives, PHI01238, </w:t>
      </w:r>
      <w:proofErr w:type="spellStart"/>
      <w:r w:rsidRPr="00F84BEF">
        <w:t>Clavis</w:t>
      </w:r>
      <w:proofErr w:type="spellEnd"/>
      <w:r w:rsidRPr="00F84BEF">
        <w:t xml:space="preserve"> </w:t>
      </w:r>
      <w:proofErr w:type="spellStart"/>
      <w:r w:rsidRPr="00F84BEF">
        <w:t>Scriptvrae</w:t>
      </w:r>
      <w:proofErr w:type="spellEnd"/>
      <w:r w:rsidRPr="00F84BEF">
        <w:t xml:space="preserve"> S., 1567.</w:t>
      </w:r>
    </w:p>
  </w:footnote>
  <w:footnote w:id="3">
    <w:p w14:paraId="0120375A" w14:textId="2413EBF2" w:rsidR="00AD6E20" w:rsidRDefault="00AD6E20">
      <w:pPr>
        <w:pStyle w:val="FootnoteText"/>
      </w:pPr>
      <w:r>
        <w:rPr>
          <w:rStyle w:val="FootnoteReference"/>
        </w:rPr>
        <w:footnoteRef/>
      </w:r>
      <w:r>
        <w:t xml:space="preserve"> </w:t>
      </w:r>
      <w:r>
        <w:t>Roderick Bowen Library and Archives, UA/C/1/8, Minute Book, 1912-1942.</w:t>
      </w:r>
    </w:p>
  </w:footnote>
  <w:footnote w:id="4">
    <w:p w14:paraId="2F0497A7" w14:textId="188AF6A6" w:rsidR="00AD6E20" w:rsidRDefault="00AD6E20">
      <w:pPr>
        <w:pStyle w:val="FootnoteText"/>
      </w:pPr>
      <w:r>
        <w:rPr>
          <w:rStyle w:val="FootnoteReference"/>
        </w:rPr>
        <w:footnoteRef/>
      </w:r>
      <w:r>
        <w:t xml:space="preserve"> </w:t>
      </w:r>
      <w:r w:rsidRPr="00F84BEF">
        <w:t xml:space="preserve">Roderick Bowen Library and Archives, PHI01238, </w:t>
      </w:r>
      <w:proofErr w:type="spellStart"/>
      <w:r w:rsidRPr="00F84BEF">
        <w:t>Clavis</w:t>
      </w:r>
      <w:proofErr w:type="spellEnd"/>
      <w:r w:rsidRPr="00F84BEF">
        <w:t xml:space="preserve"> </w:t>
      </w:r>
      <w:proofErr w:type="spellStart"/>
      <w:r w:rsidRPr="00F84BEF">
        <w:t>Scriptvrae</w:t>
      </w:r>
      <w:proofErr w:type="spellEnd"/>
      <w:r w:rsidRPr="00F84BEF">
        <w:t xml:space="preserve"> S., 1567.</w:t>
      </w:r>
    </w:p>
  </w:footnote>
  <w:footnote w:id="5">
    <w:p w14:paraId="55251100" w14:textId="77777777" w:rsidR="00AD6E20" w:rsidRDefault="00AD6E20" w:rsidP="00AD6E20">
      <w:pPr>
        <w:pStyle w:val="FootnoteText"/>
      </w:pPr>
      <w:r>
        <w:rPr>
          <w:rStyle w:val="FootnoteReference"/>
        </w:rPr>
        <w:footnoteRef/>
      </w:r>
      <w:r>
        <w:t xml:space="preserve"> </w:t>
      </w:r>
      <w:proofErr w:type="spellStart"/>
      <w:r>
        <w:t>Tourais</w:t>
      </w:r>
      <w:proofErr w:type="spellEnd"/>
      <w:r>
        <w:t xml:space="preserve">, Ana, Conceição Casanova, and Catarina Fernandes Barreira, ‘Filling the Gap: New Approaches to Medieval Bookbinding Studies’, </w:t>
      </w:r>
      <w:r>
        <w:rPr>
          <w:i/>
          <w:iCs/>
        </w:rPr>
        <w:t>Journal of Medieval Iberian Studies</w:t>
      </w:r>
      <w:r>
        <w:t xml:space="preserve">, 14.1 (2022), 109–26; Prokop, ‘Evolution of Bookbinding’, </w:t>
      </w:r>
      <w:r>
        <w:rPr>
          <w:i/>
          <w:iCs/>
        </w:rPr>
        <w:t>The Chronicle of the Early American Industries Association, Inc.</w:t>
      </w:r>
      <w:r>
        <w:t>, 74.2 (2021), 76–77.</w:t>
      </w:r>
    </w:p>
    <w:p w14:paraId="03FDC2E0" w14:textId="0A0A044C" w:rsidR="00AD6E20" w:rsidRDefault="00AD6E20">
      <w:pPr>
        <w:pStyle w:val="FootnoteText"/>
      </w:pPr>
    </w:p>
  </w:footnote>
  <w:footnote w:id="6">
    <w:p w14:paraId="05C40C49" w14:textId="3B40FF19" w:rsidR="0075588B" w:rsidRPr="00A85C46" w:rsidRDefault="0075588B" w:rsidP="00A85C46">
      <w:pPr>
        <w:pStyle w:val="NoSpacing"/>
        <w:rPr>
          <w:sz w:val="20"/>
          <w:szCs w:val="20"/>
        </w:rPr>
      </w:pPr>
      <w:r w:rsidRPr="00A85C46">
        <w:rPr>
          <w:rStyle w:val="FootnoteReference"/>
          <w:sz w:val="20"/>
          <w:szCs w:val="20"/>
        </w:rPr>
        <w:footnoteRef/>
      </w:r>
      <w:r w:rsidRPr="00A85C46">
        <w:rPr>
          <w:sz w:val="20"/>
          <w:szCs w:val="20"/>
        </w:rPr>
        <w:t xml:space="preserve"> </w:t>
      </w:r>
      <w:r w:rsidRPr="00A85C46">
        <w:rPr>
          <w:sz w:val="20"/>
          <w:szCs w:val="20"/>
        </w:rPr>
        <w:t>Roderic Bowen Library and Archives: University Archive, UA/SP/1/13, S.D.C. Magazine, 1938-1941</w:t>
      </w:r>
      <w:r w:rsidRPr="00A85C46">
        <w:rPr>
          <w:sz w:val="20"/>
          <w:szCs w:val="20"/>
        </w:rPr>
        <w:t>, p. 19</w:t>
      </w:r>
    </w:p>
  </w:footnote>
  <w:footnote w:id="7">
    <w:p w14:paraId="31565A5C" w14:textId="7E83FA47" w:rsidR="00AD6E20" w:rsidRPr="00A85C46" w:rsidRDefault="00AD6E20" w:rsidP="00A85C46">
      <w:pPr>
        <w:pStyle w:val="NoSpacing"/>
        <w:rPr>
          <w:sz w:val="20"/>
          <w:szCs w:val="20"/>
        </w:rPr>
      </w:pPr>
      <w:r w:rsidRPr="00A85C46">
        <w:rPr>
          <w:rStyle w:val="FootnoteReference"/>
          <w:sz w:val="20"/>
          <w:szCs w:val="20"/>
        </w:rPr>
        <w:footnoteRef/>
      </w:r>
      <w:r w:rsidRPr="00A85C46">
        <w:rPr>
          <w:sz w:val="20"/>
          <w:szCs w:val="20"/>
        </w:rPr>
        <w:t xml:space="preserve"> J. Milton</w:t>
      </w:r>
      <w:r w:rsidRPr="00A85C46">
        <w:rPr>
          <w:sz w:val="20"/>
          <w:szCs w:val="20"/>
        </w:rPr>
        <w:t xml:space="preserve">, Gustave Doré, and Robert Vaughan, </w:t>
      </w:r>
      <w:r w:rsidRPr="00A85C46">
        <w:rPr>
          <w:i/>
          <w:iCs/>
          <w:sz w:val="20"/>
          <w:szCs w:val="20"/>
        </w:rPr>
        <w:t>Milton’s Paradise Lost</w:t>
      </w:r>
      <w:r w:rsidRPr="00A85C46">
        <w:rPr>
          <w:sz w:val="20"/>
          <w:szCs w:val="20"/>
        </w:rPr>
        <w:t xml:space="preserve"> (London: Cassell, Petter, Galpin &amp; Co., 1882)</w:t>
      </w:r>
    </w:p>
  </w:footnote>
  <w:footnote w:id="8">
    <w:p w14:paraId="58ACF7A6" w14:textId="78AF6A3A" w:rsidR="00AD6E20" w:rsidRDefault="00AD6E20">
      <w:pPr>
        <w:pStyle w:val="FootnoteText"/>
      </w:pPr>
      <w:r>
        <w:rPr>
          <w:rStyle w:val="FootnoteReference"/>
        </w:rPr>
        <w:footnoteRef/>
      </w:r>
      <w:r>
        <w:t xml:space="preserve"> </w:t>
      </w:r>
      <w:r>
        <w:t xml:space="preserve">Thomas Phillips Collection, UWTSD.ac.uk, Available at: </w:t>
      </w:r>
      <w:hyperlink r:id="rId1" w:history="1">
        <w:r w:rsidRPr="00430DAD">
          <w:rPr>
            <w:rStyle w:val="Hyperlink"/>
          </w:rPr>
          <w:t>https://www.uwtsd.ac.uk/rbla/a-z-list-of-collections/thomas-phillips-collection/</w:t>
        </w:r>
      </w:hyperlink>
      <w:r>
        <w:t>, [Accessed 20/10/23]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3F440F"/>
    <w:multiLevelType w:val="hybridMultilevel"/>
    <w:tmpl w:val="7E76DFE0"/>
    <w:lvl w:ilvl="0" w:tplc="2AD6C3C0">
      <w:start w:val="1"/>
      <w:numFmt w:val="bullet"/>
      <w:lvlText w:val="•"/>
      <w:lvlJc w:val="left"/>
      <w:pPr>
        <w:tabs>
          <w:tab w:val="num" w:pos="720"/>
        </w:tabs>
        <w:ind w:left="720" w:hanging="360"/>
      </w:pPr>
      <w:rPr>
        <w:rFonts w:ascii="Arial" w:hAnsi="Arial" w:hint="default"/>
      </w:rPr>
    </w:lvl>
    <w:lvl w:ilvl="1" w:tplc="336E7B44" w:tentative="1">
      <w:start w:val="1"/>
      <w:numFmt w:val="bullet"/>
      <w:lvlText w:val="•"/>
      <w:lvlJc w:val="left"/>
      <w:pPr>
        <w:tabs>
          <w:tab w:val="num" w:pos="1440"/>
        </w:tabs>
        <w:ind w:left="1440" w:hanging="360"/>
      </w:pPr>
      <w:rPr>
        <w:rFonts w:ascii="Arial" w:hAnsi="Arial" w:hint="default"/>
      </w:rPr>
    </w:lvl>
    <w:lvl w:ilvl="2" w:tplc="3BBC1862" w:tentative="1">
      <w:start w:val="1"/>
      <w:numFmt w:val="bullet"/>
      <w:lvlText w:val="•"/>
      <w:lvlJc w:val="left"/>
      <w:pPr>
        <w:tabs>
          <w:tab w:val="num" w:pos="2160"/>
        </w:tabs>
        <w:ind w:left="2160" w:hanging="360"/>
      </w:pPr>
      <w:rPr>
        <w:rFonts w:ascii="Arial" w:hAnsi="Arial" w:hint="default"/>
      </w:rPr>
    </w:lvl>
    <w:lvl w:ilvl="3" w:tplc="ABCC2C6E" w:tentative="1">
      <w:start w:val="1"/>
      <w:numFmt w:val="bullet"/>
      <w:lvlText w:val="•"/>
      <w:lvlJc w:val="left"/>
      <w:pPr>
        <w:tabs>
          <w:tab w:val="num" w:pos="2880"/>
        </w:tabs>
        <w:ind w:left="2880" w:hanging="360"/>
      </w:pPr>
      <w:rPr>
        <w:rFonts w:ascii="Arial" w:hAnsi="Arial" w:hint="default"/>
      </w:rPr>
    </w:lvl>
    <w:lvl w:ilvl="4" w:tplc="F9A25914" w:tentative="1">
      <w:start w:val="1"/>
      <w:numFmt w:val="bullet"/>
      <w:lvlText w:val="•"/>
      <w:lvlJc w:val="left"/>
      <w:pPr>
        <w:tabs>
          <w:tab w:val="num" w:pos="3600"/>
        </w:tabs>
        <w:ind w:left="3600" w:hanging="360"/>
      </w:pPr>
      <w:rPr>
        <w:rFonts w:ascii="Arial" w:hAnsi="Arial" w:hint="default"/>
      </w:rPr>
    </w:lvl>
    <w:lvl w:ilvl="5" w:tplc="DFECE768" w:tentative="1">
      <w:start w:val="1"/>
      <w:numFmt w:val="bullet"/>
      <w:lvlText w:val="•"/>
      <w:lvlJc w:val="left"/>
      <w:pPr>
        <w:tabs>
          <w:tab w:val="num" w:pos="4320"/>
        </w:tabs>
        <w:ind w:left="4320" w:hanging="360"/>
      </w:pPr>
      <w:rPr>
        <w:rFonts w:ascii="Arial" w:hAnsi="Arial" w:hint="default"/>
      </w:rPr>
    </w:lvl>
    <w:lvl w:ilvl="6" w:tplc="24400E7E" w:tentative="1">
      <w:start w:val="1"/>
      <w:numFmt w:val="bullet"/>
      <w:lvlText w:val="•"/>
      <w:lvlJc w:val="left"/>
      <w:pPr>
        <w:tabs>
          <w:tab w:val="num" w:pos="5040"/>
        </w:tabs>
        <w:ind w:left="5040" w:hanging="360"/>
      </w:pPr>
      <w:rPr>
        <w:rFonts w:ascii="Arial" w:hAnsi="Arial" w:hint="default"/>
      </w:rPr>
    </w:lvl>
    <w:lvl w:ilvl="7" w:tplc="72164E18" w:tentative="1">
      <w:start w:val="1"/>
      <w:numFmt w:val="bullet"/>
      <w:lvlText w:val="•"/>
      <w:lvlJc w:val="left"/>
      <w:pPr>
        <w:tabs>
          <w:tab w:val="num" w:pos="5760"/>
        </w:tabs>
        <w:ind w:left="5760" w:hanging="360"/>
      </w:pPr>
      <w:rPr>
        <w:rFonts w:ascii="Arial" w:hAnsi="Arial" w:hint="default"/>
      </w:rPr>
    </w:lvl>
    <w:lvl w:ilvl="8" w:tplc="41107986" w:tentative="1">
      <w:start w:val="1"/>
      <w:numFmt w:val="bullet"/>
      <w:lvlText w:val="•"/>
      <w:lvlJc w:val="left"/>
      <w:pPr>
        <w:tabs>
          <w:tab w:val="num" w:pos="6480"/>
        </w:tabs>
        <w:ind w:left="6480" w:hanging="360"/>
      </w:pPr>
      <w:rPr>
        <w:rFonts w:ascii="Arial" w:hAnsi="Arial" w:hint="default"/>
      </w:rPr>
    </w:lvl>
  </w:abstractNum>
  <w:num w:numId="1" w16cid:durableId="1218011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A6C"/>
    <w:rsid w:val="0003461C"/>
    <w:rsid w:val="000936C2"/>
    <w:rsid w:val="00293AC2"/>
    <w:rsid w:val="002D7C45"/>
    <w:rsid w:val="00377A67"/>
    <w:rsid w:val="003C0F39"/>
    <w:rsid w:val="00416A6C"/>
    <w:rsid w:val="0050613D"/>
    <w:rsid w:val="006C4DDD"/>
    <w:rsid w:val="0075588B"/>
    <w:rsid w:val="00906087"/>
    <w:rsid w:val="00992518"/>
    <w:rsid w:val="009D6579"/>
    <w:rsid w:val="00A5615F"/>
    <w:rsid w:val="00A85C46"/>
    <w:rsid w:val="00AD6E20"/>
    <w:rsid w:val="00CC218D"/>
    <w:rsid w:val="00E732FE"/>
    <w:rsid w:val="00F77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3577B"/>
  <w15:chartTrackingRefBased/>
  <w15:docId w15:val="{13563474-D4A4-48EC-B295-19AA0DBB1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A6C"/>
  </w:style>
  <w:style w:type="paragraph" w:styleId="Heading1">
    <w:name w:val="heading 1"/>
    <w:basedOn w:val="Normal"/>
    <w:next w:val="Normal"/>
    <w:link w:val="Heading1Char"/>
    <w:uiPriority w:val="9"/>
    <w:qFormat/>
    <w:rsid w:val="00416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A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A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A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A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A6C"/>
    <w:rPr>
      <w:rFonts w:eastAsiaTheme="majorEastAsia" w:cstheme="majorBidi"/>
      <w:color w:val="272727" w:themeColor="text1" w:themeTint="D8"/>
    </w:rPr>
  </w:style>
  <w:style w:type="paragraph" w:styleId="Title">
    <w:name w:val="Title"/>
    <w:basedOn w:val="Normal"/>
    <w:next w:val="Normal"/>
    <w:link w:val="TitleChar"/>
    <w:uiPriority w:val="10"/>
    <w:qFormat/>
    <w:rsid w:val="00416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A6C"/>
    <w:pPr>
      <w:spacing w:before="160"/>
      <w:jc w:val="center"/>
    </w:pPr>
    <w:rPr>
      <w:i/>
      <w:iCs/>
      <w:color w:val="404040" w:themeColor="text1" w:themeTint="BF"/>
    </w:rPr>
  </w:style>
  <w:style w:type="character" w:customStyle="1" w:styleId="QuoteChar">
    <w:name w:val="Quote Char"/>
    <w:basedOn w:val="DefaultParagraphFont"/>
    <w:link w:val="Quote"/>
    <w:uiPriority w:val="29"/>
    <w:rsid w:val="00416A6C"/>
    <w:rPr>
      <w:i/>
      <w:iCs/>
      <w:color w:val="404040" w:themeColor="text1" w:themeTint="BF"/>
    </w:rPr>
  </w:style>
  <w:style w:type="paragraph" w:styleId="ListParagraph">
    <w:name w:val="List Paragraph"/>
    <w:basedOn w:val="Normal"/>
    <w:uiPriority w:val="34"/>
    <w:qFormat/>
    <w:rsid w:val="00416A6C"/>
    <w:pPr>
      <w:ind w:left="720"/>
      <w:contextualSpacing/>
    </w:pPr>
  </w:style>
  <w:style w:type="character" w:styleId="IntenseEmphasis">
    <w:name w:val="Intense Emphasis"/>
    <w:basedOn w:val="DefaultParagraphFont"/>
    <w:uiPriority w:val="21"/>
    <w:qFormat/>
    <w:rsid w:val="00416A6C"/>
    <w:rPr>
      <w:i/>
      <w:iCs/>
      <w:color w:val="0F4761" w:themeColor="accent1" w:themeShade="BF"/>
    </w:rPr>
  </w:style>
  <w:style w:type="paragraph" w:styleId="IntenseQuote">
    <w:name w:val="Intense Quote"/>
    <w:basedOn w:val="Normal"/>
    <w:next w:val="Normal"/>
    <w:link w:val="IntenseQuoteChar"/>
    <w:uiPriority w:val="30"/>
    <w:qFormat/>
    <w:rsid w:val="00416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A6C"/>
    <w:rPr>
      <w:i/>
      <w:iCs/>
      <w:color w:val="0F4761" w:themeColor="accent1" w:themeShade="BF"/>
    </w:rPr>
  </w:style>
  <w:style w:type="character" w:styleId="IntenseReference">
    <w:name w:val="Intense Reference"/>
    <w:basedOn w:val="DefaultParagraphFont"/>
    <w:uiPriority w:val="32"/>
    <w:qFormat/>
    <w:rsid w:val="00416A6C"/>
    <w:rPr>
      <w:b/>
      <w:bCs/>
      <w:smallCaps/>
      <w:color w:val="0F4761" w:themeColor="accent1" w:themeShade="BF"/>
      <w:spacing w:val="5"/>
    </w:rPr>
  </w:style>
  <w:style w:type="paragraph" w:styleId="NoSpacing">
    <w:name w:val="No Spacing"/>
    <w:uiPriority w:val="1"/>
    <w:qFormat/>
    <w:rsid w:val="00416A6C"/>
    <w:pPr>
      <w:spacing w:after="0" w:line="240" w:lineRule="auto"/>
    </w:pPr>
  </w:style>
  <w:style w:type="paragraph" w:styleId="FootnoteText">
    <w:name w:val="footnote text"/>
    <w:basedOn w:val="Normal"/>
    <w:link w:val="FootnoteTextChar"/>
    <w:uiPriority w:val="99"/>
    <w:semiHidden/>
    <w:unhideWhenUsed/>
    <w:rsid w:val="00AD6E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6E20"/>
    <w:rPr>
      <w:sz w:val="20"/>
      <w:szCs w:val="20"/>
    </w:rPr>
  </w:style>
  <w:style w:type="character" w:styleId="FootnoteReference">
    <w:name w:val="footnote reference"/>
    <w:basedOn w:val="DefaultParagraphFont"/>
    <w:uiPriority w:val="99"/>
    <w:semiHidden/>
    <w:unhideWhenUsed/>
    <w:rsid w:val="00AD6E20"/>
    <w:rPr>
      <w:vertAlign w:val="superscript"/>
    </w:rPr>
  </w:style>
  <w:style w:type="character" w:styleId="Hyperlink">
    <w:name w:val="Hyperlink"/>
    <w:basedOn w:val="DefaultParagraphFont"/>
    <w:uiPriority w:val="99"/>
    <w:unhideWhenUsed/>
    <w:rsid w:val="00AD6E2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7115949">
      <w:bodyDiv w:val="1"/>
      <w:marLeft w:val="0"/>
      <w:marRight w:val="0"/>
      <w:marTop w:val="0"/>
      <w:marBottom w:val="0"/>
      <w:divBdr>
        <w:top w:val="none" w:sz="0" w:space="0" w:color="auto"/>
        <w:left w:val="none" w:sz="0" w:space="0" w:color="auto"/>
        <w:bottom w:val="none" w:sz="0" w:space="0" w:color="auto"/>
        <w:right w:val="none" w:sz="0" w:space="0" w:color="auto"/>
      </w:divBdr>
      <w:divsChild>
        <w:div w:id="16753753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wtsd.ac.uk/rbla/a-z-list-of-collections/thomas-phillips-colle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wtsd.ac.uk/rbla/a-z-list-of-collections/thomas-phillips-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1641</Words>
  <Characters>8096</Characters>
  <Application>Microsoft Office Word</Application>
  <DocSecurity>0</DocSecurity>
  <Lines>139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Tierney (2114576)</dc:creator>
  <cp:keywords/>
  <dc:description/>
  <cp:lastModifiedBy>Darren Tierney (2114576)</cp:lastModifiedBy>
  <cp:revision>3</cp:revision>
  <dcterms:created xsi:type="dcterms:W3CDTF">2024-04-12T18:11:00Z</dcterms:created>
  <dcterms:modified xsi:type="dcterms:W3CDTF">2024-04-12T18:12:00Z</dcterms:modified>
</cp:coreProperties>
</file>