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BB2" w:rsidRDefault="00A173E6" w:rsidP="009A2A89">
      <w:pPr>
        <w:spacing w:line="480" w:lineRule="auto"/>
        <w:jc w:val="center"/>
        <w:rPr>
          <w:rFonts w:ascii="Arial" w:hAnsi="Arial" w:cs="Arial"/>
          <w:sz w:val="28"/>
          <w:szCs w:val="28"/>
          <w:lang w:val="en-US"/>
        </w:rPr>
      </w:pPr>
      <w:r>
        <w:rPr>
          <w:rFonts w:ascii="Arial" w:hAnsi="Arial" w:cs="Arial"/>
          <w:sz w:val="28"/>
          <w:szCs w:val="28"/>
          <w:lang w:val="en-US"/>
        </w:rPr>
        <w:t>The Relics of Saint Edmund the Martyr</w:t>
      </w:r>
    </w:p>
    <w:p w:rsidR="00A173E6" w:rsidRDefault="00A173E6" w:rsidP="009A2A89">
      <w:pPr>
        <w:spacing w:line="480" w:lineRule="auto"/>
        <w:jc w:val="center"/>
        <w:rPr>
          <w:rFonts w:ascii="Arial" w:hAnsi="Arial" w:cs="Arial"/>
          <w:sz w:val="28"/>
          <w:szCs w:val="28"/>
          <w:lang w:val="en-US"/>
        </w:rPr>
      </w:pPr>
    </w:p>
    <w:p w:rsidR="00A173E6" w:rsidRPr="008B0BCD" w:rsidRDefault="00144BBB" w:rsidP="009A2A89">
      <w:pPr>
        <w:spacing w:line="480" w:lineRule="auto"/>
        <w:rPr>
          <w:rFonts w:ascii="Arial" w:hAnsi="Arial" w:cs="Arial"/>
          <w:sz w:val="24"/>
          <w:szCs w:val="28"/>
          <w:lang w:val="en-US"/>
        </w:rPr>
      </w:pPr>
      <w:r>
        <w:rPr>
          <w:rFonts w:ascii="Arial" w:hAnsi="Arial" w:cs="Arial"/>
          <w:sz w:val="24"/>
          <w:szCs w:val="28"/>
          <w:lang w:val="en-US"/>
        </w:rPr>
        <w:t xml:space="preserve">The relics of </w:t>
      </w:r>
      <w:r w:rsidR="00935CB4">
        <w:rPr>
          <w:rFonts w:ascii="Arial" w:hAnsi="Arial" w:cs="Arial"/>
          <w:sz w:val="24"/>
          <w:szCs w:val="28"/>
          <w:lang w:val="en-US"/>
        </w:rPr>
        <w:t>Edmund the martyr, sometimes Saint Edmund or Edmund of East Anglia</w:t>
      </w:r>
      <w:r>
        <w:rPr>
          <w:rFonts w:ascii="Arial" w:hAnsi="Arial" w:cs="Arial"/>
          <w:sz w:val="24"/>
          <w:szCs w:val="28"/>
          <w:lang w:val="en-US"/>
        </w:rPr>
        <w:t xml:space="preserve">, are the remains of his body – specifically his </w:t>
      </w:r>
      <w:r w:rsidR="001A23BF">
        <w:rPr>
          <w:rFonts w:ascii="Arial" w:hAnsi="Arial" w:cs="Arial"/>
          <w:sz w:val="24"/>
          <w:szCs w:val="28"/>
          <w:lang w:val="en-US"/>
        </w:rPr>
        <w:t>bodily remains</w:t>
      </w:r>
      <w:r>
        <w:rPr>
          <w:rFonts w:ascii="Arial" w:hAnsi="Arial" w:cs="Arial"/>
          <w:sz w:val="24"/>
          <w:szCs w:val="28"/>
          <w:lang w:val="en-US"/>
        </w:rPr>
        <w:t>.</w:t>
      </w:r>
      <w:r>
        <w:rPr>
          <w:rStyle w:val="FootnoteReference"/>
          <w:rFonts w:ascii="Arial" w:hAnsi="Arial" w:cs="Arial"/>
          <w:sz w:val="24"/>
          <w:szCs w:val="28"/>
          <w:lang w:val="en-US"/>
        </w:rPr>
        <w:footnoteReference w:id="1"/>
      </w:r>
      <w:r>
        <w:rPr>
          <w:rFonts w:ascii="Arial" w:hAnsi="Arial" w:cs="Arial"/>
          <w:sz w:val="24"/>
          <w:szCs w:val="28"/>
          <w:lang w:val="en-US"/>
        </w:rPr>
        <w:t xml:space="preserve"> Edmund was a king of East Anglia</w:t>
      </w:r>
      <w:r w:rsidR="001039FD">
        <w:rPr>
          <w:rFonts w:ascii="Arial" w:hAnsi="Arial" w:cs="Arial"/>
          <w:sz w:val="24"/>
          <w:szCs w:val="28"/>
          <w:lang w:val="en-US"/>
        </w:rPr>
        <w:t xml:space="preserve"> who lived from circa 840 to 869 AD.</w:t>
      </w:r>
      <w:r w:rsidR="001039FD">
        <w:rPr>
          <w:rStyle w:val="FootnoteReference"/>
          <w:rFonts w:ascii="Arial" w:hAnsi="Arial" w:cs="Arial"/>
          <w:sz w:val="24"/>
          <w:szCs w:val="28"/>
          <w:lang w:val="en-US"/>
        </w:rPr>
        <w:footnoteReference w:id="2"/>
      </w:r>
      <w:r>
        <w:rPr>
          <w:rFonts w:ascii="Arial" w:hAnsi="Arial" w:cs="Arial"/>
          <w:sz w:val="24"/>
          <w:szCs w:val="28"/>
          <w:lang w:val="en-US"/>
        </w:rPr>
        <w:t xml:space="preserve"> </w:t>
      </w:r>
      <w:r w:rsidR="00576C46">
        <w:rPr>
          <w:rFonts w:ascii="Arial" w:hAnsi="Arial" w:cs="Arial"/>
          <w:sz w:val="24"/>
          <w:szCs w:val="28"/>
          <w:lang w:val="en-US"/>
        </w:rPr>
        <w:t xml:space="preserve">He was martyred by </w:t>
      </w:r>
      <w:r w:rsidR="00694E9D">
        <w:rPr>
          <w:rFonts w:ascii="Arial" w:hAnsi="Arial" w:cs="Arial"/>
          <w:sz w:val="24"/>
          <w:szCs w:val="28"/>
          <w:lang w:val="en-US"/>
        </w:rPr>
        <w:t xml:space="preserve">the Great Heathen Army led by </w:t>
      </w:r>
      <w:proofErr w:type="spellStart"/>
      <w:r w:rsidR="00694E9D">
        <w:rPr>
          <w:rFonts w:ascii="Arial" w:hAnsi="Arial" w:cs="Arial"/>
          <w:sz w:val="24"/>
          <w:szCs w:val="28"/>
          <w:lang w:val="en-US"/>
        </w:rPr>
        <w:t>Ivarr</w:t>
      </w:r>
      <w:proofErr w:type="spellEnd"/>
      <w:r w:rsidR="00694E9D">
        <w:rPr>
          <w:rFonts w:ascii="Arial" w:hAnsi="Arial" w:cs="Arial"/>
          <w:sz w:val="24"/>
          <w:szCs w:val="28"/>
          <w:lang w:val="en-US"/>
        </w:rPr>
        <w:t xml:space="preserve"> and </w:t>
      </w:r>
      <w:proofErr w:type="spellStart"/>
      <w:r w:rsidR="00694E9D">
        <w:rPr>
          <w:rFonts w:ascii="Arial" w:hAnsi="Arial" w:cs="Arial"/>
          <w:sz w:val="24"/>
          <w:szCs w:val="28"/>
          <w:lang w:val="en-US"/>
        </w:rPr>
        <w:t>Ubbe</w:t>
      </w:r>
      <w:proofErr w:type="spellEnd"/>
      <w:r w:rsidR="00694E9D">
        <w:rPr>
          <w:rFonts w:ascii="Arial" w:hAnsi="Arial" w:cs="Arial"/>
          <w:sz w:val="24"/>
          <w:szCs w:val="28"/>
          <w:lang w:val="en-US"/>
        </w:rPr>
        <w:t>,</w:t>
      </w:r>
      <w:r w:rsidR="00777EB1">
        <w:rPr>
          <w:rStyle w:val="FootnoteReference"/>
          <w:rFonts w:ascii="Arial" w:hAnsi="Arial" w:cs="Arial"/>
          <w:sz w:val="24"/>
          <w:szCs w:val="28"/>
          <w:lang w:val="en-US"/>
        </w:rPr>
        <w:footnoteReference w:id="3"/>
      </w:r>
      <w:r w:rsidR="00694E9D">
        <w:rPr>
          <w:rFonts w:ascii="Arial" w:hAnsi="Arial" w:cs="Arial"/>
          <w:sz w:val="24"/>
          <w:szCs w:val="28"/>
          <w:lang w:val="en-US"/>
        </w:rPr>
        <w:t xml:space="preserve"> although accounts differ on whether he was killed in battle with the Danes or murdered by them afterwards.</w:t>
      </w:r>
      <w:r w:rsidR="00694E9D">
        <w:rPr>
          <w:rStyle w:val="FootnoteReference"/>
          <w:rFonts w:ascii="Arial" w:hAnsi="Arial" w:cs="Arial"/>
          <w:sz w:val="24"/>
          <w:szCs w:val="28"/>
          <w:lang w:val="en-US"/>
        </w:rPr>
        <w:footnoteReference w:id="4"/>
      </w:r>
      <w:r w:rsidR="00A05EF8">
        <w:rPr>
          <w:rFonts w:ascii="Arial" w:hAnsi="Arial" w:cs="Arial"/>
          <w:sz w:val="24"/>
          <w:szCs w:val="28"/>
          <w:lang w:val="en-US"/>
        </w:rPr>
        <w:t xml:space="preserve"> Some versions maintain that King Edmund </w:t>
      </w:r>
      <w:r w:rsidR="001A23BF">
        <w:rPr>
          <w:rFonts w:ascii="Arial" w:hAnsi="Arial" w:cs="Arial"/>
          <w:sz w:val="24"/>
          <w:szCs w:val="28"/>
          <w:lang w:val="en-US"/>
        </w:rPr>
        <w:t xml:space="preserve">fled from the battle but was discovered under a bridge by a newly wed couple who saw his spurs reflecting the sun, the king </w:t>
      </w:r>
      <w:r w:rsidR="00A05EF8">
        <w:rPr>
          <w:rFonts w:ascii="Arial" w:hAnsi="Arial" w:cs="Arial"/>
          <w:sz w:val="24"/>
          <w:szCs w:val="28"/>
          <w:lang w:val="en-US"/>
        </w:rPr>
        <w:t xml:space="preserve">was </w:t>
      </w:r>
      <w:r w:rsidR="001A23BF">
        <w:rPr>
          <w:rFonts w:ascii="Arial" w:hAnsi="Arial" w:cs="Arial"/>
          <w:sz w:val="24"/>
          <w:szCs w:val="28"/>
          <w:lang w:val="en-US"/>
        </w:rPr>
        <w:t xml:space="preserve">then </w:t>
      </w:r>
      <w:r w:rsidR="00A05EF8">
        <w:rPr>
          <w:rFonts w:ascii="Arial" w:hAnsi="Arial" w:cs="Arial"/>
          <w:sz w:val="24"/>
          <w:szCs w:val="28"/>
          <w:lang w:val="en-US"/>
        </w:rPr>
        <w:t>tied to a tree and shot full of arrows by the Danes before being beheaded.</w:t>
      </w:r>
      <w:r w:rsidR="00A05EF8">
        <w:rPr>
          <w:rStyle w:val="FootnoteReference"/>
          <w:rFonts w:ascii="Arial" w:hAnsi="Arial" w:cs="Arial"/>
          <w:sz w:val="24"/>
          <w:szCs w:val="28"/>
          <w:lang w:val="en-US"/>
        </w:rPr>
        <w:footnoteReference w:id="5"/>
      </w:r>
      <w:r w:rsidR="008B0BCD">
        <w:rPr>
          <w:rFonts w:ascii="Arial" w:hAnsi="Arial" w:cs="Arial"/>
          <w:sz w:val="24"/>
          <w:szCs w:val="28"/>
          <w:lang w:val="en-US"/>
        </w:rPr>
        <w:t xml:space="preserve"> </w:t>
      </w:r>
      <w:r w:rsidR="001A23BF">
        <w:rPr>
          <w:rFonts w:ascii="Arial" w:hAnsi="Arial" w:cs="Arial"/>
          <w:sz w:val="24"/>
          <w:szCs w:val="28"/>
          <w:lang w:val="en-US"/>
        </w:rPr>
        <w:t>A variation of this legend claims that rather than being shot, King Edmund was blood eagled, a horrific method of execution which involved cutting the victims back open and pulling out their lungs to be exposed to the elements – an immensely painful way to die.</w:t>
      </w:r>
      <w:r w:rsidR="001A23BF">
        <w:rPr>
          <w:rStyle w:val="FootnoteReference"/>
          <w:rFonts w:ascii="Arial" w:hAnsi="Arial" w:cs="Arial"/>
          <w:sz w:val="24"/>
          <w:szCs w:val="28"/>
          <w:lang w:val="en-US"/>
        </w:rPr>
        <w:footnoteReference w:id="6"/>
      </w:r>
      <w:r w:rsidR="001A23BF">
        <w:rPr>
          <w:rFonts w:ascii="Arial" w:hAnsi="Arial" w:cs="Arial"/>
          <w:sz w:val="24"/>
          <w:szCs w:val="28"/>
          <w:lang w:val="en-US"/>
        </w:rPr>
        <w:t xml:space="preserve"> </w:t>
      </w:r>
      <w:r w:rsidR="008B0BCD">
        <w:rPr>
          <w:rFonts w:ascii="Arial" w:hAnsi="Arial" w:cs="Arial"/>
          <w:sz w:val="24"/>
          <w:szCs w:val="28"/>
          <w:lang w:val="en-US"/>
        </w:rPr>
        <w:t xml:space="preserve">The bones of the king were recovered and buried near the place of martyrdom – an unidentified spot called </w:t>
      </w:r>
      <w:proofErr w:type="spellStart"/>
      <w:r w:rsidR="008B0BCD">
        <w:rPr>
          <w:rFonts w:ascii="Arial" w:hAnsi="Arial" w:cs="Arial"/>
          <w:i/>
          <w:sz w:val="24"/>
          <w:szCs w:val="28"/>
          <w:lang w:val="en-US"/>
        </w:rPr>
        <w:t>Hægilisdun</w:t>
      </w:r>
      <w:proofErr w:type="spellEnd"/>
      <w:r w:rsidR="008B0BCD">
        <w:rPr>
          <w:rStyle w:val="FootnoteReference"/>
          <w:rFonts w:ascii="Arial" w:hAnsi="Arial" w:cs="Arial"/>
          <w:i/>
          <w:sz w:val="24"/>
          <w:szCs w:val="28"/>
          <w:lang w:val="en-US"/>
        </w:rPr>
        <w:footnoteReference w:id="7"/>
      </w:r>
      <w:r w:rsidR="008B0BCD">
        <w:rPr>
          <w:rFonts w:ascii="Arial" w:hAnsi="Arial" w:cs="Arial"/>
          <w:sz w:val="24"/>
          <w:szCs w:val="28"/>
          <w:lang w:val="en-US"/>
        </w:rPr>
        <w:t xml:space="preserve"> – although the king’s head was not found with his body.</w:t>
      </w:r>
      <w:r w:rsidR="00965ABD">
        <w:rPr>
          <w:rStyle w:val="FootnoteReference"/>
          <w:rFonts w:ascii="Arial" w:hAnsi="Arial" w:cs="Arial"/>
          <w:sz w:val="24"/>
          <w:szCs w:val="28"/>
          <w:lang w:val="en-US"/>
        </w:rPr>
        <w:footnoteReference w:id="8"/>
      </w:r>
      <w:r w:rsidR="00965ABD">
        <w:rPr>
          <w:rFonts w:ascii="Arial" w:hAnsi="Arial" w:cs="Arial"/>
          <w:sz w:val="24"/>
          <w:szCs w:val="28"/>
          <w:lang w:val="en-US"/>
        </w:rPr>
        <w:t xml:space="preserve"> The Danes had </w:t>
      </w:r>
      <w:r w:rsidR="00965ABD">
        <w:rPr>
          <w:rFonts w:ascii="Arial" w:hAnsi="Arial" w:cs="Arial"/>
          <w:sz w:val="24"/>
          <w:szCs w:val="28"/>
          <w:lang w:val="en-US"/>
        </w:rPr>
        <w:lastRenderedPageBreak/>
        <w:t>reportedly taken away the head after decapitating king Edmund and it was later discovered between the paws of a wolf, the head was reportedly calling out ‘here, here, here’ in Old English and was soon reunited with its body.</w:t>
      </w:r>
      <w:r w:rsidR="00965ABD">
        <w:rPr>
          <w:rStyle w:val="FootnoteReference"/>
          <w:rFonts w:ascii="Arial" w:hAnsi="Arial" w:cs="Arial"/>
          <w:sz w:val="24"/>
          <w:szCs w:val="28"/>
          <w:lang w:val="en-US"/>
        </w:rPr>
        <w:footnoteReference w:id="9"/>
      </w:r>
    </w:p>
    <w:p w:rsidR="00A173E6" w:rsidRDefault="00965ABD" w:rsidP="009A2A89">
      <w:pPr>
        <w:spacing w:line="480" w:lineRule="auto"/>
        <w:rPr>
          <w:rFonts w:ascii="Arial" w:hAnsi="Arial" w:cs="Arial"/>
          <w:sz w:val="24"/>
          <w:szCs w:val="28"/>
          <w:lang w:val="en-US"/>
        </w:rPr>
      </w:pPr>
      <w:r>
        <w:rPr>
          <w:rFonts w:ascii="Arial" w:hAnsi="Arial" w:cs="Arial"/>
          <w:sz w:val="24"/>
          <w:szCs w:val="28"/>
          <w:lang w:val="en-US"/>
        </w:rPr>
        <w:t>Relics are object that belonged to or are associated with saints or martyrs;</w:t>
      </w:r>
      <w:r>
        <w:rPr>
          <w:rStyle w:val="FootnoteReference"/>
          <w:rFonts w:ascii="Arial" w:hAnsi="Arial" w:cs="Arial"/>
          <w:sz w:val="24"/>
          <w:szCs w:val="28"/>
          <w:lang w:val="en-US"/>
        </w:rPr>
        <w:footnoteReference w:id="10"/>
      </w:r>
      <w:r>
        <w:rPr>
          <w:rFonts w:ascii="Arial" w:hAnsi="Arial" w:cs="Arial"/>
          <w:sz w:val="24"/>
          <w:szCs w:val="28"/>
          <w:lang w:val="en-US"/>
        </w:rPr>
        <w:t xml:space="preserve"> saints being the blessed dead in heaven</w:t>
      </w:r>
      <w:r>
        <w:rPr>
          <w:rStyle w:val="FootnoteReference"/>
          <w:rFonts w:ascii="Arial" w:hAnsi="Arial" w:cs="Arial"/>
          <w:sz w:val="24"/>
          <w:szCs w:val="28"/>
          <w:lang w:val="en-US"/>
        </w:rPr>
        <w:footnoteReference w:id="11"/>
      </w:r>
      <w:r>
        <w:rPr>
          <w:rFonts w:ascii="Arial" w:hAnsi="Arial" w:cs="Arial"/>
          <w:sz w:val="24"/>
          <w:szCs w:val="28"/>
          <w:lang w:val="en-US"/>
        </w:rPr>
        <w:t xml:space="preserve"> while martyrs </w:t>
      </w:r>
      <w:r w:rsidR="00EC4AAA">
        <w:rPr>
          <w:rFonts w:ascii="Arial" w:hAnsi="Arial" w:cs="Arial"/>
          <w:sz w:val="24"/>
          <w:szCs w:val="28"/>
          <w:lang w:val="en-US"/>
        </w:rPr>
        <w:t>are those who gave up their lives rather than renounce their faith.</w:t>
      </w:r>
      <w:r w:rsidR="00EC4AAA">
        <w:rPr>
          <w:rStyle w:val="FootnoteReference"/>
          <w:rFonts w:ascii="Arial" w:hAnsi="Arial" w:cs="Arial"/>
          <w:sz w:val="24"/>
          <w:szCs w:val="28"/>
          <w:lang w:val="en-US"/>
        </w:rPr>
        <w:footnoteReference w:id="12"/>
      </w:r>
      <w:r w:rsidR="00DF61BC">
        <w:rPr>
          <w:rFonts w:ascii="Arial" w:hAnsi="Arial" w:cs="Arial"/>
          <w:sz w:val="24"/>
          <w:szCs w:val="28"/>
          <w:lang w:val="en-US"/>
        </w:rPr>
        <w:t xml:space="preserve"> Items belonging to such people have been venerated by Christians since the first century AD and believed that they held miraculous powers such that they could dispense healing and protection upon believers.</w:t>
      </w:r>
      <w:r w:rsidR="00DF61BC">
        <w:rPr>
          <w:rStyle w:val="FootnoteReference"/>
          <w:rFonts w:ascii="Arial" w:hAnsi="Arial" w:cs="Arial"/>
          <w:sz w:val="24"/>
          <w:szCs w:val="28"/>
          <w:lang w:val="en-US"/>
        </w:rPr>
        <w:footnoteReference w:id="13"/>
      </w:r>
      <w:r w:rsidR="004F02ED">
        <w:rPr>
          <w:rFonts w:ascii="Arial" w:hAnsi="Arial" w:cs="Arial"/>
          <w:sz w:val="24"/>
          <w:szCs w:val="28"/>
          <w:lang w:val="en-US"/>
        </w:rPr>
        <w:t xml:space="preserve"> The bodies or bones of the saints were also held in high esteem and often enshrined in churches, abbeys and cathedrals.</w:t>
      </w:r>
      <w:r w:rsidR="004F02ED">
        <w:rPr>
          <w:rStyle w:val="FootnoteReference"/>
          <w:rFonts w:ascii="Arial" w:hAnsi="Arial" w:cs="Arial"/>
          <w:sz w:val="24"/>
          <w:szCs w:val="28"/>
          <w:lang w:val="en-US"/>
        </w:rPr>
        <w:footnoteReference w:id="14"/>
      </w:r>
    </w:p>
    <w:p w:rsidR="00A173E6" w:rsidRPr="00C372D8" w:rsidRDefault="00A05EF8" w:rsidP="009A2A89">
      <w:pPr>
        <w:spacing w:line="480" w:lineRule="auto"/>
        <w:rPr>
          <w:rFonts w:ascii="Arial" w:hAnsi="Arial" w:cs="Arial"/>
          <w:sz w:val="24"/>
          <w:szCs w:val="28"/>
          <w:lang w:val="en-US"/>
        </w:rPr>
      </w:pPr>
      <w:r>
        <w:rPr>
          <w:rFonts w:ascii="Arial" w:hAnsi="Arial" w:cs="Arial"/>
          <w:sz w:val="24"/>
          <w:szCs w:val="28"/>
          <w:lang w:val="en-US"/>
        </w:rPr>
        <w:t>This relic is associated with King Edmund of East Anglia</w:t>
      </w:r>
      <w:r w:rsidR="008D19E5">
        <w:rPr>
          <w:rFonts w:ascii="Arial" w:hAnsi="Arial" w:cs="Arial"/>
          <w:sz w:val="24"/>
          <w:szCs w:val="28"/>
          <w:lang w:val="en-US"/>
        </w:rPr>
        <w:t xml:space="preserve"> owing to the fact that they are his bones.</w:t>
      </w:r>
      <w:r w:rsidR="001B72D3">
        <w:rPr>
          <w:rFonts w:ascii="Arial" w:hAnsi="Arial" w:cs="Arial"/>
          <w:sz w:val="24"/>
          <w:szCs w:val="28"/>
          <w:lang w:val="en-US"/>
        </w:rPr>
        <w:t xml:space="preserve"> </w:t>
      </w:r>
      <w:r w:rsidR="00777EB1">
        <w:rPr>
          <w:rFonts w:ascii="Arial" w:hAnsi="Arial" w:cs="Arial"/>
          <w:sz w:val="24"/>
          <w:szCs w:val="28"/>
          <w:lang w:val="en-US"/>
        </w:rPr>
        <w:t>Sometime after his death</w:t>
      </w:r>
      <w:r w:rsidR="001713F1">
        <w:rPr>
          <w:rFonts w:ascii="Arial" w:hAnsi="Arial" w:cs="Arial"/>
          <w:sz w:val="24"/>
          <w:szCs w:val="28"/>
          <w:lang w:val="en-US"/>
        </w:rPr>
        <w:t xml:space="preserve"> </w:t>
      </w:r>
      <w:r w:rsidR="00777EB1">
        <w:rPr>
          <w:rFonts w:ascii="Arial" w:hAnsi="Arial" w:cs="Arial"/>
          <w:sz w:val="24"/>
          <w:szCs w:val="28"/>
          <w:lang w:val="en-US"/>
        </w:rPr>
        <w:t xml:space="preserve">in circa 915, it was discovered that Edmund’s body had not decayed so it was moved to the town of </w:t>
      </w:r>
      <w:proofErr w:type="spellStart"/>
      <w:r w:rsidR="00777EB1">
        <w:rPr>
          <w:rFonts w:ascii="Arial" w:hAnsi="Arial" w:cs="Arial"/>
          <w:sz w:val="24"/>
          <w:szCs w:val="28"/>
          <w:lang w:val="en-US"/>
        </w:rPr>
        <w:t>Bedricsworth</w:t>
      </w:r>
      <w:proofErr w:type="spellEnd"/>
      <w:r w:rsidR="00204FC4">
        <w:rPr>
          <w:rFonts w:ascii="Arial" w:hAnsi="Arial" w:cs="Arial"/>
          <w:sz w:val="24"/>
          <w:szCs w:val="28"/>
          <w:lang w:val="en-US"/>
        </w:rPr>
        <w:t xml:space="preserve"> -</w:t>
      </w:r>
      <w:r w:rsidR="00777EB1">
        <w:rPr>
          <w:rFonts w:ascii="Arial" w:hAnsi="Arial" w:cs="Arial"/>
          <w:sz w:val="24"/>
          <w:szCs w:val="28"/>
          <w:lang w:val="en-US"/>
        </w:rPr>
        <w:t xml:space="preserve"> now </w:t>
      </w:r>
      <w:r w:rsidR="00204FC4">
        <w:rPr>
          <w:rFonts w:ascii="Arial" w:hAnsi="Arial" w:cs="Arial"/>
          <w:sz w:val="24"/>
          <w:szCs w:val="28"/>
          <w:lang w:val="en-US"/>
        </w:rPr>
        <w:t xml:space="preserve">called </w:t>
      </w:r>
      <w:r w:rsidR="00777EB1">
        <w:rPr>
          <w:rFonts w:ascii="Arial" w:hAnsi="Arial" w:cs="Arial"/>
          <w:sz w:val="24"/>
          <w:szCs w:val="28"/>
          <w:lang w:val="en-US"/>
        </w:rPr>
        <w:t>Bury Saint Edmund’s.</w:t>
      </w:r>
      <w:r w:rsidR="00777EB1">
        <w:rPr>
          <w:rStyle w:val="FootnoteReference"/>
          <w:rFonts w:ascii="Arial" w:hAnsi="Arial" w:cs="Arial"/>
          <w:sz w:val="24"/>
          <w:szCs w:val="28"/>
          <w:lang w:val="en-US"/>
        </w:rPr>
        <w:footnoteReference w:id="15"/>
      </w:r>
      <w:r w:rsidR="00204FC4">
        <w:rPr>
          <w:rFonts w:ascii="Arial" w:hAnsi="Arial" w:cs="Arial"/>
          <w:sz w:val="24"/>
          <w:szCs w:val="28"/>
          <w:lang w:val="en-US"/>
        </w:rPr>
        <w:t xml:space="preserve"> </w:t>
      </w:r>
      <w:r w:rsidR="00844CB7">
        <w:rPr>
          <w:rFonts w:ascii="Arial" w:hAnsi="Arial" w:cs="Arial"/>
          <w:sz w:val="24"/>
          <w:szCs w:val="28"/>
          <w:lang w:val="en-US"/>
        </w:rPr>
        <w:t xml:space="preserve">10 years later in 925, Athelstan, King of all the English, established a </w:t>
      </w:r>
      <w:r w:rsidR="00844CB7">
        <w:rPr>
          <w:rFonts w:ascii="Arial" w:hAnsi="Arial" w:cs="Arial"/>
          <w:sz w:val="24"/>
          <w:szCs w:val="28"/>
          <w:lang w:val="en-US"/>
        </w:rPr>
        <w:lastRenderedPageBreak/>
        <w:t>community in Bury Saint Edmund’s charged with keeping the shrine.</w:t>
      </w:r>
      <w:r w:rsidR="00844CB7">
        <w:rPr>
          <w:rStyle w:val="FootnoteReference"/>
          <w:rFonts w:ascii="Arial" w:hAnsi="Arial" w:cs="Arial"/>
          <w:sz w:val="24"/>
          <w:szCs w:val="28"/>
          <w:lang w:val="en-US"/>
        </w:rPr>
        <w:footnoteReference w:id="16"/>
      </w:r>
      <w:r w:rsidR="00844CB7">
        <w:rPr>
          <w:rFonts w:ascii="Arial" w:hAnsi="Arial" w:cs="Arial"/>
          <w:sz w:val="24"/>
          <w:szCs w:val="28"/>
          <w:lang w:val="en-US"/>
        </w:rPr>
        <w:t xml:space="preserve"> Initially this community consisted of two priests and four deacons</w:t>
      </w:r>
      <w:r w:rsidR="00844CB7">
        <w:rPr>
          <w:rStyle w:val="FootnoteReference"/>
          <w:rFonts w:ascii="Arial" w:hAnsi="Arial" w:cs="Arial"/>
          <w:sz w:val="24"/>
          <w:szCs w:val="28"/>
          <w:lang w:val="en-US"/>
        </w:rPr>
        <w:footnoteReference w:id="17"/>
      </w:r>
      <w:r w:rsidR="00844CB7">
        <w:rPr>
          <w:rFonts w:ascii="Arial" w:hAnsi="Arial" w:cs="Arial"/>
          <w:sz w:val="24"/>
          <w:szCs w:val="28"/>
          <w:lang w:val="en-US"/>
        </w:rPr>
        <w:t xml:space="preserve"> but by the reign of King Cnut a full monastery had been founded around the grave.</w:t>
      </w:r>
      <w:r w:rsidR="00844CB7">
        <w:rPr>
          <w:rStyle w:val="FootnoteReference"/>
          <w:rFonts w:ascii="Arial" w:hAnsi="Arial" w:cs="Arial"/>
          <w:sz w:val="24"/>
          <w:szCs w:val="28"/>
          <w:lang w:val="en-US"/>
        </w:rPr>
        <w:footnoteReference w:id="18"/>
      </w:r>
      <w:r w:rsidR="00407DAC">
        <w:rPr>
          <w:rFonts w:ascii="Arial" w:hAnsi="Arial" w:cs="Arial"/>
          <w:sz w:val="24"/>
          <w:szCs w:val="28"/>
          <w:lang w:val="en-US"/>
        </w:rPr>
        <w:t xml:space="preserve"> </w:t>
      </w:r>
      <w:r w:rsidR="00E13AE5">
        <w:rPr>
          <w:rFonts w:ascii="Arial" w:hAnsi="Arial" w:cs="Arial"/>
          <w:sz w:val="24"/>
          <w:szCs w:val="28"/>
          <w:lang w:val="en-US"/>
        </w:rPr>
        <w:t xml:space="preserve">Cnut also continued making donations and acted as a great benefactor to the </w:t>
      </w:r>
      <w:r w:rsidR="004F02ED">
        <w:rPr>
          <w:rFonts w:ascii="Arial" w:hAnsi="Arial" w:cs="Arial"/>
          <w:sz w:val="24"/>
          <w:szCs w:val="28"/>
          <w:lang w:val="en-US"/>
        </w:rPr>
        <w:t>shrine of Saint Edmund as well as the monastery in Bury Saint Edmunds.</w:t>
      </w:r>
      <w:r w:rsidR="004F02ED">
        <w:rPr>
          <w:rStyle w:val="FootnoteReference"/>
          <w:rFonts w:ascii="Arial" w:hAnsi="Arial" w:cs="Arial"/>
          <w:sz w:val="24"/>
          <w:szCs w:val="28"/>
          <w:lang w:val="en-US"/>
        </w:rPr>
        <w:footnoteReference w:id="19"/>
      </w:r>
      <w:r w:rsidR="004F02ED">
        <w:rPr>
          <w:rFonts w:ascii="Arial" w:hAnsi="Arial" w:cs="Arial"/>
          <w:sz w:val="24"/>
          <w:szCs w:val="28"/>
          <w:lang w:val="en-US"/>
        </w:rPr>
        <w:t xml:space="preserve"> </w:t>
      </w:r>
      <w:r w:rsidR="00407DAC">
        <w:rPr>
          <w:rFonts w:ascii="Arial" w:hAnsi="Arial" w:cs="Arial"/>
          <w:sz w:val="24"/>
          <w:szCs w:val="28"/>
          <w:lang w:val="en-US"/>
        </w:rPr>
        <w:t xml:space="preserve">A peculiarity of this cult is that barely twenty five years after Saint Edmunds death coins were being minted with struck inscriptions like: </w:t>
      </w:r>
      <w:r w:rsidR="00407DAC">
        <w:rPr>
          <w:rFonts w:ascii="Arial" w:hAnsi="Arial" w:cs="Arial"/>
          <w:i/>
          <w:sz w:val="24"/>
          <w:szCs w:val="28"/>
          <w:lang w:val="en-US"/>
        </w:rPr>
        <w:t>‘</w:t>
      </w:r>
      <w:proofErr w:type="spellStart"/>
      <w:r w:rsidR="00407DAC">
        <w:rPr>
          <w:rFonts w:ascii="Arial" w:hAnsi="Arial" w:cs="Arial"/>
          <w:i/>
          <w:sz w:val="24"/>
          <w:szCs w:val="28"/>
          <w:lang w:val="en-US"/>
        </w:rPr>
        <w:t>Sce</w:t>
      </w:r>
      <w:proofErr w:type="spellEnd"/>
      <w:r w:rsidR="00407DAC">
        <w:rPr>
          <w:rFonts w:ascii="Arial" w:hAnsi="Arial" w:cs="Arial"/>
          <w:i/>
          <w:sz w:val="24"/>
          <w:szCs w:val="28"/>
          <w:lang w:val="en-US"/>
        </w:rPr>
        <w:t xml:space="preserve"> </w:t>
      </w:r>
      <w:proofErr w:type="spellStart"/>
      <w:r w:rsidR="00407DAC">
        <w:rPr>
          <w:rFonts w:ascii="Arial" w:hAnsi="Arial" w:cs="Arial"/>
          <w:i/>
          <w:sz w:val="24"/>
          <w:szCs w:val="28"/>
          <w:lang w:val="en-US"/>
        </w:rPr>
        <w:t>Eadmund</w:t>
      </w:r>
      <w:proofErr w:type="spellEnd"/>
      <w:r w:rsidR="00407DAC">
        <w:rPr>
          <w:rFonts w:ascii="Arial" w:hAnsi="Arial" w:cs="Arial"/>
          <w:i/>
          <w:sz w:val="24"/>
          <w:szCs w:val="28"/>
          <w:lang w:val="en-US"/>
        </w:rPr>
        <w:t xml:space="preserve"> Rex’ </w:t>
      </w:r>
      <w:r w:rsidR="00407DAC" w:rsidRPr="00407DAC">
        <w:rPr>
          <w:rFonts w:ascii="Arial" w:hAnsi="Arial" w:cs="Arial"/>
          <w:sz w:val="24"/>
          <w:szCs w:val="28"/>
          <w:lang w:val="en-US"/>
        </w:rPr>
        <w:t>(St. Edmund the King)</w:t>
      </w:r>
      <w:r w:rsidR="00730435">
        <w:rPr>
          <w:rFonts w:ascii="Arial" w:hAnsi="Arial" w:cs="Arial"/>
          <w:sz w:val="24"/>
          <w:szCs w:val="28"/>
          <w:lang w:val="en-US"/>
        </w:rPr>
        <w:t>.</w:t>
      </w:r>
      <w:r w:rsidR="00407DAC">
        <w:rPr>
          <w:rStyle w:val="FootnoteReference"/>
          <w:rFonts w:ascii="Arial" w:hAnsi="Arial" w:cs="Arial"/>
          <w:sz w:val="24"/>
          <w:szCs w:val="28"/>
          <w:lang w:val="en-US"/>
        </w:rPr>
        <w:footnoteReference w:id="20"/>
      </w:r>
      <w:r w:rsidR="00730435">
        <w:rPr>
          <w:rFonts w:ascii="Arial" w:hAnsi="Arial" w:cs="Arial"/>
          <w:sz w:val="24"/>
          <w:szCs w:val="28"/>
          <w:lang w:val="en-US"/>
        </w:rPr>
        <w:t xml:space="preserve"> The existence of these coins implies that the cult around King Edmund started not long after his death and the breadth of the coinage’s circulation suggests that this cult was incredibly popular at its onset – 1800 such coins were discovered in the </w:t>
      </w:r>
      <w:proofErr w:type="spellStart"/>
      <w:r w:rsidR="00730435">
        <w:rPr>
          <w:rFonts w:ascii="Arial" w:hAnsi="Arial" w:cs="Arial"/>
          <w:sz w:val="24"/>
          <w:szCs w:val="28"/>
          <w:lang w:val="en-US"/>
        </w:rPr>
        <w:t>Cuerdale</w:t>
      </w:r>
      <w:proofErr w:type="spellEnd"/>
      <w:r w:rsidR="00730435">
        <w:rPr>
          <w:rFonts w:ascii="Arial" w:hAnsi="Arial" w:cs="Arial"/>
          <w:sz w:val="24"/>
          <w:szCs w:val="28"/>
          <w:lang w:val="en-US"/>
        </w:rPr>
        <w:t xml:space="preserve"> hoard.</w:t>
      </w:r>
      <w:r w:rsidR="00730435">
        <w:rPr>
          <w:rStyle w:val="FootnoteReference"/>
          <w:rFonts w:ascii="Arial" w:hAnsi="Arial" w:cs="Arial"/>
          <w:sz w:val="24"/>
          <w:szCs w:val="28"/>
          <w:lang w:val="en-US"/>
        </w:rPr>
        <w:footnoteReference w:id="21"/>
      </w:r>
      <w:r w:rsidR="00340CAA">
        <w:rPr>
          <w:rFonts w:ascii="Arial" w:hAnsi="Arial" w:cs="Arial"/>
          <w:sz w:val="24"/>
          <w:szCs w:val="28"/>
          <w:lang w:val="en-US"/>
        </w:rPr>
        <w:t xml:space="preserve"> The cult appears to have declined somewhat as no more coins were minted after 910.</w:t>
      </w:r>
      <w:r w:rsidR="00340CAA">
        <w:rPr>
          <w:rStyle w:val="FootnoteReference"/>
          <w:rFonts w:ascii="Arial" w:hAnsi="Arial" w:cs="Arial"/>
          <w:sz w:val="24"/>
          <w:szCs w:val="28"/>
          <w:lang w:val="en-US"/>
        </w:rPr>
        <w:footnoteReference w:id="22"/>
      </w:r>
      <w:r w:rsidR="00340CAA">
        <w:rPr>
          <w:rFonts w:ascii="Arial" w:hAnsi="Arial" w:cs="Arial"/>
          <w:sz w:val="24"/>
          <w:szCs w:val="28"/>
          <w:lang w:val="en-US"/>
        </w:rPr>
        <w:t xml:space="preserve"> Saint Edmund was also not recorded in any liturgical calendar </w:t>
      </w:r>
      <w:r w:rsidR="00C372D8">
        <w:rPr>
          <w:rFonts w:ascii="Arial" w:hAnsi="Arial" w:cs="Arial"/>
          <w:sz w:val="24"/>
          <w:szCs w:val="28"/>
          <w:lang w:val="en-US"/>
        </w:rPr>
        <w:t xml:space="preserve">from the ninth to early eleventh centuries, the next record of him being </w:t>
      </w:r>
      <w:proofErr w:type="spellStart"/>
      <w:r w:rsidR="00C372D8">
        <w:rPr>
          <w:rFonts w:ascii="Arial" w:hAnsi="Arial" w:cs="Arial"/>
          <w:sz w:val="24"/>
          <w:szCs w:val="28"/>
          <w:lang w:val="en-US"/>
        </w:rPr>
        <w:t>Abbo</w:t>
      </w:r>
      <w:proofErr w:type="spellEnd"/>
      <w:r w:rsidR="00C372D8">
        <w:rPr>
          <w:rFonts w:ascii="Arial" w:hAnsi="Arial" w:cs="Arial"/>
          <w:sz w:val="24"/>
          <w:szCs w:val="28"/>
          <w:lang w:val="en-US"/>
        </w:rPr>
        <w:t xml:space="preserve"> of Fleury’s </w:t>
      </w:r>
      <w:proofErr w:type="spellStart"/>
      <w:r w:rsidR="00C372D8">
        <w:rPr>
          <w:rFonts w:ascii="Arial" w:hAnsi="Arial" w:cs="Arial"/>
          <w:i/>
          <w:sz w:val="24"/>
          <w:szCs w:val="28"/>
          <w:lang w:val="en-US"/>
        </w:rPr>
        <w:t>Passio</w:t>
      </w:r>
      <w:proofErr w:type="spellEnd"/>
      <w:r w:rsidR="00C372D8">
        <w:rPr>
          <w:rFonts w:ascii="Arial" w:hAnsi="Arial" w:cs="Arial"/>
          <w:i/>
          <w:sz w:val="24"/>
          <w:szCs w:val="28"/>
          <w:lang w:val="en-US"/>
        </w:rPr>
        <w:t xml:space="preserve"> Sancti </w:t>
      </w:r>
      <w:proofErr w:type="spellStart"/>
      <w:r w:rsidR="00C372D8">
        <w:rPr>
          <w:rFonts w:ascii="Arial" w:hAnsi="Arial" w:cs="Arial"/>
          <w:i/>
          <w:sz w:val="24"/>
          <w:szCs w:val="28"/>
          <w:lang w:val="en-US"/>
        </w:rPr>
        <w:t>Eadmundi</w:t>
      </w:r>
      <w:proofErr w:type="spellEnd"/>
      <w:r w:rsidR="00C372D8">
        <w:rPr>
          <w:rFonts w:ascii="Arial" w:hAnsi="Arial" w:cs="Arial"/>
          <w:sz w:val="24"/>
          <w:szCs w:val="28"/>
          <w:lang w:val="en-US"/>
        </w:rPr>
        <w:t xml:space="preserve"> in the late nine hundreds.</w:t>
      </w:r>
      <w:r w:rsidR="00C372D8">
        <w:rPr>
          <w:rStyle w:val="FootnoteReference"/>
          <w:rFonts w:ascii="Arial" w:hAnsi="Arial" w:cs="Arial"/>
          <w:sz w:val="24"/>
          <w:szCs w:val="28"/>
          <w:lang w:val="en-US"/>
        </w:rPr>
        <w:footnoteReference w:id="23"/>
      </w:r>
      <w:r w:rsidR="00F22BB2">
        <w:rPr>
          <w:rFonts w:ascii="Arial" w:hAnsi="Arial" w:cs="Arial"/>
          <w:sz w:val="24"/>
          <w:szCs w:val="28"/>
          <w:lang w:val="en-US"/>
        </w:rPr>
        <w:t xml:space="preserve"> </w:t>
      </w:r>
    </w:p>
    <w:p w:rsidR="00E13AE5" w:rsidRDefault="00340CAA" w:rsidP="009A2A89">
      <w:pPr>
        <w:spacing w:line="480" w:lineRule="auto"/>
        <w:rPr>
          <w:rFonts w:ascii="Arial" w:hAnsi="Arial" w:cs="Arial"/>
          <w:sz w:val="24"/>
          <w:szCs w:val="28"/>
          <w:lang w:val="en-US"/>
        </w:rPr>
      </w:pPr>
      <w:r>
        <w:rPr>
          <w:rFonts w:ascii="Arial" w:hAnsi="Arial" w:cs="Arial"/>
          <w:sz w:val="24"/>
          <w:szCs w:val="28"/>
          <w:lang w:val="en-US"/>
        </w:rPr>
        <w:lastRenderedPageBreak/>
        <w:t xml:space="preserve">Saint Edmund’s body was not left to rest at its </w:t>
      </w:r>
      <w:proofErr w:type="gramStart"/>
      <w:r>
        <w:rPr>
          <w:rFonts w:ascii="Arial" w:hAnsi="Arial" w:cs="Arial"/>
          <w:sz w:val="24"/>
          <w:szCs w:val="28"/>
          <w:lang w:val="en-US"/>
        </w:rPr>
        <w:t>shrine,</w:t>
      </w:r>
      <w:proofErr w:type="gramEnd"/>
      <w:r>
        <w:rPr>
          <w:rFonts w:ascii="Arial" w:hAnsi="Arial" w:cs="Arial"/>
          <w:sz w:val="24"/>
          <w:szCs w:val="28"/>
          <w:lang w:val="en-US"/>
        </w:rPr>
        <w:t xml:space="preserve"> however, </w:t>
      </w:r>
      <w:r w:rsidR="00F22BB2">
        <w:rPr>
          <w:rFonts w:ascii="Arial" w:hAnsi="Arial" w:cs="Arial"/>
          <w:sz w:val="24"/>
          <w:szCs w:val="28"/>
          <w:lang w:val="en-US"/>
        </w:rPr>
        <w:t>as in 1010 a Danish army landing at Ipswich caused the body’s custodians to remove it to London for safety for three years before returning Saint Edmund to Bury.</w:t>
      </w:r>
      <w:r w:rsidR="00F22BB2">
        <w:rPr>
          <w:rStyle w:val="FootnoteReference"/>
          <w:rFonts w:ascii="Arial" w:hAnsi="Arial" w:cs="Arial"/>
          <w:sz w:val="24"/>
          <w:szCs w:val="28"/>
          <w:lang w:val="en-US"/>
        </w:rPr>
        <w:footnoteReference w:id="24"/>
      </w:r>
      <w:r w:rsidR="00F22BB2">
        <w:rPr>
          <w:rFonts w:ascii="Arial" w:hAnsi="Arial" w:cs="Arial"/>
          <w:sz w:val="24"/>
          <w:szCs w:val="28"/>
          <w:lang w:val="en-US"/>
        </w:rPr>
        <w:t xml:space="preserve"> </w:t>
      </w:r>
    </w:p>
    <w:p w:rsidR="00F22BB2" w:rsidRDefault="00F22BB2" w:rsidP="009A2A89">
      <w:pPr>
        <w:spacing w:line="480" w:lineRule="auto"/>
        <w:rPr>
          <w:rFonts w:ascii="Arial" w:hAnsi="Arial" w:cs="Arial"/>
          <w:sz w:val="24"/>
          <w:szCs w:val="28"/>
          <w:lang w:val="en-US"/>
        </w:rPr>
      </w:pPr>
      <w:r>
        <w:rPr>
          <w:rFonts w:ascii="Arial" w:hAnsi="Arial" w:cs="Arial"/>
          <w:sz w:val="24"/>
          <w:szCs w:val="28"/>
          <w:lang w:val="en-US"/>
        </w:rPr>
        <w:t>In an attempt at reconciliation between the Danes and Anglo Saxons, King Cnut gave the Abbey at Bury Saint Edmund’s a charter</w:t>
      </w:r>
      <w:r w:rsidR="006279A3">
        <w:rPr>
          <w:rFonts w:ascii="Arial" w:hAnsi="Arial" w:cs="Arial"/>
          <w:sz w:val="24"/>
          <w:szCs w:val="28"/>
          <w:lang w:val="en-US"/>
        </w:rPr>
        <w:t xml:space="preserve"> giving it jurisdiction over the town, this led to the abbey having power over most of West Suffolk and it eventually became one of the most powerful and important Benedictine abbeys in England.</w:t>
      </w:r>
      <w:r w:rsidR="006279A3">
        <w:rPr>
          <w:rStyle w:val="FootnoteReference"/>
          <w:rFonts w:ascii="Arial" w:hAnsi="Arial" w:cs="Arial"/>
          <w:sz w:val="24"/>
          <w:szCs w:val="28"/>
          <w:lang w:val="en-US"/>
        </w:rPr>
        <w:footnoteReference w:id="25"/>
      </w:r>
      <w:r w:rsidR="006279A3">
        <w:rPr>
          <w:rFonts w:ascii="Arial" w:hAnsi="Arial" w:cs="Arial"/>
          <w:sz w:val="24"/>
          <w:szCs w:val="28"/>
          <w:lang w:val="en-US"/>
        </w:rPr>
        <w:t xml:space="preserve"> </w:t>
      </w:r>
    </w:p>
    <w:p w:rsidR="006279A3" w:rsidRDefault="006279A3" w:rsidP="009A2A89">
      <w:pPr>
        <w:spacing w:line="480" w:lineRule="auto"/>
        <w:rPr>
          <w:rFonts w:ascii="Arial" w:hAnsi="Arial" w:cs="Arial"/>
          <w:sz w:val="24"/>
          <w:szCs w:val="28"/>
          <w:lang w:val="en-US"/>
        </w:rPr>
      </w:pPr>
      <w:r>
        <w:rPr>
          <w:rFonts w:ascii="Arial" w:hAnsi="Arial" w:cs="Arial"/>
          <w:sz w:val="24"/>
          <w:szCs w:val="28"/>
          <w:lang w:val="en-US"/>
        </w:rPr>
        <w:t>The body of saint Edmund was moved again following the Norman Conquest of England in 1066. A new Norman church was built and the body was transferred there in 1095.</w:t>
      </w:r>
      <w:r>
        <w:rPr>
          <w:rStyle w:val="FootnoteReference"/>
          <w:rFonts w:ascii="Arial" w:hAnsi="Arial" w:cs="Arial"/>
          <w:sz w:val="24"/>
          <w:szCs w:val="28"/>
          <w:lang w:val="en-US"/>
        </w:rPr>
        <w:footnoteReference w:id="26"/>
      </w:r>
      <w:r>
        <w:rPr>
          <w:rFonts w:ascii="Arial" w:hAnsi="Arial" w:cs="Arial"/>
          <w:sz w:val="24"/>
          <w:szCs w:val="28"/>
          <w:lang w:val="en-US"/>
        </w:rPr>
        <w:t xml:space="preserve"> A century later in 1198, Saint Edmund’s body was re-enshrined but this time in the same church.</w:t>
      </w:r>
      <w:r>
        <w:rPr>
          <w:rStyle w:val="FootnoteReference"/>
          <w:rFonts w:ascii="Arial" w:hAnsi="Arial" w:cs="Arial"/>
          <w:sz w:val="24"/>
          <w:szCs w:val="28"/>
          <w:lang w:val="en-US"/>
        </w:rPr>
        <w:footnoteReference w:id="27"/>
      </w:r>
      <w:r>
        <w:rPr>
          <w:rFonts w:ascii="Arial" w:hAnsi="Arial" w:cs="Arial"/>
          <w:sz w:val="24"/>
          <w:szCs w:val="28"/>
          <w:lang w:val="en-US"/>
        </w:rPr>
        <w:t xml:space="preserve"> </w:t>
      </w:r>
    </w:p>
    <w:p w:rsidR="006279A3" w:rsidRDefault="006279A3" w:rsidP="009A2A89">
      <w:pPr>
        <w:spacing w:line="480" w:lineRule="auto"/>
        <w:rPr>
          <w:rFonts w:ascii="Arial" w:hAnsi="Arial" w:cs="Arial"/>
          <w:sz w:val="24"/>
          <w:szCs w:val="28"/>
          <w:lang w:val="en-US"/>
        </w:rPr>
      </w:pPr>
      <w:r>
        <w:rPr>
          <w:rFonts w:ascii="Arial" w:hAnsi="Arial" w:cs="Arial"/>
          <w:sz w:val="24"/>
          <w:szCs w:val="28"/>
          <w:lang w:val="en-US"/>
        </w:rPr>
        <w:t>In 1217 the battle of Lincoln saw the defeat of forces upholding Prince Louis of France’s claim to the English throne at the hands of William the Marshal, Earl of Pembroke.</w:t>
      </w:r>
      <w:r>
        <w:rPr>
          <w:rStyle w:val="FootnoteReference"/>
          <w:rFonts w:ascii="Arial" w:hAnsi="Arial" w:cs="Arial"/>
          <w:sz w:val="24"/>
          <w:szCs w:val="28"/>
          <w:lang w:val="en-US"/>
        </w:rPr>
        <w:footnoteReference w:id="28"/>
      </w:r>
      <w:r w:rsidR="00F67F9B">
        <w:rPr>
          <w:rFonts w:ascii="Arial" w:hAnsi="Arial" w:cs="Arial"/>
          <w:sz w:val="24"/>
          <w:szCs w:val="28"/>
          <w:lang w:val="en-US"/>
        </w:rPr>
        <w:t xml:space="preserve"> The defeated French soldiers fled back to their home country, claiming to have removed Saint Edmund’s body with them.</w:t>
      </w:r>
      <w:r w:rsidR="00F67F9B">
        <w:rPr>
          <w:rStyle w:val="FootnoteReference"/>
          <w:rFonts w:ascii="Arial" w:hAnsi="Arial" w:cs="Arial"/>
          <w:sz w:val="24"/>
          <w:szCs w:val="28"/>
          <w:lang w:val="en-US"/>
        </w:rPr>
        <w:footnoteReference w:id="29"/>
      </w:r>
      <w:r w:rsidR="00971A01">
        <w:rPr>
          <w:rFonts w:ascii="Arial" w:hAnsi="Arial" w:cs="Arial"/>
          <w:sz w:val="24"/>
          <w:szCs w:val="28"/>
          <w:lang w:val="en-US"/>
        </w:rPr>
        <w:t xml:space="preserve"> Some of the relics were then apparently taken to Saint </w:t>
      </w:r>
      <w:proofErr w:type="spellStart"/>
      <w:r w:rsidR="00971A01">
        <w:rPr>
          <w:rFonts w:ascii="Arial" w:hAnsi="Arial" w:cs="Arial"/>
          <w:sz w:val="24"/>
          <w:szCs w:val="28"/>
          <w:lang w:val="en-US"/>
        </w:rPr>
        <w:t>Sernin</w:t>
      </w:r>
      <w:proofErr w:type="spellEnd"/>
      <w:r w:rsidR="00971A01">
        <w:rPr>
          <w:rFonts w:ascii="Arial" w:hAnsi="Arial" w:cs="Arial"/>
          <w:sz w:val="24"/>
          <w:szCs w:val="28"/>
          <w:lang w:val="en-US"/>
        </w:rPr>
        <w:t xml:space="preserve"> in Toulouse and after the town recovered from the plague in around 1630, </w:t>
      </w:r>
      <w:r w:rsidR="00971A01">
        <w:rPr>
          <w:rFonts w:ascii="Arial" w:hAnsi="Arial" w:cs="Arial"/>
          <w:sz w:val="24"/>
          <w:szCs w:val="28"/>
          <w:lang w:val="en-US"/>
        </w:rPr>
        <w:lastRenderedPageBreak/>
        <w:t>these relics were re-enshrined.</w:t>
      </w:r>
      <w:r w:rsidR="00971A01">
        <w:rPr>
          <w:rStyle w:val="FootnoteReference"/>
          <w:rFonts w:ascii="Arial" w:hAnsi="Arial" w:cs="Arial"/>
          <w:sz w:val="24"/>
          <w:szCs w:val="28"/>
          <w:lang w:val="en-US"/>
        </w:rPr>
        <w:footnoteReference w:id="30"/>
      </w:r>
      <w:r w:rsidR="00971A01">
        <w:rPr>
          <w:rFonts w:ascii="Arial" w:hAnsi="Arial" w:cs="Arial"/>
          <w:sz w:val="24"/>
          <w:szCs w:val="28"/>
          <w:lang w:val="en-US"/>
        </w:rPr>
        <w:t xml:space="preserve"> The Cult of Saint Edmund of East Anglia flourished in Toulouse for some 250 years after the re-enshrining, but in 1912 some of the relics were offered to Westminster Abbey.</w:t>
      </w:r>
      <w:r w:rsidR="00971A01">
        <w:rPr>
          <w:rStyle w:val="FootnoteReference"/>
          <w:rFonts w:ascii="Arial" w:hAnsi="Arial" w:cs="Arial"/>
          <w:sz w:val="24"/>
          <w:szCs w:val="28"/>
          <w:lang w:val="en-US"/>
        </w:rPr>
        <w:footnoteReference w:id="31"/>
      </w:r>
      <w:r w:rsidR="00971A01">
        <w:rPr>
          <w:rFonts w:ascii="Arial" w:hAnsi="Arial" w:cs="Arial"/>
          <w:sz w:val="24"/>
          <w:szCs w:val="28"/>
          <w:lang w:val="en-US"/>
        </w:rPr>
        <w:t xml:space="preserve"> Many historians, including M. R. James, protested the authenticity of these relics, insisting that Saint Edmund’s bones had remained in Bury until the reformation – at which time they were reburied elsewhere.</w:t>
      </w:r>
      <w:r w:rsidR="00971A01">
        <w:rPr>
          <w:rStyle w:val="FootnoteReference"/>
          <w:rFonts w:ascii="Arial" w:hAnsi="Arial" w:cs="Arial"/>
          <w:sz w:val="24"/>
          <w:szCs w:val="28"/>
          <w:lang w:val="en-US"/>
        </w:rPr>
        <w:footnoteReference w:id="32"/>
      </w:r>
    </w:p>
    <w:p w:rsidR="00911FEE" w:rsidRDefault="00911FEE" w:rsidP="009A2A89">
      <w:pPr>
        <w:spacing w:line="480" w:lineRule="auto"/>
        <w:rPr>
          <w:rFonts w:ascii="Arial" w:hAnsi="Arial" w:cs="Arial"/>
          <w:sz w:val="24"/>
          <w:szCs w:val="28"/>
          <w:lang w:val="en-US"/>
        </w:rPr>
      </w:pPr>
      <w:r>
        <w:rPr>
          <w:rFonts w:ascii="Arial" w:hAnsi="Arial" w:cs="Arial"/>
          <w:sz w:val="24"/>
          <w:szCs w:val="28"/>
          <w:lang w:val="en-US"/>
        </w:rPr>
        <w:t xml:space="preserve">While the concerns over the authenticity of the relics form Toulouse were discussed, they were transported to England and stored in the </w:t>
      </w:r>
      <w:proofErr w:type="spellStart"/>
      <w:r>
        <w:rPr>
          <w:rFonts w:ascii="Arial" w:hAnsi="Arial" w:cs="Arial"/>
          <w:sz w:val="24"/>
          <w:szCs w:val="28"/>
          <w:lang w:val="en-US"/>
        </w:rPr>
        <w:t>FitzAlan</w:t>
      </w:r>
      <w:proofErr w:type="spellEnd"/>
      <w:r>
        <w:rPr>
          <w:rFonts w:ascii="Arial" w:hAnsi="Arial" w:cs="Arial"/>
          <w:sz w:val="24"/>
          <w:szCs w:val="28"/>
          <w:lang w:val="en-US"/>
        </w:rPr>
        <w:t xml:space="preserve"> chapel </w:t>
      </w:r>
      <w:r w:rsidR="00535D5D">
        <w:rPr>
          <w:rFonts w:ascii="Arial" w:hAnsi="Arial" w:cs="Arial"/>
          <w:sz w:val="24"/>
          <w:szCs w:val="28"/>
          <w:lang w:val="en-US"/>
        </w:rPr>
        <w:t xml:space="preserve">at Arundel Castle </w:t>
      </w:r>
      <w:r>
        <w:rPr>
          <w:rFonts w:ascii="Arial" w:hAnsi="Arial" w:cs="Arial"/>
          <w:sz w:val="24"/>
          <w:szCs w:val="28"/>
          <w:lang w:val="en-US"/>
        </w:rPr>
        <w:t>before they could be moved to Westminster.</w:t>
      </w:r>
      <w:r>
        <w:rPr>
          <w:rStyle w:val="FootnoteReference"/>
          <w:rFonts w:ascii="Arial" w:hAnsi="Arial" w:cs="Arial"/>
          <w:sz w:val="24"/>
          <w:szCs w:val="28"/>
          <w:lang w:val="en-US"/>
        </w:rPr>
        <w:footnoteReference w:id="33"/>
      </w:r>
      <w:r w:rsidR="00535D5D">
        <w:rPr>
          <w:rFonts w:ascii="Arial" w:hAnsi="Arial" w:cs="Arial"/>
          <w:sz w:val="24"/>
          <w:szCs w:val="28"/>
          <w:lang w:val="en-US"/>
        </w:rPr>
        <w:t xml:space="preserve"> Owing to the authenticity concerns, the relics were retained at Arundel by the Duke of Norfolk where they remain.</w:t>
      </w:r>
      <w:r w:rsidR="00535D5D">
        <w:rPr>
          <w:rStyle w:val="FootnoteReference"/>
          <w:rFonts w:ascii="Arial" w:hAnsi="Arial" w:cs="Arial"/>
          <w:sz w:val="24"/>
          <w:szCs w:val="28"/>
          <w:lang w:val="en-US"/>
        </w:rPr>
        <w:footnoteReference w:id="34"/>
      </w:r>
      <w:r w:rsidR="00EE5C6A">
        <w:rPr>
          <w:rFonts w:ascii="Arial" w:hAnsi="Arial" w:cs="Arial"/>
          <w:sz w:val="24"/>
          <w:szCs w:val="28"/>
          <w:lang w:val="en-US"/>
        </w:rPr>
        <w:t xml:space="preserve"> The final part of these possible relics of Saint Edmund of East Anglia’s journey took place in 1966 when three teeth from the relics at Arundel were given to Douai Abbey in Berkshire.</w:t>
      </w:r>
      <w:r w:rsidR="00EE5C6A">
        <w:rPr>
          <w:rStyle w:val="FootnoteReference"/>
          <w:rFonts w:ascii="Arial" w:hAnsi="Arial" w:cs="Arial"/>
          <w:sz w:val="24"/>
          <w:szCs w:val="28"/>
          <w:lang w:val="en-US"/>
        </w:rPr>
        <w:footnoteReference w:id="35"/>
      </w:r>
    </w:p>
    <w:p w:rsidR="007A71BB" w:rsidRDefault="007A71BB" w:rsidP="009A2A89">
      <w:pPr>
        <w:spacing w:line="480" w:lineRule="auto"/>
        <w:rPr>
          <w:rFonts w:ascii="Arial" w:hAnsi="Arial" w:cs="Arial"/>
          <w:sz w:val="24"/>
          <w:szCs w:val="28"/>
          <w:lang w:val="en-US"/>
        </w:rPr>
      </w:pPr>
      <w:r>
        <w:rPr>
          <w:rFonts w:ascii="Arial" w:hAnsi="Arial" w:cs="Arial"/>
          <w:sz w:val="24"/>
          <w:szCs w:val="28"/>
          <w:lang w:val="en-US"/>
        </w:rPr>
        <w:t>Alongside Edward the Confessor, Edmund was considered one of England’s two Royal Patron saints.</w:t>
      </w:r>
      <w:r>
        <w:rPr>
          <w:rStyle w:val="FootnoteReference"/>
          <w:rFonts w:ascii="Arial" w:hAnsi="Arial" w:cs="Arial"/>
          <w:sz w:val="24"/>
          <w:szCs w:val="28"/>
          <w:lang w:val="en-US"/>
        </w:rPr>
        <w:footnoteReference w:id="36"/>
      </w:r>
      <w:r>
        <w:rPr>
          <w:rFonts w:ascii="Arial" w:hAnsi="Arial" w:cs="Arial"/>
          <w:sz w:val="24"/>
          <w:szCs w:val="28"/>
          <w:lang w:val="en-US"/>
        </w:rPr>
        <w:t xml:space="preserve"> His symbol is usually an arrow – which may have been his end – or a wolf’s head – after the guardian of his head once the Danes had removed it.</w:t>
      </w:r>
      <w:r>
        <w:rPr>
          <w:rStyle w:val="FootnoteReference"/>
          <w:rFonts w:ascii="Arial" w:hAnsi="Arial" w:cs="Arial"/>
          <w:sz w:val="24"/>
          <w:szCs w:val="28"/>
          <w:lang w:val="en-US"/>
        </w:rPr>
        <w:footnoteReference w:id="37"/>
      </w:r>
      <w:r>
        <w:rPr>
          <w:rFonts w:ascii="Arial" w:hAnsi="Arial" w:cs="Arial"/>
          <w:sz w:val="24"/>
          <w:szCs w:val="28"/>
          <w:lang w:val="en-US"/>
        </w:rPr>
        <w:t xml:space="preserve"> Saint Edmund is also frequently depicted at the moment of his martyrdom: being pierced by arrows, else he is shown with his head miraculously reattached.</w:t>
      </w:r>
      <w:r>
        <w:rPr>
          <w:rStyle w:val="FootnoteReference"/>
          <w:rFonts w:ascii="Arial" w:hAnsi="Arial" w:cs="Arial"/>
          <w:sz w:val="24"/>
          <w:szCs w:val="28"/>
          <w:lang w:val="en-US"/>
        </w:rPr>
        <w:footnoteReference w:id="38"/>
      </w:r>
    </w:p>
    <w:p w:rsidR="00871074" w:rsidRDefault="00871074" w:rsidP="009A2A89">
      <w:pPr>
        <w:spacing w:line="480" w:lineRule="auto"/>
        <w:rPr>
          <w:rFonts w:ascii="Arial" w:hAnsi="Arial" w:cs="Arial"/>
          <w:sz w:val="24"/>
          <w:szCs w:val="28"/>
          <w:lang w:val="en-US"/>
        </w:rPr>
      </w:pPr>
      <w:r>
        <w:rPr>
          <w:rFonts w:ascii="Arial" w:hAnsi="Arial" w:cs="Arial"/>
          <w:sz w:val="24"/>
          <w:szCs w:val="28"/>
          <w:lang w:val="en-US"/>
        </w:rPr>
        <w:lastRenderedPageBreak/>
        <w:t>Though the cult of Saint Edmund faded after the reformation over fifty parish churches of the Church of England bear his name as a dedication.</w:t>
      </w:r>
      <w:r>
        <w:rPr>
          <w:rStyle w:val="FootnoteReference"/>
          <w:rFonts w:ascii="Arial" w:hAnsi="Arial" w:cs="Arial"/>
          <w:sz w:val="24"/>
          <w:szCs w:val="28"/>
          <w:lang w:val="en-US"/>
        </w:rPr>
        <w:footnoteReference w:id="39"/>
      </w:r>
      <w:r w:rsidR="00371581">
        <w:rPr>
          <w:rFonts w:ascii="Arial" w:hAnsi="Arial" w:cs="Arial"/>
          <w:sz w:val="24"/>
          <w:szCs w:val="28"/>
          <w:lang w:val="en-US"/>
        </w:rPr>
        <w:t xml:space="preserve"> This includes the Church of Saint Edmund, King and Martyr in Lombard Street, London.</w:t>
      </w:r>
      <w:r w:rsidR="00371581">
        <w:rPr>
          <w:rStyle w:val="FootnoteReference"/>
          <w:rFonts w:ascii="Arial" w:hAnsi="Arial" w:cs="Arial"/>
          <w:sz w:val="24"/>
          <w:szCs w:val="28"/>
          <w:lang w:val="en-US"/>
        </w:rPr>
        <w:footnoteReference w:id="40"/>
      </w:r>
      <w:r w:rsidR="00604A40">
        <w:rPr>
          <w:rFonts w:ascii="Arial" w:hAnsi="Arial" w:cs="Arial"/>
          <w:sz w:val="24"/>
          <w:szCs w:val="28"/>
          <w:lang w:val="en-US"/>
        </w:rPr>
        <w:t xml:space="preserve"> Saint Edmund is also the patron of the Benedictine community at Douai Abbey in Berkshire,</w:t>
      </w:r>
      <w:r w:rsidR="00604A40">
        <w:rPr>
          <w:rStyle w:val="FootnoteReference"/>
          <w:rFonts w:ascii="Arial" w:hAnsi="Arial" w:cs="Arial"/>
          <w:sz w:val="24"/>
          <w:szCs w:val="28"/>
          <w:lang w:val="en-US"/>
        </w:rPr>
        <w:footnoteReference w:id="41"/>
      </w:r>
      <w:r w:rsidR="00604A40">
        <w:rPr>
          <w:rFonts w:ascii="Arial" w:hAnsi="Arial" w:cs="Arial"/>
          <w:sz w:val="24"/>
          <w:szCs w:val="28"/>
          <w:lang w:val="en-US"/>
        </w:rPr>
        <w:t xml:space="preserve"> appropriate as this is possibly the last resting place of Saint Edmund’s teeth.</w:t>
      </w:r>
      <w:r w:rsidR="00604A40">
        <w:rPr>
          <w:rStyle w:val="FootnoteReference"/>
          <w:rFonts w:ascii="Arial" w:hAnsi="Arial" w:cs="Arial"/>
          <w:sz w:val="24"/>
          <w:szCs w:val="28"/>
          <w:lang w:val="en-US"/>
        </w:rPr>
        <w:footnoteReference w:id="42"/>
      </w:r>
    </w:p>
    <w:p w:rsidR="001A23BF" w:rsidRDefault="00604A40" w:rsidP="009A2A89">
      <w:pPr>
        <w:spacing w:line="480" w:lineRule="auto"/>
        <w:rPr>
          <w:rFonts w:ascii="Arial" w:hAnsi="Arial" w:cs="Arial"/>
          <w:sz w:val="24"/>
          <w:szCs w:val="28"/>
          <w:lang w:val="en-US"/>
        </w:rPr>
      </w:pPr>
      <w:r>
        <w:rPr>
          <w:rFonts w:ascii="Arial" w:hAnsi="Arial" w:cs="Arial"/>
          <w:sz w:val="24"/>
          <w:szCs w:val="28"/>
          <w:lang w:val="en-US"/>
        </w:rPr>
        <w:t>King Edmund maintained a close association with England as alongside being patron saint of pandemics he is considered the patron saint of kings.</w:t>
      </w:r>
      <w:r>
        <w:rPr>
          <w:rStyle w:val="FootnoteReference"/>
          <w:rFonts w:ascii="Arial" w:hAnsi="Arial" w:cs="Arial"/>
          <w:sz w:val="24"/>
          <w:szCs w:val="28"/>
          <w:lang w:val="en-US"/>
        </w:rPr>
        <w:footnoteReference w:id="43"/>
      </w:r>
      <w:r>
        <w:rPr>
          <w:rFonts w:ascii="Arial" w:hAnsi="Arial" w:cs="Arial"/>
          <w:sz w:val="24"/>
          <w:szCs w:val="28"/>
          <w:lang w:val="en-US"/>
        </w:rPr>
        <w:t xml:space="preserve"> Edmund also remained popular with English kings, despite Edward III increasing the importance of Saint George as Patron Saint of the Most Noble Order of the Garter.</w:t>
      </w:r>
      <w:r>
        <w:rPr>
          <w:rStyle w:val="FootnoteReference"/>
          <w:rFonts w:ascii="Arial" w:hAnsi="Arial" w:cs="Arial"/>
          <w:sz w:val="24"/>
          <w:szCs w:val="28"/>
          <w:lang w:val="en-US"/>
        </w:rPr>
        <w:footnoteReference w:id="44"/>
      </w:r>
      <w:r w:rsidR="001A23BF">
        <w:rPr>
          <w:rFonts w:ascii="Arial" w:hAnsi="Arial" w:cs="Arial"/>
          <w:sz w:val="24"/>
          <w:szCs w:val="28"/>
          <w:lang w:val="en-US"/>
        </w:rPr>
        <w:t xml:space="preserve"> The strangest of Saint Edmund’s associations however is that the Greene King Brewery from Bury Saint Edmunds used the symbol of a crown above crossed arrows as their logo.</w:t>
      </w:r>
      <w:r w:rsidR="001A23BF">
        <w:rPr>
          <w:rStyle w:val="FootnoteReference"/>
          <w:rFonts w:ascii="Arial" w:hAnsi="Arial" w:cs="Arial"/>
          <w:sz w:val="24"/>
          <w:szCs w:val="28"/>
          <w:lang w:val="en-US"/>
        </w:rPr>
        <w:footnoteReference w:id="45"/>
      </w:r>
      <w:r w:rsidR="001A23BF">
        <w:rPr>
          <w:rFonts w:ascii="Arial" w:hAnsi="Arial" w:cs="Arial"/>
          <w:sz w:val="24"/>
          <w:szCs w:val="28"/>
          <w:lang w:val="en-US"/>
        </w:rPr>
        <w:t xml:space="preserve"> This is a reference to Saint Edmund: a king who was killed by arrows a fitting symbol for a brewery located in the town where the incorrupt body of Saint Edmund once lay.</w:t>
      </w:r>
      <w:r w:rsidR="001A23BF">
        <w:rPr>
          <w:rStyle w:val="FootnoteReference"/>
          <w:rFonts w:ascii="Arial" w:hAnsi="Arial" w:cs="Arial"/>
          <w:sz w:val="24"/>
          <w:szCs w:val="28"/>
          <w:lang w:val="en-US"/>
        </w:rPr>
        <w:footnoteReference w:id="46"/>
      </w:r>
    </w:p>
    <w:p w:rsidR="00A173E6" w:rsidRDefault="003D2B69" w:rsidP="009A2A89">
      <w:pPr>
        <w:spacing w:line="480" w:lineRule="auto"/>
        <w:rPr>
          <w:rFonts w:ascii="Arial" w:hAnsi="Arial" w:cs="Arial"/>
          <w:sz w:val="24"/>
          <w:szCs w:val="28"/>
          <w:lang w:val="en-US"/>
        </w:rPr>
      </w:pPr>
      <w:r>
        <w:rPr>
          <w:rFonts w:ascii="Arial" w:hAnsi="Arial" w:cs="Arial"/>
          <w:sz w:val="24"/>
          <w:szCs w:val="28"/>
          <w:lang w:val="en-US"/>
        </w:rPr>
        <w:lastRenderedPageBreak/>
        <w:t>Saint Edmund’s death is recorded in the Anglo Saxon Chronicle where it describes the events of the year 869.</w:t>
      </w:r>
      <w:r>
        <w:rPr>
          <w:rStyle w:val="FootnoteReference"/>
          <w:rFonts w:ascii="Arial" w:hAnsi="Arial" w:cs="Arial"/>
          <w:sz w:val="24"/>
          <w:szCs w:val="28"/>
          <w:lang w:val="en-US"/>
        </w:rPr>
        <w:footnoteReference w:id="47"/>
      </w:r>
      <w:r>
        <w:rPr>
          <w:rFonts w:ascii="Arial" w:hAnsi="Arial" w:cs="Arial"/>
          <w:sz w:val="24"/>
          <w:szCs w:val="28"/>
          <w:lang w:val="en-US"/>
        </w:rPr>
        <w:t xml:space="preserve"> Edmund apparently led his army against the Danes who were wintering at Thetford but was defeated and killed.</w:t>
      </w:r>
      <w:r>
        <w:rPr>
          <w:rStyle w:val="FootnoteReference"/>
          <w:rFonts w:ascii="Arial" w:hAnsi="Arial" w:cs="Arial"/>
          <w:sz w:val="24"/>
          <w:szCs w:val="28"/>
          <w:lang w:val="en-US"/>
        </w:rPr>
        <w:footnoteReference w:id="48"/>
      </w:r>
      <w:r>
        <w:rPr>
          <w:rFonts w:ascii="Arial" w:hAnsi="Arial" w:cs="Arial"/>
          <w:sz w:val="24"/>
          <w:szCs w:val="28"/>
          <w:lang w:val="en-US"/>
        </w:rPr>
        <w:t xml:space="preserve"> The Chronicle makes no reference to Edmund being killed with arrows or beheaded</w:t>
      </w:r>
      <w:r w:rsidR="00B51943">
        <w:rPr>
          <w:rStyle w:val="FootnoteReference"/>
          <w:rFonts w:ascii="Arial" w:hAnsi="Arial" w:cs="Arial"/>
          <w:sz w:val="24"/>
          <w:szCs w:val="28"/>
          <w:lang w:val="en-US"/>
        </w:rPr>
        <w:footnoteReference w:id="49"/>
      </w:r>
      <w:r w:rsidR="00B51943">
        <w:rPr>
          <w:rFonts w:ascii="Arial" w:hAnsi="Arial" w:cs="Arial"/>
          <w:sz w:val="24"/>
          <w:szCs w:val="28"/>
          <w:lang w:val="en-US"/>
        </w:rPr>
        <w:t xml:space="preserve"> but the Peterborough manuscript</w:t>
      </w:r>
      <w:r>
        <w:rPr>
          <w:rFonts w:ascii="Arial" w:hAnsi="Arial" w:cs="Arial"/>
          <w:sz w:val="24"/>
          <w:szCs w:val="28"/>
          <w:lang w:val="en-US"/>
        </w:rPr>
        <w:t xml:space="preserve"> does describe him as ‘St. Edmund the King’</w:t>
      </w:r>
      <w:r>
        <w:rPr>
          <w:rStyle w:val="FootnoteReference"/>
          <w:rFonts w:ascii="Arial" w:hAnsi="Arial" w:cs="Arial"/>
          <w:sz w:val="24"/>
          <w:szCs w:val="28"/>
          <w:lang w:val="en-US"/>
        </w:rPr>
        <w:footnoteReference w:id="50"/>
      </w:r>
      <w:r>
        <w:rPr>
          <w:rFonts w:ascii="Arial" w:hAnsi="Arial" w:cs="Arial"/>
          <w:sz w:val="24"/>
          <w:szCs w:val="28"/>
          <w:lang w:val="en-US"/>
        </w:rPr>
        <w:t xml:space="preserve"> demonstrating the chroniclers’ recognition of Edmund as a </w:t>
      </w:r>
      <w:r w:rsidR="00B51943">
        <w:rPr>
          <w:rFonts w:ascii="Arial" w:hAnsi="Arial" w:cs="Arial"/>
          <w:sz w:val="24"/>
          <w:szCs w:val="28"/>
          <w:lang w:val="en-US"/>
        </w:rPr>
        <w:t>holy man if not a direct martyr.</w:t>
      </w:r>
    </w:p>
    <w:p w:rsidR="00730435" w:rsidRPr="004A1951" w:rsidRDefault="00730435" w:rsidP="009A2A89">
      <w:pPr>
        <w:spacing w:line="480" w:lineRule="auto"/>
        <w:rPr>
          <w:rFonts w:ascii="Arial" w:hAnsi="Arial" w:cs="Arial"/>
          <w:caps/>
          <w:sz w:val="24"/>
          <w:szCs w:val="28"/>
          <w:lang w:val="en-US"/>
        </w:rPr>
      </w:pPr>
      <w:r>
        <w:rPr>
          <w:rFonts w:ascii="Arial" w:hAnsi="Arial" w:cs="Arial"/>
          <w:sz w:val="24"/>
          <w:szCs w:val="28"/>
          <w:lang w:val="en-US"/>
        </w:rPr>
        <w:t xml:space="preserve">King Edmund’s earliest textual recognition as a saint comes from </w:t>
      </w:r>
      <w:proofErr w:type="spellStart"/>
      <w:r>
        <w:rPr>
          <w:rFonts w:ascii="Arial" w:hAnsi="Arial" w:cs="Arial"/>
          <w:sz w:val="24"/>
          <w:szCs w:val="28"/>
          <w:lang w:val="en-US"/>
        </w:rPr>
        <w:t>Abbo</w:t>
      </w:r>
      <w:proofErr w:type="spellEnd"/>
      <w:r>
        <w:rPr>
          <w:rFonts w:ascii="Arial" w:hAnsi="Arial" w:cs="Arial"/>
          <w:sz w:val="24"/>
          <w:szCs w:val="28"/>
          <w:lang w:val="en-US"/>
        </w:rPr>
        <w:t xml:space="preserve"> of Fleury’s </w:t>
      </w:r>
      <w:r>
        <w:rPr>
          <w:rFonts w:ascii="Arial" w:hAnsi="Arial" w:cs="Arial"/>
          <w:i/>
          <w:sz w:val="24"/>
          <w:szCs w:val="28"/>
          <w:lang w:val="en-US"/>
        </w:rPr>
        <w:t>Passion</w:t>
      </w:r>
      <w:r>
        <w:rPr>
          <w:rFonts w:ascii="Arial" w:hAnsi="Arial" w:cs="Arial"/>
          <w:sz w:val="24"/>
          <w:szCs w:val="28"/>
          <w:lang w:val="en-US"/>
        </w:rPr>
        <w:t xml:space="preserve"> of Edmund which was written sometime between 985 and 987.</w:t>
      </w:r>
      <w:r>
        <w:rPr>
          <w:rStyle w:val="FootnoteReference"/>
          <w:rFonts w:ascii="Arial" w:hAnsi="Arial" w:cs="Arial"/>
          <w:sz w:val="24"/>
          <w:szCs w:val="28"/>
          <w:lang w:val="en-US"/>
        </w:rPr>
        <w:footnoteReference w:id="51"/>
      </w:r>
      <w:r>
        <w:rPr>
          <w:rFonts w:ascii="Arial" w:hAnsi="Arial" w:cs="Arial"/>
          <w:sz w:val="24"/>
          <w:szCs w:val="28"/>
          <w:lang w:val="en-US"/>
        </w:rPr>
        <w:t xml:space="preserve"> This is also the first source which recounts Saint Edmund’s brutal martyrdom at the hands of the Danes and which claims his decapitated head was found crying out between the paws of a wolf.</w:t>
      </w:r>
      <w:r>
        <w:rPr>
          <w:rStyle w:val="FootnoteReference"/>
          <w:rFonts w:ascii="Arial" w:hAnsi="Arial" w:cs="Arial"/>
          <w:sz w:val="24"/>
          <w:szCs w:val="28"/>
          <w:lang w:val="en-US"/>
        </w:rPr>
        <w:footnoteReference w:id="52"/>
      </w:r>
      <w:r w:rsidR="004A1951">
        <w:rPr>
          <w:rFonts w:ascii="Arial" w:hAnsi="Arial" w:cs="Arial"/>
          <w:sz w:val="24"/>
          <w:szCs w:val="28"/>
          <w:lang w:val="en-US"/>
        </w:rPr>
        <w:t xml:space="preserve"> </w:t>
      </w:r>
      <w:proofErr w:type="spellStart"/>
      <w:r w:rsidR="004A1951">
        <w:rPr>
          <w:rFonts w:ascii="Arial" w:hAnsi="Arial" w:cs="Arial"/>
          <w:sz w:val="24"/>
          <w:szCs w:val="28"/>
          <w:lang w:val="en-US"/>
        </w:rPr>
        <w:t>Abbo</w:t>
      </w:r>
      <w:proofErr w:type="spellEnd"/>
      <w:r w:rsidR="004A1951">
        <w:rPr>
          <w:rFonts w:ascii="Arial" w:hAnsi="Arial" w:cs="Arial"/>
          <w:sz w:val="24"/>
          <w:szCs w:val="28"/>
          <w:lang w:val="en-US"/>
        </w:rPr>
        <w:t xml:space="preserve"> also claimed in a letter to Archbishop Dunstan that his </w:t>
      </w:r>
      <w:r w:rsidR="004A1951">
        <w:rPr>
          <w:rFonts w:ascii="Arial" w:hAnsi="Arial" w:cs="Arial"/>
          <w:i/>
          <w:sz w:val="24"/>
          <w:szCs w:val="28"/>
          <w:lang w:val="en-US"/>
        </w:rPr>
        <w:t xml:space="preserve">Passion </w:t>
      </w:r>
      <w:r w:rsidR="004A1951">
        <w:rPr>
          <w:rFonts w:ascii="Arial" w:hAnsi="Arial" w:cs="Arial"/>
          <w:sz w:val="24"/>
          <w:szCs w:val="28"/>
          <w:lang w:val="en-US"/>
        </w:rPr>
        <w:t xml:space="preserve">was derived from an account by a very old man identified as King Edmund’s </w:t>
      </w:r>
      <w:proofErr w:type="spellStart"/>
      <w:r w:rsidR="004A1951">
        <w:rPr>
          <w:rFonts w:ascii="Arial" w:hAnsi="Arial" w:cs="Arial"/>
          <w:sz w:val="24"/>
          <w:szCs w:val="28"/>
          <w:lang w:val="en-US"/>
        </w:rPr>
        <w:t>armour</w:t>
      </w:r>
      <w:proofErr w:type="spellEnd"/>
      <w:r w:rsidR="004A1951">
        <w:rPr>
          <w:rFonts w:ascii="Arial" w:hAnsi="Arial" w:cs="Arial"/>
          <w:sz w:val="24"/>
          <w:szCs w:val="28"/>
          <w:lang w:val="en-US"/>
        </w:rPr>
        <w:t xml:space="preserve"> bearer.</w:t>
      </w:r>
      <w:r w:rsidR="004A1951">
        <w:rPr>
          <w:rStyle w:val="FootnoteReference"/>
          <w:rFonts w:ascii="Arial" w:hAnsi="Arial" w:cs="Arial"/>
          <w:sz w:val="24"/>
          <w:szCs w:val="28"/>
          <w:lang w:val="en-US"/>
        </w:rPr>
        <w:footnoteReference w:id="53"/>
      </w:r>
      <w:r w:rsidR="004A1951">
        <w:rPr>
          <w:rFonts w:ascii="Arial" w:hAnsi="Arial" w:cs="Arial"/>
          <w:sz w:val="24"/>
          <w:szCs w:val="28"/>
          <w:lang w:val="en-US"/>
        </w:rPr>
        <w:t xml:space="preserve"> The Latin work written by </w:t>
      </w:r>
      <w:proofErr w:type="spellStart"/>
      <w:r w:rsidR="004A1951">
        <w:rPr>
          <w:rFonts w:ascii="Arial" w:hAnsi="Arial" w:cs="Arial"/>
          <w:sz w:val="24"/>
          <w:szCs w:val="28"/>
          <w:lang w:val="en-US"/>
        </w:rPr>
        <w:t>Abbo</w:t>
      </w:r>
      <w:proofErr w:type="spellEnd"/>
      <w:r w:rsidR="004A1951">
        <w:rPr>
          <w:rFonts w:ascii="Arial" w:hAnsi="Arial" w:cs="Arial"/>
          <w:sz w:val="24"/>
          <w:szCs w:val="28"/>
          <w:lang w:val="en-US"/>
        </w:rPr>
        <w:t xml:space="preserve"> was also translated into Old English by </w:t>
      </w:r>
      <w:proofErr w:type="spellStart"/>
      <w:r w:rsidR="004A1951">
        <w:rPr>
          <w:rFonts w:ascii="Arial" w:hAnsi="Arial" w:cs="Arial"/>
          <w:sz w:val="24"/>
          <w:szCs w:val="28"/>
          <w:lang w:val="en-US"/>
        </w:rPr>
        <w:t>Ælfric</w:t>
      </w:r>
      <w:proofErr w:type="spellEnd"/>
      <w:r w:rsidR="004A1951">
        <w:rPr>
          <w:rFonts w:ascii="Arial" w:hAnsi="Arial" w:cs="Arial"/>
          <w:sz w:val="24"/>
          <w:szCs w:val="28"/>
          <w:lang w:val="en-US"/>
        </w:rPr>
        <w:t xml:space="preserve"> of </w:t>
      </w:r>
      <w:proofErr w:type="spellStart"/>
      <w:r w:rsidR="004A1951">
        <w:rPr>
          <w:rFonts w:ascii="Arial" w:hAnsi="Arial" w:cs="Arial"/>
          <w:sz w:val="24"/>
          <w:szCs w:val="28"/>
          <w:lang w:val="en-US"/>
        </w:rPr>
        <w:t>Eynsham</w:t>
      </w:r>
      <w:proofErr w:type="spellEnd"/>
      <w:r w:rsidR="004A1951">
        <w:rPr>
          <w:rFonts w:ascii="Arial" w:hAnsi="Arial" w:cs="Arial"/>
          <w:sz w:val="24"/>
          <w:szCs w:val="28"/>
          <w:lang w:val="en-US"/>
        </w:rPr>
        <w:t xml:space="preserve"> as it had been of great interest to the West Saxon kings.</w:t>
      </w:r>
      <w:r w:rsidR="004A1951">
        <w:rPr>
          <w:rStyle w:val="FootnoteReference"/>
          <w:rFonts w:ascii="Arial" w:hAnsi="Arial" w:cs="Arial"/>
          <w:sz w:val="24"/>
          <w:szCs w:val="28"/>
          <w:lang w:val="en-US"/>
        </w:rPr>
        <w:footnoteReference w:id="54"/>
      </w:r>
    </w:p>
    <w:p w:rsidR="00A173E6" w:rsidRDefault="000E7807" w:rsidP="009A2A89">
      <w:pPr>
        <w:spacing w:line="480" w:lineRule="auto"/>
        <w:rPr>
          <w:rFonts w:ascii="Arial" w:hAnsi="Arial" w:cs="Arial"/>
          <w:sz w:val="24"/>
          <w:szCs w:val="28"/>
          <w:lang w:val="en-US"/>
        </w:rPr>
      </w:pPr>
      <w:r>
        <w:rPr>
          <w:rFonts w:ascii="Arial" w:hAnsi="Arial" w:cs="Arial"/>
          <w:sz w:val="24"/>
          <w:szCs w:val="28"/>
          <w:lang w:val="en-US"/>
        </w:rPr>
        <w:lastRenderedPageBreak/>
        <w:t xml:space="preserve">In the 1190s </w:t>
      </w:r>
      <w:proofErr w:type="gramStart"/>
      <w:r>
        <w:rPr>
          <w:rFonts w:ascii="Arial" w:hAnsi="Arial" w:cs="Arial"/>
          <w:sz w:val="24"/>
          <w:szCs w:val="28"/>
          <w:lang w:val="en-US"/>
        </w:rPr>
        <w:t>a  full</w:t>
      </w:r>
      <w:proofErr w:type="gramEnd"/>
      <w:r>
        <w:rPr>
          <w:rFonts w:ascii="Arial" w:hAnsi="Arial" w:cs="Arial"/>
          <w:sz w:val="24"/>
          <w:szCs w:val="28"/>
          <w:lang w:val="en-US"/>
        </w:rPr>
        <w:t xml:space="preserve"> length Life of Saint Edmund was written in French verse by one Denis </w:t>
      </w:r>
      <w:proofErr w:type="spellStart"/>
      <w:r>
        <w:rPr>
          <w:rFonts w:ascii="Arial" w:hAnsi="Arial" w:cs="Arial"/>
          <w:sz w:val="24"/>
          <w:szCs w:val="28"/>
          <w:lang w:val="en-US"/>
        </w:rPr>
        <w:t>Piramus</w:t>
      </w:r>
      <w:proofErr w:type="spellEnd"/>
      <w:r>
        <w:rPr>
          <w:rFonts w:ascii="Arial" w:hAnsi="Arial" w:cs="Arial"/>
          <w:sz w:val="24"/>
          <w:szCs w:val="28"/>
          <w:lang w:val="en-US"/>
        </w:rPr>
        <w:t xml:space="preserve"> and paid for by the monks at Bury Saint Edmunds.</w:t>
      </w:r>
      <w:r>
        <w:rPr>
          <w:rStyle w:val="FootnoteReference"/>
          <w:rFonts w:ascii="Arial" w:hAnsi="Arial" w:cs="Arial"/>
          <w:sz w:val="24"/>
          <w:szCs w:val="28"/>
          <w:lang w:val="en-US"/>
        </w:rPr>
        <w:footnoteReference w:id="55"/>
      </w:r>
      <w:r w:rsidR="006550F1">
        <w:rPr>
          <w:rFonts w:ascii="Arial" w:hAnsi="Arial" w:cs="Arial"/>
          <w:sz w:val="24"/>
          <w:szCs w:val="28"/>
          <w:lang w:val="en-US"/>
        </w:rPr>
        <w:t xml:space="preserve"> This </w:t>
      </w:r>
      <w:r w:rsidR="006550F1">
        <w:rPr>
          <w:rFonts w:ascii="Arial" w:hAnsi="Arial" w:cs="Arial"/>
          <w:i/>
          <w:sz w:val="24"/>
          <w:szCs w:val="28"/>
          <w:lang w:val="en-US"/>
        </w:rPr>
        <w:t xml:space="preserve">La Vie </w:t>
      </w:r>
      <w:proofErr w:type="spellStart"/>
      <w:r w:rsidR="006550F1">
        <w:rPr>
          <w:rFonts w:ascii="Arial" w:hAnsi="Arial" w:cs="Arial"/>
          <w:i/>
          <w:sz w:val="24"/>
          <w:szCs w:val="28"/>
          <w:lang w:val="en-US"/>
        </w:rPr>
        <w:t>seint</w:t>
      </w:r>
      <w:proofErr w:type="spellEnd"/>
      <w:r w:rsidR="006550F1">
        <w:rPr>
          <w:rFonts w:ascii="Arial" w:hAnsi="Arial" w:cs="Arial"/>
          <w:i/>
          <w:sz w:val="24"/>
          <w:szCs w:val="28"/>
          <w:lang w:val="en-US"/>
        </w:rPr>
        <w:t xml:space="preserve"> Edmund le Rei</w:t>
      </w:r>
      <w:r w:rsidR="006550F1">
        <w:rPr>
          <w:rFonts w:ascii="Arial" w:hAnsi="Arial" w:cs="Arial"/>
          <w:sz w:val="24"/>
          <w:szCs w:val="28"/>
          <w:lang w:val="en-US"/>
        </w:rPr>
        <w:t xml:space="preserve"> records the childhood and miracles of Saint Edmund as well as how he ruled East Anglia as king before ending with an account of his martyrdom.</w:t>
      </w:r>
      <w:r w:rsidR="006550F1">
        <w:rPr>
          <w:rStyle w:val="FootnoteReference"/>
          <w:rFonts w:ascii="Arial" w:hAnsi="Arial" w:cs="Arial"/>
          <w:sz w:val="24"/>
          <w:szCs w:val="28"/>
          <w:lang w:val="en-US"/>
        </w:rPr>
        <w:footnoteReference w:id="56"/>
      </w:r>
      <w:r w:rsidR="006550F1">
        <w:rPr>
          <w:rFonts w:ascii="Arial" w:hAnsi="Arial" w:cs="Arial"/>
          <w:sz w:val="24"/>
          <w:szCs w:val="28"/>
          <w:lang w:val="en-US"/>
        </w:rPr>
        <w:t xml:space="preserve"> According to the author the Life drew from both English and Latin sources </w:t>
      </w:r>
      <w:r w:rsidR="0051341B">
        <w:rPr>
          <w:rFonts w:ascii="Arial" w:hAnsi="Arial" w:cs="Arial"/>
          <w:sz w:val="24"/>
          <w:szCs w:val="28"/>
          <w:lang w:val="en-US"/>
        </w:rPr>
        <w:t>translated by himself; although the English sources are never specified in the text.</w:t>
      </w:r>
      <w:r w:rsidR="0051341B">
        <w:rPr>
          <w:rStyle w:val="FootnoteReference"/>
          <w:rFonts w:ascii="Arial" w:hAnsi="Arial" w:cs="Arial"/>
          <w:sz w:val="24"/>
          <w:szCs w:val="28"/>
          <w:lang w:val="en-US"/>
        </w:rPr>
        <w:footnoteReference w:id="57"/>
      </w:r>
    </w:p>
    <w:p w:rsidR="00407DAC" w:rsidRDefault="003C50E4" w:rsidP="009A2A89">
      <w:pPr>
        <w:spacing w:line="480" w:lineRule="auto"/>
        <w:rPr>
          <w:rFonts w:ascii="Arial" w:hAnsi="Arial" w:cs="Arial"/>
          <w:sz w:val="24"/>
          <w:szCs w:val="28"/>
          <w:lang w:val="en-US"/>
        </w:rPr>
      </w:pPr>
      <w:r>
        <w:rPr>
          <w:rFonts w:ascii="Arial" w:hAnsi="Arial" w:cs="Arial"/>
          <w:sz w:val="24"/>
          <w:szCs w:val="28"/>
          <w:lang w:val="en-US"/>
        </w:rPr>
        <w:t>As previously mentioned, in circa 915 King Edmund’s body was found to be incorrupt.</w:t>
      </w:r>
      <w:r>
        <w:rPr>
          <w:rStyle w:val="FootnoteReference"/>
          <w:rFonts w:ascii="Arial" w:hAnsi="Arial" w:cs="Arial"/>
          <w:sz w:val="24"/>
          <w:szCs w:val="28"/>
          <w:lang w:val="en-US"/>
        </w:rPr>
        <w:footnoteReference w:id="58"/>
      </w:r>
      <w:r>
        <w:rPr>
          <w:rFonts w:ascii="Arial" w:hAnsi="Arial" w:cs="Arial"/>
          <w:sz w:val="24"/>
          <w:szCs w:val="28"/>
          <w:lang w:val="en-US"/>
        </w:rPr>
        <w:t xml:space="preserve"> </w:t>
      </w:r>
      <w:proofErr w:type="gramStart"/>
      <w:r>
        <w:rPr>
          <w:rFonts w:ascii="Arial" w:hAnsi="Arial" w:cs="Arial"/>
          <w:sz w:val="24"/>
          <w:szCs w:val="28"/>
          <w:lang w:val="en-US"/>
        </w:rPr>
        <w:t>Incorrupted bodies</w:t>
      </w:r>
      <w:r w:rsidR="00B616AA">
        <w:rPr>
          <w:rFonts w:ascii="Arial" w:hAnsi="Arial" w:cs="Arial"/>
          <w:sz w:val="24"/>
          <w:szCs w:val="28"/>
          <w:lang w:val="en-US"/>
        </w:rPr>
        <w:t>, that is</w:t>
      </w:r>
      <w:proofErr w:type="gramEnd"/>
      <w:r w:rsidR="00B616AA">
        <w:rPr>
          <w:rFonts w:ascii="Arial" w:hAnsi="Arial" w:cs="Arial"/>
          <w:sz w:val="24"/>
          <w:szCs w:val="28"/>
          <w:lang w:val="en-US"/>
        </w:rPr>
        <w:t xml:space="preserve"> bodies which ha</w:t>
      </w:r>
      <w:r>
        <w:rPr>
          <w:rFonts w:ascii="Arial" w:hAnsi="Arial" w:cs="Arial"/>
          <w:sz w:val="24"/>
          <w:szCs w:val="28"/>
          <w:lang w:val="en-US"/>
        </w:rPr>
        <w:t>ven’t succumbed to decomposition despite not having been artificially treated against this, are not an uncommon form of relic.</w:t>
      </w:r>
      <w:r>
        <w:rPr>
          <w:rStyle w:val="FootnoteReference"/>
          <w:rFonts w:ascii="Arial" w:hAnsi="Arial" w:cs="Arial"/>
          <w:sz w:val="24"/>
          <w:szCs w:val="28"/>
          <w:lang w:val="en-US"/>
        </w:rPr>
        <w:footnoteReference w:id="59"/>
      </w:r>
      <w:r w:rsidR="00225A0D">
        <w:rPr>
          <w:rFonts w:ascii="Arial" w:hAnsi="Arial" w:cs="Arial"/>
          <w:sz w:val="24"/>
          <w:szCs w:val="28"/>
          <w:lang w:val="en-US"/>
        </w:rPr>
        <w:t xml:space="preserve"> </w:t>
      </w:r>
      <w:r w:rsidR="00B616AA">
        <w:rPr>
          <w:rFonts w:ascii="Arial" w:hAnsi="Arial" w:cs="Arial"/>
          <w:sz w:val="24"/>
          <w:szCs w:val="28"/>
          <w:lang w:val="en-US"/>
        </w:rPr>
        <w:t>The first recorded saint whose body was incorrupt was Saint Cecilia, the patroness of music who was martyred in 177 and whose body was apparently discovered incorrupt in 1599.</w:t>
      </w:r>
      <w:r w:rsidR="00B616AA">
        <w:rPr>
          <w:rStyle w:val="FootnoteReference"/>
          <w:rFonts w:ascii="Arial" w:hAnsi="Arial" w:cs="Arial"/>
          <w:sz w:val="24"/>
          <w:szCs w:val="28"/>
          <w:lang w:val="en-US"/>
        </w:rPr>
        <w:footnoteReference w:id="60"/>
      </w:r>
      <w:r w:rsidR="00EB4338">
        <w:rPr>
          <w:rFonts w:ascii="Arial" w:hAnsi="Arial" w:cs="Arial"/>
          <w:sz w:val="24"/>
          <w:szCs w:val="28"/>
          <w:lang w:val="en-US"/>
        </w:rPr>
        <w:t xml:space="preserve"> Another saint whose body remained incorrupt was Saint Edward the Confessor.</w:t>
      </w:r>
      <w:r w:rsidR="00EB4338">
        <w:rPr>
          <w:rStyle w:val="FootnoteReference"/>
          <w:rFonts w:ascii="Arial" w:hAnsi="Arial" w:cs="Arial"/>
          <w:sz w:val="24"/>
          <w:szCs w:val="28"/>
          <w:lang w:val="en-US"/>
        </w:rPr>
        <w:footnoteReference w:id="61"/>
      </w:r>
      <w:r w:rsidR="00EB4338">
        <w:rPr>
          <w:rFonts w:ascii="Arial" w:hAnsi="Arial" w:cs="Arial"/>
          <w:sz w:val="24"/>
          <w:szCs w:val="28"/>
          <w:lang w:val="en-US"/>
        </w:rPr>
        <w:t xml:space="preserve"> Edward the Confessor was, like Edmund, a saint king of England reigning from 1042 to early 1066.</w:t>
      </w:r>
      <w:r w:rsidR="00EB4338">
        <w:rPr>
          <w:rStyle w:val="FootnoteReference"/>
          <w:rFonts w:ascii="Arial" w:hAnsi="Arial" w:cs="Arial"/>
          <w:sz w:val="24"/>
          <w:szCs w:val="28"/>
          <w:lang w:val="en-US"/>
        </w:rPr>
        <w:footnoteReference w:id="62"/>
      </w:r>
      <w:r w:rsidR="004F6EA0">
        <w:rPr>
          <w:rFonts w:ascii="Arial" w:hAnsi="Arial" w:cs="Arial"/>
          <w:sz w:val="24"/>
          <w:szCs w:val="28"/>
          <w:lang w:val="en-US"/>
        </w:rPr>
        <w:t xml:space="preserve"> Edward the confessor was exhumed in 1103, thirty six years after his death, and his body was too found to have been spared decomposition.</w:t>
      </w:r>
      <w:r w:rsidR="004F6EA0">
        <w:rPr>
          <w:rStyle w:val="FootnoteReference"/>
          <w:rFonts w:ascii="Arial" w:hAnsi="Arial" w:cs="Arial"/>
          <w:sz w:val="24"/>
          <w:szCs w:val="28"/>
          <w:lang w:val="en-US"/>
        </w:rPr>
        <w:footnoteReference w:id="63"/>
      </w:r>
      <w:r w:rsidR="00957671">
        <w:rPr>
          <w:rFonts w:ascii="Arial" w:hAnsi="Arial" w:cs="Arial"/>
          <w:sz w:val="24"/>
          <w:szCs w:val="28"/>
          <w:lang w:val="en-US"/>
        </w:rPr>
        <w:t xml:space="preserve"> A </w:t>
      </w:r>
      <w:r w:rsidR="00957671">
        <w:rPr>
          <w:rFonts w:ascii="Arial" w:hAnsi="Arial" w:cs="Arial"/>
          <w:sz w:val="24"/>
          <w:szCs w:val="28"/>
          <w:lang w:val="en-US"/>
        </w:rPr>
        <w:lastRenderedPageBreak/>
        <w:t>third English saint although from the north of the country can also be counted amongst the in corrupted – Saint Cuthbert whose remains now reside in Durham cathedral.</w:t>
      </w:r>
      <w:r w:rsidR="00957671">
        <w:rPr>
          <w:rStyle w:val="FootnoteReference"/>
          <w:rFonts w:ascii="Arial" w:hAnsi="Arial" w:cs="Arial"/>
          <w:sz w:val="24"/>
          <w:szCs w:val="28"/>
          <w:lang w:val="en-US"/>
        </w:rPr>
        <w:footnoteReference w:id="64"/>
      </w:r>
    </w:p>
    <w:p w:rsidR="001713F1" w:rsidRDefault="006E2BE2" w:rsidP="009A2A89">
      <w:pPr>
        <w:spacing w:line="480" w:lineRule="auto"/>
        <w:rPr>
          <w:rFonts w:ascii="Arial" w:hAnsi="Arial" w:cs="Arial"/>
          <w:sz w:val="24"/>
          <w:szCs w:val="28"/>
        </w:rPr>
      </w:pPr>
      <w:r>
        <w:rPr>
          <w:rFonts w:ascii="Arial" w:hAnsi="Arial" w:cs="Arial"/>
          <w:sz w:val="24"/>
          <w:szCs w:val="28"/>
        </w:rPr>
        <w:t>Another place associated</w:t>
      </w:r>
      <w:r w:rsidR="00EB4338">
        <w:rPr>
          <w:rFonts w:ascii="Arial" w:hAnsi="Arial" w:cs="Arial"/>
          <w:sz w:val="24"/>
          <w:szCs w:val="28"/>
        </w:rPr>
        <w:t xml:space="preserve"> with Saint Edm</w:t>
      </w:r>
      <w:r w:rsidR="00417FC8">
        <w:rPr>
          <w:rFonts w:ascii="Arial" w:hAnsi="Arial" w:cs="Arial"/>
          <w:sz w:val="24"/>
          <w:szCs w:val="28"/>
        </w:rPr>
        <w:t>und is</w:t>
      </w:r>
      <w:r>
        <w:rPr>
          <w:rFonts w:ascii="Arial" w:hAnsi="Arial" w:cs="Arial"/>
          <w:sz w:val="24"/>
          <w:szCs w:val="28"/>
        </w:rPr>
        <w:t xml:space="preserve"> the town of </w:t>
      </w:r>
      <w:proofErr w:type="spellStart"/>
      <w:r>
        <w:rPr>
          <w:rFonts w:ascii="Arial" w:hAnsi="Arial" w:cs="Arial"/>
          <w:sz w:val="24"/>
          <w:szCs w:val="28"/>
        </w:rPr>
        <w:t>Hoxne</w:t>
      </w:r>
      <w:proofErr w:type="spellEnd"/>
      <w:r w:rsidR="00382567">
        <w:rPr>
          <w:rFonts w:ascii="Arial" w:hAnsi="Arial" w:cs="Arial"/>
          <w:sz w:val="24"/>
          <w:szCs w:val="28"/>
        </w:rPr>
        <w:t>, Suffolk</w:t>
      </w:r>
      <w:r w:rsidR="00417FC8">
        <w:rPr>
          <w:rFonts w:ascii="Arial" w:hAnsi="Arial" w:cs="Arial"/>
          <w:sz w:val="24"/>
          <w:szCs w:val="28"/>
        </w:rPr>
        <w:t xml:space="preserve"> which boasts a monument believed to be on the site of the tree where King Edmund was killed by the Danes.</w:t>
      </w:r>
      <w:r w:rsidR="00417FC8">
        <w:rPr>
          <w:rStyle w:val="FootnoteReference"/>
          <w:rFonts w:ascii="Arial" w:hAnsi="Arial" w:cs="Arial"/>
          <w:sz w:val="24"/>
          <w:szCs w:val="28"/>
        </w:rPr>
        <w:footnoteReference w:id="65"/>
      </w:r>
      <w:r w:rsidR="00417FC8">
        <w:rPr>
          <w:rFonts w:ascii="Arial" w:hAnsi="Arial" w:cs="Arial"/>
          <w:sz w:val="24"/>
          <w:szCs w:val="28"/>
        </w:rPr>
        <w:t xml:space="preserve"> On 11 September 1848, the so called Saint Edmund’s Oak toppled under its own weight, while this tree was being cleared a piece of iron resembling an arrow head was found embedded in the trunk at a height of five feet</w:t>
      </w:r>
      <w:r w:rsidR="009F2ACE">
        <w:rPr>
          <w:rFonts w:ascii="Arial" w:hAnsi="Arial" w:cs="Arial"/>
          <w:sz w:val="24"/>
          <w:szCs w:val="28"/>
        </w:rPr>
        <w:t>.</w:t>
      </w:r>
      <w:r w:rsidR="00417FC8">
        <w:rPr>
          <w:rStyle w:val="FootnoteReference"/>
          <w:rFonts w:ascii="Arial" w:hAnsi="Arial" w:cs="Arial"/>
          <w:sz w:val="24"/>
          <w:szCs w:val="28"/>
        </w:rPr>
        <w:footnoteReference w:id="66"/>
      </w:r>
      <w:r w:rsidR="009F2ACE">
        <w:rPr>
          <w:rFonts w:ascii="Arial" w:hAnsi="Arial" w:cs="Arial"/>
          <w:sz w:val="24"/>
          <w:szCs w:val="28"/>
        </w:rPr>
        <w:t xml:space="preserve"> Some years later in 1878 or 1879 a monument was constructed on the spot commemorating King Edmund’s death at the tree.</w:t>
      </w:r>
      <w:r w:rsidR="009F2ACE">
        <w:rPr>
          <w:rStyle w:val="FootnoteReference"/>
          <w:rFonts w:ascii="Arial" w:hAnsi="Arial" w:cs="Arial"/>
          <w:sz w:val="24"/>
          <w:szCs w:val="28"/>
        </w:rPr>
        <w:footnoteReference w:id="67"/>
      </w:r>
    </w:p>
    <w:p w:rsidR="00485A41" w:rsidRDefault="00485A41" w:rsidP="00485A41">
      <w:pPr>
        <w:jc w:val="center"/>
        <w:rPr>
          <w:rFonts w:ascii="Arial" w:hAnsi="Arial" w:cs="Arial"/>
          <w:b/>
          <w:bCs/>
          <w:sz w:val="32"/>
          <w:szCs w:val="32"/>
          <w:u w:val="single"/>
        </w:rPr>
      </w:pPr>
      <w:r w:rsidRPr="00B77C0C">
        <w:rPr>
          <w:rFonts w:ascii="Arial" w:hAnsi="Arial" w:cs="Arial"/>
          <w:b/>
          <w:bCs/>
          <w:sz w:val="32"/>
          <w:szCs w:val="32"/>
          <w:u w:val="single"/>
        </w:rPr>
        <w:t>Bibliography</w:t>
      </w:r>
    </w:p>
    <w:p w:rsidR="00485A41" w:rsidRPr="00AC6FE4" w:rsidRDefault="00485A41" w:rsidP="00485A41">
      <w:pPr>
        <w:jc w:val="center"/>
        <w:rPr>
          <w:rFonts w:ascii="Arial" w:hAnsi="Arial" w:cs="Arial"/>
          <w:bCs/>
          <w:sz w:val="28"/>
          <w:szCs w:val="32"/>
          <w:u w:val="single"/>
        </w:rPr>
      </w:pPr>
      <w:r w:rsidRPr="00AC6FE4">
        <w:rPr>
          <w:rFonts w:ascii="Arial" w:hAnsi="Arial" w:cs="Arial"/>
          <w:bCs/>
          <w:sz w:val="28"/>
          <w:szCs w:val="32"/>
          <w:u w:val="single"/>
        </w:rPr>
        <w:t>Primary Sources</w:t>
      </w:r>
    </w:p>
    <w:p w:rsidR="00485A41" w:rsidRDefault="00485A41" w:rsidP="00485A41">
      <w:pPr>
        <w:rPr>
          <w:rFonts w:ascii="Arial" w:hAnsi="Arial" w:cs="Arial"/>
          <w:bCs/>
          <w:sz w:val="24"/>
          <w:szCs w:val="32"/>
        </w:rPr>
      </w:pPr>
      <w:r>
        <w:rPr>
          <w:rFonts w:ascii="Arial" w:hAnsi="Arial" w:cs="Arial"/>
          <w:bCs/>
          <w:i/>
          <w:sz w:val="24"/>
          <w:szCs w:val="32"/>
        </w:rPr>
        <w:t>The Anglo-Saxon Chronicles,</w:t>
      </w:r>
      <w:r>
        <w:rPr>
          <w:rFonts w:ascii="Arial" w:hAnsi="Arial" w:cs="Arial"/>
          <w:bCs/>
          <w:sz w:val="24"/>
          <w:szCs w:val="32"/>
        </w:rPr>
        <w:t xml:space="preserve"> New Edition, trans. Michael Swanton, (London: Phoenix Press, 2000)</w:t>
      </w:r>
    </w:p>
    <w:p w:rsidR="00485A41" w:rsidRPr="00CC1796" w:rsidRDefault="00485A41" w:rsidP="00485A41">
      <w:pPr>
        <w:rPr>
          <w:rFonts w:ascii="Arial" w:hAnsi="Arial" w:cs="Arial"/>
          <w:bCs/>
          <w:sz w:val="24"/>
          <w:szCs w:val="32"/>
        </w:rPr>
      </w:pPr>
      <w:proofErr w:type="spellStart"/>
      <w:r>
        <w:rPr>
          <w:rFonts w:ascii="Arial" w:hAnsi="Arial" w:cs="Arial"/>
          <w:bCs/>
          <w:sz w:val="24"/>
          <w:szCs w:val="32"/>
        </w:rPr>
        <w:t>Piramus</w:t>
      </w:r>
      <w:proofErr w:type="spellEnd"/>
      <w:r>
        <w:rPr>
          <w:rFonts w:ascii="Arial" w:hAnsi="Arial" w:cs="Arial"/>
          <w:bCs/>
          <w:sz w:val="24"/>
          <w:szCs w:val="32"/>
        </w:rPr>
        <w:t xml:space="preserve">, Denis, </w:t>
      </w:r>
      <w:r>
        <w:rPr>
          <w:rFonts w:ascii="Arial" w:hAnsi="Arial" w:cs="Arial"/>
          <w:bCs/>
          <w:i/>
          <w:sz w:val="24"/>
          <w:szCs w:val="32"/>
        </w:rPr>
        <w:t xml:space="preserve">La vie </w:t>
      </w:r>
      <w:proofErr w:type="spellStart"/>
      <w:r>
        <w:rPr>
          <w:rFonts w:ascii="Arial" w:hAnsi="Arial" w:cs="Arial"/>
          <w:bCs/>
          <w:i/>
          <w:sz w:val="24"/>
          <w:szCs w:val="32"/>
        </w:rPr>
        <w:t>seint</w:t>
      </w:r>
      <w:proofErr w:type="spellEnd"/>
      <w:r>
        <w:rPr>
          <w:rFonts w:ascii="Arial" w:hAnsi="Arial" w:cs="Arial"/>
          <w:bCs/>
          <w:i/>
          <w:sz w:val="24"/>
          <w:szCs w:val="32"/>
        </w:rPr>
        <w:t xml:space="preserve"> Edmund le Rei</w:t>
      </w:r>
      <w:r>
        <w:rPr>
          <w:rFonts w:ascii="Arial" w:hAnsi="Arial" w:cs="Arial"/>
          <w:bCs/>
          <w:sz w:val="24"/>
          <w:szCs w:val="32"/>
        </w:rPr>
        <w:t>, ed. D. W. Russel, (Oxford: Anglo-Norman Text Society, 2014)</w:t>
      </w:r>
    </w:p>
    <w:p w:rsidR="00485A41" w:rsidRPr="00AC6FE4" w:rsidRDefault="00485A41" w:rsidP="00485A41">
      <w:pPr>
        <w:jc w:val="center"/>
        <w:rPr>
          <w:rFonts w:ascii="Arial" w:hAnsi="Arial" w:cs="Arial"/>
          <w:bCs/>
          <w:sz w:val="28"/>
          <w:szCs w:val="32"/>
          <w:u w:val="single"/>
        </w:rPr>
      </w:pPr>
      <w:r>
        <w:rPr>
          <w:rFonts w:ascii="Arial" w:hAnsi="Arial" w:cs="Arial"/>
          <w:bCs/>
          <w:sz w:val="28"/>
          <w:szCs w:val="32"/>
          <w:u w:val="single"/>
        </w:rPr>
        <w:t>Secondary Sources</w:t>
      </w:r>
    </w:p>
    <w:p w:rsidR="00485A41" w:rsidRPr="004F4D7F" w:rsidRDefault="00485A41" w:rsidP="00485A41">
      <w:pPr>
        <w:rPr>
          <w:rFonts w:ascii="Arial" w:hAnsi="Arial" w:cs="Arial"/>
          <w:sz w:val="24"/>
          <w:szCs w:val="24"/>
        </w:rPr>
      </w:pPr>
      <w:r>
        <w:rPr>
          <w:rFonts w:ascii="Arial" w:hAnsi="Arial" w:cs="Arial"/>
          <w:sz w:val="24"/>
          <w:szCs w:val="24"/>
        </w:rPr>
        <w:t xml:space="preserve">Ashley, Maurice, </w:t>
      </w:r>
      <w:proofErr w:type="gramStart"/>
      <w:r>
        <w:rPr>
          <w:rFonts w:ascii="Arial" w:hAnsi="Arial" w:cs="Arial"/>
          <w:i/>
          <w:sz w:val="24"/>
          <w:szCs w:val="24"/>
        </w:rPr>
        <w:t>The</w:t>
      </w:r>
      <w:proofErr w:type="gramEnd"/>
      <w:r>
        <w:rPr>
          <w:rFonts w:ascii="Arial" w:hAnsi="Arial" w:cs="Arial"/>
          <w:i/>
          <w:sz w:val="24"/>
          <w:szCs w:val="24"/>
        </w:rPr>
        <w:t xml:space="preserve"> Life and Times of William I,</w:t>
      </w:r>
      <w:r>
        <w:rPr>
          <w:rFonts w:ascii="Arial" w:hAnsi="Arial" w:cs="Arial"/>
          <w:sz w:val="24"/>
          <w:szCs w:val="24"/>
        </w:rPr>
        <w:t xml:space="preserve"> (London, Book Club Associates, 1973)</w:t>
      </w:r>
    </w:p>
    <w:p w:rsidR="00485A41" w:rsidRDefault="00485A41" w:rsidP="00485A41">
      <w:pPr>
        <w:pStyle w:val="citationpreview"/>
        <w:spacing w:before="225" w:beforeAutospacing="0" w:after="225" w:afterAutospacing="0"/>
        <w:rPr>
          <w:rFonts w:ascii="Arial" w:hAnsi="Arial" w:cs="Arial"/>
          <w:color w:val="202122"/>
          <w:sz w:val="21"/>
          <w:szCs w:val="21"/>
          <w:shd w:val="clear" w:color="auto" w:fill="FFFFFF"/>
        </w:rPr>
      </w:pPr>
      <w:r>
        <w:rPr>
          <w:rFonts w:ascii="Arial" w:hAnsi="Arial" w:cs="Arial"/>
          <w:color w:val="000000"/>
          <w:szCs w:val="20"/>
        </w:rPr>
        <w:t xml:space="preserve">Ball, Ann, </w:t>
      </w:r>
      <w:proofErr w:type="gramStart"/>
      <w:r w:rsidRPr="008B28E3">
        <w:rPr>
          <w:rFonts w:ascii="Arial" w:hAnsi="Arial" w:cs="Arial"/>
          <w:i/>
          <w:color w:val="000000"/>
          <w:szCs w:val="20"/>
        </w:rPr>
        <w:t>The</w:t>
      </w:r>
      <w:proofErr w:type="gramEnd"/>
      <w:r w:rsidRPr="008B28E3">
        <w:rPr>
          <w:rFonts w:ascii="Arial" w:hAnsi="Arial" w:cs="Arial"/>
          <w:i/>
          <w:color w:val="000000"/>
          <w:szCs w:val="20"/>
        </w:rPr>
        <w:t xml:space="preserve"> </w:t>
      </w:r>
      <w:proofErr w:type="spellStart"/>
      <w:r w:rsidRPr="008B28E3">
        <w:rPr>
          <w:rFonts w:ascii="Arial" w:hAnsi="Arial" w:cs="Arial"/>
          <w:i/>
          <w:color w:val="000000"/>
          <w:szCs w:val="20"/>
        </w:rPr>
        <w:t>Encyclopaedia</w:t>
      </w:r>
      <w:proofErr w:type="spellEnd"/>
      <w:r w:rsidRPr="008B28E3">
        <w:rPr>
          <w:rFonts w:ascii="Arial" w:hAnsi="Arial" w:cs="Arial"/>
          <w:i/>
          <w:color w:val="000000"/>
          <w:szCs w:val="20"/>
        </w:rPr>
        <w:t xml:space="preserve"> of Catholic Devotion and Practices</w:t>
      </w:r>
      <w:r>
        <w:rPr>
          <w:rFonts w:ascii="Arial" w:hAnsi="Arial" w:cs="Arial"/>
          <w:color w:val="000000"/>
          <w:szCs w:val="20"/>
        </w:rPr>
        <w:t>,</w:t>
      </w:r>
      <w:r>
        <w:rPr>
          <w:rFonts w:ascii="Arial" w:hAnsi="Arial" w:cs="Arial"/>
          <w:color w:val="202122"/>
          <w:sz w:val="21"/>
          <w:szCs w:val="21"/>
          <w:shd w:val="clear" w:color="auto" w:fill="FFFFFF"/>
        </w:rPr>
        <w:t xml:space="preserve"> USA: Huntingdon, 2003)</w:t>
      </w:r>
    </w:p>
    <w:p w:rsidR="00485A41" w:rsidRPr="005D3ECD" w:rsidRDefault="00485A41" w:rsidP="00485A41">
      <w:pPr>
        <w:pStyle w:val="citationpreview"/>
        <w:spacing w:before="225" w:beforeAutospacing="0" w:after="225" w:afterAutospacing="0"/>
        <w:rPr>
          <w:rFonts w:ascii="Arial" w:hAnsi="Arial" w:cs="Arial"/>
          <w:color w:val="000000"/>
          <w:szCs w:val="20"/>
        </w:rPr>
      </w:pPr>
      <w:r w:rsidRPr="005D3ECD">
        <w:rPr>
          <w:rFonts w:ascii="Arial" w:hAnsi="Arial" w:cs="Arial"/>
          <w:color w:val="000000"/>
          <w:szCs w:val="20"/>
        </w:rPr>
        <w:t xml:space="preserve">Cantor, Leonard, </w:t>
      </w:r>
      <w:proofErr w:type="gramStart"/>
      <w:r w:rsidRPr="005D3ECD">
        <w:rPr>
          <w:rFonts w:ascii="Arial" w:hAnsi="Arial" w:cs="Arial"/>
          <w:color w:val="000000"/>
          <w:szCs w:val="20"/>
        </w:rPr>
        <w:t>ed</w:t>
      </w:r>
      <w:proofErr w:type="gramEnd"/>
      <w:r w:rsidRPr="005D3ECD">
        <w:rPr>
          <w:rFonts w:ascii="Arial" w:hAnsi="Arial" w:cs="Arial"/>
          <w:color w:val="000000"/>
          <w:szCs w:val="20"/>
        </w:rPr>
        <w:t xml:space="preserve">. </w:t>
      </w:r>
      <w:r w:rsidRPr="005D3ECD">
        <w:rPr>
          <w:rFonts w:ascii="Arial" w:hAnsi="Arial" w:cs="Arial"/>
          <w:i/>
          <w:color w:val="000000"/>
          <w:szCs w:val="20"/>
        </w:rPr>
        <w:t>The English Medieval Landscape</w:t>
      </w:r>
      <w:r>
        <w:rPr>
          <w:rFonts w:ascii="Arial" w:hAnsi="Arial" w:cs="Arial"/>
          <w:color w:val="000000"/>
          <w:szCs w:val="20"/>
        </w:rPr>
        <w:t>,</w:t>
      </w:r>
      <w:r w:rsidRPr="005D3ECD">
        <w:rPr>
          <w:rFonts w:ascii="Arial" w:hAnsi="Arial" w:cs="Arial"/>
          <w:color w:val="000000"/>
          <w:szCs w:val="20"/>
        </w:rPr>
        <w:t xml:space="preserve"> </w:t>
      </w:r>
      <w:r>
        <w:rPr>
          <w:rFonts w:ascii="Arial" w:hAnsi="Arial" w:cs="Arial"/>
          <w:color w:val="000000"/>
          <w:szCs w:val="20"/>
        </w:rPr>
        <w:t>(</w:t>
      </w:r>
      <w:r w:rsidRPr="005D3ECD">
        <w:rPr>
          <w:rFonts w:ascii="Arial" w:hAnsi="Arial" w:cs="Arial"/>
          <w:color w:val="000000"/>
          <w:szCs w:val="20"/>
        </w:rPr>
        <w:t xml:space="preserve">London: </w:t>
      </w:r>
      <w:proofErr w:type="spellStart"/>
      <w:r w:rsidRPr="005D3ECD">
        <w:rPr>
          <w:rFonts w:ascii="Arial" w:hAnsi="Arial" w:cs="Arial"/>
          <w:color w:val="000000"/>
          <w:szCs w:val="20"/>
        </w:rPr>
        <w:t>Croom</w:t>
      </w:r>
      <w:proofErr w:type="spellEnd"/>
      <w:r w:rsidRPr="005D3ECD">
        <w:rPr>
          <w:rFonts w:ascii="Arial" w:hAnsi="Arial" w:cs="Arial"/>
          <w:color w:val="000000"/>
          <w:szCs w:val="20"/>
        </w:rPr>
        <w:t xml:space="preserve"> Helm, 1982</w:t>
      </w:r>
      <w:r>
        <w:rPr>
          <w:rFonts w:ascii="Arial" w:hAnsi="Arial" w:cs="Arial"/>
          <w:color w:val="000000"/>
          <w:szCs w:val="20"/>
        </w:rPr>
        <w:t>)</w:t>
      </w:r>
    </w:p>
    <w:p w:rsidR="00485A41" w:rsidRPr="00FA11E8" w:rsidRDefault="00485A41" w:rsidP="00485A41">
      <w:pPr>
        <w:pStyle w:val="citationpreview"/>
        <w:spacing w:before="225" w:beforeAutospacing="0" w:after="225" w:afterAutospacing="0"/>
        <w:rPr>
          <w:rFonts w:ascii="Arial" w:hAnsi="Arial" w:cs="Arial"/>
          <w:color w:val="000000"/>
          <w:szCs w:val="20"/>
        </w:rPr>
      </w:pPr>
      <w:r w:rsidRPr="00FA11E8">
        <w:rPr>
          <w:rFonts w:ascii="Arial" w:hAnsi="Arial" w:cs="Arial"/>
          <w:color w:val="000000"/>
          <w:szCs w:val="20"/>
        </w:rPr>
        <w:lastRenderedPageBreak/>
        <w:t xml:space="preserve">Farmer, David. </w:t>
      </w:r>
      <w:proofErr w:type="gramStart"/>
      <w:r w:rsidRPr="00FA11E8">
        <w:rPr>
          <w:rFonts w:ascii="Arial" w:hAnsi="Arial" w:cs="Arial"/>
          <w:color w:val="000000"/>
          <w:szCs w:val="20"/>
        </w:rPr>
        <w:t>"Edmund."</w:t>
      </w:r>
      <w:proofErr w:type="gramEnd"/>
      <w:r w:rsidRPr="00FA11E8">
        <w:rPr>
          <w:rFonts w:ascii="Arial" w:hAnsi="Arial" w:cs="Arial"/>
          <w:color w:val="000000"/>
          <w:szCs w:val="20"/>
        </w:rPr>
        <w:t xml:space="preserve"> </w:t>
      </w:r>
      <w:proofErr w:type="gramStart"/>
      <w:r w:rsidRPr="00FA11E8">
        <w:rPr>
          <w:rFonts w:ascii="Arial" w:hAnsi="Arial" w:cs="Arial"/>
          <w:color w:val="000000"/>
          <w:szCs w:val="20"/>
        </w:rPr>
        <w:t>In </w:t>
      </w:r>
      <w:r w:rsidRPr="00FA11E8">
        <w:rPr>
          <w:rStyle w:val="Emphasis"/>
          <w:rFonts w:ascii="Arial" w:hAnsi="Arial" w:cs="Arial"/>
          <w:color w:val="000000"/>
        </w:rPr>
        <w:t>The Oxford Dictionary of Saints</w:t>
      </w:r>
      <w:r>
        <w:rPr>
          <w:rFonts w:ascii="Arial" w:hAnsi="Arial" w:cs="Arial"/>
          <w:color w:val="000000"/>
          <w:szCs w:val="20"/>
        </w:rPr>
        <w:t>.</w:t>
      </w:r>
      <w:proofErr w:type="gramEnd"/>
      <w:r w:rsidRPr="00FA11E8">
        <w:rPr>
          <w:rFonts w:ascii="Arial" w:hAnsi="Arial" w:cs="Arial"/>
          <w:color w:val="000000"/>
          <w:szCs w:val="20"/>
        </w:rPr>
        <w:t xml:space="preserve"> </w:t>
      </w:r>
      <w:r>
        <w:rPr>
          <w:rFonts w:ascii="Arial" w:hAnsi="Arial" w:cs="Arial"/>
          <w:color w:val="000000"/>
          <w:szCs w:val="20"/>
        </w:rPr>
        <w:t>(Oxford: Oxford University Press, 2011) from:</w:t>
      </w:r>
      <w:r w:rsidRPr="00FA11E8">
        <w:rPr>
          <w:rFonts w:ascii="Arial" w:hAnsi="Arial" w:cs="Arial"/>
          <w:color w:val="000000"/>
          <w:szCs w:val="20"/>
        </w:rPr>
        <w:t xml:space="preserve"> </w:t>
      </w:r>
      <w:hyperlink r:id="rId8" w:history="1">
        <w:r w:rsidRPr="00620837">
          <w:rPr>
            <w:rStyle w:val="Hyperlink"/>
            <w:rFonts w:ascii="Arial" w:hAnsi="Arial" w:cs="Arial"/>
            <w:szCs w:val="20"/>
          </w:rPr>
          <w:t>https://www-oxfordreference-com.ezproxy.uwtsd.ac.uk/view/10.1093/acref/9780199596607.001.0001/acref-9780199596607-e-517</w:t>
        </w:r>
      </w:hyperlink>
      <w:r>
        <w:rPr>
          <w:rFonts w:ascii="Arial" w:hAnsi="Arial" w:cs="Arial"/>
          <w:color w:val="000000"/>
          <w:szCs w:val="20"/>
        </w:rPr>
        <w:t xml:space="preserve"> [accessed 19/4/2023]</w:t>
      </w:r>
    </w:p>
    <w:p w:rsidR="00485A41" w:rsidRPr="0097552D" w:rsidRDefault="00485A41" w:rsidP="00485A41">
      <w:pPr>
        <w:rPr>
          <w:rFonts w:ascii="Arial" w:hAnsi="Arial" w:cs="Arial"/>
          <w:sz w:val="24"/>
          <w:szCs w:val="24"/>
        </w:rPr>
      </w:pPr>
      <w:proofErr w:type="spellStart"/>
      <w:r>
        <w:rPr>
          <w:rFonts w:ascii="Arial" w:hAnsi="Arial" w:cs="Arial"/>
          <w:sz w:val="24"/>
          <w:szCs w:val="24"/>
        </w:rPr>
        <w:t>Gransden</w:t>
      </w:r>
      <w:proofErr w:type="spellEnd"/>
      <w:r>
        <w:rPr>
          <w:rFonts w:ascii="Arial" w:hAnsi="Arial" w:cs="Arial"/>
          <w:sz w:val="24"/>
          <w:szCs w:val="24"/>
        </w:rPr>
        <w:t xml:space="preserve">, Antonia, </w:t>
      </w:r>
      <w:r>
        <w:rPr>
          <w:rFonts w:ascii="Arial" w:hAnsi="Arial" w:cs="Arial"/>
          <w:i/>
          <w:sz w:val="24"/>
          <w:szCs w:val="24"/>
        </w:rPr>
        <w:t xml:space="preserve">Bury St. Edmunds: Medieval </w:t>
      </w:r>
      <w:r w:rsidRPr="0097552D">
        <w:rPr>
          <w:rFonts w:ascii="Arial" w:hAnsi="Arial" w:cs="Arial"/>
          <w:i/>
          <w:sz w:val="24"/>
          <w:szCs w:val="24"/>
        </w:rPr>
        <w:t>Art, Architecture, Archaeology and Economy</w:t>
      </w:r>
      <w:r>
        <w:rPr>
          <w:rFonts w:ascii="Arial" w:hAnsi="Arial" w:cs="Arial"/>
          <w:i/>
          <w:sz w:val="24"/>
          <w:szCs w:val="24"/>
        </w:rPr>
        <w:t>,</w:t>
      </w:r>
      <w:r>
        <w:rPr>
          <w:rFonts w:ascii="Arial" w:hAnsi="Arial" w:cs="Arial"/>
          <w:sz w:val="24"/>
          <w:szCs w:val="24"/>
        </w:rPr>
        <w:t xml:space="preserve"> (London: Routledge, 2020)</w:t>
      </w:r>
    </w:p>
    <w:p w:rsidR="00485A41" w:rsidRDefault="00485A41" w:rsidP="00485A41">
      <w:pPr>
        <w:rPr>
          <w:rFonts w:ascii="Arial" w:hAnsi="Arial" w:cs="Arial"/>
          <w:sz w:val="24"/>
          <w:szCs w:val="24"/>
          <w:lang w:val="en-US"/>
        </w:rPr>
      </w:pPr>
      <w:proofErr w:type="spellStart"/>
      <w:r>
        <w:rPr>
          <w:rFonts w:ascii="Arial" w:hAnsi="Arial" w:cs="Arial"/>
          <w:sz w:val="24"/>
          <w:szCs w:val="24"/>
        </w:rPr>
        <w:t>Gransden</w:t>
      </w:r>
      <w:proofErr w:type="spellEnd"/>
      <w:r>
        <w:rPr>
          <w:rFonts w:ascii="Arial" w:hAnsi="Arial" w:cs="Arial"/>
          <w:sz w:val="24"/>
          <w:szCs w:val="24"/>
        </w:rPr>
        <w:t xml:space="preserve">, Antonia, </w:t>
      </w:r>
      <w:r>
        <w:rPr>
          <w:rFonts w:ascii="Arial" w:hAnsi="Arial" w:cs="Arial"/>
          <w:i/>
          <w:sz w:val="24"/>
          <w:szCs w:val="24"/>
          <w:lang w:val="en-US"/>
        </w:rPr>
        <w:t>Legends, Tradition and History in Medieval England</w:t>
      </w:r>
      <w:r>
        <w:rPr>
          <w:rFonts w:ascii="Arial" w:hAnsi="Arial" w:cs="Arial"/>
          <w:sz w:val="24"/>
          <w:szCs w:val="24"/>
          <w:lang w:val="en-US"/>
        </w:rPr>
        <w:t>, (London: Bloomsbury Publishing, 2010)</w:t>
      </w:r>
    </w:p>
    <w:p w:rsidR="00485A41" w:rsidRPr="00B061E9" w:rsidRDefault="00485A41" w:rsidP="00485A41">
      <w:pPr>
        <w:rPr>
          <w:rFonts w:ascii="Arial" w:hAnsi="Arial" w:cs="Arial"/>
          <w:sz w:val="24"/>
          <w:szCs w:val="24"/>
          <w:lang w:val="en-US"/>
        </w:rPr>
      </w:pPr>
      <w:r>
        <w:rPr>
          <w:rFonts w:ascii="Arial" w:hAnsi="Arial" w:cs="Arial"/>
          <w:sz w:val="24"/>
          <w:szCs w:val="24"/>
          <w:lang w:val="en-US"/>
        </w:rPr>
        <w:t xml:space="preserve">Griffith-Jones, Robin, </w:t>
      </w:r>
      <w:proofErr w:type="gramStart"/>
      <w:r>
        <w:rPr>
          <w:rFonts w:ascii="Arial" w:hAnsi="Arial" w:cs="Arial"/>
          <w:i/>
          <w:sz w:val="24"/>
          <w:szCs w:val="24"/>
          <w:lang w:val="en-US"/>
        </w:rPr>
        <w:t>William</w:t>
      </w:r>
      <w:proofErr w:type="gramEnd"/>
      <w:r>
        <w:rPr>
          <w:rFonts w:ascii="Arial" w:hAnsi="Arial" w:cs="Arial"/>
          <w:i/>
          <w:sz w:val="24"/>
          <w:szCs w:val="24"/>
          <w:lang w:val="en-US"/>
        </w:rPr>
        <w:t xml:space="preserve"> Marshal: The Greatest Knight that ever Lived</w:t>
      </w:r>
      <w:r>
        <w:rPr>
          <w:rFonts w:ascii="Arial" w:hAnsi="Arial" w:cs="Arial"/>
          <w:sz w:val="24"/>
          <w:szCs w:val="24"/>
          <w:lang w:val="en-US"/>
        </w:rPr>
        <w:t>, (London: Pitkin, 2019)</w:t>
      </w:r>
    </w:p>
    <w:p w:rsidR="00485A41" w:rsidRDefault="00485A41" w:rsidP="00485A41">
      <w:pPr>
        <w:rPr>
          <w:rFonts w:ascii="Arial" w:hAnsi="Arial" w:cs="Arial"/>
          <w:sz w:val="24"/>
          <w:szCs w:val="24"/>
        </w:rPr>
      </w:pPr>
      <w:proofErr w:type="spellStart"/>
      <w:r>
        <w:rPr>
          <w:rFonts w:ascii="Arial" w:hAnsi="Arial" w:cs="Arial"/>
          <w:sz w:val="24"/>
          <w:szCs w:val="24"/>
        </w:rPr>
        <w:t>Lapidge</w:t>
      </w:r>
      <w:proofErr w:type="spellEnd"/>
      <w:r>
        <w:rPr>
          <w:rFonts w:ascii="Arial" w:hAnsi="Arial" w:cs="Arial"/>
          <w:sz w:val="24"/>
          <w:szCs w:val="24"/>
        </w:rPr>
        <w:t xml:space="preserve">, Michael, ‘EDMUND (c.840-869)’, </w:t>
      </w:r>
      <w:proofErr w:type="spellStart"/>
      <w:r>
        <w:rPr>
          <w:rFonts w:ascii="Arial" w:hAnsi="Arial" w:cs="Arial"/>
          <w:i/>
          <w:sz w:val="24"/>
          <w:szCs w:val="24"/>
        </w:rPr>
        <w:t>Encyclopedia</w:t>
      </w:r>
      <w:proofErr w:type="spellEnd"/>
      <w:r>
        <w:rPr>
          <w:rFonts w:ascii="Arial" w:hAnsi="Arial" w:cs="Arial"/>
          <w:i/>
          <w:sz w:val="24"/>
          <w:szCs w:val="24"/>
        </w:rPr>
        <w:t xml:space="preserve"> of the Middle Ages A-J,</w:t>
      </w:r>
      <w:r>
        <w:rPr>
          <w:rFonts w:ascii="Arial" w:hAnsi="Arial" w:cs="Arial"/>
          <w:sz w:val="24"/>
          <w:szCs w:val="24"/>
        </w:rPr>
        <w:t xml:space="preserve"> eds. André </w:t>
      </w:r>
      <w:proofErr w:type="spellStart"/>
      <w:r>
        <w:rPr>
          <w:rFonts w:ascii="Arial" w:hAnsi="Arial" w:cs="Arial"/>
          <w:sz w:val="24"/>
          <w:szCs w:val="24"/>
        </w:rPr>
        <w:t>Vauchez</w:t>
      </w:r>
      <w:proofErr w:type="spellEnd"/>
      <w:r>
        <w:rPr>
          <w:rFonts w:ascii="Arial" w:hAnsi="Arial" w:cs="Arial"/>
          <w:sz w:val="24"/>
          <w:szCs w:val="24"/>
        </w:rPr>
        <w:t xml:space="preserve">, Barrie Dobson and Michael </w:t>
      </w:r>
      <w:proofErr w:type="spellStart"/>
      <w:r>
        <w:rPr>
          <w:rFonts w:ascii="Arial" w:hAnsi="Arial" w:cs="Arial"/>
          <w:sz w:val="24"/>
          <w:szCs w:val="24"/>
        </w:rPr>
        <w:t>Lapidge</w:t>
      </w:r>
      <w:proofErr w:type="spellEnd"/>
      <w:r>
        <w:rPr>
          <w:rFonts w:ascii="Arial" w:hAnsi="Arial" w:cs="Arial"/>
          <w:sz w:val="24"/>
          <w:szCs w:val="24"/>
        </w:rPr>
        <w:t xml:space="preserve">, trans. Adrian </w:t>
      </w:r>
      <w:proofErr w:type="spellStart"/>
      <w:r>
        <w:rPr>
          <w:rFonts w:ascii="Arial" w:hAnsi="Arial" w:cs="Arial"/>
          <w:sz w:val="24"/>
          <w:szCs w:val="24"/>
        </w:rPr>
        <w:t>Walford</w:t>
      </w:r>
      <w:proofErr w:type="spellEnd"/>
      <w:r>
        <w:rPr>
          <w:rFonts w:ascii="Arial" w:hAnsi="Arial" w:cs="Arial"/>
          <w:sz w:val="24"/>
          <w:szCs w:val="24"/>
        </w:rPr>
        <w:t>, (Cambridge: James Clark &amp; Co., 2000) p. 467</w:t>
      </w:r>
    </w:p>
    <w:p w:rsidR="00485A41" w:rsidRPr="00B94496" w:rsidRDefault="00485A41" w:rsidP="00485A41">
      <w:pPr>
        <w:rPr>
          <w:rFonts w:ascii="Arial" w:hAnsi="Arial" w:cs="Arial"/>
          <w:sz w:val="24"/>
          <w:szCs w:val="24"/>
        </w:rPr>
      </w:pPr>
      <w:proofErr w:type="spellStart"/>
      <w:r>
        <w:rPr>
          <w:rFonts w:ascii="Arial" w:hAnsi="Arial" w:cs="Arial"/>
          <w:sz w:val="24"/>
          <w:szCs w:val="24"/>
        </w:rPr>
        <w:t>Mackinlay</w:t>
      </w:r>
      <w:proofErr w:type="spellEnd"/>
      <w:r>
        <w:rPr>
          <w:rFonts w:ascii="Arial" w:hAnsi="Arial" w:cs="Arial"/>
          <w:sz w:val="24"/>
          <w:szCs w:val="24"/>
        </w:rPr>
        <w:t xml:space="preserve">, James Boniface, </w:t>
      </w:r>
      <w:r w:rsidRPr="00B94496">
        <w:rPr>
          <w:rFonts w:ascii="Arial" w:hAnsi="Arial" w:cs="Arial"/>
          <w:i/>
          <w:sz w:val="24"/>
          <w:szCs w:val="24"/>
        </w:rPr>
        <w:t>Saint Edmund King and Martyr: A History of His Life and Times with an Account of the Translation of His Incorrupt Body, Etc. From Original Mss</w:t>
      </w:r>
      <w:r>
        <w:rPr>
          <w:rFonts w:ascii="Arial" w:hAnsi="Arial" w:cs="Arial"/>
          <w:i/>
          <w:sz w:val="24"/>
          <w:szCs w:val="24"/>
        </w:rPr>
        <w:t>,</w:t>
      </w:r>
      <w:r>
        <w:rPr>
          <w:rFonts w:ascii="Arial" w:hAnsi="Arial" w:cs="Arial"/>
          <w:sz w:val="24"/>
          <w:szCs w:val="24"/>
        </w:rPr>
        <w:t xml:space="preserve"> (Wisconsin: Art and Book Company, 1893)</w:t>
      </w:r>
    </w:p>
    <w:p w:rsidR="00485A41" w:rsidRPr="004C46B3" w:rsidRDefault="00485A41" w:rsidP="00485A41">
      <w:pPr>
        <w:rPr>
          <w:rFonts w:ascii="Arial" w:hAnsi="Arial" w:cs="Arial"/>
          <w:sz w:val="24"/>
          <w:szCs w:val="24"/>
        </w:rPr>
      </w:pPr>
      <w:r>
        <w:rPr>
          <w:rFonts w:ascii="Arial" w:hAnsi="Arial" w:cs="Arial"/>
          <w:sz w:val="24"/>
          <w:szCs w:val="24"/>
        </w:rPr>
        <w:t xml:space="preserve">Nickell, Joe, </w:t>
      </w:r>
      <w:r>
        <w:rPr>
          <w:rFonts w:ascii="Arial" w:hAnsi="Arial" w:cs="Arial"/>
          <w:i/>
          <w:sz w:val="24"/>
          <w:szCs w:val="24"/>
        </w:rPr>
        <w:t>Looking for a Miracle: Weeping Icons, Relics, Stigmata, Visions and Healing Cures,</w:t>
      </w:r>
      <w:r>
        <w:rPr>
          <w:rFonts w:ascii="Arial" w:hAnsi="Arial" w:cs="Arial"/>
          <w:sz w:val="24"/>
          <w:szCs w:val="24"/>
        </w:rPr>
        <w:t xml:space="preserve"> (New York: Prometheus Books, 1993)</w:t>
      </w:r>
    </w:p>
    <w:p w:rsidR="00485A41" w:rsidRDefault="00485A41" w:rsidP="00485A41">
      <w:pPr>
        <w:rPr>
          <w:rFonts w:ascii="Arial" w:hAnsi="Arial" w:cs="Arial"/>
          <w:sz w:val="24"/>
          <w:szCs w:val="24"/>
        </w:rPr>
      </w:pPr>
      <w:proofErr w:type="spellStart"/>
      <w:r>
        <w:rPr>
          <w:rFonts w:ascii="Arial" w:hAnsi="Arial" w:cs="Arial"/>
          <w:sz w:val="24"/>
          <w:szCs w:val="24"/>
        </w:rPr>
        <w:t>Rollanson</w:t>
      </w:r>
      <w:proofErr w:type="spellEnd"/>
      <w:r>
        <w:rPr>
          <w:rFonts w:ascii="Arial" w:hAnsi="Arial" w:cs="Arial"/>
          <w:sz w:val="24"/>
          <w:szCs w:val="24"/>
        </w:rPr>
        <w:t xml:space="preserve">, David, </w:t>
      </w:r>
      <w:r>
        <w:rPr>
          <w:rFonts w:ascii="Arial" w:hAnsi="Arial" w:cs="Arial"/>
          <w:i/>
          <w:sz w:val="24"/>
          <w:szCs w:val="24"/>
        </w:rPr>
        <w:t>Saints and Relics in Anglo-Saxon England,</w:t>
      </w:r>
      <w:r>
        <w:rPr>
          <w:rFonts w:ascii="Arial" w:hAnsi="Arial" w:cs="Arial"/>
          <w:sz w:val="24"/>
          <w:szCs w:val="24"/>
        </w:rPr>
        <w:t xml:space="preserve"> (Oxford: Basil Blackwell, 1989)</w:t>
      </w:r>
    </w:p>
    <w:p w:rsidR="00485A41" w:rsidRDefault="00485A41" w:rsidP="00485A41">
      <w:pPr>
        <w:rPr>
          <w:rFonts w:ascii="Arial" w:hAnsi="Arial" w:cs="Arial"/>
          <w:sz w:val="24"/>
          <w:szCs w:val="24"/>
        </w:rPr>
      </w:pPr>
      <w:r>
        <w:rPr>
          <w:rFonts w:ascii="Arial" w:hAnsi="Arial" w:cs="Arial"/>
          <w:sz w:val="24"/>
          <w:szCs w:val="24"/>
        </w:rPr>
        <w:t xml:space="preserve">Simpson, J. A., and E.S.C. Weiner, (eds.), </w:t>
      </w:r>
      <w:r>
        <w:rPr>
          <w:rFonts w:ascii="Arial" w:hAnsi="Arial" w:cs="Arial"/>
          <w:i/>
          <w:sz w:val="24"/>
          <w:szCs w:val="24"/>
        </w:rPr>
        <w:t>The Oxford English Dictionary: Volume IX Look-</w:t>
      </w:r>
      <w:proofErr w:type="spellStart"/>
      <w:r>
        <w:rPr>
          <w:rFonts w:ascii="Arial" w:hAnsi="Arial" w:cs="Arial"/>
          <w:i/>
          <w:sz w:val="24"/>
          <w:szCs w:val="24"/>
        </w:rPr>
        <w:t>Mouke</w:t>
      </w:r>
      <w:proofErr w:type="spellEnd"/>
      <w:r>
        <w:rPr>
          <w:rFonts w:ascii="Arial" w:hAnsi="Arial" w:cs="Arial"/>
          <w:i/>
          <w:sz w:val="24"/>
          <w:szCs w:val="24"/>
        </w:rPr>
        <w:t>,</w:t>
      </w:r>
      <w:r>
        <w:rPr>
          <w:rFonts w:ascii="Arial" w:hAnsi="Arial" w:cs="Arial"/>
          <w:sz w:val="24"/>
          <w:szCs w:val="24"/>
        </w:rPr>
        <w:t xml:space="preserve"> 2</w:t>
      </w:r>
      <w:r w:rsidRPr="00AC6FE4">
        <w:rPr>
          <w:rFonts w:ascii="Arial" w:hAnsi="Arial" w:cs="Arial"/>
          <w:sz w:val="24"/>
          <w:szCs w:val="24"/>
          <w:vertAlign w:val="superscript"/>
        </w:rPr>
        <w:t>nd</w:t>
      </w:r>
      <w:r>
        <w:rPr>
          <w:rFonts w:ascii="Arial" w:hAnsi="Arial" w:cs="Arial"/>
          <w:sz w:val="24"/>
          <w:szCs w:val="24"/>
        </w:rPr>
        <w:t xml:space="preserve"> </w:t>
      </w:r>
      <w:proofErr w:type="spellStart"/>
      <w:proofErr w:type="gramStart"/>
      <w:r>
        <w:rPr>
          <w:rFonts w:ascii="Arial" w:hAnsi="Arial" w:cs="Arial"/>
          <w:sz w:val="24"/>
          <w:szCs w:val="24"/>
        </w:rPr>
        <w:t>edn</w:t>
      </w:r>
      <w:proofErr w:type="spellEnd"/>
      <w:r>
        <w:rPr>
          <w:rFonts w:ascii="Arial" w:hAnsi="Arial" w:cs="Arial"/>
          <w:sz w:val="24"/>
          <w:szCs w:val="24"/>
        </w:rPr>
        <w:t>.,</w:t>
      </w:r>
      <w:proofErr w:type="gramEnd"/>
      <w:r>
        <w:rPr>
          <w:rFonts w:ascii="Arial" w:hAnsi="Arial" w:cs="Arial"/>
          <w:sz w:val="24"/>
          <w:szCs w:val="24"/>
        </w:rPr>
        <w:t xml:space="preserve"> (Oxford: Clarendon Press, 1989)</w:t>
      </w:r>
    </w:p>
    <w:p w:rsidR="00485A41" w:rsidRDefault="00485A41" w:rsidP="00485A41">
      <w:pPr>
        <w:rPr>
          <w:rFonts w:ascii="Arial" w:hAnsi="Arial" w:cs="Arial"/>
          <w:sz w:val="24"/>
          <w:szCs w:val="24"/>
        </w:rPr>
      </w:pPr>
      <w:r>
        <w:rPr>
          <w:rFonts w:ascii="Arial" w:hAnsi="Arial" w:cs="Arial"/>
          <w:sz w:val="24"/>
          <w:szCs w:val="24"/>
        </w:rPr>
        <w:t xml:space="preserve">Simpson, J. A., and E.S.C. Weiner, (eds.), </w:t>
      </w:r>
      <w:r>
        <w:rPr>
          <w:rFonts w:ascii="Arial" w:hAnsi="Arial" w:cs="Arial"/>
          <w:i/>
          <w:sz w:val="24"/>
          <w:szCs w:val="24"/>
        </w:rPr>
        <w:t>The Oxford English Dictionary: Volume XIV Rob-</w:t>
      </w:r>
      <w:proofErr w:type="spellStart"/>
      <w:r>
        <w:rPr>
          <w:rFonts w:ascii="Arial" w:hAnsi="Arial" w:cs="Arial"/>
          <w:i/>
          <w:sz w:val="24"/>
          <w:szCs w:val="24"/>
        </w:rPr>
        <w:t>Sequyle</w:t>
      </w:r>
      <w:proofErr w:type="spellEnd"/>
      <w:r>
        <w:rPr>
          <w:rFonts w:ascii="Arial" w:hAnsi="Arial" w:cs="Arial"/>
          <w:i/>
          <w:sz w:val="24"/>
          <w:szCs w:val="24"/>
        </w:rPr>
        <w:t>,</w:t>
      </w:r>
      <w:r>
        <w:rPr>
          <w:rFonts w:ascii="Arial" w:hAnsi="Arial" w:cs="Arial"/>
          <w:sz w:val="24"/>
          <w:szCs w:val="24"/>
        </w:rPr>
        <w:t xml:space="preserve"> 2</w:t>
      </w:r>
      <w:r w:rsidRPr="00AC6FE4">
        <w:rPr>
          <w:rFonts w:ascii="Arial" w:hAnsi="Arial" w:cs="Arial"/>
          <w:sz w:val="24"/>
          <w:szCs w:val="24"/>
          <w:vertAlign w:val="superscript"/>
        </w:rPr>
        <w:t>nd</w:t>
      </w:r>
      <w:r>
        <w:rPr>
          <w:rFonts w:ascii="Arial" w:hAnsi="Arial" w:cs="Arial"/>
          <w:sz w:val="24"/>
          <w:szCs w:val="24"/>
        </w:rPr>
        <w:t xml:space="preserve"> </w:t>
      </w:r>
      <w:proofErr w:type="spellStart"/>
      <w:proofErr w:type="gramStart"/>
      <w:r>
        <w:rPr>
          <w:rFonts w:ascii="Arial" w:hAnsi="Arial" w:cs="Arial"/>
          <w:sz w:val="24"/>
          <w:szCs w:val="24"/>
        </w:rPr>
        <w:t>edn</w:t>
      </w:r>
      <w:proofErr w:type="spellEnd"/>
      <w:r>
        <w:rPr>
          <w:rFonts w:ascii="Arial" w:hAnsi="Arial" w:cs="Arial"/>
          <w:sz w:val="24"/>
          <w:szCs w:val="24"/>
        </w:rPr>
        <w:t>.,</w:t>
      </w:r>
      <w:proofErr w:type="gramEnd"/>
      <w:r>
        <w:rPr>
          <w:rFonts w:ascii="Arial" w:hAnsi="Arial" w:cs="Arial"/>
          <w:sz w:val="24"/>
          <w:szCs w:val="24"/>
        </w:rPr>
        <w:t xml:space="preserve"> (Oxford, Clarendon Press, 1989)</w:t>
      </w:r>
    </w:p>
    <w:p w:rsidR="00485A41" w:rsidRDefault="00485A41" w:rsidP="00485A41">
      <w:pPr>
        <w:rPr>
          <w:rFonts w:ascii="Arial" w:hAnsi="Arial" w:cs="Arial"/>
          <w:i/>
          <w:sz w:val="24"/>
          <w:szCs w:val="24"/>
        </w:rPr>
      </w:pPr>
    </w:p>
    <w:p w:rsidR="00485A41" w:rsidRPr="00B77C0C" w:rsidRDefault="00485A41" w:rsidP="00485A41">
      <w:pPr>
        <w:jc w:val="center"/>
        <w:rPr>
          <w:rFonts w:ascii="Arial" w:hAnsi="Arial" w:cs="Arial"/>
          <w:b/>
          <w:bCs/>
          <w:sz w:val="32"/>
          <w:szCs w:val="32"/>
          <w:u w:val="single"/>
        </w:rPr>
      </w:pPr>
      <w:r w:rsidRPr="00B77C0C">
        <w:rPr>
          <w:rFonts w:ascii="Arial" w:hAnsi="Arial" w:cs="Arial"/>
          <w:b/>
          <w:bCs/>
          <w:sz w:val="32"/>
          <w:szCs w:val="32"/>
          <w:u w:val="single"/>
        </w:rPr>
        <w:t>Webliography</w:t>
      </w:r>
    </w:p>
    <w:p w:rsidR="00485A41" w:rsidRDefault="00485A41" w:rsidP="00485A41">
      <w:pPr>
        <w:rPr>
          <w:rFonts w:ascii="Arial" w:hAnsi="Arial" w:cs="Arial"/>
          <w:sz w:val="24"/>
          <w:szCs w:val="24"/>
        </w:rPr>
      </w:pPr>
      <w:r>
        <w:rPr>
          <w:rFonts w:ascii="Arial" w:hAnsi="Arial" w:cs="Arial"/>
          <w:sz w:val="24"/>
          <w:szCs w:val="24"/>
        </w:rPr>
        <w:t xml:space="preserve">Greene King, ‘Our Company’, from: </w:t>
      </w:r>
      <w:hyperlink r:id="rId9" w:history="1">
        <w:r w:rsidRPr="00620837">
          <w:rPr>
            <w:rStyle w:val="Hyperlink"/>
            <w:rFonts w:ascii="Arial" w:hAnsi="Arial" w:cs="Arial"/>
            <w:sz w:val="24"/>
            <w:szCs w:val="24"/>
          </w:rPr>
          <w:t>https://www.greeneking.co.uk/our-company/</w:t>
        </w:r>
      </w:hyperlink>
      <w:r>
        <w:rPr>
          <w:rFonts w:ascii="Arial" w:hAnsi="Arial" w:cs="Arial"/>
          <w:sz w:val="24"/>
          <w:szCs w:val="24"/>
        </w:rPr>
        <w:t>; [accessed 19/4/2023]</w:t>
      </w:r>
    </w:p>
    <w:p w:rsidR="00485A41" w:rsidRDefault="00485A41" w:rsidP="00485A41">
      <w:pPr>
        <w:rPr>
          <w:rFonts w:ascii="Arial" w:hAnsi="Arial" w:cs="Arial"/>
          <w:sz w:val="24"/>
          <w:szCs w:val="24"/>
        </w:rPr>
      </w:pPr>
      <w:r>
        <w:rPr>
          <w:rFonts w:ascii="Arial" w:hAnsi="Arial" w:cs="Arial"/>
          <w:sz w:val="24"/>
          <w:szCs w:val="24"/>
        </w:rPr>
        <w:t xml:space="preserve">High Stewardship, ‘The High Stewards’, from: </w:t>
      </w:r>
      <w:hyperlink r:id="rId10" w:history="1">
        <w:r w:rsidRPr="00620837">
          <w:rPr>
            <w:rStyle w:val="Hyperlink"/>
            <w:rFonts w:ascii="Arial" w:hAnsi="Arial" w:cs="Arial"/>
            <w:sz w:val="24"/>
            <w:szCs w:val="24"/>
          </w:rPr>
          <w:t>https://www.highstewardship.org/high-stewards</w:t>
        </w:r>
      </w:hyperlink>
      <w:r>
        <w:rPr>
          <w:rFonts w:ascii="Arial" w:hAnsi="Arial" w:cs="Arial"/>
          <w:sz w:val="24"/>
          <w:szCs w:val="24"/>
        </w:rPr>
        <w:t>; [accessed 19/4/2023]</w:t>
      </w:r>
    </w:p>
    <w:p w:rsidR="00485A41" w:rsidRDefault="00485A41" w:rsidP="00485A41">
      <w:pPr>
        <w:rPr>
          <w:rFonts w:ascii="Arial" w:hAnsi="Arial" w:cs="Arial"/>
          <w:sz w:val="24"/>
          <w:szCs w:val="24"/>
        </w:rPr>
      </w:pPr>
      <w:proofErr w:type="spellStart"/>
      <w:r>
        <w:rPr>
          <w:rFonts w:ascii="Arial" w:hAnsi="Arial" w:cs="Arial"/>
          <w:sz w:val="24"/>
          <w:szCs w:val="24"/>
        </w:rPr>
        <w:t>Hoxne</w:t>
      </w:r>
      <w:proofErr w:type="spellEnd"/>
      <w:r>
        <w:rPr>
          <w:rFonts w:ascii="Arial" w:hAnsi="Arial" w:cs="Arial"/>
          <w:sz w:val="24"/>
          <w:szCs w:val="24"/>
        </w:rPr>
        <w:t xml:space="preserve"> Heritage Group, ‘The Legend of St. Edmund and his Monument’, from: </w:t>
      </w:r>
      <w:hyperlink r:id="rId11" w:history="1">
        <w:r w:rsidRPr="00620837">
          <w:rPr>
            <w:rStyle w:val="Hyperlink"/>
            <w:rFonts w:ascii="Arial" w:hAnsi="Arial" w:cs="Arial"/>
            <w:sz w:val="24"/>
            <w:szCs w:val="24"/>
          </w:rPr>
          <w:t>https://www.hoxnehistory.org.uk/St%20Edmund.php</w:t>
        </w:r>
      </w:hyperlink>
      <w:r>
        <w:rPr>
          <w:rFonts w:ascii="Arial" w:hAnsi="Arial" w:cs="Arial"/>
          <w:sz w:val="24"/>
          <w:szCs w:val="24"/>
        </w:rPr>
        <w:t>; [accessed 19/4/2023]</w:t>
      </w:r>
    </w:p>
    <w:p w:rsidR="00485A41" w:rsidRPr="00485A41" w:rsidRDefault="00485A41" w:rsidP="00485A41">
      <w:pPr>
        <w:rPr>
          <w:rFonts w:ascii="Arial" w:hAnsi="Arial" w:cs="Arial"/>
          <w:sz w:val="24"/>
          <w:szCs w:val="24"/>
        </w:rPr>
      </w:pPr>
      <w:r>
        <w:rPr>
          <w:rFonts w:ascii="Arial" w:hAnsi="Arial" w:cs="Arial"/>
          <w:sz w:val="24"/>
          <w:szCs w:val="24"/>
        </w:rPr>
        <w:lastRenderedPageBreak/>
        <w:t xml:space="preserve">Secret Suffolk, ‘The Death of St. Edmund’, from: </w:t>
      </w:r>
      <w:hyperlink r:id="rId12" w:history="1">
        <w:r w:rsidRPr="00620837">
          <w:rPr>
            <w:rStyle w:val="Hyperlink"/>
            <w:rFonts w:ascii="Arial" w:hAnsi="Arial" w:cs="Arial"/>
            <w:sz w:val="24"/>
            <w:szCs w:val="24"/>
          </w:rPr>
          <w:t>http://secretsuffolk.com/hoxne/</w:t>
        </w:r>
      </w:hyperlink>
      <w:r>
        <w:rPr>
          <w:rFonts w:ascii="Arial" w:hAnsi="Arial" w:cs="Arial"/>
          <w:sz w:val="24"/>
          <w:szCs w:val="24"/>
        </w:rPr>
        <w:t>; [accessed 19/4/2023]</w:t>
      </w:r>
      <w:bookmarkStart w:id="0" w:name="_GoBack"/>
      <w:bookmarkEnd w:id="0"/>
    </w:p>
    <w:sectPr w:rsidR="00485A41" w:rsidRPr="00485A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B9A" w:rsidRDefault="00770B9A" w:rsidP="001039FD">
      <w:pPr>
        <w:spacing w:after="0" w:line="240" w:lineRule="auto"/>
      </w:pPr>
      <w:r>
        <w:separator/>
      </w:r>
    </w:p>
  </w:endnote>
  <w:endnote w:type="continuationSeparator" w:id="0">
    <w:p w:rsidR="00770B9A" w:rsidRDefault="00770B9A" w:rsidP="00103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venir Next LT Pro">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B9A" w:rsidRDefault="00770B9A" w:rsidP="001039FD">
      <w:pPr>
        <w:spacing w:after="0" w:line="240" w:lineRule="auto"/>
      </w:pPr>
      <w:r>
        <w:separator/>
      </w:r>
    </w:p>
  </w:footnote>
  <w:footnote w:type="continuationSeparator" w:id="0">
    <w:p w:rsidR="00770B9A" w:rsidRDefault="00770B9A" w:rsidP="001039FD">
      <w:pPr>
        <w:spacing w:after="0" w:line="240" w:lineRule="auto"/>
      </w:pPr>
      <w:r>
        <w:continuationSeparator/>
      </w:r>
    </w:p>
  </w:footnote>
  <w:footnote w:id="1">
    <w:p w:rsidR="00F22BB2" w:rsidRPr="00144BBB" w:rsidRDefault="00F22BB2">
      <w:pPr>
        <w:pStyle w:val="FootnoteText"/>
        <w:rPr>
          <w:lang w:val="en-US"/>
        </w:rPr>
      </w:pPr>
      <w:r>
        <w:rPr>
          <w:rStyle w:val="FootnoteReference"/>
        </w:rPr>
        <w:footnoteRef/>
      </w:r>
      <w:r>
        <w:t xml:space="preserve"> </w:t>
      </w:r>
      <w:r w:rsidR="001A23BF">
        <w:rPr>
          <w:rFonts w:ascii="Arial" w:hAnsi="Arial" w:cs="Arial"/>
          <w:color w:val="000000"/>
        </w:rPr>
        <w:t>David Farmer,</w:t>
      </w:r>
      <w:r w:rsidR="001A23BF" w:rsidRPr="00777EB1">
        <w:rPr>
          <w:rFonts w:ascii="Arial" w:hAnsi="Arial" w:cs="Arial"/>
          <w:color w:val="000000"/>
        </w:rPr>
        <w:t xml:space="preserve"> "Edmund." </w:t>
      </w:r>
      <w:proofErr w:type="gramStart"/>
      <w:r w:rsidR="001A23BF" w:rsidRPr="00777EB1">
        <w:rPr>
          <w:rFonts w:ascii="Arial" w:hAnsi="Arial" w:cs="Arial"/>
          <w:color w:val="000000"/>
        </w:rPr>
        <w:t>In </w:t>
      </w:r>
      <w:r w:rsidR="001A23BF" w:rsidRPr="00777EB1">
        <w:rPr>
          <w:rStyle w:val="Emphasis"/>
          <w:rFonts w:ascii="Arial" w:hAnsi="Arial" w:cs="Arial"/>
          <w:color w:val="000000"/>
        </w:rPr>
        <w:t>The Oxford Dictionary of Saints</w:t>
      </w:r>
      <w:r w:rsidR="001A23BF" w:rsidRPr="00777EB1">
        <w:rPr>
          <w:rFonts w:ascii="Arial" w:hAnsi="Arial" w:cs="Arial"/>
          <w:color w:val="000000"/>
        </w:rPr>
        <w:t>.</w:t>
      </w:r>
      <w:proofErr w:type="gramEnd"/>
      <w:r w:rsidR="001A23BF" w:rsidRPr="00777EB1">
        <w:rPr>
          <w:rFonts w:ascii="Arial" w:hAnsi="Arial" w:cs="Arial"/>
          <w:color w:val="000000"/>
        </w:rPr>
        <w:t xml:space="preserve"> (Oxford: Oxford University Press, 2011) from: </w:t>
      </w:r>
      <w:hyperlink r:id="rId1" w:history="1">
        <w:r w:rsidR="001A23BF" w:rsidRPr="00777EB1">
          <w:rPr>
            <w:rStyle w:val="Hyperlink"/>
            <w:rFonts w:ascii="Arial" w:hAnsi="Arial" w:cs="Arial"/>
          </w:rPr>
          <w:t>https://www-oxfordreference-com.ezproxy.uwtsd.ac.uk/view/10.1093/acref/9780199596607.001.0001/acref-9780199596607-e-517</w:t>
        </w:r>
      </w:hyperlink>
      <w:r w:rsidR="001A23BF" w:rsidRPr="00777EB1">
        <w:rPr>
          <w:rFonts w:ascii="Arial" w:hAnsi="Arial" w:cs="Arial"/>
          <w:color w:val="000000"/>
        </w:rPr>
        <w:t xml:space="preserve"> [accessed 19/4/2023]</w:t>
      </w:r>
    </w:p>
  </w:footnote>
  <w:footnote w:id="2">
    <w:p w:rsidR="00F22BB2" w:rsidRPr="001039FD" w:rsidRDefault="00F22BB2" w:rsidP="001039FD">
      <w:pPr>
        <w:rPr>
          <w:rFonts w:ascii="Arial" w:hAnsi="Arial" w:cs="Arial"/>
          <w:sz w:val="24"/>
          <w:szCs w:val="24"/>
        </w:rPr>
      </w:pPr>
      <w:r>
        <w:rPr>
          <w:rStyle w:val="FootnoteReference"/>
        </w:rPr>
        <w:footnoteRef/>
      </w:r>
      <w:r>
        <w:t xml:space="preserve"> </w:t>
      </w:r>
      <w:r w:rsidRPr="001039FD">
        <w:rPr>
          <w:rFonts w:ascii="Arial" w:hAnsi="Arial" w:cs="Arial"/>
          <w:sz w:val="20"/>
          <w:szCs w:val="24"/>
        </w:rPr>
        <w:t>Michael</w:t>
      </w:r>
      <w:r>
        <w:rPr>
          <w:rFonts w:ascii="Arial" w:hAnsi="Arial" w:cs="Arial"/>
          <w:sz w:val="20"/>
          <w:szCs w:val="24"/>
        </w:rPr>
        <w:t xml:space="preserve"> </w:t>
      </w:r>
      <w:proofErr w:type="spellStart"/>
      <w:r>
        <w:rPr>
          <w:rFonts w:ascii="Arial" w:hAnsi="Arial" w:cs="Arial"/>
          <w:sz w:val="20"/>
          <w:szCs w:val="24"/>
        </w:rPr>
        <w:t>Lapidge</w:t>
      </w:r>
      <w:proofErr w:type="spellEnd"/>
      <w:r w:rsidRPr="001039FD">
        <w:rPr>
          <w:rFonts w:ascii="Arial" w:hAnsi="Arial" w:cs="Arial"/>
          <w:sz w:val="20"/>
          <w:szCs w:val="24"/>
        </w:rPr>
        <w:t xml:space="preserve">, ‘EDMUND (c.840-869)’, </w:t>
      </w:r>
      <w:proofErr w:type="spellStart"/>
      <w:r w:rsidRPr="001039FD">
        <w:rPr>
          <w:rFonts w:ascii="Arial" w:hAnsi="Arial" w:cs="Arial"/>
          <w:i/>
          <w:sz w:val="20"/>
          <w:szCs w:val="24"/>
        </w:rPr>
        <w:t>Encyclopedia</w:t>
      </w:r>
      <w:proofErr w:type="spellEnd"/>
      <w:r w:rsidRPr="001039FD">
        <w:rPr>
          <w:rFonts w:ascii="Arial" w:hAnsi="Arial" w:cs="Arial"/>
          <w:i/>
          <w:sz w:val="20"/>
          <w:szCs w:val="24"/>
        </w:rPr>
        <w:t xml:space="preserve"> of the Middle Ages A-J,</w:t>
      </w:r>
      <w:r w:rsidRPr="001039FD">
        <w:rPr>
          <w:rFonts w:ascii="Arial" w:hAnsi="Arial" w:cs="Arial"/>
          <w:sz w:val="20"/>
          <w:szCs w:val="24"/>
        </w:rPr>
        <w:t xml:space="preserve"> eds. André </w:t>
      </w:r>
      <w:proofErr w:type="spellStart"/>
      <w:r w:rsidRPr="001039FD">
        <w:rPr>
          <w:rFonts w:ascii="Arial" w:hAnsi="Arial" w:cs="Arial"/>
          <w:sz w:val="20"/>
          <w:szCs w:val="24"/>
        </w:rPr>
        <w:t>Vauchez</w:t>
      </w:r>
      <w:proofErr w:type="spellEnd"/>
      <w:r w:rsidRPr="001039FD">
        <w:rPr>
          <w:rFonts w:ascii="Arial" w:hAnsi="Arial" w:cs="Arial"/>
          <w:sz w:val="20"/>
          <w:szCs w:val="24"/>
        </w:rPr>
        <w:t xml:space="preserve">, Barrie Dobson and Michael </w:t>
      </w:r>
      <w:proofErr w:type="spellStart"/>
      <w:r w:rsidRPr="001039FD">
        <w:rPr>
          <w:rFonts w:ascii="Arial" w:hAnsi="Arial" w:cs="Arial"/>
          <w:sz w:val="20"/>
          <w:szCs w:val="24"/>
        </w:rPr>
        <w:t>Lapidge</w:t>
      </w:r>
      <w:proofErr w:type="spellEnd"/>
      <w:r w:rsidRPr="001039FD">
        <w:rPr>
          <w:rFonts w:ascii="Arial" w:hAnsi="Arial" w:cs="Arial"/>
          <w:sz w:val="20"/>
          <w:szCs w:val="24"/>
        </w:rPr>
        <w:t xml:space="preserve">, trans. Adrian </w:t>
      </w:r>
      <w:proofErr w:type="spellStart"/>
      <w:r w:rsidRPr="001039FD">
        <w:rPr>
          <w:rFonts w:ascii="Arial" w:hAnsi="Arial" w:cs="Arial"/>
          <w:sz w:val="20"/>
          <w:szCs w:val="24"/>
        </w:rPr>
        <w:t>Walford</w:t>
      </w:r>
      <w:proofErr w:type="spellEnd"/>
      <w:r w:rsidRPr="001039FD">
        <w:rPr>
          <w:rFonts w:ascii="Arial" w:hAnsi="Arial" w:cs="Arial"/>
          <w:sz w:val="20"/>
          <w:szCs w:val="24"/>
        </w:rPr>
        <w:t>, (Cambridge: James Clark &amp; Co., 2000) p. 467</w:t>
      </w:r>
      <w:r>
        <w:rPr>
          <w:rFonts w:ascii="Arial" w:hAnsi="Arial" w:cs="Arial"/>
          <w:sz w:val="20"/>
          <w:szCs w:val="24"/>
        </w:rPr>
        <w:t>, (p.467)</w:t>
      </w:r>
    </w:p>
  </w:footnote>
  <w:footnote w:id="3">
    <w:p w:rsidR="00F22BB2" w:rsidRPr="00777EB1" w:rsidRDefault="00F22BB2">
      <w:pPr>
        <w:pStyle w:val="FootnoteText"/>
        <w:rPr>
          <w:lang w:val="en-US"/>
        </w:rPr>
      </w:pPr>
      <w:r>
        <w:rPr>
          <w:rStyle w:val="FootnoteReference"/>
        </w:rPr>
        <w:footnoteRef/>
      </w:r>
      <w:r>
        <w:t xml:space="preserve"> </w:t>
      </w:r>
      <w:r w:rsidR="001A23BF">
        <w:rPr>
          <w:rFonts w:ascii="Arial" w:hAnsi="Arial" w:cs="Arial"/>
          <w:color w:val="000000"/>
        </w:rPr>
        <w:t>Farmer,</w:t>
      </w:r>
      <w:r w:rsidR="001A23BF" w:rsidRPr="00777EB1">
        <w:rPr>
          <w:rFonts w:ascii="Arial" w:hAnsi="Arial" w:cs="Arial"/>
          <w:color w:val="000000"/>
        </w:rPr>
        <w:t xml:space="preserve"> "Edmund." In </w:t>
      </w:r>
      <w:r w:rsidR="001A23BF" w:rsidRPr="00777EB1">
        <w:rPr>
          <w:rStyle w:val="Emphasis"/>
          <w:rFonts w:ascii="Arial" w:hAnsi="Arial" w:cs="Arial"/>
          <w:color w:val="000000"/>
        </w:rPr>
        <w:t>The Oxford Dictionary of Saints</w:t>
      </w:r>
      <w:r w:rsidR="001A23BF" w:rsidRPr="00777EB1">
        <w:rPr>
          <w:rFonts w:ascii="Arial" w:hAnsi="Arial" w:cs="Arial"/>
          <w:color w:val="000000"/>
        </w:rPr>
        <w:t>.</w:t>
      </w:r>
      <w:r w:rsidR="001A23BF">
        <w:rPr>
          <w:rFonts w:ascii="Arial" w:hAnsi="Arial" w:cs="Arial"/>
          <w:color w:val="000000"/>
        </w:rPr>
        <w:t>(2011)</w:t>
      </w:r>
    </w:p>
  </w:footnote>
  <w:footnote w:id="4">
    <w:p w:rsidR="00F22BB2" w:rsidRPr="006B43A7" w:rsidRDefault="00F22BB2" w:rsidP="006B43A7">
      <w:pPr>
        <w:rPr>
          <w:rFonts w:ascii="Arial" w:hAnsi="Arial" w:cs="Arial"/>
          <w:sz w:val="24"/>
          <w:szCs w:val="24"/>
        </w:rPr>
      </w:pPr>
      <w:r>
        <w:rPr>
          <w:rStyle w:val="FootnoteReference"/>
        </w:rPr>
        <w:footnoteRef/>
      </w:r>
      <w:r>
        <w:t xml:space="preserve"> David </w:t>
      </w:r>
      <w:proofErr w:type="spellStart"/>
      <w:r w:rsidRPr="006B43A7">
        <w:rPr>
          <w:rFonts w:ascii="Arial" w:hAnsi="Arial" w:cs="Arial"/>
          <w:sz w:val="20"/>
          <w:szCs w:val="24"/>
        </w:rPr>
        <w:t>Rollanson</w:t>
      </w:r>
      <w:proofErr w:type="spellEnd"/>
      <w:r>
        <w:rPr>
          <w:rFonts w:ascii="Arial" w:hAnsi="Arial" w:cs="Arial"/>
          <w:sz w:val="20"/>
          <w:szCs w:val="24"/>
        </w:rPr>
        <w:t>,</w:t>
      </w:r>
      <w:r w:rsidRPr="006B43A7">
        <w:rPr>
          <w:rFonts w:ascii="Arial" w:hAnsi="Arial" w:cs="Arial"/>
          <w:sz w:val="20"/>
          <w:szCs w:val="24"/>
        </w:rPr>
        <w:t xml:space="preserve"> </w:t>
      </w:r>
      <w:r w:rsidRPr="006B43A7">
        <w:rPr>
          <w:rFonts w:ascii="Arial" w:hAnsi="Arial" w:cs="Arial"/>
          <w:i/>
          <w:sz w:val="20"/>
          <w:szCs w:val="24"/>
        </w:rPr>
        <w:t>Saints and Relics in Anglo-Saxon England,</w:t>
      </w:r>
      <w:r w:rsidRPr="006B43A7">
        <w:rPr>
          <w:rFonts w:ascii="Arial" w:hAnsi="Arial" w:cs="Arial"/>
          <w:sz w:val="20"/>
          <w:szCs w:val="24"/>
        </w:rPr>
        <w:t xml:space="preserve"> (Oxford: Basil Blackwell, 1989)</w:t>
      </w:r>
      <w:r>
        <w:rPr>
          <w:rFonts w:ascii="Arial" w:hAnsi="Arial" w:cs="Arial"/>
          <w:sz w:val="20"/>
          <w:szCs w:val="24"/>
        </w:rPr>
        <w:t>, p. 155</w:t>
      </w:r>
    </w:p>
  </w:footnote>
  <w:footnote w:id="5">
    <w:p w:rsidR="00F22BB2" w:rsidRPr="001A23BF" w:rsidRDefault="00F22BB2" w:rsidP="001A23BF">
      <w:pPr>
        <w:pStyle w:val="FootnoteText"/>
        <w:rPr>
          <w:lang w:val="en-US"/>
        </w:rPr>
      </w:pPr>
      <w:r w:rsidRPr="00777EB1">
        <w:rPr>
          <w:rStyle w:val="FootnoteReference"/>
        </w:rPr>
        <w:footnoteRef/>
      </w:r>
      <w:r>
        <w:rPr>
          <w:rFonts w:ascii="Arial" w:hAnsi="Arial" w:cs="Arial"/>
          <w:color w:val="000000"/>
        </w:rPr>
        <w:t xml:space="preserve"> </w:t>
      </w:r>
      <w:r w:rsidR="001A23BF">
        <w:rPr>
          <w:rFonts w:ascii="Arial" w:hAnsi="Arial" w:cs="Arial"/>
          <w:color w:val="000000"/>
        </w:rPr>
        <w:t>Farmer,</w:t>
      </w:r>
      <w:r w:rsidR="001A23BF" w:rsidRPr="00777EB1">
        <w:rPr>
          <w:rFonts w:ascii="Arial" w:hAnsi="Arial" w:cs="Arial"/>
          <w:color w:val="000000"/>
        </w:rPr>
        <w:t xml:space="preserve"> "Edmund." In </w:t>
      </w:r>
      <w:r w:rsidR="001A23BF" w:rsidRPr="00777EB1">
        <w:rPr>
          <w:rStyle w:val="Emphasis"/>
          <w:rFonts w:ascii="Arial" w:hAnsi="Arial" w:cs="Arial"/>
          <w:color w:val="000000"/>
        </w:rPr>
        <w:t>The Oxford Dictionary of Saints</w:t>
      </w:r>
      <w:r w:rsidR="001A23BF" w:rsidRPr="00777EB1">
        <w:rPr>
          <w:rFonts w:ascii="Arial" w:hAnsi="Arial" w:cs="Arial"/>
          <w:color w:val="000000"/>
        </w:rPr>
        <w:t>.</w:t>
      </w:r>
      <w:r w:rsidR="001A23BF">
        <w:rPr>
          <w:rFonts w:ascii="Arial" w:hAnsi="Arial" w:cs="Arial"/>
          <w:color w:val="000000"/>
        </w:rPr>
        <w:t>(2011)</w:t>
      </w:r>
      <w:r>
        <w:t xml:space="preserve"> </w:t>
      </w:r>
    </w:p>
  </w:footnote>
  <w:footnote w:id="6">
    <w:p w:rsidR="001A23BF" w:rsidRPr="001A23BF" w:rsidRDefault="001A23BF">
      <w:pPr>
        <w:pStyle w:val="FootnoteText"/>
        <w:rPr>
          <w:lang w:val="en-US"/>
        </w:rPr>
      </w:pPr>
      <w:r>
        <w:rPr>
          <w:rStyle w:val="FootnoteReference"/>
        </w:rPr>
        <w:footnoteRef/>
      </w:r>
      <w:r>
        <w:t xml:space="preserve"> </w:t>
      </w:r>
      <w:r w:rsidR="003A2A68">
        <w:rPr>
          <w:rFonts w:ascii="Arial" w:hAnsi="Arial" w:cs="Arial"/>
          <w:color w:val="000000"/>
        </w:rPr>
        <w:t>Farmer,</w:t>
      </w:r>
      <w:r w:rsidR="003A2A68" w:rsidRPr="00777EB1">
        <w:rPr>
          <w:rFonts w:ascii="Arial" w:hAnsi="Arial" w:cs="Arial"/>
          <w:color w:val="000000"/>
        </w:rPr>
        <w:t xml:space="preserve"> "Edmund." In </w:t>
      </w:r>
      <w:r w:rsidR="003A2A68" w:rsidRPr="00777EB1">
        <w:rPr>
          <w:rStyle w:val="Emphasis"/>
          <w:rFonts w:ascii="Arial" w:hAnsi="Arial" w:cs="Arial"/>
          <w:color w:val="000000"/>
        </w:rPr>
        <w:t>The Oxford Dictionary of Saints</w:t>
      </w:r>
      <w:r w:rsidR="003A2A68" w:rsidRPr="00777EB1">
        <w:rPr>
          <w:rFonts w:ascii="Arial" w:hAnsi="Arial" w:cs="Arial"/>
          <w:color w:val="000000"/>
        </w:rPr>
        <w:t>.</w:t>
      </w:r>
      <w:r w:rsidR="003A2A68">
        <w:rPr>
          <w:rFonts w:ascii="Arial" w:hAnsi="Arial" w:cs="Arial"/>
          <w:color w:val="000000"/>
        </w:rPr>
        <w:t>(2011)</w:t>
      </w:r>
    </w:p>
  </w:footnote>
  <w:footnote w:id="7">
    <w:p w:rsidR="00F22BB2" w:rsidRPr="008B0BCD" w:rsidRDefault="00F22BB2" w:rsidP="008B0BCD">
      <w:pPr>
        <w:rPr>
          <w:rFonts w:ascii="Arial" w:hAnsi="Arial" w:cs="Arial"/>
          <w:sz w:val="24"/>
          <w:szCs w:val="24"/>
        </w:rPr>
      </w:pPr>
      <w:r>
        <w:rPr>
          <w:rStyle w:val="FootnoteReference"/>
        </w:rPr>
        <w:footnoteRef/>
      </w:r>
      <w:r>
        <w:t xml:space="preserve"> </w:t>
      </w:r>
      <w:proofErr w:type="spellStart"/>
      <w:r>
        <w:rPr>
          <w:rFonts w:ascii="Arial" w:hAnsi="Arial" w:cs="Arial"/>
          <w:sz w:val="20"/>
          <w:szCs w:val="24"/>
        </w:rPr>
        <w:t>Rollanson</w:t>
      </w:r>
      <w:proofErr w:type="spellEnd"/>
      <w:r>
        <w:rPr>
          <w:rFonts w:ascii="Arial" w:hAnsi="Arial" w:cs="Arial"/>
          <w:sz w:val="20"/>
          <w:szCs w:val="24"/>
        </w:rPr>
        <w:t>,</w:t>
      </w:r>
      <w:r w:rsidRPr="006B43A7">
        <w:rPr>
          <w:rFonts w:ascii="Arial" w:hAnsi="Arial" w:cs="Arial"/>
          <w:sz w:val="20"/>
          <w:szCs w:val="24"/>
        </w:rPr>
        <w:t xml:space="preserve"> </w:t>
      </w:r>
      <w:r w:rsidRPr="006B43A7">
        <w:rPr>
          <w:rFonts w:ascii="Arial" w:hAnsi="Arial" w:cs="Arial"/>
          <w:i/>
          <w:sz w:val="20"/>
          <w:szCs w:val="24"/>
        </w:rPr>
        <w:t>Saints and Relics in Anglo-Saxon England,</w:t>
      </w:r>
      <w:r w:rsidRPr="006B43A7">
        <w:rPr>
          <w:rFonts w:ascii="Arial" w:hAnsi="Arial" w:cs="Arial"/>
          <w:sz w:val="20"/>
          <w:szCs w:val="24"/>
        </w:rPr>
        <w:t xml:space="preserve"> </w:t>
      </w:r>
      <w:r>
        <w:rPr>
          <w:rFonts w:ascii="Arial" w:hAnsi="Arial" w:cs="Arial"/>
          <w:sz w:val="20"/>
          <w:szCs w:val="24"/>
        </w:rPr>
        <w:t>(</w:t>
      </w:r>
      <w:r w:rsidRPr="006B43A7">
        <w:rPr>
          <w:rFonts w:ascii="Arial" w:hAnsi="Arial" w:cs="Arial"/>
          <w:sz w:val="20"/>
          <w:szCs w:val="24"/>
        </w:rPr>
        <w:t>1989)</w:t>
      </w:r>
      <w:r>
        <w:rPr>
          <w:rFonts w:ascii="Arial" w:hAnsi="Arial" w:cs="Arial"/>
          <w:sz w:val="20"/>
          <w:szCs w:val="24"/>
        </w:rPr>
        <w:t>, p. 155</w:t>
      </w:r>
    </w:p>
  </w:footnote>
  <w:footnote w:id="8">
    <w:p w:rsidR="00F22BB2" w:rsidRPr="00965ABD" w:rsidRDefault="00F22BB2">
      <w:pPr>
        <w:pStyle w:val="FootnoteText"/>
        <w:rPr>
          <w:i/>
          <w:lang w:val="en-US"/>
        </w:rPr>
      </w:pPr>
      <w:r>
        <w:rPr>
          <w:rStyle w:val="FootnoteReference"/>
        </w:rPr>
        <w:footnoteRef/>
      </w:r>
      <w:r>
        <w:t xml:space="preserve"> </w:t>
      </w:r>
      <w:r>
        <w:rPr>
          <w:i/>
          <w:lang w:val="en-US"/>
        </w:rPr>
        <w:t>Ibid. p. 155</w:t>
      </w:r>
    </w:p>
  </w:footnote>
  <w:footnote w:id="9">
    <w:p w:rsidR="00F22BB2" w:rsidRPr="00965ABD" w:rsidRDefault="00F22BB2" w:rsidP="00965ABD">
      <w:pPr>
        <w:rPr>
          <w:rFonts w:ascii="Arial" w:hAnsi="Arial" w:cs="Arial"/>
          <w:sz w:val="24"/>
          <w:szCs w:val="24"/>
        </w:rPr>
      </w:pPr>
      <w:r>
        <w:rPr>
          <w:rStyle w:val="FootnoteReference"/>
        </w:rPr>
        <w:footnoteRef/>
      </w:r>
      <w:r>
        <w:t xml:space="preserve"> </w:t>
      </w:r>
      <w:proofErr w:type="spellStart"/>
      <w:r>
        <w:rPr>
          <w:rFonts w:ascii="Arial" w:hAnsi="Arial" w:cs="Arial"/>
          <w:sz w:val="20"/>
          <w:szCs w:val="24"/>
        </w:rPr>
        <w:t>Rollanson</w:t>
      </w:r>
      <w:proofErr w:type="spellEnd"/>
      <w:r>
        <w:rPr>
          <w:rFonts w:ascii="Arial" w:hAnsi="Arial" w:cs="Arial"/>
          <w:sz w:val="20"/>
          <w:szCs w:val="24"/>
        </w:rPr>
        <w:t>,</w:t>
      </w:r>
      <w:r w:rsidRPr="006B43A7">
        <w:rPr>
          <w:rFonts w:ascii="Arial" w:hAnsi="Arial" w:cs="Arial"/>
          <w:sz w:val="20"/>
          <w:szCs w:val="24"/>
        </w:rPr>
        <w:t xml:space="preserve"> </w:t>
      </w:r>
      <w:r w:rsidRPr="006B43A7">
        <w:rPr>
          <w:rFonts w:ascii="Arial" w:hAnsi="Arial" w:cs="Arial"/>
          <w:i/>
          <w:sz w:val="20"/>
          <w:szCs w:val="24"/>
        </w:rPr>
        <w:t>Saints and Relics in Anglo-Saxon England,</w:t>
      </w:r>
      <w:r w:rsidRPr="006B43A7">
        <w:rPr>
          <w:rFonts w:ascii="Arial" w:hAnsi="Arial" w:cs="Arial"/>
          <w:sz w:val="20"/>
          <w:szCs w:val="24"/>
        </w:rPr>
        <w:t xml:space="preserve"> </w:t>
      </w:r>
      <w:r>
        <w:rPr>
          <w:rFonts w:ascii="Arial" w:hAnsi="Arial" w:cs="Arial"/>
          <w:sz w:val="20"/>
          <w:szCs w:val="24"/>
        </w:rPr>
        <w:t>(</w:t>
      </w:r>
      <w:r w:rsidRPr="006B43A7">
        <w:rPr>
          <w:rFonts w:ascii="Arial" w:hAnsi="Arial" w:cs="Arial"/>
          <w:sz w:val="20"/>
          <w:szCs w:val="24"/>
        </w:rPr>
        <w:t>1989)</w:t>
      </w:r>
      <w:r>
        <w:rPr>
          <w:rFonts w:ascii="Arial" w:hAnsi="Arial" w:cs="Arial"/>
          <w:sz w:val="20"/>
          <w:szCs w:val="24"/>
        </w:rPr>
        <w:t>, p. 155</w:t>
      </w:r>
    </w:p>
  </w:footnote>
  <w:footnote w:id="10">
    <w:p w:rsidR="00F22BB2" w:rsidRPr="00DF61BC" w:rsidRDefault="00F22BB2" w:rsidP="00DF61BC">
      <w:pPr>
        <w:rPr>
          <w:rFonts w:ascii="Arial" w:hAnsi="Arial" w:cs="Arial"/>
          <w:sz w:val="24"/>
          <w:szCs w:val="24"/>
        </w:rPr>
      </w:pPr>
      <w:r>
        <w:rPr>
          <w:rStyle w:val="FootnoteReference"/>
        </w:rPr>
        <w:footnoteRef/>
      </w:r>
      <w:r>
        <w:t xml:space="preserve"> </w:t>
      </w:r>
      <w:r w:rsidRPr="00DF61BC">
        <w:rPr>
          <w:rFonts w:ascii="Arial" w:hAnsi="Arial" w:cs="Arial"/>
          <w:sz w:val="20"/>
          <w:szCs w:val="24"/>
        </w:rPr>
        <w:t>Joe</w:t>
      </w:r>
      <w:r>
        <w:rPr>
          <w:rFonts w:ascii="Arial" w:hAnsi="Arial" w:cs="Arial"/>
          <w:sz w:val="20"/>
          <w:szCs w:val="24"/>
        </w:rPr>
        <w:t xml:space="preserve"> Nickell</w:t>
      </w:r>
      <w:r w:rsidRPr="00DF61BC">
        <w:rPr>
          <w:rFonts w:ascii="Arial" w:hAnsi="Arial" w:cs="Arial"/>
          <w:sz w:val="20"/>
          <w:szCs w:val="24"/>
        </w:rPr>
        <w:t xml:space="preserve">, </w:t>
      </w:r>
      <w:r w:rsidRPr="00DF61BC">
        <w:rPr>
          <w:rFonts w:ascii="Arial" w:hAnsi="Arial" w:cs="Arial"/>
          <w:i/>
          <w:sz w:val="20"/>
          <w:szCs w:val="24"/>
        </w:rPr>
        <w:t>Looking for a Miracle: Weeping Icons, Relics, Stigmata, Visions and Healing Cures,</w:t>
      </w:r>
      <w:r w:rsidRPr="00DF61BC">
        <w:rPr>
          <w:rFonts w:ascii="Arial" w:hAnsi="Arial" w:cs="Arial"/>
          <w:sz w:val="20"/>
          <w:szCs w:val="24"/>
        </w:rPr>
        <w:t xml:space="preserve"> (New York: Prometheus Books, 1993)</w:t>
      </w:r>
      <w:r>
        <w:rPr>
          <w:rFonts w:ascii="Arial" w:hAnsi="Arial" w:cs="Arial"/>
          <w:sz w:val="20"/>
          <w:szCs w:val="24"/>
        </w:rPr>
        <w:t>, p. 73</w:t>
      </w:r>
    </w:p>
  </w:footnote>
  <w:footnote w:id="11">
    <w:p w:rsidR="00F22BB2" w:rsidRPr="00EC4AAA" w:rsidRDefault="00F22BB2" w:rsidP="00EC4AAA">
      <w:pPr>
        <w:rPr>
          <w:rFonts w:ascii="Arial" w:hAnsi="Arial" w:cs="Arial"/>
          <w:sz w:val="24"/>
          <w:szCs w:val="24"/>
        </w:rPr>
      </w:pPr>
      <w:r>
        <w:rPr>
          <w:rStyle w:val="FootnoteReference"/>
        </w:rPr>
        <w:footnoteRef/>
      </w:r>
      <w:r>
        <w:t xml:space="preserve"> </w:t>
      </w:r>
      <w:r>
        <w:rPr>
          <w:rFonts w:ascii="Arial" w:hAnsi="Arial" w:cs="Arial"/>
          <w:sz w:val="20"/>
          <w:szCs w:val="20"/>
        </w:rPr>
        <w:t xml:space="preserve">J. A. Simpson, </w:t>
      </w:r>
      <w:r w:rsidRPr="00EC4AAA">
        <w:rPr>
          <w:rFonts w:ascii="Arial" w:hAnsi="Arial" w:cs="Arial"/>
          <w:sz w:val="20"/>
          <w:szCs w:val="20"/>
        </w:rPr>
        <w:t xml:space="preserve">and E.S.C. Weiner, (eds.), </w:t>
      </w:r>
      <w:r w:rsidRPr="00EC4AAA">
        <w:rPr>
          <w:rFonts w:ascii="Arial" w:hAnsi="Arial" w:cs="Arial"/>
          <w:i/>
          <w:sz w:val="20"/>
          <w:szCs w:val="20"/>
        </w:rPr>
        <w:t>The Oxford English Dictionary: Volume XIV Rob-</w:t>
      </w:r>
      <w:proofErr w:type="spellStart"/>
      <w:r w:rsidRPr="00EC4AAA">
        <w:rPr>
          <w:rFonts w:ascii="Arial" w:hAnsi="Arial" w:cs="Arial"/>
          <w:i/>
          <w:sz w:val="20"/>
          <w:szCs w:val="20"/>
        </w:rPr>
        <w:t>Sequyle</w:t>
      </w:r>
      <w:proofErr w:type="spellEnd"/>
      <w:r w:rsidRPr="00EC4AAA">
        <w:rPr>
          <w:rFonts w:ascii="Arial" w:hAnsi="Arial" w:cs="Arial"/>
          <w:i/>
          <w:sz w:val="20"/>
          <w:szCs w:val="20"/>
        </w:rPr>
        <w:t>,</w:t>
      </w:r>
      <w:r w:rsidRPr="00EC4AAA">
        <w:rPr>
          <w:rFonts w:ascii="Arial" w:hAnsi="Arial" w:cs="Arial"/>
          <w:sz w:val="20"/>
          <w:szCs w:val="20"/>
        </w:rPr>
        <w:t xml:space="preserve"> 2</w:t>
      </w:r>
      <w:r w:rsidRPr="00EC4AAA">
        <w:rPr>
          <w:rFonts w:ascii="Arial" w:hAnsi="Arial" w:cs="Arial"/>
          <w:sz w:val="20"/>
          <w:szCs w:val="20"/>
          <w:vertAlign w:val="superscript"/>
        </w:rPr>
        <w:t>nd</w:t>
      </w:r>
      <w:r w:rsidRPr="00EC4AAA">
        <w:rPr>
          <w:rFonts w:ascii="Arial" w:hAnsi="Arial" w:cs="Arial"/>
          <w:sz w:val="20"/>
          <w:szCs w:val="20"/>
        </w:rPr>
        <w:t xml:space="preserve"> </w:t>
      </w:r>
      <w:proofErr w:type="spellStart"/>
      <w:r w:rsidRPr="00EC4AAA">
        <w:rPr>
          <w:rFonts w:ascii="Arial" w:hAnsi="Arial" w:cs="Arial"/>
          <w:sz w:val="20"/>
          <w:szCs w:val="20"/>
        </w:rPr>
        <w:t>edn</w:t>
      </w:r>
      <w:proofErr w:type="spellEnd"/>
      <w:r w:rsidRPr="00EC4AAA">
        <w:rPr>
          <w:rFonts w:ascii="Arial" w:hAnsi="Arial" w:cs="Arial"/>
          <w:sz w:val="20"/>
          <w:szCs w:val="20"/>
        </w:rPr>
        <w:t>., (Oxford, Clarendon Press, 1989) pp. 377-379</w:t>
      </w:r>
    </w:p>
  </w:footnote>
  <w:footnote w:id="12">
    <w:p w:rsidR="00F22BB2" w:rsidRPr="00DF61BC" w:rsidRDefault="00F22BB2" w:rsidP="00EC4AAA">
      <w:pPr>
        <w:rPr>
          <w:rFonts w:ascii="Arial" w:hAnsi="Arial" w:cs="Arial"/>
          <w:sz w:val="20"/>
          <w:szCs w:val="20"/>
        </w:rPr>
      </w:pPr>
      <w:r>
        <w:rPr>
          <w:rStyle w:val="FootnoteReference"/>
        </w:rPr>
        <w:footnoteRef/>
      </w:r>
      <w:r>
        <w:t xml:space="preserve"> </w:t>
      </w:r>
      <w:r w:rsidRPr="00DF61BC">
        <w:rPr>
          <w:rFonts w:ascii="Arial" w:hAnsi="Arial" w:cs="Arial"/>
          <w:sz w:val="20"/>
          <w:szCs w:val="20"/>
        </w:rPr>
        <w:t xml:space="preserve">J. A. Simpson, and E.S.C. Weiner, (eds.), </w:t>
      </w:r>
      <w:r w:rsidRPr="00DF61BC">
        <w:rPr>
          <w:rFonts w:ascii="Arial" w:hAnsi="Arial" w:cs="Arial"/>
          <w:i/>
          <w:sz w:val="20"/>
          <w:szCs w:val="20"/>
        </w:rPr>
        <w:t>The Oxford English Dictionary: Volume IX Look-</w:t>
      </w:r>
      <w:proofErr w:type="spellStart"/>
      <w:r w:rsidRPr="00DF61BC">
        <w:rPr>
          <w:rFonts w:ascii="Arial" w:hAnsi="Arial" w:cs="Arial"/>
          <w:i/>
          <w:sz w:val="20"/>
          <w:szCs w:val="20"/>
        </w:rPr>
        <w:t>Mouke</w:t>
      </w:r>
      <w:proofErr w:type="spellEnd"/>
      <w:r w:rsidRPr="00DF61BC">
        <w:rPr>
          <w:rFonts w:ascii="Arial" w:hAnsi="Arial" w:cs="Arial"/>
          <w:i/>
          <w:sz w:val="20"/>
          <w:szCs w:val="20"/>
        </w:rPr>
        <w:t>,</w:t>
      </w:r>
      <w:r w:rsidRPr="00DF61BC">
        <w:rPr>
          <w:rFonts w:ascii="Arial" w:hAnsi="Arial" w:cs="Arial"/>
          <w:sz w:val="20"/>
          <w:szCs w:val="20"/>
        </w:rPr>
        <w:t xml:space="preserve"> 2</w:t>
      </w:r>
      <w:r w:rsidRPr="00DF61BC">
        <w:rPr>
          <w:rFonts w:ascii="Arial" w:hAnsi="Arial" w:cs="Arial"/>
          <w:sz w:val="20"/>
          <w:szCs w:val="20"/>
          <w:vertAlign w:val="superscript"/>
        </w:rPr>
        <w:t>nd</w:t>
      </w:r>
      <w:r w:rsidRPr="00DF61BC">
        <w:rPr>
          <w:rFonts w:ascii="Arial" w:hAnsi="Arial" w:cs="Arial"/>
          <w:sz w:val="20"/>
          <w:szCs w:val="20"/>
        </w:rPr>
        <w:t xml:space="preserve"> </w:t>
      </w:r>
      <w:proofErr w:type="spellStart"/>
      <w:r w:rsidRPr="00DF61BC">
        <w:rPr>
          <w:rFonts w:ascii="Arial" w:hAnsi="Arial" w:cs="Arial"/>
          <w:sz w:val="20"/>
          <w:szCs w:val="20"/>
        </w:rPr>
        <w:t>edn</w:t>
      </w:r>
      <w:proofErr w:type="spellEnd"/>
      <w:r w:rsidRPr="00DF61BC">
        <w:rPr>
          <w:rFonts w:ascii="Arial" w:hAnsi="Arial" w:cs="Arial"/>
          <w:sz w:val="20"/>
          <w:szCs w:val="20"/>
        </w:rPr>
        <w:t>., (Oxford: Clarendon Press, 1989) pp. 413-414</w:t>
      </w:r>
    </w:p>
  </w:footnote>
  <w:footnote w:id="13">
    <w:p w:rsidR="00F22BB2" w:rsidRPr="00DF61BC" w:rsidRDefault="00F22BB2" w:rsidP="00DF61BC">
      <w:pPr>
        <w:rPr>
          <w:rFonts w:ascii="Arial" w:hAnsi="Arial" w:cs="Arial"/>
          <w:sz w:val="24"/>
          <w:szCs w:val="24"/>
        </w:rPr>
      </w:pPr>
      <w:r>
        <w:rPr>
          <w:rStyle w:val="FootnoteReference"/>
        </w:rPr>
        <w:footnoteRef/>
      </w:r>
      <w:r>
        <w:t xml:space="preserve"> </w:t>
      </w:r>
      <w:r w:rsidRPr="00DF61BC">
        <w:rPr>
          <w:rFonts w:ascii="Arial" w:hAnsi="Arial" w:cs="Arial"/>
          <w:sz w:val="20"/>
          <w:szCs w:val="24"/>
        </w:rPr>
        <w:t xml:space="preserve">Nickell, </w:t>
      </w:r>
      <w:r w:rsidRPr="00DF61BC">
        <w:rPr>
          <w:rFonts w:ascii="Arial" w:hAnsi="Arial" w:cs="Arial"/>
          <w:i/>
          <w:sz w:val="20"/>
          <w:szCs w:val="24"/>
        </w:rPr>
        <w:t>Looking for a Miracle,</w:t>
      </w:r>
      <w:r>
        <w:rPr>
          <w:rFonts w:ascii="Arial" w:hAnsi="Arial" w:cs="Arial"/>
          <w:sz w:val="20"/>
          <w:szCs w:val="24"/>
        </w:rPr>
        <w:t xml:space="preserve"> (</w:t>
      </w:r>
      <w:r w:rsidRPr="00DF61BC">
        <w:rPr>
          <w:rFonts w:ascii="Arial" w:hAnsi="Arial" w:cs="Arial"/>
          <w:sz w:val="20"/>
          <w:szCs w:val="24"/>
        </w:rPr>
        <w:t>1993)</w:t>
      </w:r>
      <w:r>
        <w:rPr>
          <w:rFonts w:ascii="Arial" w:hAnsi="Arial" w:cs="Arial"/>
          <w:sz w:val="20"/>
          <w:szCs w:val="24"/>
        </w:rPr>
        <w:t>, p. 74</w:t>
      </w:r>
    </w:p>
  </w:footnote>
  <w:footnote w:id="14">
    <w:p w:rsidR="00F22BB2" w:rsidRPr="004F02ED" w:rsidRDefault="00F22BB2" w:rsidP="004F02ED">
      <w:pPr>
        <w:rPr>
          <w:rFonts w:ascii="Arial" w:hAnsi="Arial" w:cs="Arial"/>
          <w:sz w:val="24"/>
          <w:szCs w:val="24"/>
        </w:rPr>
      </w:pPr>
      <w:r>
        <w:rPr>
          <w:rStyle w:val="FootnoteReference"/>
        </w:rPr>
        <w:footnoteRef/>
      </w:r>
      <w:r>
        <w:t xml:space="preserve"> </w:t>
      </w:r>
      <w:r w:rsidRPr="00DF61BC">
        <w:rPr>
          <w:rFonts w:ascii="Arial" w:hAnsi="Arial" w:cs="Arial"/>
          <w:sz w:val="20"/>
          <w:szCs w:val="24"/>
        </w:rPr>
        <w:t xml:space="preserve">Nickell, </w:t>
      </w:r>
      <w:r w:rsidRPr="00DF61BC">
        <w:rPr>
          <w:rFonts w:ascii="Arial" w:hAnsi="Arial" w:cs="Arial"/>
          <w:i/>
          <w:sz w:val="20"/>
          <w:szCs w:val="24"/>
        </w:rPr>
        <w:t>Looking for a Miracle,</w:t>
      </w:r>
      <w:r>
        <w:rPr>
          <w:rFonts w:ascii="Arial" w:hAnsi="Arial" w:cs="Arial"/>
          <w:sz w:val="20"/>
          <w:szCs w:val="24"/>
        </w:rPr>
        <w:t xml:space="preserve"> (</w:t>
      </w:r>
      <w:r w:rsidRPr="00DF61BC">
        <w:rPr>
          <w:rFonts w:ascii="Arial" w:hAnsi="Arial" w:cs="Arial"/>
          <w:sz w:val="20"/>
          <w:szCs w:val="24"/>
        </w:rPr>
        <w:t>1993)</w:t>
      </w:r>
      <w:r>
        <w:rPr>
          <w:rFonts w:ascii="Arial" w:hAnsi="Arial" w:cs="Arial"/>
          <w:sz w:val="20"/>
          <w:szCs w:val="24"/>
        </w:rPr>
        <w:t>, p. 74</w:t>
      </w:r>
    </w:p>
  </w:footnote>
  <w:footnote w:id="15">
    <w:p w:rsidR="00F22BB2" w:rsidRPr="00844CB7" w:rsidRDefault="00F22BB2" w:rsidP="00844CB7">
      <w:pPr>
        <w:rPr>
          <w:rFonts w:ascii="Arial" w:hAnsi="Arial" w:cs="Arial"/>
          <w:sz w:val="24"/>
          <w:szCs w:val="24"/>
        </w:rPr>
      </w:pPr>
      <w:r>
        <w:rPr>
          <w:rStyle w:val="FootnoteReference"/>
        </w:rPr>
        <w:footnoteRef/>
      </w:r>
      <w:r>
        <w:t xml:space="preserve"> </w:t>
      </w:r>
      <w:proofErr w:type="spellStart"/>
      <w:r>
        <w:rPr>
          <w:rFonts w:ascii="Arial" w:hAnsi="Arial" w:cs="Arial"/>
          <w:sz w:val="20"/>
          <w:szCs w:val="24"/>
        </w:rPr>
        <w:t>Rollanson</w:t>
      </w:r>
      <w:proofErr w:type="spellEnd"/>
      <w:r>
        <w:rPr>
          <w:rFonts w:ascii="Arial" w:hAnsi="Arial" w:cs="Arial"/>
          <w:sz w:val="20"/>
          <w:szCs w:val="24"/>
        </w:rPr>
        <w:t>,</w:t>
      </w:r>
      <w:r w:rsidRPr="006B43A7">
        <w:rPr>
          <w:rFonts w:ascii="Arial" w:hAnsi="Arial" w:cs="Arial"/>
          <w:sz w:val="20"/>
          <w:szCs w:val="24"/>
        </w:rPr>
        <w:t xml:space="preserve"> </w:t>
      </w:r>
      <w:r w:rsidRPr="006B43A7">
        <w:rPr>
          <w:rFonts w:ascii="Arial" w:hAnsi="Arial" w:cs="Arial"/>
          <w:i/>
          <w:sz w:val="20"/>
          <w:szCs w:val="24"/>
        </w:rPr>
        <w:t>Saints and Relics in Anglo-Saxon England,</w:t>
      </w:r>
      <w:r w:rsidRPr="006B43A7">
        <w:rPr>
          <w:rFonts w:ascii="Arial" w:hAnsi="Arial" w:cs="Arial"/>
          <w:sz w:val="20"/>
          <w:szCs w:val="24"/>
        </w:rPr>
        <w:t xml:space="preserve"> </w:t>
      </w:r>
      <w:r>
        <w:rPr>
          <w:rFonts w:ascii="Arial" w:hAnsi="Arial" w:cs="Arial"/>
          <w:sz w:val="20"/>
          <w:szCs w:val="24"/>
        </w:rPr>
        <w:t>(</w:t>
      </w:r>
      <w:r w:rsidRPr="006B43A7">
        <w:rPr>
          <w:rFonts w:ascii="Arial" w:hAnsi="Arial" w:cs="Arial"/>
          <w:sz w:val="20"/>
          <w:szCs w:val="24"/>
        </w:rPr>
        <w:t>1989)</w:t>
      </w:r>
      <w:r>
        <w:rPr>
          <w:rFonts w:ascii="Arial" w:hAnsi="Arial" w:cs="Arial"/>
          <w:sz w:val="20"/>
          <w:szCs w:val="24"/>
        </w:rPr>
        <w:t>, p. 155</w:t>
      </w:r>
    </w:p>
  </w:footnote>
  <w:footnote w:id="16">
    <w:p w:rsidR="00F22BB2" w:rsidRPr="00844CB7" w:rsidRDefault="00F22BB2">
      <w:pPr>
        <w:pStyle w:val="FootnoteText"/>
        <w:rPr>
          <w:lang w:val="en-US"/>
        </w:rPr>
      </w:pPr>
      <w:r>
        <w:rPr>
          <w:rStyle w:val="FootnoteReference"/>
        </w:rPr>
        <w:footnoteRef/>
      </w:r>
      <w:r>
        <w:t xml:space="preserve"> </w:t>
      </w:r>
      <w:r>
        <w:rPr>
          <w:rFonts w:ascii="Arial" w:hAnsi="Arial" w:cs="Arial"/>
          <w:color w:val="000000"/>
        </w:rPr>
        <w:t>Farmer,</w:t>
      </w:r>
      <w:r w:rsidRPr="00777EB1">
        <w:rPr>
          <w:rFonts w:ascii="Arial" w:hAnsi="Arial" w:cs="Arial"/>
          <w:color w:val="000000"/>
        </w:rPr>
        <w:t xml:space="preserve"> "Edmund." In </w:t>
      </w:r>
      <w:r w:rsidRPr="00777EB1">
        <w:rPr>
          <w:rStyle w:val="Emphasis"/>
          <w:rFonts w:ascii="Arial" w:hAnsi="Arial" w:cs="Arial"/>
          <w:color w:val="000000"/>
        </w:rPr>
        <w:t>The Oxford Dictionary of Saints</w:t>
      </w:r>
      <w:r w:rsidRPr="00777EB1">
        <w:rPr>
          <w:rFonts w:ascii="Arial" w:hAnsi="Arial" w:cs="Arial"/>
          <w:color w:val="000000"/>
        </w:rPr>
        <w:t>.</w:t>
      </w:r>
      <w:r>
        <w:rPr>
          <w:rFonts w:ascii="Arial" w:hAnsi="Arial" w:cs="Arial"/>
          <w:color w:val="000000"/>
        </w:rPr>
        <w:t>(2011)</w:t>
      </w:r>
    </w:p>
  </w:footnote>
  <w:footnote w:id="17">
    <w:p w:rsidR="00F22BB2" w:rsidRPr="00844CB7" w:rsidRDefault="00F22BB2">
      <w:pPr>
        <w:pStyle w:val="FootnoteText"/>
        <w:rPr>
          <w:lang w:val="en-US"/>
        </w:rPr>
      </w:pPr>
      <w:r>
        <w:rPr>
          <w:rStyle w:val="FootnoteReference"/>
        </w:rPr>
        <w:footnoteRef/>
      </w:r>
      <w:r>
        <w:t xml:space="preserve"> </w:t>
      </w:r>
      <w:r>
        <w:rPr>
          <w:rFonts w:ascii="Arial" w:hAnsi="Arial" w:cs="Arial"/>
          <w:color w:val="000000"/>
        </w:rPr>
        <w:t>Farmer,</w:t>
      </w:r>
      <w:r w:rsidRPr="00777EB1">
        <w:rPr>
          <w:rFonts w:ascii="Arial" w:hAnsi="Arial" w:cs="Arial"/>
          <w:color w:val="000000"/>
        </w:rPr>
        <w:t xml:space="preserve"> "Edmund." In </w:t>
      </w:r>
      <w:r w:rsidRPr="00777EB1">
        <w:rPr>
          <w:rStyle w:val="Emphasis"/>
          <w:rFonts w:ascii="Arial" w:hAnsi="Arial" w:cs="Arial"/>
          <w:color w:val="000000"/>
        </w:rPr>
        <w:t>The Oxford Dictionary of Saints</w:t>
      </w:r>
      <w:r w:rsidRPr="00777EB1">
        <w:rPr>
          <w:rFonts w:ascii="Arial" w:hAnsi="Arial" w:cs="Arial"/>
          <w:color w:val="000000"/>
        </w:rPr>
        <w:t>.</w:t>
      </w:r>
      <w:r>
        <w:rPr>
          <w:rFonts w:ascii="Arial" w:hAnsi="Arial" w:cs="Arial"/>
          <w:color w:val="000000"/>
        </w:rPr>
        <w:t>(2011)</w:t>
      </w:r>
    </w:p>
  </w:footnote>
  <w:footnote w:id="18">
    <w:p w:rsidR="00F22BB2" w:rsidRPr="00844CB7" w:rsidRDefault="00F22BB2" w:rsidP="00844CB7">
      <w:pPr>
        <w:rPr>
          <w:rFonts w:ascii="Arial" w:hAnsi="Arial" w:cs="Arial"/>
          <w:sz w:val="24"/>
          <w:szCs w:val="24"/>
        </w:rPr>
      </w:pPr>
      <w:r>
        <w:rPr>
          <w:rStyle w:val="FootnoteReference"/>
        </w:rPr>
        <w:footnoteRef/>
      </w:r>
      <w:r>
        <w:t xml:space="preserve"> </w:t>
      </w:r>
      <w:proofErr w:type="spellStart"/>
      <w:r>
        <w:rPr>
          <w:rFonts w:ascii="Arial" w:hAnsi="Arial" w:cs="Arial"/>
          <w:sz w:val="20"/>
          <w:szCs w:val="24"/>
        </w:rPr>
        <w:t>Rollanson</w:t>
      </w:r>
      <w:proofErr w:type="spellEnd"/>
      <w:r>
        <w:rPr>
          <w:rFonts w:ascii="Arial" w:hAnsi="Arial" w:cs="Arial"/>
          <w:sz w:val="20"/>
          <w:szCs w:val="24"/>
        </w:rPr>
        <w:t>,</w:t>
      </w:r>
      <w:r w:rsidRPr="006B43A7">
        <w:rPr>
          <w:rFonts w:ascii="Arial" w:hAnsi="Arial" w:cs="Arial"/>
          <w:sz w:val="20"/>
          <w:szCs w:val="24"/>
        </w:rPr>
        <w:t xml:space="preserve"> </w:t>
      </w:r>
      <w:r w:rsidRPr="006B43A7">
        <w:rPr>
          <w:rFonts w:ascii="Arial" w:hAnsi="Arial" w:cs="Arial"/>
          <w:i/>
          <w:sz w:val="20"/>
          <w:szCs w:val="24"/>
        </w:rPr>
        <w:t>Saints and Relics in Anglo-Saxon England,</w:t>
      </w:r>
      <w:r w:rsidRPr="006B43A7">
        <w:rPr>
          <w:rFonts w:ascii="Arial" w:hAnsi="Arial" w:cs="Arial"/>
          <w:sz w:val="20"/>
          <w:szCs w:val="24"/>
        </w:rPr>
        <w:t xml:space="preserve"> </w:t>
      </w:r>
      <w:r>
        <w:rPr>
          <w:rFonts w:ascii="Arial" w:hAnsi="Arial" w:cs="Arial"/>
          <w:sz w:val="20"/>
          <w:szCs w:val="24"/>
        </w:rPr>
        <w:t>(</w:t>
      </w:r>
      <w:r w:rsidRPr="006B43A7">
        <w:rPr>
          <w:rFonts w:ascii="Arial" w:hAnsi="Arial" w:cs="Arial"/>
          <w:sz w:val="20"/>
          <w:szCs w:val="24"/>
        </w:rPr>
        <w:t>1989)</w:t>
      </w:r>
      <w:r>
        <w:rPr>
          <w:rFonts w:ascii="Arial" w:hAnsi="Arial" w:cs="Arial"/>
          <w:sz w:val="20"/>
          <w:szCs w:val="24"/>
        </w:rPr>
        <w:t>, p. 155</w:t>
      </w:r>
    </w:p>
  </w:footnote>
  <w:footnote w:id="19">
    <w:p w:rsidR="00F22BB2" w:rsidRPr="004F02ED" w:rsidRDefault="00F22BB2">
      <w:pPr>
        <w:pStyle w:val="FootnoteText"/>
        <w:rPr>
          <w:lang w:val="en-US"/>
        </w:rPr>
      </w:pPr>
      <w:r>
        <w:rPr>
          <w:rStyle w:val="FootnoteReference"/>
        </w:rPr>
        <w:footnoteRef/>
      </w:r>
      <w:r>
        <w:t xml:space="preserve"> </w:t>
      </w:r>
      <w:proofErr w:type="spellStart"/>
      <w:r>
        <w:rPr>
          <w:rFonts w:ascii="Arial" w:hAnsi="Arial" w:cs="Arial"/>
          <w:szCs w:val="24"/>
        </w:rPr>
        <w:t>Rollanson</w:t>
      </w:r>
      <w:proofErr w:type="spellEnd"/>
      <w:r>
        <w:rPr>
          <w:rFonts w:ascii="Arial" w:hAnsi="Arial" w:cs="Arial"/>
          <w:szCs w:val="24"/>
        </w:rPr>
        <w:t>,</w:t>
      </w:r>
      <w:r w:rsidRPr="006B43A7">
        <w:rPr>
          <w:rFonts w:ascii="Arial" w:hAnsi="Arial" w:cs="Arial"/>
          <w:szCs w:val="24"/>
        </w:rPr>
        <w:t xml:space="preserve"> </w:t>
      </w:r>
      <w:r w:rsidRPr="006B43A7">
        <w:rPr>
          <w:rFonts w:ascii="Arial" w:hAnsi="Arial" w:cs="Arial"/>
          <w:i/>
          <w:szCs w:val="24"/>
        </w:rPr>
        <w:t>Saints and Relics in Anglo-Saxon England,</w:t>
      </w:r>
      <w:r w:rsidRPr="006B43A7">
        <w:rPr>
          <w:rFonts w:ascii="Arial" w:hAnsi="Arial" w:cs="Arial"/>
          <w:szCs w:val="24"/>
        </w:rPr>
        <w:t xml:space="preserve"> </w:t>
      </w:r>
      <w:r>
        <w:rPr>
          <w:rFonts w:ascii="Arial" w:hAnsi="Arial" w:cs="Arial"/>
          <w:szCs w:val="24"/>
        </w:rPr>
        <w:t>(</w:t>
      </w:r>
      <w:r w:rsidRPr="006B43A7">
        <w:rPr>
          <w:rFonts w:ascii="Arial" w:hAnsi="Arial" w:cs="Arial"/>
          <w:szCs w:val="24"/>
        </w:rPr>
        <w:t>1989)</w:t>
      </w:r>
      <w:r>
        <w:rPr>
          <w:rFonts w:ascii="Arial" w:hAnsi="Arial" w:cs="Arial"/>
          <w:szCs w:val="24"/>
        </w:rPr>
        <w:t>, p. 157</w:t>
      </w:r>
    </w:p>
  </w:footnote>
  <w:footnote w:id="20">
    <w:p w:rsidR="00F22BB2" w:rsidRPr="00730435" w:rsidRDefault="00F22BB2">
      <w:pPr>
        <w:pStyle w:val="FootnoteText"/>
        <w:rPr>
          <w:lang w:val="en-US"/>
        </w:rPr>
      </w:pPr>
      <w:r>
        <w:rPr>
          <w:rStyle w:val="FootnoteReference"/>
        </w:rPr>
        <w:footnoteRef/>
      </w:r>
      <w:r>
        <w:t xml:space="preserve"> </w:t>
      </w:r>
      <w:r>
        <w:rPr>
          <w:i/>
          <w:lang w:val="en-US"/>
        </w:rPr>
        <w:t xml:space="preserve">Ibid. </w:t>
      </w:r>
      <w:r w:rsidRPr="00730435">
        <w:rPr>
          <w:lang w:val="en-US"/>
        </w:rPr>
        <w:t>p.156</w:t>
      </w:r>
    </w:p>
  </w:footnote>
  <w:footnote w:id="21">
    <w:p w:rsidR="00F22BB2" w:rsidRPr="00730435" w:rsidRDefault="00F22BB2">
      <w:pPr>
        <w:pStyle w:val="FootnoteText"/>
        <w:rPr>
          <w:i/>
          <w:lang w:val="en-US"/>
        </w:rPr>
      </w:pPr>
      <w:r>
        <w:rPr>
          <w:rStyle w:val="FootnoteReference"/>
        </w:rPr>
        <w:footnoteRef/>
      </w:r>
      <w:r>
        <w:t xml:space="preserve"> </w:t>
      </w:r>
      <w:r>
        <w:rPr>
          <w:i/>
          <w:lang w:val="en-US"/>
        </w:rPr>
        <w:t xml:space="preserve">Ibid. </w:t>
      </w:r>
      <w:r w:rsidRPr="00730435">
        <w:rPr>
          <w:lang w:val="en-US"/>
        </w:rPr>
        <w:t>p.156</w:t>
      </w:r>
    </w:p>
  </w:footnote>
  <w:footnote w:id="22">
    <w:p w:rsidR="00F22BB2" w:rsidRPr="00C372D8" w:rsidRDefault="00F22BB2" w:rsidP="00C372D8">
      <w:pPr>
        <w:rPr>
          <w:rFonts w:ascii="Arial" w:hAnsi="Arial" w:cs="Arial"/>
          <w:sz w:val="24"/>
          <w:szCs w:val="24"/>
          <w:lang w:val="en-US"/>
        </w:rPr>
      </w:pPr>
      <w:r>
        <w:rPr>
          <w:rStyle w:val="FootnoteReference"/>
        </w:rPr>
        <w:footnoteRef/>
      </w:r>
      <w:r>
        <w:t xml:space="preserve"> </w:t>
      </w:r>
      <w:r w:rsidRPr="00C372D8">
        <w:rPr>
          <w:rFonts w:ascii="Arial" w:hAnsi="Arial" w:cs="Arial"/>
          <w:sz w:val="20"/>
          <w:szCs w:val="20"/>
        </w:rPr>
        <w:t xml:space="preserve">Antonia </w:t>
      </w:r>
      <w:proofErr w:type="spellStart"/>
      <w:r w:rsidRPr="00C372D8">
        <w:rPr>
          <w:rFonts w:ascii="Arial" w:hAnsi="Arial" w:cs="Arial"/>
          <w:sz w:val="20"/>
          <w:szCs w:val="20"/>
        </w:rPr>
        <w:t>G</w:t>
      </w:r>
      <w:r>
        <w:rPr>
          <w:rFonts w:ascii="Arial" w:hAnsi="Arial" w:cs="Arial"/>
          <w:sz w:val="20"/>
          <w:szCs w:val="20"/>
        </w:rPr>
        <w:t>ransden</w:t>
      </w:r>
      <w:proofErr w:type="spellEnd"/>
      <w:r>
        <w:rPr>
          <w:rFonts w:ascii="Arial" w:hAnsi="Arial" w:cs="Arial"/>
          <w:sz w:val="20"/>
          <w:szCs w:val="20"/>
        </w:rPr>
        <w:t>,</w:t>
      </w:r>
      <w:r w:rsidRPr="00C372D8">
        <w:rPr>
          <w:rFonts w:ascii="Arial" w:hAnsi="Arial" w:cs="Arial"/>
          <w:sz w:val="20"/>
          <w:szCs w:val="20"/>
        </w:rPr>
        <w:t xml:space="preserve"> </w:t>
      </w:r>
      <w:r w:rsidRPr="00C372D8">
        <w:rPr>
          <w:rFonts w:ascii="Arial" w:hAnsi="Arial" w:cs="Arial"/>
          <w:i/>
          <w:sz w:val="20"/>
          <w:szCs w:val="20"/>
          <w:lang w:val="en-US"/>
        </w:rPr>
        <w:t>Legends, Tradition and History in Medieval England</w:t>
      </w:r>
      <w:r w:rsidRPr="00C372D8">
        <w:rPr>
          <w:rFonts w:ascii="Arial" w:hAnsi="Arial" w:cs="Arial"/>
          <w:sz w:val="20"/>
          <w:szCs w:val="20"/>
          <w:lang w:val="en-US"/>
        </w:rPr>
        <w:t xml:space="preserve">, (London: Bloomsbury Publishing, 2010), </w:t>
      </w:r>
      <w:r w:rsidRPr="00C372D8">
        <w:rPr>
          <w:rFonts w:ascii="Arial" w:hAnsi="Arial" w:cs="Arial"/>
          <w:sz w:val="20"/>
          <w:szCs w:val="20"/>
        </w:rPr>
        <w:t>pp. 82-83</w:t>
      </w:r>
    </w:p>
  </w:footnote>
  <w:footnote w:id="23">
    <w:p w:rsidR="00F22BB2" w:rsidRPr="00C372D8" w:rsidRDefault="00F22BB2">
      <w:pPr>
        <w:pStyle w:val="FootnoteText"/>
        <w:rPr>
          <w:lang w:val="en-US"/>
        </w:rPr>
      </w:pPr>
      <w:r>
        <w:rPr>
          <w:rStyle w:val="FootnoteReference"/>
        </w:rPr>
        <w:footnoteRef/>
      </w:r>
      <w:r>
        <w:t xml:space="preserve"> </w:t>
      </w:r>
      <w:proofErr w:type="spellStart"/>
      <w:r w:rsidRPr="00C372D8">
        <w:rPr>
          <w:rFonts w:ascii="Arial" w:hAnsi="Arial" w:cs="Arial"/>
        </w:rPr>
        <w:t>G</w:t>
      </w:r>
      <w:r>
        <w:rPr>
          <w:rFonts w:ascii="Arial" w:hAnsi="Arial" w:cs="Arial"/>
        </w:rPr>
        <w:t>ransden</w:t>
      </w:r>
      <w:proofErr w:type="spellEnd"/>
      <w:r>
        <w:rPr>
          <w:rFonts w:ascii="Arial" w:hAnsi="Arial" w:cs="Arial"/>
        </w:rPr>
        <w:t>,</w:t>
      </w:r>
      <w:r w:rsidRPr="00C372D8">
        <w:rPr>
          <w:rFonts w:ascii="Arial" w:hAnsi="Arial" w:cs="Arial"/>
        </w:rPr>
        <w:t xml:space="preserve"> </w:t>
      </w:r>
      <w:r w:rsidRPr="00C372D8">
        <w:rPr>
          <w:rFonts w:ascii="Arial" w:hAnsi="Arial" w:cs="Arial"/>
          <w:i/>
          <w:lang w:val="en-US"/>
        </w:rPr>
        <w:t>Legends, Tradition</w:t>
      </w:r>
      <w:r>
        <w:rPr>
          <w:rFonts w:ascii="Arial" w:hAnsi="Arial" w:cs="Arial"/>
          <w:i/>
          <w:lang w:val="en-US"/>
        </w:rPr>
        <w:t xml:space="preserve"> and History in Medieval England, </w:t>
      </w:r>
      <w:r>
        <w:rPr>
          <w:rFonts w:ascii="Arial" w:hAnsi="Arial" w:cs="Arial"/>
          <w:lang w:val="en-US"/>
        </w:rPr>
        <w:t>(</w:t>
      </w:r>
      <w:r w:rsidRPr="00C372D8">
        <w:rPr>
          <w:rFonts w:ascii="Arial" w:hAnsi="Arial" w:cs="Arial"/>
          <w:lang w:val="en-US"/>
        </w:rPr>
        <w:t xml:space="preserve">2010), </w:t>
      </w:r>
      <w:r w:rsidRPr="00C372D8">
        <w:rPr>
          <w:rFonts w:ascii="Arial" w:hAnsi="Arial" w:cs="Arial"/>
        </w:rPr>
        <w:t>p.</w:t>
      </w:r>
      <w:r>
        <w:rPr>
          <w:lang w:val="en-US"/>
        </w:rPr>
        <w:t>83</w:t>
      </w:r>
    </w:p>
  </w:footnote>
  <w:footnote w:id="24">
    <w:p w:rsidR="00F22BB2" w:rsidRPr="00F22BB2" w:rsidRDefault="00F22BB2">
      <w:pPr>
        <w:pStyle w:val="FootnoteText"/>
        <w:rPr>
          <w:lang w:val="en-US"/>
        </w:rPr>
      </w:pPr>
      <w:r>
        <w:rPr>
          <w:rStyle w:val="FootnoteReference"/>
        </w:rPr>
        <w:footnoteRef/>
      </w:r>
      <w:r>
        <w:t xml:space="preserve"> </w:t>
      </w:r>
      <w:r>
        <w:rPr>
          <w:rFonts w:ascii="Arial" w:hAnsi="Arial" w:cs="Arial"/>
          <w:color w:val="000000"/>
        </w:rPr>
        <w:t>Farmer,</w:t>
      </w:r>
      <w:r w:rsidRPr="00777EB1">
        <w:rPr>
          <w:rFonts w:ascii="Arial" w:hAnsi="Arial" w:cs="Arial"/>
          <w:color w:val="000000"/>
        </w:rPr>
        <w:t xml:space="preserve"> "Edmund." In </w:t>
      </w:r>
      <w:r w:rsidRPr="00777EB1">
        <w:rPr>
          <w:rStyle w:val="Emphasis"/>
          <w:rFonts w:ascii="Arial" w:hAnsi="Arial" w:cs="Arial"/>
          <w:color w:val="000000"/>
        </w:rPr>
        <w:t>The Oxford Dictionary of Saints</w:t>
      </w:r>
      <w:r w:rsidRPr="00777EB1">
        <w:rPr>
          <w:rFonts w:ascii="Arial" w:hAnsi="Arial" w:cs="Arial"/>
          <w:color w:val="000000"/>
        </w:rPr>
        <w:t>.</w:t>
      </w:r>
      <w:r>
        <w:rPr>
          <w:rFonts w:ascii="Arial" w:hAnsi="Arial" w:cs="Arial"/>
          <w:color w:val="000000"/>
        </w:rPr>
        <w:t>(2011)</w:t>
      </w:r>
    </w:p>
  </w:footnote>
  <w:footnote w:id="25">
    <w:p w:rsidR="006279A3" w:rsidRPr="006279A3" w:rsidRDefault="006279A3" w:rsidP="006279A3">
      <w:pPr>
        <w:rPr>
          <w:rFonts w:ascii="Arial" w:hAnsi="Arial" w:cs="Arial"/>
          <w:sz w:val="24"/>
          <w:szCs w:val="24"/>
        </w:rPr>
      </w:pPr>
      <w:r>
        <w:rPr>
          <w:rStyle w:val="FootnoteReference"/>
        </w:rPr>
        <w:footnoteRef/>
      </w:r>
      <w:r>
        <w:t xml:space="preserve"> </w:t>
      </w:r>
      <w:r w:rsidRPr="006279A3">
        <w:rPr>
          <w:rFonts w:ascii="Arial" w:hAnsi="Arial" w:cs="Arial"/>
          <w:sz w:val="20"/>
          <w:szCs w:val="24"/>
        </w:rPr>
        <w:t xml:space="preserve">High Stewardship, ‘The High Stewards’, from: </w:t>
      </w:r>
      <w:hyperlink r:id="rId2" w:history="1">
        <w:r w:rsidRPr="006279A3">
          <w:rPr>
            <w:rStyle w:val="Hyperlink"/>
            <w:rFonts w:ascii="Arial" w:hAnsi="Arial" w:cs="Arial"/>
            <w:sz w:val="20"/>
            <w:szCs w:val="24"/>
          </w:rPr>
          <w:t>https://www.highstewardship.org/high-stewards</w:t>
        </w:r>
      </w:hyperlink>
      <w:r w:rsidRPr="006279A3">
        <w:rPr>
          <w:rFonts w:ascii="Arial" w:hAnsi="Arial" w:cs="Arial"/>
          <w:sz w:val="20"/>
          <w:szCs w:val="24"/>
        </w:rPr>
        <w:t>; [accessed 19/4/2023]</w:t>
      </w:r>
    </w:p>
  </w:footnote>
  <w:footnote w:id="26">
    <w:p w:rsidR="006279A3" w:rsidRPr="006279A3" w:rsidRDefault="006279A3">
      <w:pPr>
        <w:pStyle w:val="FootnoteText"/>
        <w:rPr>
          <w:lang w:val="en-US"/>
        </w:rPr>
      </w:pPr>
      <w:r>
        <w:rPr>
          <w:rStyle w:val="FootnoteReference"/>
        </w:rPr>
        <w:footnoteRef/>
      </w:r>
      <w:r>
        <w:t xml:space="preserve"> </w:t>
      </w:r>
      <w:r>
        <w:rPr>
          <w:rFonts w:ascii="Arial" w:hAnsi="Arial" w:cs="Arial"/>
          <w:color w:val="000000"/>
        </w:rPr>
        <w:t>Farmer,</w:t>
      </w:r>
      <w:r w:rsidRPr="00777EB1">
        <w:rPr>
          <w:rFonts w:ascii="Arial" w:hAnsi="Arial" w:cs="Arial"/>
          <w:color w:val="000000"/>
        </w:rPr>
        <w:t xml:space="preserve"> "Edmund." In </w:t>
      </w:r>
      <w:r w:rsidRPr="00777EB1">
        <w:rPr>
          <w:rStyle w:val="Emphasis"/>
          <w:rFonts w:ascii="Arial" w:hAnsi="Arial" w:cs="Arial"/>
          <w:color w:val="000000"/>
        </w:rPr>
        <w:t>The Oxford Dictionary of Saints</w:t>
      </w:r>
      <w:r w:rsidRPr="00777EB1">
        <w:rPr>
          <w:rFonts w:ascii="Arial" w:hAnsi="Arial" w:cs="Arial"/>
          <w:color w:val="000000"/>
        </w:rPr>
        <w:t>.</w:t>
      </w:r>
      <w:r>
        <w:rPr>
          <w:rFonts w:ascii="Arial" w:hAnsi="Arial" w:cs="Arial"/>
          <w:color w:val="000000"/>
        </w:rPr>
        <w:t>(2011)</w:t>
      </w:r>
    </w:p>
  </w:footnote>
  <w:footnote w:id="27">
    <w:p w:rsidR="006279A3" w:rsidRPr="006279A3" w:rsidRDefault="006279A3">
      <w:pPr>
        <w:pStyle w:val="FootnoteText"/>
        <w:rPr>
          <w:lang w:val="en-US"/>
        </w:rPr>
      </w:pPr>
      <w:r>
        <w:rPr>
          <w:rStyle w:val="FootnoteReference"/>
        </w:rPr>
        <w:footnoteRef/>
      </w:r>
      <w:r>
        <w:t xml:space="preserve"> </w:t>
      </w:r>
      <w:r>
        <w:rPr>
          <w:rFonts w:ascii="Arial" w:hAnsi="Arial" w:cs="Arial"/>
          <w:color w:val="000000"/>
        </w:rPr>
        <w:t>Farmer,</w:t>
      </w:r>
      <w:r w:rsidRPr="00777EB1">
        <w:rPr>
          <w:rFonts w:ascii="Arial" w:hAnsi="Arial" w:cs="Arial"/>
          <w:color w:val="000000"/>
        </w:rPr>
        <w:t xml:space="preserve"> "Edmund." In </w:t>
      </w:r>
      <w:r w:rsidRPr="00777EB1">
        <w:rPr>
          <w:rStyle w:val="Emphasis"/>
          <w:rFonts w:ascii="Arial" w:hAnsi="Arial" w:cs="Arial"/>
          <w:color w:val="000000"/>
        </w:rPr>
        <w:t>The Oxford Dictionary of Saints</w:t>
      </w:r>
      <w:r w:rsidRPr="00777EB1">
        <w:rPr>
          <w:rFonts w:ascii="Arial" w:hAnsi="Arial" w:cs="Arial"/>
          <w:color w:val="000000"/>
        </w:rPr>
        <w:t>.</w:t>
      </w:r>
      <w:r>
        <w:rPr>
          <w:rFonts w:ascii="Arial" w:hAnsi="Arial" w:cs="Arial"/>
          <w:color w:val="000000"/>
        </w:rPr>
        <w:t>(2011)</w:t>
      </w:r>
    </w:p>
  </w:footnote>
  <w:footnote w:id="28">
    <w:p w:rsidR="006279A3" w:rsidRPr="00CE5C97" w:rsidRDefault="006279A3" w:rsidP="00CE5C97">
      <w:pPr>
        <w:rPr>
          <w:rFonts w:ascii="Arial" w:hAnsi="Arial" w:cs="Arial"/>
          <w:sz w:val="24"/>
          <w:szCs w:val="24"/>
          <w:lang w:val="en-US"/>
        </w:rPr>
      </w:pPr>
      <w:r>
        <w:rPr>
          <w:rStyle w:val="FootnoteReference"/>
        </w:rPr>
        <w:footnoteRef/>
      </w:r>
      <w:r>
        <w:t xml:space="preserve"> </w:t>
      </w:r>
      <w:r w:rsidR="00CE5C97" w:rsidRPr="00CE5C97">
        <w:rPr>
          <w:rFonts w:ascii="Arial" w:hAnsi="Arial" w:cs="Arial"/>
          <w:sz w:val="20"/>
          <w:szCs w:val="24"/>
          <w:lang w:val="en-US"/>
        </w:rPr>
        <w:t>Robin</w:t>
      </w:r>
      <w:r w:rsidR="00CE5C97">
        <w:rPr>
          <w:rFonts w:ascii="Arial" w:hAnsi="Arial" w:cs="Arial"/>
          <w:sz w:val="20"/>
          <w:szCs w:val="24"/>
          <w:lang w:val="en-US"/>
        </w:rPr>
        <w:t xml:space="preserve"> Griffith-Jones</w:t>
      </w:r>
      <w:r w:rsidR="00CE5C97" w:rsidRPr="00CE5C97">
        <w:rPr>
          <w:rFonts w:ascii="Arial" w:hAnsi="Arial" w:cs="Arial"/>
          <w:sz w:val="20"/>
          <w:szCs w:val="24"/>
          <w:lang w:val="en-US"/>
        </w:rPr>
        <w:t xml:space="preserve">, </w:t>
      </w:r>
      <w:r w:rsidR="00CE5C97" w:rsidRPr="00CE5C97">
        <w:rPr>
          <w:rFonts w:ascii="Arial" w:hAnsi="Arial" w:cs="Arial"/>
          <w:i/>
          <w:sz w:val="20"/>
          <w:szCs w:val="24"/>
          <w:lang w:val="en-US"/>
        </w:rPr>
        <w:t>William Marshal: The Greatest Knight that ever Lived</w:t>
      </w:r>
      <w:r w:rsidR="00CE5C97" w:rsidRPr="00CE5C97">
        <w:rPr>
          <w:rFonts w:ascii="Arial" w:hAnsi="Arial" w:cs="Arial"/>
          <w:sz w:val="20"/>
          <w:szCs w:val="24"/>
          <w:lang w:val="en-US"/>
        </w:rPr>
        <w:t>, (London: Pitkin, 2019)</w:t>
      </w:r>
      <w:r w:rsidR="00022AD9">
        <w:rPr>
          <w:rFonts w:ascii="Arial" w:hAnsi="Arial" w:cs="Arial"/>
          <w:sz w:val="20"/>
          <w:szCs w:val="24"/>
          <w:lang w:val="en-US"/>
        </w:rPr>
        <w:t>, p. 26</w:t>
      </w:r>
    </w:p>
  </w:footnote>
  <w:footnote w:id="29">
    <w:p w:rsidR="00F67F9B" w:rsidRPr="00F67F9B" w:rsidRDefault="00F67F9B">
      <w:pPr>
        <w:pStyle w:val="FootnoteText"/>
        <w:rPr>
          <w:lang w:val="en-US"/>
        </w:rPr>
      </w:pPr>
      <w:r>
        <w:rPr>
          <w:rStyle w:val="FootnoteReference"/>
        </w:rPr>
        <w:footnoteRef/>
      </w:r>
      <w:r>
        <w:t xml:space="preserve"> </w:t>
      </w:r>
      <w:r>
        <w:rPr>
          <w:rFonts w:ascii="Arial" w:hAnsi="Arial" w:cs="Arial"/>
          <w:color w:val="000000"/>
        </w:rPr>
        <w:t>Farmer,</w:t>
      </w:r>
      <w:r w:rsidRPr="00777EB1">
        <w:rPr>
          <w:rFonts w:ascii="Arial" w:hAnsi="Arial" w:cs="Arial"/>
          <w:color w:val="000000"/>
        </w:rPr>
        <w:t xml:space="preserve"> "Edmund." In </w:t>
      </w:r>
      <w:r w:rsidRPr="00777EB1">
        <w:rPr>
          <w:rStyle w:val="Emphasis"/>
          <w:rFonts w:ascii="Arial" w:hAnsi="Arial" w:cs="Arial"/>
          <w:color w:val="000000"/>
        </w:rPr>
        <w:t>The Oxford Dictionary of Saints</w:t>
      </w:r>
      <w:r w:rsidRPr="00777EB1">
        <w:rPr>
          <w:rFonts w:ascii="Arial" w:hAnsi="Arial" w:cs="Arial"/>
          <w:color w:val="000000"/>
        </w:rPr>
        <w:t>.</w:t>
      </w:r>
      <w:r>
        <w:rPr>
          <w:rFonts w:ascii="Arial" w:hAnsi="Arial" w:cs="Arial"/>
          <w:color w:val="000000"/>
        </w:rPr>
        <w:t>(2011)</w:t>
      </w:r>
    </w:p>
  </w:footnote>
  <w:footnote w:id="30">
    <w:p w:rsidR="00971A01" w:rsidRPr="00971A01" w:rsidRDefault="00971A01">
      <w:pPr>
        <w:pStyle w:val="FootnoteText"/>
        <w:rPr>
          <w:i/>
          <w:lang w:val="en-US"/>
        </w:rPr>
      </w:pPr>
      <w:r>
        <w:rPr>
          <w:rStyle w:val="FootnoteReference"/>
        </w:rPr>
        <w:footnoteRef/>
      </w:r>
      <w:r>
        <w:t xml:space="preserve"> </w:t>
      </w:r>
      <w:r>
        <w:rPr>
          <w:i/>
          <w:lang w:val="en-US"/>
        </w:rPr>
        <w:t>Ibid.</w:t>
      </w:r>
    </w:p>
  </w:footnote>
  <w:footnote w:id="31">
    <w:p w:rsidR="00971A01" w:rsidRPr="00971A01" w:rsidRDefault="00971A01">
      <w:pPr>
        <w:pStyle w:val="FootnoteText"/>
        <w:rPr>
          <w:i/>
          <w:lang w:val="en-US"/>
        </w:rPr>
      </w:pPr>
      <w:r>
        <w:rPr>
          <w:rStyle w:val="FootnoteReference"/>
        </w:rPr>
        <w:footnoteRef/>
      </w:r>
      <w:r>
        <w:t xml:space="preserve"> </w:t>
      </w:r>
      <w:r>
        <w:rPr>
          <w:i/>
          <w:lang w:val="en-US"/>
        </w:rPr>
        <w:t>Ibid.</w:t>
      </w:r>
    </w:p>
  </w:footnote>
  <w:footnote w:id="32">
    <w:p w:rsidR="00971A01" w:rsidRPr="00971A01" w:rsidRDefault="00971A01">
      <w:pPr>
        <w:pStyle w:val="FootnoteText"/>
        <w:rPr>
          <w:lang w:val="en-US"/>
        </w:rPr>
      </w:pPr>
      <w:r>
        <w:rPr>
          <w:rStyle w:val="FootnoteReference"/>
        </w:rPr>
        <w:footnoteRef/>
      </w:r>
      <w:r>
        <w:t xml:space="preserve"> </w:t>
      </w:r>
      <w:r>
        <w:rPr>
          <w:rFonts w:ascii="Arial" w:hAnsi="Arial" w:cs="Arial"/>
          <w:color w:val="000000"/>
        </w:rPr>
        <w:t>Farmer,</w:t>
      </w:r>
      <w:r w:rsidRPr="00777EB1">
        <w:rPr>
          <w:rFonts w:ascii="Arial" w:hAnsi="Arial" w:cs="Arial"/>
          <w:color w:val="000000"/>
        </w:rPr>
        <w:t xml:space="preserve"> "Edmund." In </w:t>
      </w:r>
      <w:r w:rsidRPr="00777EB1">
        <w:rPr>
          <w:rStyle w:val="Emphasis"/>
          <w:rFonts w:ascii="Arial" w:hAnsi="Arial" w:cs="Arial"/>
          <w:color w:val="000000"/>
        </w:rPr>
        <w:t>The Oxford Dictionary of Saints</w:t>
      </w:r>
      <w:r w:rsidRPr="00777EB1">
        <w:rPr>
          <w:rFonts w:ascii="Arial" w:hAnsi="Arial" w:cs="Arial"/>
          <w:color w:val="000000"/>
        </w:rPr>
        <w:t>.</w:t>
      </w:r>
      <w:r>
        <w:rPr>
          <w:rFonts w:ascii="Arial" w:hAnsi="Arial" w:cs="Arial"/>
          <w:color w:val="000000"/>
        </w:rPr>
        <w:t>(2011)</w:t>
      </w:r>
    </w:p>
  </w:footnote>
  <w:footnote w:id="33">
    <w:p w:rsidR="00911FEE" w:rsidRPr="00911FEE" w:rsidRDefault="00911FEE" w:rsidP="00911FEE">
      <w:pPr>
        <w:rPr>
          <w:rFonts w:ascii="Arial" w:hAnsi="Arial" w:cs="Arial"/>
          <w:sz w:val="24"/>
          <w:szCs w:val="24"/>
        </w:rPr>
      </w:pPr>
      <w:r>
        <w:rPr>
          <w:rStyle w:val="FootnoteReference"/>
        </w:rPr>
        <w:footnoteRef/>
      </w:r>
      <w:r>
        <w:t xml:space="preserve"> </w:t>
      </w:r>
      <w:r w:rsidRPr="00911FEE">
        <w:rPr>
          <w:rFonts w:ascii="Arial" w:hAnsi="Arial" w:cs="Arial"/>
          <w:sz w:val="20"/>
          <w:szCs w:val="24"/>
        </w:rPr>
        <w:t>Antonia</w:t>
      </w:r>
      <w:r w:rsidR="00535D5D">
        <w:rPr>
          <w:rFonts w:ascii="Arial" w:hAnsi="Arial" w:cs="Arial"/>
          <w:sz w:val="20"/>
          <w:szCs w:val="24"/>
        </w:rPr>
        <w:t xml:space="preserve"> </w:t>
      </w:r>
      <w:proofErr w:type="spellStart"/>
      <w:r w:rsidR="00535D5D">
        <w:rPr>
          <w:rFonts w:ascii="Arial" w:hAnsi="Arial" w:cs="Arial"/>
          <w:sz w:val="20"/>
          <w:szCs w:val="24"/>
        </w:rPr>
        <w:t>Gransden</w:t>
      </w:r>
      <w:proofErr w:type="spellEnd"/>
      <w:r w:rsidRPr="00911FEE">
        <w:rPr>
          <w:rFonts w:ascii="Arial" w:hAnsi="Arial" w:cs="Arial"/>
          <w:sz w:val="20"/>
          <w:szCs w:val="24"/>
        </w:rPr>
        <w:t xml:space="preserve">, </w:t>
      </w:r>
      <w:r w:rsidRPr="00911FEE">
        <w:rPr>
          <w:rFonts w:ascii="Arial" w:hAnsi="Arial" w:cs="Arial"/>
          <w:i/>
          <w:sz w:val="20"/>
          <w:szCs w:val="24"/>
        </w:rPr>
        <w:t>Bury St. Edmunds: Medieval Art, Architecture, Archaeology and Economy,</w:t>
      </w:r>
      <w:r w:rsidRPr="00911FEE">
        <w:rPr>
          <w:rFonts w:ascii="Arial" w:hAnsi="Arial" w:cs="Arial"/>
          <w:sz w:val="20"/>
          <w:szCs w:val="24"/>
        </w:rPr>
        <w:t xml:space="preserve"> (London: Routledge, 2020)</w:t>
      </w:r>
      <w:r w:rsidRPr="00911FEE">
        <w:rPr>
          <w:rFonts w:ascii="Arial" w:hAnsi="Arial" w:cs="Arial"/>
          <w:sz w:val="20"/>
          <w:szCs w:val="24"/>
        </w:rPr>
        <w:t>, p. 45</w:t>
      </w:r>
    </w:p>
  </w:footnote>
  <w:footnote w:id="34">
    <w:p w:rsidR="00535D5D" w:rsidRPr="00535D5D" w:rsidRDefault="00535D5D" w:rsidP="00535D5D">
      <w:pPr>
        <w:rPr>
          <w:rFonts w:ascii="Arial" w:hAnsi="Arial" w:cs="Arial"/>
          <w:sz w:val="24"/>
          <w:szCs w:val="24"/>
        </w:rPr>
      </w:pPr>
      <w:r>
        <w:rPr>
          <w:rStyle w:val="FootnoteReference"/>
        </w:rPr>
        <w:footnoteRef/>
      </w:r>
      <w:r>
        <w:t xml:space="preserve"> </w:t>
      </w:r>
      <w:proofErr w:type="spellStart"/>
      <w:r>
        <w:rPr>
          <w:rFonts w:ascii="Arial" w:hAnsi="Arial" w:cs="Arial"/>
          <w:sz w:val="20"/>
          <w:szCs w:val="24"/>
        </w:rPr>
        <w:t>Gransden</w:t>
      </w:r>
      <w:proofErr w:type="spellEnd"/>
      <w:r w:rsidRPr="00911FEE">
        <w:rPr>
          <w:rFonts w:ascii="Arial" w:hAnsi="Arial" w:cs="Arial"/>
          <w:sz w:val="20"/>
          <w:szCs w:val="24"/>
        </w:rPr>
        <w:t xml:space="preserve">, </w:t>
      </w:r>
      <w:r>
        <w:rPr>
          <w:rFonts w:ascii="Arial" w:hAnsi="Arial" w:cs="Arial"/>
          <w:i/>
          <w:sz w:val="20"/>
          <w:szCs w:val="24"/>
        </w:rPr>
        <w:t>Bury St. Edmunds</w:t>
      </w:r>
      <w:r w:rsidRPr="00911FEE">
        <w:rPr>
          <w:rFonts w:ascii="Arial" w:hAnsi="Arial" w:cs="Arial"/>
          <w:i/>
          <w:sz w:val="20"/>
          <w:szCs w:val="24"/>
        </w:rPr>
        <w:t>,</w:t>
      </w:r>
      <w:r>
        <w:rPr>
          <w:rFonts w:ascii="Arial" w:hAnsi="Arial" w:cs="Arial"/>
          <w:sz w:val="20"/>
          <w:szCs w:val="24"/>
        </w:rPr>
        <w:t xml:space="preserve"> (</w:t>
      </w:r>
      <w:r w:rsidRPr="00911FEE">
        <w:rPr>
          <w:rFonts w:ascii="Arial" w:hAnsi="Arial" w:cs="Arial"/>
          <w:sz w:val="20"/>
          <w:szCs w:val="24"/>
        </w:rPr>
        <w:t>2020), p. 45</w:t>
      </w:r>
    </w:p>
  </w:footnote>
  <w:footnote w:id="35">
    <w:p w:rsidR="00EE5C6A" w:rsidRPr="00EE5C6A" w:rsidRDefault="00EE5C6A" w:rsidP="00EE5C6A">
      <w:pPr>
        <w:rPr>
          <w:rFonts w:ascii="Arial" w:hAnsi="Arial" w:cs="Arial"/>
          <w:sz w:val="24"/>
          <w:szCs w:val="24"/>
        </w:rPr>
      </w:pPr>
      <w:r>
        <w:rPr>
          <w:rStyle w:val="FootnoteReference"/>
        </w:rPr>
        <w:footnoteRef/>
      </w:r>
      <w:r>
        <w:t xml:space="preserve"> </w:t>
      </w:r>
      <w:proofErr w:type="spellStart"/>
      <w:r>
        <w:rPr>
          <w:rFonts w:ascii="Arial" w:hAnsi="Arial" w:cs="Arial"/>
          <w:sz w:val="20"/>
          <w:szCs w:val="24"/>
        </w:rPr>
        <w:t>Gransden</w:t>
      </w:r>
      <w:proofErr w:type="spellEnd"/>
      <w:r w:rsidRPr="00911FEE">
        <w:rPr>
          <w:rFonts w:ascii="Arial" w:hAnsi="Arial" w:cs="Arial"/>
          <w:sz w:val="20"/>
          <w:szCs w:val="24"/>
        </w:rPr>
        <w:t xml:space="preserve">, </w:t>
      </w:r>
      <w:r>
        <w:rPr>
          <w:rFonts w:ascii="Arial" w:hAnsi="Arial" w:cs="Arial"/>
          <w:i/>
          <w:sz w:val="20"/>
          <w:szCs w:val="24"/>
        </w:rPr>
        <w:t>Bury St. Edmunds</w:t>
      </w:r>
      <w:r w:rsidRPr="00911FEE">
        <w:rPr>
          <w:rFonts w:ascii="Arial" w:hAnsi="Arial" w:cs="Arial"/>
          <w:i/>
          <w:sz w:val="20"/>
          <w:szCs w:val="24"/>
        </w:rPr>
        <w:t>,</w:t>
      </w:r>
      <w:r>
        <w:rPr>
          <w:rFonts w:ascii="Arial" w:hAnsi="Arial" w:cs="Arial"/>
          <w:sz w:val="20"/>
          <w:szCs w:val="24"/>
        </w:rPr>
        <w:t xml:space="preserve"> (</w:t>
      </w:r>
      <w:r w:rsidRPr="00911FEE">
        <w:rPr>
          <w:rFonts w:ascii="Arial" w:hAnsi="Arial" w:cs="Arial"/>
          <w:sz w:val="20"/>
          <w:szCs w:val="24"/>
        </w:rPr>
        <w:t>2020), p. 45</w:t>
      </w:r>
    </w:p>
  </w:footnote>
  <w:footnote w:id="36">
    <w:p w:rsidR="007A71BB" w:rsidRPr="007A71BB" w:rsidRDefault="007A71BB">
      <w:pPr>
        <w:pStyle w:val="FootnoteText"/>
        <w:rPr>
          <w:lang w:val="en-US"/>
        </w:rPr>
      </w:pPr>
      <w:r>
        <w:rPr>
          <w:rStyle w:val="FootnoteReference"/>
        </w:rPr>
        <w:footnoteRef/>
      </w:r>
      <w:r>
        <w:t xml:space="preserve"> </w:t>
      </w:r>
      <w:r>
        <w:rPr>
          <w:rFonts w:ascii="Arial" w:hAnsi="Arial" w:cs="Arial"/>
          <w:color w:val="000000"/>
        </w:rPr>
        <w:t>Farmer,</w:t>
      </w:r>
      <w:r w:rsidRPr="00777EB1">
        <w:rPr>
          <w:rFonts w:ascii="Arial" w:hAnsi="Arial" w:cs="Arial"/>
          <w:color w:val="000000"/>
        </w:rPr>
        <w:t xml:space="preserve"> "Edmund." In </w:t>
      </w:r>
      <w:r w:rsidRPr="00777EB1">
        <w:rPr>
          <w:rStyle w:val="Emphasis"/>
          <w:rFonts w:ascii="Arial" w:hAnsi="Arial" w:cs="Arial"/>
          <w:color w:val="000000"/>
        </w:rPr>
        <w:t>The Oxford Dictionary of Saints</w:t>
      </w:r>
      <w:r w:rsidRPr="00777EB1">
        <w:rPr>
          <w:rFonts w:ascii="Arial" w:hAnsi="Arial" w:cs="Arial"/>
          <w:color w:val="000000"/>
        </w:rPr>
        <w:t>.</w:t>
      </w:r>
      <w:r>
        <w:rPr>
          <w:rFonts w:ascii="Arial" w:hAnsi="Arial" w:cs="Arial"/>
          <w:color w:val="000000"/>
        </w:rPr>
        <w:t>(2011)</w:t>
      </w:r>
    </w:p>
  </w:footnote>
  <w:footnote w:id="37">
    <w:p w:rsidR="007A71BB" w:rsidRPr="007A71BB" w:rsidRDefault="007A71BB">
      <w:pPr>
        <w:pStyle w:val="FootnoteText"/>
        <w:rPr>
          <w:i/>
          <w:lang w:val="en-US"/>
        </w:rPr>
      </w:pPr>
      <w:r>
        <w:rPr>
          <w:rStyle w:val="FootnoteReference"/>
        </w:rPr>
        <w:footnoteRef/>
      </w:r>
      <w:r>
        <w:t xml:space="preserve"> </w:t>
      </w:r>
      <w:r>
        <w:rPr>
          <w:i/>
          <w:lang w:val="en-US"/>
        </w:rPr>
        <w:t>Ibid.</w:t>
      </w:r>
    </w:p>
  </w:footnote>
  <w:footnote w:id="38">
    <w:p w:rsidR="007A71BB" w:rsidRPr="007A71BB" w:rsidRDefault="007A71BB">
      <w:pPr>
        <w:pStyle w:val="FootnoteText"/>
        <w:rPr>
          <w:i/>
          <w:lang w:val="en-US"/>
        </w:rPr>
      </w:pPr>
      <w:r>
        <w:rPr>
          <w:rStyle w:val="FootnoteReference"/>
        </w:rPr>
        <w:footnoteRef/>
      </w:r>
      <w:r>
        <w:t xml:space="preserve"> </w:t>
      </w:r>
      <w:r>
        <w:rPr>
          <w:i/>
          <w:lang w:val="en-US"/>
        </w:rPr>
        <w:t>Ibid.</w:t>
      </w:r>
    </w:p>
  </w:footnote>
  <w:footnote w:id="39">
    <w:p w:rsidR="00871074" w:rsidRPr="00871074" w:rsidRDefault="00871074" w:rsidP="00871074">
      <w:pPr>
        <w:rPr>
          <w:rFonts w:ascii="Arial" w:hAnsi="Arial" w:cs="Arial"/>
          <w:sz w:val="24"/>
          <w:szCs w:val="24"/>
        </w:rPr>
      </w:pPr>
      <w:r>
        <w:rPr>
          <w:rStyle w:val="FootnoteReference"/>
        </w:rPr>
        <w:footnoteRef/>
      </w:r>
      <w:r>
        <w:t xml:space="preserve"> </w:t>
      </w:r>
      <w:r w:rsidRPr="00871074">
        <w:rPr>
          <w:rFonts w:ascii="Arial" w:hAnsi="Arial" w:cs="Arial"/>
          <w:sz w:val="20"/>
          <w:szCs w:val="24"/>
        </w:rPr>
        <w:t>James Boniface</w:t>
      </w:r>
      <w:r>
        <w:rPr>
          <w:rFonts w:ascii="Arial" w:hAnsi="Arial" w:cs="Arial"/>
          <w:sz w:val="20"/>
          <w:szCs w:val="24"/>
        </w:rPr>
        <w:t xml:space="preserve"> </w:t>
      </w:r>
      <w:proofErr w:type="spellStart"/>
      <w:r>
        <w:rPr>
          <w:rFonts w:ascii="Arial" w:hAnsi="Arial" w:cs="Arial"/>
          <w:sz w:val="20"/>
          <w:szCs w:val="24"/>
        </w:rPr>
        <w:t>Mackinlay</w:t>
      </w:r>
      <w:proofErr w:type="spellEnd"/>
      <w:r w:rsidRPr="00871074">
        <w:rPr>
          <w:rFonts w:ascii="Arial" w:hAnsi="Arial" w:cs="Arial"/>
          <w:sz w:val="20"/>
          <w:szCs w:val="24"/>
        </w:rPr>
        <w:t xml:space="preserve">, </w:t>
      </w:r>
      <w:r w:rsidRPr="00871074">
        <w:rPr>
          <w:rFonts w:ascii="Arial" w:hAnsi="Arial" w:cs="Arial"/>
          <w:i/>
          <w:sz w:val="20"/>
          <w:szCs w:val="24"/>
        </w:rPr>
        <w:t>Saint Edmund King and Martyr: A History of His Life and Times with an Account of the Translation of His Incorrupt Body, Etc. From Original Mss,</w:t>
      </w:r>
      <w:r w:rsidRPr="00871074">
        <w:rPr>
          <w:rFonts w:ascii="Arial" w:hAnsi="Arial" w:cs="Arial"/>
          <w:sz w:val="20"/>
          <w:szCs w:val="24"/>
        </w:rPr>
        <w:t xml:space="preserve"> (Wisconsin: Art and Book Company, 1893)</w:t>
      </w:r>
      <w:r>
        <w:rPr>
          <w:rFonts w:ascii="Arial" w:hAnsi="Arial" w:cs="Arial"/>
          <w:sz w:val="20"/>
          <w:szCs w:val="24"/>
        </w:rPr>
        <w:t>, pp. 324-325</w:t>
      </w:r>
    </w:p>
  </w:footnote>
  <w:footnote w:id="40">
    <w:p w:rsidR="00371581" w:rsidRPr="00371581" w:rsidRDefault="00371581" w:rsidP="00371581">
      <w:pPr>
        <w:rPr>
          <w:rFonts w:ascii="Arial" w:hAnsi="Arial" w:cs="Arial"/>
          <w:sz w:val="24"/>
          <w:szCs w:val="24"/>
        </w:rPr>
      </w:pPr>
      <w:r>
        <w:rPr>
          <w:rStyle w:val="FootnoteReference"/>
        </w:rPr>
        <w:footnoteRef/>
      </w:r>
      <w:r>
        <w:t xml:space="preserve"> </w:t>
      </w:r>
      <w:proofErr w:type="spellStart"/>
      <w:r>
        <w:rPr>
          <w:rFonts w:ascii="Arial" w:hAnsi="Arial" w:cs="Arial"/>
          <w:sz w:val="20"/>
          <w:szCs w:val="24"/>
        </w:rPr>
        <w:t>Mackinlay</w:t>
      </w:r>
      <w:proofErr w:type="spellEnd"/>
      <w:r w:rsidRPr="00871074">
        <w:rPr>
          <w:rFonts w:ascii="Arial" w:hAnsi="Arial" w:cs="Arial"/>
          <w:sz w:val="20"/>
          <w:szCs w:val="24"/>
        </w:rPr>
        <w:t xml:space="preserve">, </w:t>
      </w:r>
      <w:r w:rsidRPr="00871074">
        <w:rPr>
          <w:rFonts w:ascii="Arial" w:hAnsi="Arial" w:cs="Arial"/>
          <w:i/>
          <w:sz w:val="20"/>
          <w:szCs w:val="24"/>
        </w:rPr>
        <w:t>Saint Edmund King and Martyr,</w:t>
      </w:r>
      <w:r w:rsidRPr="00871074">
        <w:rPr>
          <w:rFonts w:ascii="Arial" w:hAnsi="Arial" w:cs="Arial"/>
          <w:sz w:val="20"/>
          <w:szCs w:val="24"/>
        </w:rPr>
        <w:t xml:space="preserve"> (1893)</w:t>
      </w:r>
      <w:r>
        <w:rPr>
          <w:rFonts w:ascii="Arial" w:hAnsi="Arial" w:cs="Arial"/>
          <w:sz w:val="20"/>
          <w:szCs w:val="24"/>
        </w:rPr>
        <w:t>, pp. 324-325</w:t>
      </w:r>
    </w:p>
  </w:footnote>
  <w:footnote w:id="41">
    <w:p w:rsidR="00604A40" w:rsidRPr="00604A40" w:rsidRDefault="00604A40">
      <w:pPr>
        <w:pStyle w:val="FootnoteText"/>
        <w:rPr>
          <w:lang w:val="en-US"/>
        </w:rPr>
      </w:pPr>
      <w:r>
        <w:rPr>
          <w:rStyle w:val="FootnoteReference"/>
        </w:rPr>
        <w:footnoteRef/>
      </w:r>
      <w:r>
        <w:t xml:space="preserve"> </w:t>
      </w:r>
      <w:proofErr w:type="spellStart"/>
      <w:r>
        <w:rPr>
          <w:rFonts w:ascii="Arial" w:hAnsi="Arial" w:cs="Arial"/>
          <w:szCs w:val="24"/>
        </w:rPr>
        <w:t>Mackinlay</w:t>
      </w:r>
      <w:proofErr w:type="spellEnd"/>
      <w:r w:rsidRPr="00871074">
        <w:rPr>
          <w:rFonts w:ascii="Arial" w:hAnsi="Arial" w:cs="Arial"/>
          <w:szCs w:val="24"/>
        </w:rPr>
        <w:t xml:space="preserve">, </w:t>
      </w:r>
      <w:r w:rsidRPr="00871074">
        <w:rPr>
          <w:rFonts w:ascii="Arial" w:hAnsi="Arial" w:cs="Arial"/>
          <w:i/>
          <w:szCs w:val="24"/>
        </w:rPr>
        <w:t>Saint Edmund King and Martyr,</w:t>
      </w:r>
      <w:r w:rsidRPr="00871074">
        <w:rPr>
          <w:rFonts w:ascii="Arial" w:hAnsi="Arial" w:cs="Arial"/>
          <w:szCs w:val="24"/>
        </w:rPr>
        <w:t xml:space="preserve"> (1893)</w:t>
      </w:r>
      <w:r>
        <w:rPr>
          <w:rFonts w:ascii="Arial" w:hAnsi="Arial" w:cs="Arial"/>
          <w:szCs w:val="24"/>
        </w:rPr>
        <w:t>, pp. 324-325</w:t>
      </w:r>
    </w:p>
  </w:footnote>
  <w:footnote w:id="42">
    <w:p w:rsidR="00604A40" w:rsidRPr="00604A40" w:rsidRDefault="00604A40">
      <w:pPr>
        <w:pStyle w:val="FootnoteText"/>
        <w:rPr>
          <w:lang w:val="en-US"/>
        </w:rPr>
      </w:pPr>
      <w:r>
        <w:rPr>
          <w:rStyle w:val="FootnoteReference"/>
        </w:rPr>
        <w:footnoteRef/>
      </w:r>
      <w:r>
        <w:t xml:space="preserve"> </w:t>
      </w:r>
      <w:proofErr w:type="spellStart"/>
      <w:r>
        <w:rPr>
          <w:rFonts w:ascii="Arial" w:hAnsi="Arial" w:cs="Arial"/>
          <w:szCs w:val="24"/>
        </w:rPr>
        <w:t>Gransden</w:t>
      </w:r>
      <w:proofErr w:type="spellEnd"/>
      <w:r w:rsidRPr="00911FEE">
        <w:rPr>
          <w:rFonts w:ascii="Arial" w:hAnsi="Arial" w:cs="Arial"/>
          <w:szCs w:val="24"/>
        </w:rPr>
        <w:t xml:space="preserve">, </w:t>
      </w:r>
      <w:r>
        <w:rPr>
          <w:rFonts w:ascii="Arial" w:hAnsi="Arial" w:cs="Arial"/>
          <w:i/>
          <w:szCs w:val="24"/>
        </w:rPr>
        <w:t>Bury St. Edmunds</w:t>
      </w:r>
      <w:r w:rsidRPr="00911FEE">
        <w:rPr>
          <w:rFonts w:ascii="Arial" w:hAnsi="Arial" w:cs="Arial"/>
          <w:i/>
          <w:szCs w:val="24"/>
        </w:rPr>
        <w:t>,</w:t>
      </w:r>
      <w:r>
        <w:rPr>
          <w:rFonts w:ascii="Arial" w:hAnsi="Arial" w:cs="Arial"/>
          <w:szCs w:val="24"/>
        </w:rPr>
        <w:t xml:space="preserve"> (</w:t>
      </w:r>
      <w:r w:rsidRPr="00911FEE">
        <w:rPr>
          <w:rFonts w:ascii="Arial" w:hAnsi="Arial" w:cs="Arial"/>
          <w:szCs w:val="24"/>
        </w:rPr>
        <w:t>2020), p. 45</w:t>
      </w:r>
    </w:p>
  </w:footnote>
  <w:footnote w:id="43">
    <w:p w:rsidR="00604A40" w:rsidRPr="00604A40" w:rsidRDefault="00604A40" w:rsidP="00604A40">
      <w:pPr>
        <w:pStyle w:val="citationpreview"/>
        <w:spacing w:before="225" w:beforeAutospacing="0" w:after="225" w:afterAutospacing="0"/>
        <w:rPr>
          <w:rFonts w:ascii="Arial" w:hAnsi="Arial" w:cs="Arial"/>
          <w:i/>
          <w:color w:val="000000"/>
          <w:sz w:val="20"/>
          <w:szCs w:val="20"/>
        </w:rPr>
      </w:pPr>
      <w:r>
        <w:rPr>
          <w:rStyle w:val="FootnoteReference"/>
        </w:rPr>
        <w:footnoteRef/>
      </w:r>
      <w:r>
        <w:t xml:space="preserve"> </w:t>
      </w:r>
      <w:r w:rsidRPr="00604A40">
        <w:rPr>
          <w:rFonts w:ascii="Arial" w:hAnsi="Arial" w:cs="Arial"/>
          <w:color w:val="000000"/>
          <w:sz w:val="20"/>
          <w:szCs w:val="20"/>
        </w:rPr>
        <w:t>Ann</w:t>
      </w:r>
      <w:r>
        <w:rPr>
          <w:rFonts w:ascii="Arial" w:hAnsi="Arial" w:cs="Arial"/>
          <w:color w:val="000000"/>
          <w:sz w:val="20"/>
          <w:szCs w:val="20"/>
        </w:rPr>
        <w:t xml:space="preserve"> Ball</w:t>
      </w:r>
      <w:r w:rsidRPr="00604A40">
        <w:rPr>
          <w:rFonts w:ascii="Arial" w:hAnsi="Arial" w:cs="Arial"/>
          <w:color w:val="000000"/>
          <w:sz w:val="20"/>
          <w:szCs w:val="20"/>
        </w:rPr>
        <w:t xml:space="preserve">, </w:t>
      </w:r>
      <w:r w:rsidRPr="00604A40">
        <w:rPr>
          <w:rFonts w:ascii="Arial" w:hAnsi="Arial" w:cs="Arial"/>
          <w:i/>
          <w:color w:val="000000"/>
          <w:sz w:val="20"/>
          <w:szCs w:val="20"/>
        </w:rPr>
        <w:t xml:space="preserve">The </w:t>
      </w:r>
      <w:proofErr w:type="spellStart"/>
      <w:r w:rsidRPr="00604A40">
        <w:rPr>
          <w:rFonts w:ascii="Arial" w:hAnsi="Arial" w:cs="Arial"/>
          <w:i/>
          <w:color w:val="000000"/>
          <w:sz w:val="20"/>
          <w:szCs w:val="20"/>
        </w:rPr>
        <w:t>Encyclopaedia</w:t>
      </w:r>
      <w:proofErr w:type="spellEnd"/>
      <w:r w:rsidRPr="00604A40">
        <w:rPr>
          <w:rFonts w:ascii="Arial" w:hAnsi="Arial" w:cs="Arial"/>
          <w:i/>
          <w:color w:val="000000"/>
          <w:sz w:val="20"/>
          <w:szCs w:val="20"/>
        </w:rPr>
        <w:t xml:space="preserve"> of Catholic Devotion and Practices</w:t>
      </w:r>
      <w:r w:rsidRPr="00604A40">
        <w:rPr>
          <w:rFonts w:ascii="Arial" w:hAnsi="Arial" w:cs="Arial"/>
          <w:color w:val="000000"/>
          <w:sz w:val="20"/>
          <w:szCs w:val="20"/>
        </w:rPr>
        <w:t>,</w:t>
      </w:r>
      <w:r w:rsidRPr="00604A40">
        <w:rPr>
          <w:rFonts w:ascii="Arial" w:hAnsi="Arial" w:cs="Arial"/>
          <w:color w:val="202122"/>
          <w:sz w:val="20"/>
          <w:szCs w:val="20"/>
          <w:shd w:val="clear" w:color="auto" w:fill="FFFFFF"/>
        </w:rPr>
        <w:t xml:space="preserve"> USA: Huntingdon, 2003)</w:t>
      </w:r>
      <w:r w:rsidRPr="00604A40">
        <w:rPr>
          <w:rFonts w:ascii="Arial" w:hAnsi="Arial" w:cs="Arial"/>
          <w:color w:val="202122"/>
          <w:sz w:val="20"/>
          <w:szCs w:val="20"/>
          <w:shd w:val="clear" w:color="auto" w:fill="FFFFFF"/>
        </w:rPr>
        <w:t xml:space="preserve">, p. </w:t>
      </w:r>
      <w:r w:rsidRPr="00604A40">
        <w:rPr>
          <w:rFonts w:ascii="Arial" w:hAnsi="Arial" w:cs="Arial"/>
          <w:sz w:val="20"/>
          <w:szCs w:val="20"/>
        </w:rPr>
        <w:t>276</w:t>
      </w:r>
    </w:p>
  </w:footnote>
  <w:footnote w:id="44">
    <w:p w:rsidR="00604A40" w:rsidRPr="00604A40" w:rsidRDefault="00604A40" w:rsidP="00604A40">
      <w:pPr>
        <w:pStyle w:val="citationpreview"/>
        <w:spacing w:before="225" w:beforeAutospacing="0" w:after="225" w:afterAutospacing="0"/>
        <w:rPr>
          <w:rFonts w:ascii="Arial" w:hAnsi="Arial" w:cs="Arial"/>
          <w:color w:val="000000"/>
          <w:szCs w:val="20"/>
        </w:rPr>
      </w:pPr>
      <w:r>
        <w:rPr>
          <w:rStyle w:val="FootnoteReference"/>
        </w:rPr>
        <w:footnoteRef/>
      </w:r>
      <w:r>
        <w:t xml:space="preserve"> </w:t>
      </w:r>
      <w:r w:rsidRPr="00604A40">
        <w:rPr>
          <w:rFonts w:ascii="Arial" w:hAnsi="Arial" w:cs="Arial"/>
          <w:color w:val="000000"/>
          <w:sz w:val="20"/>
          <w:szCs w:val="20"/>
        </w:rPr>
        <w:t>Leonard</w:t>
      </w:r>
      <w:r>
        <w:rPr>
          <w:rFonts w:ascii="Arial" w:hAnsi="Arial" w:cs="Arial"/>
          <w:color w:val="000000"/>
          <w:sz w:val="20"/>
          <w:szCs w:val="20"/>
        </w:rPr>
        <w:t xml:space="preserve"> Cantor</w:t>
      </w:r>
      <w:r w:rsidRPr="00604A40">
        <w:rPr>
          <w:rFonts w:ascii="Arial" w:hAnsi="Arial" w:cs="Arial"/>
          <w:color w:val="000000"/>
          <w:sz w:val="20"/>
          <w:szCs w:val="20"/>
        </w:rPr>
        <w:t xml:space="preserve">, </w:t>
      </w:r>
      <w:proofErr w:type="gramStart"/>
      <w:r w:rsidRPr="00604A40">
        <w:rPr>
          <w:rFonts w:ascii="Arial" w:hAnsi="Arial" w:cs="Arial"/>
          <w:color w:val="000000"/>
          <w:sz w:val="20"/>
          <w:szCs w:val="20"/>
        </w:rPr>
        <w:t>ed</w:t>
      </w:r>
      <w:proofErr w:type="gramEnd"/>
      <w:r w:rsidRPr="00604A40">
        <w:rPr>
          <w:rFonts w:ascii="Arial" w:hAnsi="Arial" w:cs="Arial"/>
          <w:color w:val="000000"/>
          <w:sz w:val="20"/>
          <w:szCs w:val="20"/>
        </w:rPr>
        <w:t xml:space="preserve">. </w:t>
      </w:r>
      <w:r w:rsidRPr="00604A40">
        <w:rPr>
          <w:rFonts w:ascii="Arial" w:hAnsi="Arial" w:cs="Arial"/>
          <w:i/>
          <w:color w:val="000000"/>
          <w:sz w:val="20"/>
          <w:szCs w:val="20"/>
        </w:rPr>
        <w:t>The English Medieval Landscape</w:t>
      </w:r>
      <w:r w:rsidRPr="00604A40">
        <w:rPr>
          <w:rFonts w:ascii="Arial" w:hAnsi="Arial" w:cs="Arial"/>
          <w:color w:val="000000"/>
          <w:sz w:val="20"/>
          <w:szCs w:val="20"/>
        </w:rPr>
        <w:t xml:space="preserve">, (London: </w:t>
      </w:r>
      <w:proofErr w:type="spellStart"/>
      <w:r w:rsidRPr="00604A40">
        <w:rPr>
          <w:rFonts w:ascii="Arial" w:hAnsi="Arial" w:cs="Arial"/>
          <w:color w:val="000000"/>
          <w:sz w:val="20"/>
          <w:szCs w:val="20"/>
        </w:rPr>
        <w:t>Croom</w:t>
      </w:r>
      <w:proofErr w:type="spellEnd"/>
      <w:r w:rsidRPr="00604A40">
        <w:rPr>
          <w:rFonts w:ascii="Arial" w:hAnsi="Arial" w:cs="Arial"/>
          <w:color w:val="000000"/>
          <w:sz w:val="20"/>
          <w:szCs w:val="20"/>
        </w:rPr>
        <w:t xml:space="preserve"> Helm, 1982)</w:t>
      </w:r>
      <w:r w:rsidRPr="00604A40">
        <w:rPr>
          <w:rFonts w:ascii="Arial" w:hAnsi="Arial" w:cs="Arial"/>
          <w:color w:val="000000"/>
          <w:sz w:val="20"/>
          <w:szCs w:val="20"/>
        </w:rPr>
        <w:t xml:space="preserve">, p. </w:t>
      </w:r>
      <w:r w:rsidRPr="00604A40">
        <w:rPr>
          <w:rFonts w:ascii="Arial" w:hAnsi="Arial" w:cs="Arial"/>
          <w:sz w:val="20"/>
          <w:szCs w:val="20"/>
        </w:rPr>
        <w:t>162</w:t>
      </w:r>
    </w:p>
  </w:footnote>
  <w:footnote w:id="45">
    <w:p w:rsidR="001A23BF" w:rsidRPr="001A23BF" w:rsidRDefault="001A23BF" w:rsidP="001A23BF">
      <w:pPr>
        <w:rPr>
          <w:rFonts w:ascii="Arial" w:hAnsi="Arial" w:cs="Arial"/>
          <w:sz w:val="24"/>
          <w:szCs w:val="24"/>
        </w:rPr>
      </w:pPr>
      <w:r>
        <w:rPr>
          <w:rStyle w:val="FootnoteReference"/>
        </w:rPr>
        <w:footnoteRef/>
      </w:r>
      <w:r>
        <w:t xml:space="preserve"> </w:t>
      </w:r>
      <w:r w:rsidRPr="001A23BF">
        <w:rPr>
          <w:rFonts w:ascii="Arial" w:hAnsi="Arial" w:cs="Arial"/>
          <w:sz w:val="20"/>
          <w:szCs w:val="24"/>
        </w:rPr>
        <w:t xml:space="preserve">Greene King, ‘Our Company’, from: </w:t>
      </w:r>
      <w:hyperlink r:id="rId3" w:history="1">
        <w:r w:rsidRPr="001A23BF">
          <w:rPr>
            <w:rStyle w:val="Hyperlink"/>
            <w:rFonts w:ascii="Arial" w:hAnsi="Arial" w:cs="Arial"/>
            <w:sz w:val="20"/>
            <w:szCs w:val="24"/>
          </w:rPr>
          <w:t>https://www.greeneking.co.uk/our-company/</w:t>
        </w:r>
      </w:hyperlink>
      <w:r w:rsidRPr="001A23BF">
        <w:rPr>
          <w:rFonts w:ascii="Arial" w:hAnsi="Arial" w:cs="Arial"/>
          <w:sz w:val="20"/>
          <w:szCs w:val="24"/>
        </w:rPr>
        <w:t>; [accessed 19/4/2023]</w:t>
      </w:r>
    </w:p>
  </w:footnote>
  <w:footnote w:id="46">
    <w:p w:rsidR="001A23BF" w:rsidRPr="001A23BF" w:rsidRDefault="001A23BF" w:rsidP="001A23BF">
      <w:pPr>
        <w:rPr>
          <w:rFonts w:ascii="Arial" w:hAnsi="Arial" w:cs="Arial"/>
          <w:sz w:val="24"/>
          <w:szCs w:val="24"/>
        </w:rPr>
      </w:pPr>
      <w:r>
        <w:rPr>
          <w:rStyle w:val="FootnoteReference"/>
        </w:rPr>
        <w:footnoteRef/>
      </w:r>
      <w:r>
        <w:t xml:space="preserve"> </w:t>
      </w:r>
      <w:r w:rsidRPr="001A23BF">
        <w:rPr>
          <w:rFonts w:ascii="Arial" w:hAnsi="Arial" w:cs="Arial"/>
          <w:sz w:val="20"/>
          <w:szCs w:val="24"/>
        </w:rPr>
        <w:t>Greene King, ‘Our Company</w:t>
      </w:r>
      <w:r w:rsidRPr="001A23BF">
        <w:rPr>
          <w:rFonts w:ascii="Arial" w:hAnsi="Arial" w:cs="Arial"/>
          <w:sz w:val="20"/>
          <w:szCs w:val="24"/>
        </w:rPr>
        <w:t>’</w:t>
      </w:r>
    </w:p>
  </w:footnote>
  <w:footnote w:id="47">
    <w:p w:rsidR="00F22BB2" w:rsidRPr="003D2B69" w:rsidRDefault="00F22BB2" w:rsidP="003D2B69">
      <w:pPr>
        <w:rPr>
          <w:rFonts w:ascii="Arial" w:hAnsi="Arial" w:cs="Arial"/>
          <w:bCs/>
          <w:sz w:val="20"/>
          <w:szCs w:val="32"/>
        </w:rPr>
      </w:pPr>
      <w:r>
        <w:rPr>
          <w:rStyle w:val="FootnoteReference"/>
        </w:rPr>
        <w:footnoteRef/>
      </w:r>
      <w:r>
        <w:t xml:space="preserve"> </w:t>
      </w:r>
      <w:r w:rsidRPr="003D2B69">
        <w:rPr>
          <w:rFonts w:ascii="Arial" w:hAnsi="Arial" w:cs="Arial"/>
          <w:bCs/>
          <w:i/>
          <w:sz w:val="20"/>
          <w:szCs w:val="32"/>
        </w:rPr>
        <w:t>The Anglo-Saxon Chronicles,</w:t>
      </w:r>
      <w:r w:rsidRPr="003D2B69">
        <w:rPr>
          <w:rFonts w:ascii="Arial" w:hAnsi="Arial" w:cs="Arial"/>
          <w:bCs/>
          <w:sz w:val="20"/>
          <w:szCs w:val="32"/>
        </w:rPr>
        <w:t xml:space="preserve"> New Edition, trans. Michael Swanton, (London: Phoenix Press, 2000)</w:t>
      </w:r>
      <w:r>
        <w:rPr>
          <w:rFonts w:ascii="Arial" w:hAnsi="Arial" w:cs="Arial"/>
          <w:bCs/>
          <w:sz w:val="20"/>
          <w:szCs w:val="32"/>
        </w:rPr>
        <w:t>, pp. 70-71</w:t>
      </w:r>
    </w:p>
  </w:footnote>
  <w:footnote w:id="48">
    <w:p w:rsidR="00F22BB2" w:rsidRPr="00B51943" w:rsidRDefault="00F22BB2" w:rsidP="00B51943">
      <w:pPr>
        <w:rPr>
          <w:rFonts w:ascii="Arial" w:hAnsi="Arial" w:cs="Arial"/>
          <w:bCs/>
          <w:sz w:val="24"/>
          <w:szCs w:val="32"/>
        </w:rPr>
      </w:pPr>
      <w:r>
        <w:rPr>
          <w:rStyle w:val="FootnoteReference"/>
        </w:rPr>
        <w:footnoteRef/>
      </w:r>
      <w:r>
        <w:t xml:space="preserve"> </w:t>
      </w:r>
      <w:r w:rsidRPr="00B51943">
        <w:rPr>
          <w:rFonts w:ascii="Arial" w:hAnsi="Arial" w:cs="Arial"/>
          <w:bCs/>
          <w:i/>
          <w:sz w:val="20"/>
          <w:szCs w:val="32"/>
        </w:rPr>
        <w:t>The Anglo-Saxon Chronicles,</w:t>
      </w:r>
      <w:r w:rsidRPr="00B51943">
        <w:rPr>
          <w:rFonts w:ascii="Arial" w:hAnsi="Arial" w:cs="Arial"/>
          <w:bCs/>
          <w:sz w:val="20"/>
          <w:szCs w:val="32"/>
        </w:rPr>
        <w:t xml:space="preserve"> </w:t>
      </w:r>
      <w:r>
        <w:rPr>
          <w:rFonts w:ascii="Arial" w:hAnsi="Arial" w:cs="Arial"/>
          <w:bCs/>
          <w:sz w:val="20"/>
          <w:szCs w:val="32"/>
        </w:rPr>
        <w:t>p. 70</w:t>
      </w:r>
    </w:p>
  </w:footnote>
  <w:footnote w:id="49">
    <w:p w:rsidR="00F22BB2" w:rsidRPr="00B51943" w:rsidRDefault="00F22BB2">
      <w:pPr>
        <w:pStyle w:val="FootnoteText"/>
        <w:rPr>
          <w:rFonts w:ascii="Arial" w:hAnsi="Arial" w:cs="Arial"/>
          <w:i/>
          <w:lang w:val="en-US"/>
        </w:rPr>
      </w:pPr>
      <w:r>
        <w:rPr>
          <w:rStyle w:val="FootnoteReference"/>
        </w:rPr>
        <w:footnoteRef/>
      </w:r>
      <w:r>
        <w:t xml:space="preserve"> </w:t>
      </w:r>
      <w:r w:rsidRPr="00B51943">
        <w:rPr>
          <w:rFonts w:ascii="Arial" w:hAnsi="Arial" w:cs="Arial"/>
          <w:i/>
          <w:lang w:val="en-US"/>
        </w:rPr>
        <w:t xml:space="preserve">Ibid. </w:t>
      </w:r>
      <w:r w:rsidRPr="00B51943">
        <w:rPr>
          <w:rFonts w:ascii="Arial" w:hAnsi="Arial" w:cs="Arial"/>
          <w:lang w:val="en-US"/>
        </w:rPr>
        <w:t>pp. 70-71</w:t>
      </w:r>
    </w:p>
  </w:footnote>
  <w:footnote w:id="50">
    <w:p w:rsidR="00F22BB2" w:rsidRPr="003D2B69" w:rsidRDefault="00F22BB2">
      <w:pPr>
        <w:pStyle w:val="FootnoteText"/>
        <w:rPr>
          <w:lang w:val="en-US"/>
        </w:rPr>
      </w:pPr>
      <w:r>
        <w:rPr>
          <w:rStyle w:val="FootnoteReference"/>
        </w:rPr>
        <w:footnoteRef/>
      </w:r>
      <w:r>
        <w:t xml:space="preserve"> </w:t>
      </w:r>
      <w:r>
        <w:rPr>
          <w:rFonts w:ascii="Arial" w:hAnsi="Arial" w:cs="Arial"/>
          <w:bCs/>
          <w:i/>
          <w:szCs w:val="32"/>
        </w:rPr>
        <w:t xml:space="preserve">Ibid. </w:t>
      </w:r>
      <w:r>
        <w:rPr>
          <w:rFonts w:ascii="Arial" w:hAnsi="Arial" w:cs="Arial"/>
          <w:bCs/>
          <w:szCs w:val="32"/>
        </w:rPr>
        <w:t>p. 71</w:t>
      </w:r>
    </w:p>
  </w:footnote>
  <w:footnote w:id="51">
    <w:p w:rsidR="00F22BB2" w:rsidRPr="00730435" w:rsidRDefault="00F22BB2" w:rsidP="00730435">
      <w:pPr>
        <w:rPr>
          <w:rFonts w:ascii="Arial" w:hAnsi="Arial" w:cs="Arial"/>
          <w:sz w:val="24"/>
          <w:szCs w:val="24"/>
        </w:rPr>
      </w:pPr>
      <w:r>
        <w:rPr>
          <w:rStyle w:val="FootnoteReference"/>
        </w:rPr>
        <w:footnoteRef/>
      </w:r>
      <w:r>
        <w:t xml:space="preserve"> </w:t>
      </w:r>
      <w:proofErr w:type="spellStart"/>
      <w:r>
        <w:rPr>
          <w:rFonts w:ascii="Arial" w:hAnsi="Arial" w:cs="Arial"/>
          <w:sz w:val="20"/>
          <w:szCs w:val="24"/>
        </w:rPr>
        <w:t>Rollanson</w:t>
      </w:r>
      <w:proofErr w:type="spellEnd"/>
      <w:r>
        <w:rPr>
          <w:rFonts w:ascii="Arial" w:hAnsi="Arial" w:cs="Arial"/>
          <w:sz w:val="20"/>
          <w:szCs w:val="24"/>
        </w:rPr>
        <w:t>,</w:t>
      </w:r>
      <w:r w:rsidRPr="006B43A7">
        <w:rPr>
          <w:rFonts w:ascii="Arial" w:hAnsi="Arial" w:cs="Arial"/>
          <w:sz w:val="20"/>
          <w:szCs w:val="24"/>
        </w:rPr>
        <w:t xml:space="preserve"> </w:t>
      </w:r>
      <w:r w:rsidRPr="006B43A7">
        <w:rPr>
          <w:rFonts w:ascii="Arial" w:hAnsi="Arial" w:cs="Arial"/>
          <w:i/>
          <w:sz w:val="20"/>
          <w:szCs w:val="24"/>
        </w:rPr>
        <w:t>Saints and Relics in Anglo-Saxon England,</w:t>
      </w:r>
      <w:r w:rsidRPr="006B43A7">
        <w:rPr>
          <w:rFonts w:ascii="Arial" w:hAnsi="Arial" w:cs="Arial"/>
          <w:sz w:val="20"/>
          <w:szCs w:val="24"/>
        </w:rPr>
        <w:t xml:space="preserve"> </w:t>
      </w:r>
      <w:r>
        <w:rPr>
          <w:rFonts w:ascii="Arial" w:hAnsi="Arial" w:cs="Arial"/>
          <w:sz w:val="20"/>
          <w:szCs w:val="24"/>
        </w:rPr>
        <w:t>(</w:t>
      </w:r>
      <w:r w:rsidRPr="006B43A7">
        <w:rPr>
          <w:rFonts w:ascii="Arial" w:hAnsi="Arial" w:cs="Arial"/>
          <w:sz w:val="20"/>
          <w:szCs w:val="24"/>
        </w:rPr>
        <w:t>1989)</w:t>
      </w:r>
      <w:r>
        <w:rPr>
          <w:rFonts w:ascii="Arial" w:hAnsi="Arial" w:cs="Arial"/>
          <w:sz w:val="20"/>
          <w:szCs w:val="24"/>
        </w:rPr>
        <w:t>, p. 155</w:t>
      </w:r>
    </w:p>
  </w:footnote>
  <w:footnote w:id="52">
    <w:p w:rsidR="00F22BB2" w:rsidRPr="004A1951" w:rsidRDefault="00F22BB2" w:rsidP="004A1951">
      <w:pPr>
        <w:rPr>
          <w:rFonts w:ascii="Arial" w:hAnsi="Arial" w:cs="Arial"/>
          <w:sz w:val="24"/>
          <w:szCs w:val="24"/>
        </w:rPr>
      </w:pPr>
      <w:r>
        <w:rPr>
          <w:rStyle w:val="FootnoteReference"/>
        </w:rPr>
        <w:footnoteRef/>
      </w:r>
      <w:r>
        <w:t xml:space="preserve"> </w:t>
      </w:r>
      <w:proofErr w:type="spellStart"/>
      <w:r>
        <w:rPr>
          <w:rFonts w:ascii="Arial" w:hAnsi="Arial" w:cs="Arial"/>
          <w:sz w:val="20"/>
          <w:szCs w:val="24"/>
        </w:rPr>
        <w:t>Rollanson</w:t>
      </w:r>
      <w:proofErr w:type="spellEnd"/>
      <w:r>
        <w:rPr>
          <w:rFonts w:ascii="Arial" w:hAnsi="Arial" w:cs="Arial"/>
          <w:sz w:val="20"/>
          <w:szCs w:val="24"/>
        </w:rPr>
        <w:t>,</w:t>
      </w:r>
      <w:r w:rsidRPr="006B43A7">
        <w:rPr>
          <w:rFonts w:ascii="Arial" w:hAnsi="Arial" w:cs="Arial"/>
          <w:sz w:val="20"/>
          <w:szCs w:val="24"/>
        </w:rPr>
        <w:t xml:space="preserve"> </w:t>
      </w:r>
      <w:r w:rsidRPr="006B43A7">
        <w:rPr>
          <w:rFonts w:ascii="Arial" w:hAnsi="Arial" w:cs="Arial"/>
          <w:i/>
          <w:sz w:val="20"/>
          <w:szCs w:val="24"/>
        </w:rPr>
        <w:t>Saints and Relics in Anglo-Saxon England,</w:t>
      </w:r>
      <w:r w:rsidRPr="006B43A7">
        <w:rPr>
          <w:rFonts w:ascii="Arial" w:hAnsi="Arial" w:cs="Arial"/>
          <w:sz w:val="20"/>
          <w:szCs w:val="24"/>
        </w:rPr>
        <w:t xml:space="preserve"> </w:t>
      </w:r>
      <w:r>
        <w:rPr>
          <w:rFonts w:ascii="Arial" w:hAnsi="Arial" w:cs="Arial"/>
          <w:sz w:val="20"/>
          <w:szCs w:val="24"/>
        </w:rPr>
        <w:t>(</w:t>
      </w:r>
      <w:r w:rsidRPr="006B43A7">
        <w:rPr>
          <w:rFonts w:ascii="Arial" w:hAnsi="Arial" w:cs="Arial"/>
          <w:sz w:val="20"/>
          <w:szCs w:val="24"/>
        </w:rPr>
        <w:t>1989)</w:t>
      </w:r>
      <w:r>
        <w:rPr>
          <w:rFonts w:ascii="Arial" w:hAnsi="Arial" w:cs="Arial"/>
          <w:sz w:val="20"/>
          <w:szCs w:val="24"/>
        </w:rPr>
        <w:t>, p. 155</w:t>
      </w:r>
    </w:p>
  </w:footnote>
  <w:footnote w:id="53">
    <w:p w:rsidR="00F22BB2" w:rsidRPr="004A1951" w:rsidRDefault="00F22BB2" w:rsidP="004A1951">
      <w:pPr>
        <w:rPr>
          <w:rFonts w:ascii="Arial" w:hAnsi="Arial" w:cs="Arial"/>
          <w:sz w:val="24"/>
          <w:szCs w:val="24"/>
        </w:rPr>
      </w:pPr>
      <w:r>
        <w:rPr>
          <w:rStyle w:val="FootnoteReference"/>
        </w:rPr>
        <w:footnoteRef/>
      </w:r>
      <w:r>
        <w:t xml:space="preserve"> </w:t>
      </w:r>
      <w:proofErr w:type="spellStart"/>
      <w:r>
        <w:rPr>
          <w:rFonts w:ascii="Arial" w:hAnsi="Arial" w:cs="Arial"/>
          <w:sz w:val="20"/>
          <w:szCs w:val="24"/>
        </w:rPr>
        <w:t>Rollanson</w:t>
      </w:r>
      <w:proofErr w:type="spellEnd"/>
      <w:r>
        <w:rPr>
          <w:rFonts w:ascii="Arial" w:hAnsi="Arial" w:cs="Arial"/>
          <w:sz w:val="20"/>
          <w:szCs w:val="24"/>
        </w:rPr>
        <w:t>,</w:t>
      </w:r>
      <w:r w:rsidRPr="006B43A7">
        <w:rPr>
          <w:rFonts w:ascii="Arial" w:hAnsi="Arial" w:cs="Arial"/>
          <w:sz w:val="20"/>
          <w:szCs w:val="24"/>
        </w:rPr>
        <w:t xml:space="preserve"> </w:t>
      </w:r>
      <w:r w:rsidRPr="006B43A7">
        <w:rPr>
          <w:rFonts w:ascii="Arial" w:hAnsi="Arial" w:cs="Arial"/>
          <w:i/>
          <w:sz w:val="20"/>
          <w:szCs w:val="24"/>
        </w:rPr>
        <w:t>Saints and Relics in Anglo-Saxon England,</w:t>
      </w:r>
      <w:r w:rsidRPr="006B43A7">
        <w:rPr>
          <w:rFonts w:ascii="Arial" w:hAnsi="Arial" w:cs="Arial"/>
          <w:sz w:val="20"/>
          <w:szCs w:val="24"/>
        </w:rPr>
        <w:t xml:space="preserve"> </w:t>
      </w:r>
      <w:r>
        <w:rPr>
          <w:rFonts w:ascii="Arial" w:hAnsi="Arial" w:cs="Arial"/>
          <w:sz w:val="20"/>
          <w:szCs w:val="24"/>
        </w:rPr>
        <w:t>(</w:t>
      </w:r>
      <w:r w:rsidRPr="006B43A7">
        <w:rPr>
          <w:rFonts w:ascii="Arial" w:hAnsi="Arial" w:cs="Arial"/>
          <w:sz w:val="20"/>
          <w:szCs w:val="24"/>
        </w:rPr>
        <w:t>1989)</w:t>
      </w:r>
      <w:r>
        <w:rPr>
          <w:rFonts w:ascii="Arial" w:hAnsi="Arial" w:cs="Arial"/>
          <w:sz w:val="20"/>
          <w:szCs w:val="24"/>
        </w:rPr>
        <w:t>, p. 157</w:t>
      </w:r>
    </w:p>
  </w:footnote>
  <w:footnote w:id="54">
    <w:p w:rsidR="00F22BB2" w:rsidRPr="004A1951" w:rsidRDefault="00F22BB2">
      <w:pPr>
        <w:pStyle w:val="FootnoteText"/>
        <w:rPr>
          <w:lang w:val="en-US"/>
        </w:rPr>
      </w:pPr>
      <w:r>
        <w:rPr>
          <w:rStyle w:val="FootnoteReference"/>
        </w:rPr>
        <w:footnoteRef/>
      </w:r>
      <w:r>
        <w:t xml:space="preserve"> </w:t>
      </w:r>
      <w:r>
        <w:rPr>
          <w:i/>
          <w:lang w:val="en-US"/>
        </w:rPr>
        <w:t>Ibid.</w:t>
      </w:r>
      <w:r>
        <w:rPr>
          <w:lang w:val="en-US"/>
        </w:rPr>
        <w:t xml:space="preserve"> p. 157</w:t>
      </w:r>
    </w:p>
  </w:footnote>
  <w:footnote w:id="55">
    <w:p w:rsidR="00F22BB2" w:rsidRPr="000E7807" w:rsidRDefault="00F22BB2" w:rsidP="000E7807">
      <w:pPr>
        <w:rPr>
          <w:rFonts w:ascii="Arial" w:hAnsi="Arial" w:cs="Arial"/>
          <w:bCs/>
          <w:sz w:val="20"/>
          <w:szCs w:val="32"/>
        </w:rPr>
      </w:pPr>
      <w:r>
        <w:rPr>
          <w:rStyle w:val="FootnoteReference"/>
        </w:rPr>
        <w:footnoteRef/>
      </w:r>
      <w:r>
        <w:t xml:space="preserve"> </w:t>
      </w:r>
      <w:r>
        <w:rPr>
          <w:rFonts w:ascii="Arial" w:hAnsi="Arial" w:cs="Arial"/>
          <w:bCs/>
          <w:sz w:val="20"/>
          <w:szCs w:val="32"/>
        </w:rPr>
        <w:t xml:space="preserve">Denis </w:t>
      </w:r>
      <w:proofErr w:type="spellStart"/>
      <w:r w:rsidRPr="000E7807">
        <w:rPr>
          <w:rFonts w:ascii="Arial" w:hAnsi="Arial" w:cs="Arial"/>
          <w:bCs/>
          <w:sz w:val="20"/>
          <w:szCs w:val="32"/>
        </w:rPr>
        <w:t>Piramus</w:t>
      </w:r>
      <w:proofErr w:type="spellEnd"/>
      <w:r w:rsidRPr="000E7807">
        <w:rPr>
          <w:rFonts w:ascii="Arial" w:hAnsi="Arial" w:cs="Arial"/>
          <w:bCs/>
          <w:sz w:val="20"/>
          <w:szCs w:val="32"/>
        </w:rPr>
        <w:t xml:space="preserve">, </w:t>
      </w:r>
      <w:r w:rsidRPr="000E7807">
        <w:rPr>
          <w:rFonts w:ascii="Arial" w:hAnsi="Arial" w:cs="Arial"/>
          <w:bCs/>
          <w:i/>
          <w:sz w:val="20"/>
          <w:szCs w:val="32"/>
        </w:rPr>
        <w:t xml:space="preserve">La vie </w:t>
      </w:r>
      <w:proofErr w:type="spellStart"/>
      <w:r w:rsidRPr="000E7807">
        <w:rPr>
          <w:rFonts w:ascii="Arial" w:hAnsi="Arial" w:cs="Arial"/>
          <w:bCs/>
          <w:i/>
          <w:sz w:val="20"/>
          <w:szCs w:val="32"/>
        </w:rPr>
        <w:t>seint</w:t>
      </w:r>
      <w:proofErr w:type="spellEnd"/>
      <w:r w:rsidRPr="000E7807">
        <w:rPr>
          <w:rFonts w:ascii="Arial" w:hAnsi="Arial" w:cs="Arial"/>
          <w:bCs/>
          <w:i/>
          <w:sz w:val="20"/>
          <w:szCs w:val="32"/>
        </w:rPr>
        <w:t xml:space="preserve"> Edmund le Rei</w:t>
      </w:r>
      <w:r w:rsidRPr="000E7807">
        <w:rPr>
          <w:rFonts w:ascii="Arial" w:hAnsi="Arial" w:cs="Arial"/>
          <w:bCs/>
          <w:sz w:val="20"/>
          <w:szCs w:val="32"/>
        </w:rPr>
        <w:t>, ed. D. W. Russel, (Oxford: Anglo-Norman Text Society, 2014)</w:t>
      </w:r>
      <w:r>
        <w:rPr>
          <w:rFonts w:ascii="Arial" w:hAnsi="Arial" w:cs="Arial"/>
          <w:bCs/>
          <w:sz w:val="20"/>
          <w:szCs w:val="32"/>
        </w:rPr>
        <w:t>, p. vii</w:t>
      </w:r>
    </w:p>
  </w:footnote>
  <w:footnote w:id="56">
    <w:p w:rsidR="00F22BB2" w:rsidRPr="006550F1" w:rsidRDefault="00F22BB2">
      <w:pPr>
        <w:pStyle w:val="FootnoteText"/>
        <w:rPr>
          <w:lang w:val="en-US"/>
        </w:rPr>
      </w:pPr>
      <w:r>
        <w:rPr>
          <w:rStyle w:val="FootnoteReference"/>
        </w:rPr>
        <w:footnoteRef/>
      </w:r>
      <w:r>
        <w:t xml:space="preserve"> </w:t>
      </w:r>
      <w:r>
        <w:rPr>
          <w:rFonts w:ascii="Arial" w:hAnsi="Arial" w:cs="Arial"/>
          <w:bCs/>
          <w:szCs w:val="32"/>
        </w:rPr>
        <w:t xml:space="preserve">Denis </w:t>
      </w:r>
      <w:proofErr w:type="spellStart"/>
      <w:r w:rsidRPr="000E7807">
        <w:rPr>
          <w:rFonts w:ascii="Arial" w:hAnsi="Arial" w:cs="Arial"/>
          <w:bCs/>
          <w:szCs w:val="32"/>
        </w:rPr>
        <w:t>Piramus</w:t>
      </w:r>
      <w:proofErr w:type="spellEnd"/>
      <w:r w:rsidRPr="000E7807">
        <w:rPr>
          <w:rFonts w:ascii="Arial" w:hAnsi="Arial" w:cs="Arial"/>
          <w:bCs/>
          <w:szCs w:val="32"/>
        </w:rPr>
        <w:t xml:space="preserve">, </w:t>
      </w:r>
      <w:r w:rsidRPr="000E7807">
        <w:rPr>
          <w:rFonts w:ascii="Arial" w:hAnsi="Arial" w:cs="Arial"/>
          <w:bCs/>
          <w:i/>
          <w:szCs w:val="32"/>
        </w:rPr>
        <w:t xml:space="preserve">La vie </w:t>
      </w:r>
      <w:proofErr w:type="spellStart"/>
      <w:r w:rsidRPr="000E7807">
        <w:rPr>
          <w:rFonts w:ascii="Arial" w:hAnsi="Arial" w:cs="Arial"/>
          <w:bCs/>
          <w:i/>
          <w:szCs w:val="32"/>
        </w:rPr>
        <w:t>seint</w:t>
      </w:r>
      <w:proofErr w:type="spellEnd"/>
      <w:r w:rsidRPr="000E7807">
        <w:rPr>
          <w:rFonts w:ascii="Arial" w:hAnsi="Arial" w:cs="Arial"/>
          <w:bCs/>
          <w:i/>
          <w:szCs w:val="32"/>
        </w:rPr>
        <w:t xml:space="preserve"> Edmund le Rei</w:t>
      </w:r>
      <w:r>
        <w:rPr>
          <w:rFonts w:ascii="Arial" w:hAnsi="Arial" w:cs="Arial"/>
          <w:bCs/>
          <w:szCs w:val="32"/>
        </w:rPr>
        <w:t>, p. 9</w:t>
      </w:r>
    </w:p>
  </w:footnote>
  <w:footnote w:id="57">
    <w:p w:rsidR="00F22BB2" w:rsidRPr="0051341B" w:rsidRDefault="00F22BB2">
      <w:pPr>
        <w:pStyle w:val="FootnoteText"/>
        <w:rPr>
          <w:lang w:val="en-US"/>
        </w:rPr>
      </w:pPr>
      <w:r>
        <w:rPr>
          <w:rStyle w:val="FootnoteReference"/>
        </w:rPr>
        <w:footnoteRef/>
      </w:r>
      <w:r>
        <w:t xml:space="preserve"> </w:t>
      </w:r>
      <w:r w:rsidRPr="000E7807">
        <w:rPr>
          <w:rFonts w:ascii="Arial" w:hAnsi="Arial" w:cs="Arial"/>
          <w:bCs/>
          <w:szCs w:val="32"/>
        </w:rPr>
        <w:t xml:space="preserve">Denis, </w:t>
      </w:r>
      <w:proofErr w:type="spellStart"/>
      <w:r w:rsidRPr="000E7807">
        <w:rPr>
          <w:rFonts w:ascii="Arial" w:hAnsi="Arial" w:cs="Arial"/>
          <w:bCs/>
          <w:szCs w:val="32"/>
        </w:rPr>
        <w:t>Piramus</w:t>
      </w:r>
      <w:proofErr w:type="spellEnd"/>
      <w:r w:rsidRPr="000E7807">
        <w:rPr>
          <w:rFonts w:ascii="Arial" w:hAnsi="Arial" w:cs="Arial"/>
          <w:bCs/>
          <w:szCs w:val="32"/>
        </w:rPr>
        <w:t xml:space="preserve">, </w:t>
      </w:r>
      <w:r w:rsidRPr="000E7807">
        <w:rPr>
          <w:rFonts w:ascii="Arial" w:hAnsi="Arial" w:cs="Arial"/>
          <w:bCs/>
          <w:i/>
          <w:szCs w:val="32"/>
        </w:rPr>
        <w:t xml:space="preserve">La vie </w:t>
      </w:r>
      <w:proofErr w:type="spellStart"/>
      <w:r w:rsidRPr="000E7807">
        <w:rPr>
          <w:rFonts w:ascii="Arial" w:hAnsi="Arial" w:cs="Arial"/>
          <w:bCs/>
          <w:i/>
          <w:szCs w:val="32"/>
        </w:rPr>
        <w:t>seint</w:t>
      </w:r>
      <w:proofErr w:type="spellEnd"/>
      <w:r w:rsidRPr="000E7807">
        <w:rPr>
          <w:rFonts w:ascii="Arial" w:hAnsi="Arial" w:cs="Arial"/>
          <w:bCs/>
          <w:i/>
          <w:szCs w:val="32"/>
        </w:rPr>
        <w:t xml:space="preserve"> Edmund le Rei</w:t>
      </w:r>
      <w:r>
        <w:rPr>
          <w:rFonts w:ascii="Arial" w:hAnsi="Arial" w:cs="Arial"/>
          <w:bCs/>
          <w:szCs w:val="32"/>
        </w:rPr>
        <w:t>, p.9</w:t>
      </w:r>
    </w:p>
  </w:footnote>
  <w:footnote w:id="58">
    <w:p w:rsidR="003C50E4" w:rsidRPr="003C50E4" w:rsidRDefault="003C50E4">
      <w:pPr>
        <w:pStyle w:val="FootnoteText"/>
        <w:rPr>
          <w:lang w:val="en-US"/>
        </w:rPr>
      </w:pPr>
      <w:r>
        <w:rPr>
          <w:rStyle w:val="FootnoteReference"/>
        </w:rPr>
        <w:footnoteRef/>
      </w:r>
      <w:r>
        <w:t xml:space="preserve"> </w:t>
      </w:r>
      <w:proofErr w:type="spellStart"/>
      <w:r>
        <w:rPr>
          <w:rFonts w:ascii="Arial" w:hAnsi="Arial" w:cs="Arial"/>
          <w:szCs w:val="24"/>
        </w:rPr>
        <w:t>Rollanson</w:t>
      </w:r>
      <w:proofErr w:type="spellEnd"/>
      <w:r>
        <w:rPr>
          <w:rFonts w:ascii="Arial" w:hAnsi="Arial" w:cs="Arial"/>
          <w:szCs w:val="24"/>
        </w:rPr>
        <w:t>,</w:t>
      </w:r>
      <w:r w:rsidRPr="006B43A7">
        <w:rPr>
          <w:rFonts w:ascii="Arial" w:hAnsi="Arial" w:cs="Arial"/>
          <w:szCs w:val="24"/>
        </w:rPr>
        <w:t xml:space="preserve"> </w:t>
      </w:r>
      <w:r w:rsidRPr="006B43A7">
        <w:rPr>
          <w:rFonts w:ascii="Arial" w:hAnsi="Arial" w:cs="Arial"/>
          <w:i/>
          <w:szCs w:val="24"/>
        </w:rPr>
        <w:t>Saints and Relics in Anglo-Saxon England,</w:t>
      </w:r>
      <w:r w:rsidRPr="006B43A7">
        <w:rPr>
          <w:rFonts w:ascii="Arial" w:hAnsi="Arial" w:cs="Arial"/>
          <w:szCs w:val="24"/>
        </w:rPr>
        <w:t xml:space="preserve"> </w:t>
      </w:r>
      <w:r>
        <w:rPr>
          <w:rFonts w:ascii="Arial" w:hAnsi="Arial" w:cs="Arial"/>
          <w:szCs w:val="24"/>
        </w:rPr>
        <w:t>(</w:t>
      </w:r>
      <w:r w:rsidRPr="006B43A7">
        <w:rPr>
          <w:rFonts w:ascii="Arial" w:hAnsi="Arial" w:cs="Arial"/>
          <w:szCs w:val="24"/>
        </w:rPr>
        <w:t>1989)</w:t>
      </w:r>
      <w:r>
        <w:rPr>
          <w:rFonts w:ascii="Arial" w:hAnsi="Arial" w:cs="Arial"/>
          <w:szCs w:val="24"/>
        </w:rPr>
        <w:t>, p. 155</w:t>
      </w:r>
    </w:p>
  </w:footnote>
  <w:footnote w:id="59">
    <w:p w:rsidR="003C50E4" w:rsidRPr="003C50E4" w:rsidRDefault="003C50E4" w:rsidP="003C50E4">
      <w:pPr>
        <w:rPr>
          <w:rFonts w:ascii="Arial" w:hAnsi="Arial" w:cs="Arial"/>
          <w:sz w:val="24"/>
          <w:szCs w:val="24"/>
        </w:rPr>
      </w:pPr>
      <w:r>
        <w:rPr>
          <w:rStyle w:val="FootnoteReference"/>
        </w:rPr>
        <w:footnoteRef/>
      </w:r>
      <w:r>
        <w:t xml:space="preserve"> </w:t>
      </w:r>
      <w:r w:rsidRPr="00DF61BC">
        <w:rPr>
          <w:rFonts w:ascii="Arial" w:hAnsi="Arial" w:cs="Arial"/>
          <w:sz w:val="20"/>
          <w:szCs w:val="24"/>
        </w:rPr>
        <w:t xml:space="preserve">Nickell, </w:t>
      </w:r>
      <w:r w:rsidRPr="00DF61BC">
        <w:rPr>
          <w:rFonts w:ascii="Arial" w:hAnsi="Arial" w:cs="Arial"/>
          <w:i/>
          <w:sz w:val="20"/>
          <w:szCs w:val="24"/>
        </w:rPr>
        <w:t>Looking for a Miracle,</w:t>
      </w:r>
      <w:r>
        <w:rPr>
          <w:rFonts w:ascii="Arial" w:hAnsi="Arial" w:cs="Arial"/>
          <w:sz w:val="20"/>
          <w:szCs w:val="24"/>
        </w:rPr>
        <w:t xml:space="preserve"> (</w:t>
      </w:r>
      <w:r w:rsidRPr="00DF61BC">
        <w:rPr>
          <w:rFonts w:ascii="Arial" w:hAnsi="Arial" w:cs="Arial"/>
          <w:sz w:val="20"/>
          <w:szCs w:val="24"/>
        </w:rPr>
        <w:t>1993)</w:t>
      </w:r>
      <w:r>
        <w:rPr>
          <w:rFonts w:ascii="Arial" w:hAnsi="Arial" w:cs="Arial"/>
          <w:sz w:val="20"/>
          <w:szCs w:val="24"/>
        </w:rPr>
        <w:t>, p. 85</w:t>
      </w:r>
    </w:p>
  </w:footnote>
  <w:footnote w:id="60">
    <w:p w:rsidR="00B616AA" w:rsidRPr="00B616AA" w:rsidRDefault="00B616AA" w:rsidP="00B616AA">
      <w:pPr>
        <w:rPr>
          <w:rFonts w:ascii="Arial" w:hAnsi="Arial" w:cs="Arial"/>
          <w:sz w:val="24"/>
          <w:szCs w:val="24"/>
        </w:rPr>
      </w:pPr>
      <w:r>
        <w:rPr>
          <w:rStyle w:val="FootnoteReference"/>
        </w:rPr>
        <w:footnoteRef/>
      </w:r>
      <w:r>
        <w:t xml:space="preserve"> </w:t>
      </w:r>
      <w:r w:rsidRPr="00DF61BC">
        <w:rPr>
          <w:rFonts w:ascii="Arial" w:hAnsi="Arial" w:cs="Arial"/>
          <w:sz w:val="20"/>
          <w:szCs w:val="24"/>
        </w:rPr>
        <w:t xml:space="preserve">Nickell, </w:t>
      </w:r>
      <w:r w:rsidRPr="00DF61BC">
        <w:rPr>
          <w:rFonts w:ascii="Arial" w:hAnsi="Arial" w:cs="Arial"/>
          <w:i/>
          <w:sz w:val="20"/>
          <w:szCs w:val="24"/>
        </w:rPr>
        <w:t>Looking for a Miracle,</w:t>
      </w:r>
      <w:r>
        <w:rPr>
          <w:rFonts w:ascii="Arial" w:hAnsi="Arial" w:cs="Arial"/>
          <w:sz w:val="20"/>
          <w:szCs w:val="24"/>
        </w:rPr>
        <w:t xml:space="preserve"> (</w:t>
      </w:r>
      <w:r w:rsidRPr="00DF61BC">
        <w:rPr>
          <w:rFonts w:ascii="Arial" w:hAnsi="Arial" w:cs="Arial"/>
          <w:sz w:val="20"/>
          <w:szCs w:val="24"/>
        </w:rPr>
        <w:t>1993)</w:t>
      </w:r>
      <w:r>
        <w:rPr>
          <w:rFonts w:ascii="Arial" w:hAnsi="Arial" w:cs="Arial"/>
          <w:sz w:val="20"/>
          <w:szCs w:val="24"/>
        </w:rPr>
        <w:t>, pp. 85-86</w:t>
      </w:r>
    </w:p>
  </w:footnote>
  <w:footnote w:id="61">
    <w:p w:rsidR="00EB4338" w:rsidRPr="00EB4338" w:rsidRDefault="00EB4338" w:rsidP="00EB4338">
      <w:pPr>
        <w:rPr>
          <w:rFonts w:ascii="Arial" w:hAnsi="Arial" w:cs="Arial"/>
          <w:sz w:val="24"/>
          <w:szCs w:val="24"/>
        </w:rPr>
      </w:pPr>
      <w:r>
        <w:rPr>
          <w:rStyle w:val="FootnoteReference"/>
        </w:rPr>
        <w:footnoteRef/>
      </w:r>
      <w:r>
        <w:t xml:space="preserve"> </w:t>
      </w:r>
      <w:r w:rsidRPr="00DF61BC">
        <w:rPr>
          <w:rFonts w:ascii="Arial" w:hAnsi="Arial" w:cs="Arial"/>
          <w:sz w:val="20"/>
          <w:szCs w:val="24"/>
        </w:rPr>
        <w:t xml:space="preserve">Nickell, </w:t>
      </w:r>
      <w:r w:rsidRPr="00DF61BC">
        <w:rPr>
          <w:rFonts w:ascii="Arial" w:hAnsi="Arial" w:cs="Arial"/>
          <w:i/>
          <w:sz w:val="20"/>
          <w:szCs w:val="24"/>
        </w:rPr>
        <w:t>Looking for a Miracle,</w:t>
      </w:r>
      <w:r>
        <w:rPr>
          <w:rFonts w:ascii="Arial" w:hAnsi="Arial" w:cs="Arial"/>
          <w:sz w:val="20"/>
          <w:szCs w:val="24"/>
        </w:rPr>
        <w:t xml:space="preserve"> (</w:t>
      </w:r>
      <w:r w:rsidRPr="00DF61BC">
        <w:rPr>
          <w:rFonts w:ascii="Arial" w:hAnsi="Arial" w:cs="Arial"/>
          <w:sz w:val="20"/>
          <w:szCs w:val="24"/>
        </w:rPr>
        <w:t>1993)</w:t>
      </w:r>
      <w:r>
        <w:rPr>
          <w:rFonts w:ascii="Arial" w:hAnsi="Arial" w:cs="Arial"/>
          <w:sz w:val="20"/>
          <w:szCs w:val="24"/>
        </w:rPr>
        <w:t>, p. 86</w:t>
      </w:r>
    </w:p>
  </w:footnote>
  <w:footnote w:id="62">
    <w:p w:rsidR="00EB4338" w:rsidRPr="00EB4338" w:rsidRDefault="00EB4338" w:rsidP="00EB4338">
      <w:pPr>
        <w:rPr>
          <w:rFonts w:ascii="Arial" w:hAnsi="Arial" w:cs="Arial"/>
          <w:sz w:val="24"/>
          <w:szCs w:val="24"/>
        </w:rPr>
      </w:pPr>
      <w:r>
        <w:rPr>
          <w:rStyle w:val="FootnoteReference"/>
        </w:rPr>
        <w:footnoteRef/>
      </w:r>
      <w:r>
        <w:t xml:space="preserve"> </w:t>
      </w:r>
      <w:r w:rsidRPr="00EB4338">
        <w:rPr>
          <w:rFonts w:ascii="Arial" w:hAnsi="Arial" w:cs="Arial"/>
          <w:sz w:val="20"/>
          <w:szCs w:val="24"/>
        </w:rPr>
        <w:t>Maurice</w:t>
      </w:r>
      <w:r>
        <w:rPr>
          <w:rFonts w:ascii="Arial" w:hAnsi="Arial" w:cs="Arial"/>
          <w:sz w:val="20"/>
          <w:szCs w:val="24"/>
        </w:rPr>
        <w:t xml:space="preserve"> Ashley</w:t>
      </w:r>
      <w:r w:rsidRPr="00EB4338">
        <w:rPr>
          <w:rFonts w:ascii="Arial" w:hAnsi="Arial" w:cs="Arial"/>
          <w:sz w:val="20"/>
          <w:szCs w:val="24"/>
        </w:rPr>
        <w:t xml:space="preserve">, </w:t>
      </w:r>
      <w:r w:rsidRPr="00EB4338">
        <w:rPr>
          <w:rFonts w:ascii="Arial" w:hAnsi="Arial" w:cs="Arial"/>
          <w:i/>
          <w:sz w:val="20"/>
          <w:szCs w:val="24"/>
        </w:rPr>
        <w:t>The Life and Times of William I,</w:t>
      </w:r>
      <w:r w:rsidRPr="00EB4338">
        <w:rPr>
          <w:rFonts w:ascii="Arial" w:hAnsi="Arial" w:cs="Arial"/>
          <w:sz w:val="20"/>
          <w:szCs w:val="24"/>
        </w:rPr>
        <w:t xml:space="preserve"> (London, Book Club Associates, 1973)</w:t>
      </w:r>
      <w:r>
        <w:rPr>
          <w:rFonts w:ascii="Arial" w:hAnsi="Arial" w:cs="Arial"/>
          <w:sz w:val="20"/>
          <w:szCs w:val="24"/>
        </w:rPr>
        <w:t>, p. 218</w:t>
      </w:r>
    </w:p>
  </w:footnote>
  <w:footnote w:id="63">
    <w:p w:rsidR="004F6EA0" w:rsidRPr="004F6EA0" w:rsidRDefault="004F6EA0" w:rsidP="004F6EA0">
      <w:pPr>
        <w:rPr>
          <w:rFonts w:ascii="Arial" w:hAnsi="Arial" w:cs="Arial"/>
          <w:sz w:val="24"/>
          <w:szCs w:val="24"/>
        </w:rPr>
      </w:pPr>
      <w:r>
        <w:rPr>
          <w:rStyle w:val="FootnoteReference"/>
        </w:rPr>
        <w:footnoteRef/>
      </w:r>
      <w:r>
        <w:t xml:space="preserve"> </w:t>
      </w:r>
      <w:r w:rsidRPr="00DF61BC">
        <w:rPr>
          <w:rFonts w:ascii="Arial" w:hAnsi="Arial" w:cs="Arial"/>
          <w:sz w:val="20"/>
          <w:szCs w:val="24"/>
        </w:rPr>
        <w:t xml:space="preserve">Nickell, </w:t>
      </w:r>
      <w:r w:rsidRPr="00DF61BC">
        <w:rPr>
          <w:rFonts w:ascii="Arial" w:hAnsi="Arial" w:cs="Arial"/>
          <w:i/>
          <w:sz w:val="20"/>
          <w:szCs w:val="24"/>
        </w:rPr>
        <w:t>Looking for a Miracle,</w:t>
      </w:r>
      <w:r>
        <w:rPr>
          <w:rFonts w:ascii="Arial" w:hAnsi="Arial" w:cs="Arial"/>
          <w:sz w:val="20"/>
          <w:szCs w:val="24"/>
        </w:rPr>
        <w:t xml:space="preserve"> (</w:t>
      </w:r>
      <w:r w:rsidRPr="00DF61BC">
        <w:rPr>
          <w:rFonts w:ascii="Arial" w:hAnsi="Arial" w:cs="Arial"/>
          <w:sz w:val="20"/>
          <w:szCs w:val="24"/>
        </w:rPr>
        <w:t>1993)</w:t>
      </w:r>
      <w:r>
        <w:rPr>
          <w:rFonts w:ascii="Arial" w:hAnsi="Arial" w:cs="Arial"/>
          <w:sz w:val="20"/>
          <w:szCs w:val="24"/>
        </w:rPr>
        <w:t>, p. 88</w:t>
      </w:r>
    </w:p>
  </w:footnote>
  <w:footnote w:id="64">
    <w:p w:rsidR="00957671" w:rsidRPr="00957671" w:rsidRDefault="00957671">
      <w:pPr>
        <w:pStyle w:val="FootnoteText"/>
        <w:rPr>
          <w:lang w:val="en-US"/>
        </w:rPr>
      </w:pPr>
      <w:r>
        <w:rPr>
          <w:rStyle w:val="FootnoteReference"/>
        </w:rPr>
        <w:footnoteRef/>
      </w:r>
      <w:r>
        <w:t xml:space="preserve"> </w:t>
      </w:r>
      <w:r>
        <w:rPr>
          <w:i/>
          <w:lang w:val="en-US"/>
        </w:rPr>
        <w:t xml:space="preserve">Ibid. </w:t>
      </w:r>
      <w:r>
        <w:rPr>
          <w:lang w:val="en-US"/>
        </w:rPr>
        <w:t>p. 88</w:t>
      </w:r>
    </w:p>
  </w:footnote>
  <w:footnote w:id="65">
    <w:p w:rsidR="00F22BB2" w:rsidRPr="00417FC8" w:rsidRDefault="00F22BB2" w:rsidP="00417FC8">
      <w:pPr>
        <w:rPr>
          <w:rFonts w:ascii="Arial" w:hAnsi="Arial" w:cs="Arial"/>
          <w:sz w:val="24"/>
          <w:szCs w:val="24"/>
        </w:rPr>
      </w:pPr>
      <w:r>
        <w:rPr>
          <w:rStyle w:val="FootnoteReference"/>
        </w:rPr>
        <w:footnoteRef/>
      </w:r>
      <w:r>
        <w:t xml:space="preserve"> </w:t>
      </w:r>
      <w:r w:rsidRPr="00417FC8">
        <w:rPr>
          <w:rFonts w:ascii="Arial" w:hAnsi="Arial" w:cs="Arial"/>
          <w:sz w:val="20"/>
          <w:szCs w:val="24"/>
        </w:rPr>
        <w:t xml:space="preserve">Secret Suffolk, ‘The Death of St. Edmund’, from: </w:t>
      </w:r>
      <w:hyperlink r:id="rId4" w:history="1">
        <w:r w:rsidRPr="00417FC8">
          <w:rPr>
            <w:rStyle w:val="Hyperlink"/>
            <w:rFonts w:ascii="Arial" w:hAnsi="Arial" w:cs="Arial"/>
            <w:sz w:val="20"/>
            <w:szCs w:val="24"/>
          </w:rPr>
          <w:t>http://secretsuffolk.com/hoxne/</w:t>
        </w:r>
      </w:hyperlink>
      <w:r w:rsidRPr="00417FC8">
        <w:rPr>
          <w:rFonts w:ascii="Arial" w:hAnsi="Arial" w:cs="Arial"/>
          <w:sz w:val="20"/>
          <w:szCs w:val="24"/>
        </w:rPr>
        <w:t>; [accessed 19/4/2023]</w:t>
      </w:r>
    </w:p>
  </w:footnote>
  <w:footnote w:id="66">
    <w:p w:rsidR="00F22BB2" w:rsidRPr="00417FC8" w:rsidRDefault="00F22BB2" w:rsidP="00417FC8">
      <w:pPr>
        <w:rPr>
          <w:rFonts w:ascii="Arial" w:hAnsi="Arial" w:cs="Arial"/>
          <w:sz w:val="24"/>
          <w:szCs w:val="24"/>
        </w:rPr>
      </w:pPr>
      <w:r>
        <w:rPr>
          <w:rStyle w:val="FootnoteReference"/>
        </w:rPr>
        <w:footnoteRef/>
      </w:r>
      <w:r>
        <w:t xml:space="preserve"> </w:t>
      </w:r>
      <w:proofErr w:type="spellStart"/>
      <w:r w:rsidRPr="00417FC8">
        <w:rPr>
          <w:rFonts w:ascii="Arial" w:hAnsi="Arial" w:cs="Arial"/>
          <w:sz w:val="20"/>
          <w:szCs w:val="24"/>
        </w:rPr>
        <w:t>Hoxne</w:t>
      </w:r>
      <w:proofErr w:type="spellEnd"/>
      <w:r w:rsidRPr="00417FC8">
        <w:rPr>
          <w:rFonts w:ascii="Arial" w:hAnsi="Arial" w:cs="Arial"/>
          <w:sz w:val="20"/>
          <w:szCs w:val="24"/>
        </w:rPr>
        <w:t xml:space="preserve"> Heritage Group, ‘The Legend of St. Edmund and his Monument’, from: </w:t>
      </w:r>
      <w:hyperlink r:id="rId5" w:history="1">
        <w:r w:rsidRPr="00417FC8">
          <w:rPr>
            <w:rStyle w:val="Hyperlink"/>
            <w:rFonts w:ascii="Arial" w:hAnsi="Arial" w:cs="Arial"/>
            <w:sz w:val="20"/>
            <w:szCs w:val="24"/>
          </w:rPr>
          <w:t>https://www.hoxnehistory.org.uk/St%20Edmund.php</w:t>
        </w:r>
      </w:hyperlink>
      <w:r w:rsidRPr="00417FC8">
        <w:rPr>
          <w:rFonts w:ascii="Arial" w:hAnsi="Arial" w:cs="Arial"/>
          <w:sz w:val="20"/>
          <w:szCs w:val="24"/>
        </w:rPr>
        <w:t>; [accessed 19/4/2023]</w:t>
      </w:r>
    </w:p>
  </w:footnote>
  <w:footnote w:id="67">
    <w:p w:rsidR="00F22BB2" w:rsidRPr="009F2ACE" w:rsidRDefault="00F22BB2" w:rsidP="009F2ACE">
      <w:pPr>
        <w:rPr>
          <w:rFonts w:ascii="Arial" w:hAnsi="Arial" w:cs="Arial"/>
          <w:sz w:val="24"/>
          <w:szCs w:val="24"/>
        </w:rPr>
      </w:pPr>
      <w:r>
        <w:rPr>
          <w:rStyle w:val="FootnoteReference"/>
        </w:rPr>
        <w:footnoteRef/>
      </w:r>
      <w:r>
        <w:t xml:space="preserve"> </w:t>
      </w:r>
      <w:proofErr w:type="spellStart"/>
      <w:r w:rsidRPr="009F2ACE">
        <w:rPr>
          <w:rFonts w:ascii="Arial" w:hAnsi="Arial" w:cs="Arial"/>
          <w:sz w:val="20"/>
          <w:szCs w:val="24"/>
        </w:rPr>
        <w:t>Hoxne</w:t>
      </w:r>
      <w:proofErr w:type="spellEnd"/>
      <w:r w:rsidRPr="009F2ACE">
        <w:rPr>
          <w:rFonts w:ascii="Arial" w:hAnsi="Arial" w:cs="Arial"/>
          <w:sz w:val="20"/>
          <w:szCs w:val="24"/>
        </w:rPr>
        <w:t xml:space="preserve"> Heritage Group, ‘The Legend of St. Edmund and his Monument’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F978CF"/>
    <w:multiLevelType w:val="hybridMultilevel"/>
    <w:tmpl w:val="FCDAEFBA"/>
    <w:lvl w:ilvl="0" w:tplc="4C48DFCE">
      <w:start w:val="1"/>
      <w:numFmt w:val="bullet"/>
      <w:lvlText w:val="+"/>
      <w:lvlJc w:val="left"/>
      <w:pPr>
        <w:tabs>
          <w:tab w:val="num" w:pos="720"/>
        </w:tabs>
        <w:ind w:left="720" w:hanging="360"/>
      </w:pPr>
      <w:rPr>
        <w:rFonts w:ascii="Avenir Next LT Pro" w:hAnsi="Avenir Next LT Pro" w:hint="default"/>
      </w:rPr>
    </w:lvl>
    <w:lvl w:ilvl="1" w:tplc="706AFBC6" w:tentative="1">
      <w:start w:val="1"/>
      <w:numFmt w:val="bullet"/>
      <w:lvlText w:val="+"/>
      <w:lvlJc w:val="left"/>
      <w:pPr>
        <w:tabs>
          <w:tab w:val="num" w:pos="1440"/>
        </w:tabs>
        <w:ind w:left="1440" w:hanging="360"/>
      </w:pPr>
      <w:rPr>
        <w:rFonts w:ascii="Avenir Next LT Pro" w:hAnsi="Avenir Next LT Pro" w:hint="default"/>
      </w:rPr>
    </w:lvl>
    <w:lvl w:ilvl="2" w:tplc="6C5C6308" w:tentative="1">
      <w:start w:val="1"/>
      <w:numFmt w:val="bullet"/>
      <w:lvlText w:val="+"/>
      <w:lvlJc w:val="left"/>
      <w:pPr>
        <w:tabs>
          <w:tab w:val="num" w:pos="2160"/>
        </w:tabs>
        <w:ind w:left="2160" w:hanging="360"/>
      </w:pPr>
      <w:rPr>
        <w:rFonts w:ascii="Avenir Next LT Pro" w:hAnsi="Avenir Next LT Pro" w:hint="default"/>
      </w:rPr>
    </w:lvl>
    <w:lvl w:ilvl="3" w:tplc="A9FCD8A6" w:tentative="1">
      <w:start w:val="1"/>
      <w:numFmt w:val="bullet"/>
      <w:lvlText w:val="+"/>
      <w:lvlJc w:val="left"/>
      <w:pPr>
        <w:tabs>
          <w:tab w:val="num" w:pos="2880"/>
        </w:tabs>
        <w:ind w:left="2880" w:hanging="360"/>
      </w:pPr>
      <w:rPr>
        <w:rFonts w:ascii="Avenir Next LT Pro" w:hAnsi="Avenir Next LT Pro" w:hint="default"/>
      </w:rPr>
    </w:lvl>
    <w:lvl w:ilvl="4" w:tplc="DE78448C" w:tentative="1">
      <w:start w:val="1"/>
      <w:numFmt w:val="bullet"/>
      <w:lvlText w:val="+"/>
      <w:lvlJc w:val="left"/>
      <w:pPr>
        <w:tabs>
          <w:tab w:val="num" w:pos="3600"/>
        </w:tabs>
        <w:ind w:left="3600" w:hanging="360"/>
      </w:pPr>
      <w:rPr>
        <w:rFonts w:ascii="Avenir Next LT Pro" w:hAnsi="Avenir Next LT Pro" w:hint="default"/>
      </w:rPr>
    </w:lvl>
    <w:lvl w:ilvl="5" w:tplc="0E52DA28" w:tentative="1">
      <w:start w:val="1"/>
      <w:numFmt w:val="bullet"/>
      <w:lvlText w:val="+"/>
      <w:lvlJc w:val="left"/>
      <w:pPr>
        <w:tabs>
          <w:tab w:val="num" w:pos="4320"/>
        </w:tabs>
        <w:ind w:left="4320" w:hanging="360"/>
      </w:pPr>
      <w:rPr>
        <w:rFonts w:ascii="Avenir Next LT Pro" w:hAnsi="Avenir Next LT Pro" w:hint="default"/>
      </w:rPr>
    </w:lvl>
    <w:lvl w:ilvl="6" w:tplc="E5D00FB2" w:tentative="1">
      <w:start w:val="1"/>
      <w:numFmt w:val="bullet"/>
      <w:lvlText w:val="+"/>
      <w:lvlJc w:val="left"/>
      <w:pPr>
        <w:tabs>
          <w:tab w:val="num" w:pos="5040"/>
        </w:tabs>
        <w:ind w:left="5040" w:hanging="360"/>
      </w:pPr>
      <w:rPr>
        <w:rFonts w:ascii="Avenir Next LT Pro" w:hAnsi="Avenir Next LT Pro" w:hint="default"/>
      </w:rPr>
    </w:lvl>
    <w:lvl w:ilvl="7" w:tplc="5B58BAC4" w:tentative="1">
      <w:start w:val="1"/>
      <w:numFmt w:val="bullet"/>
      <w:lvlText w:val="+"/>
      <w:lvlJc w:val="left"/>
      <w:pPr>
        <w:tabs>
          <w:tab w:val="num" w:pos="5760"/>
        </w:tabs>
        <w:ind w:left="5760" w:hanging="360"/>
      </w:pPr>
      <w:rPr>
        <w:rFonts w:ascii="Avenir Next LT Pro" w:hAnsi="Avenir Next LT Pro" w:hint="default"/>
      </w:rPr>
    </w:lvl>
    <w:lvl w:ilvl="8" w:tplc="95568008" w:tentative="1">
      <w:start w:val="1"/>
      <w:numFmt w:val="bullet"/>
      <w:lvlText w:val="+"/>
      <w:lvlJc w:val="left"/>
      <w:pPr>
        <w:tabs>
          <w:tab w:val="num" w:pos="6480"/>
        </w:tabs>
        <w:ind w:left="6480" w:hanging="360"/>
      </w:pPr>
      <w:rPr>
        <w:rFonts w:ascii="Avenir Next LT Pro" w:hAnsi="Avenir Next LT Pro"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331"/>
    <w:rsid w:val="00022AD9"/>
    <w:rsid w:val="000D4D2F"/>
    <w:rsid w:val="000E7807"/>
    <w:rsid w:val="001039FD"/>
    <w:rsid w:val="00144BBB"/>
    <w:rsid w:val="001713F1"/>
    <w:rsid w:val="001A23BF"/>
    <w:rsid w:val="001B72D3"/>
    <w:rsid w:val="00204FC4"/>
    <w:rsid w:val="00225A0D"/>
    <w:rsid w:val="002824F9"/>
    <w:rsid w:val="00340CAA"/>
    <w:rsid w:val="00371581"/>
    <w:rsid w:val="00382567"/>
    <w:rsid w:val="003A2A68"/>
    <w:rsid w:val="003C50E4"/>
    <w:rsid w:val="003D2B69"/>
    <w:rsid w:val="00407DAC"/>
    <w:rsid w:val="00417FC8"/>
    <w:rsid w:val="00485A41"/>
    <w:rsid w:val="004A1951"/>
    <w:rsid w:val="004F02ED"/>
    <w:rsid w:val="004F6EA0"/>
    <w:rsid w:val="0051341B"/>
    <w:rsid w:val="00535D5D"/>
    <w:rsid w:val="00563391"/>
    <w:rsid w:val="00576C46"/>
    <w:rsid w:val="00602C9C"/>
    <w:rsid w:val="00604A40"/>
    <w:rsid w:val="006279A3"/>
    <w:rsid w:val="00630535"/>
    <w:rsid w:val="00644963"/>
    <w:rsid w:val="006550F1"/>
    <w:rsid w:val="00672390"/>
    <w:rsid w:val="00694E9D"/>
    <w:rsid w:val="006B43A7"/>
    <w:rsid w:val="006E2BE2"/>
    <w:rsid w:val="00730435"/>
    <w:rsid w:val="00770B9A"/>
    <w:rsid w:val="00777EB1"/>
    <w:rsid w:val="007A71BB"/>
    <w:rsid w:val="00822088"/>
    <w:rsid w:val="00842733"/>
    <w:rsid w:val="00844CB7"/>
    <w:rsid w:val="00871074"/>
    <w:rsid w:val="00874626"/>
    <w:rsid w:val="00874DD7"/>
    <w:rsid w:val="00887AB6"/>
    <w:rsid w:val="008B0BCD"/>
    <w:rsid w:val="008D19E5"/>
    <w:rsid w:val="00911FEE"/>
    <w:rsid w:val="00935CB4"/>
    <w:rsid w:val="00957671"/>
    <w:rsid w:val="00965ABD"/>
    <w:rsid w:val="00971A01"/>
    <w:rsid w:val="009A2A89"/>
    <w:rsid w:val="009F2ACE"/>
    <w:rsid w:val="00A05EF8"/>
    <w:rsid w:val="00A173E6"/>
    <w:rsid w:val="00B51943"/>
    <w:rsid w:val="00B6110E"/>
    <w:rsid w:val="00B616AA"/>
    <w:rsid w:val="00C372D8"/>
    <w:rsid w:val="00C52424"/>
    <w:rsid w:val="00CA54A5"/>
    <w:rsid w:val="00CE5C97"/>
    <w:rsid w:val="00D16320"/>
    <w:rsid w:val="00D47331"/>
    <w:rsid w:val="00D6548C"/>
    <w:rsid w:val="00D947AE"/>
    <w:rsid w:val="00DF22A3"/>
    <w:rsid w:val="00DF61BC"/>
    <w:rsid w:val="00E13AE5"/>
    <w:rsid w:val="00E179D5"/>
    <w:rsid w:val="00EB4338"/>
    <w:rsid w:val="00EC4AAA"/>
    <w:rsid w:val="00EE5C6A"/>
    <w:rsid w:val="00F22BB2"/>
    <w:rsid w:val="00F67F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039FD"/>
    <w:pPr>
      <w:spacing w:after="0" w:line="240" w:lineRule="auto"/>
    </w:pPr>
    <w:rPr>
      <w:sz w:val="20"/>
      <w:szCs w:val="20"/>
    </w:rPr>
  </w:style>
  <w:style w:type="character" w:customStyle="1" w:styleId="FootnoteTextChar">
    <w:name w:val="Footnote Text Char"/>
    <w:basedOn w:val="DefaultParagraphFont"/>
    <w:link w:val="FootnoteText"/>
    <w:uiPriority w:val="99"/>
    <w:rsid w:val="001039FD"/>
    <w:rPr>
      <w:sz w:val="20"/>
      <w:szCs w:val="20"/>
      <w:lang w:val="en-GB"/>
    </w:rPr>
  </w:style>
  <w:style w:type="character" w:styleId="FootnoteReference">
    <w:name w:val="footnote reference"/>
    <w:basedOn w:val="DefaultParagraphFont"/>
    <w:uiPriority w:val="99"/>
    <w:semiHidden/>
    <w:unhideWhenUsed/>
    <w:rsid w:val="001039FD"/>
    <w:rPr>
      <w:vertAlign w:val="superscript"/>
    </w:rPr>
  </w:style>
  <w:style w:type="character" w:styleId="Hyperlink">
    <w:name w:val="Hyperlink"/>
    <w:basedOn w:val="DefaultParagraphFont"/>
    <w:uiPriority w:val="99"/>
    <w:unhideWhenUsed/>
    <w:rsid w:val="00777EB1"/>
    <w:rPr>
      <w:color w:val="0000FF" w:themeColor="hyperlink"/>
      <w:u w:val="single"/>
    </w:rPr>
  </w:style>
  <w:style w:type="paragraph" w:customStyle="1" w:styleId="citationpreview">
    <w:name w:val="citationpreview"/>
    <w:basedOn w:val="Normal"/>
    <w:rsid w:val="00777EB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777EB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039FD"/>
    <w:pPr>
      <w:spacing w:after="0" w:line="240" w:lineRule="auto"/>
    </w:pPr>
    <w:rPr>
      <w:sz w:val="20"/>
      <w:szCs w:val="20"/>
    </w:rPr>
  </w:style>
  <w:style w:type="character" w:customStyle="1" w:styleId="FootnoteTextChar">
    <w:name w:val="Footnote Text Char"/>
    <w:basedOn w:val="DefaultParagraphFont"/>
    <w:link w:val="FootnoteText"/>
    <w:uiPriority w:val="99"/>
    <w:rsid w:val="001039FD"/>
    <w:rPr>
      <w:sz w:val="20"/>
      <w:szCs w:val="20"/>
      <w:lang w:val="en-GB"/>
    </w:rPr>
  </w:style>
  <w:style w:type="character" w:styleId="FootnoteReference">
    <w:name w:val="footnote reference"/>
    <w:basedOn w:val="DefaultParagraphFont"/>
    <w:uiPriority w:val="99"/>
    <w:semiHidden/>
    <w:unhideWhenUsed/>
    <w:rsid w:val="001039FD"/>
    <w:rPr>
      <w:vertAlign w:val="superscript"/>
    </w:rPr>
  </w:style>
  <w:style w:type="character" w:styleId="Hyperlink">
    <w:name w:val="Hyperlink"/>
    <w:basedOn w:val="DefaultParagraphFont"/>
    <w:uiPriority w:val="99"/>
    <w:unhideWhenUsed/>
    <w:rsid w:val="00777EB1"/>
    <w:rPr>
      <w:color w:val="0000FF" w:themeColor="hyperlink"/>
      <w:u w:val="single"/>
    </w:rPr>
  </w:style>
  <w:style w:type="paragraph" w:customStyle="1" w:styleId="citationpreview">
    <w:name w:val="citationpreview"/>
    <w:basedOn w:val="Normal"/>
    <w:rsid w:val="00777EB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777E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280684">
      <w:bodyDiv w:val="1"/>
      <w:marLeft w:val="0"/>
      <w:marRight w:val="0"/>
      <w:marTop w:val="0"/>
      <w:marBottom w:val="0"/>
      <w:divBdr>
        <w:top w:val="none" w:sz="0" w:space="0" w:color="auto"/>
        <w:left w:val="none" w:sz="0" w:space="0" w:color="auto"/>
        <w:bottom w:val="none" w:sz="0" w:space="0" w:color="auto"/>
        <w:right w:val="none" w:sz="0" w:space="0" w:color="auto"/>
      </w:divBdr>
      <w:divsChild>
        <w:div w:id="97186477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reference-com.ezproxy.uwtsd.ac.uk/view/10.1093/acref/9780199596607.001.0001/acref-9780199596607-e-517"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ecretsuffolk.com/hox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hoxnehistory.org.uk/St%20Edmund.php" TargetMode="External"/><Relationship Id="rId5" Type="http://schemas.openxmlformats.org/officeDocument/2006/relationships/webSettings" Target="webSettings.xml"/><Relationship Id="rId10" Type="http://schemas.openxmlformats.org/officeDocument/2006/relationships/hyperlink" Target="https://www.highstewardship.org/high-stewards" TargetMode="External"/><Relationship Id="rId4" Type="http://schemas.openxmlformats.org/officeDocument/2006/relationships/settings" Target="settings.xml"/><Relationship Id="rId9" Type="http://schemas.openxmlformats.org/officeDocument/2006/relationships/hyperlink" Target="https://www.greeneking.co.uk/our-company/"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greeneking.co.uk/our-company/" TargetMode="External"/><Relationship Id="rId2" Type="http://schemas.openxmlformats.org/officeDocument/2006/relationships/hyperlink" Target="https://www.highstewardship.org/high-stewards" TargetMode="External"/><Relationship Id="rId1" Type="http://schemas.openxmlformats.org/officeDocument/2006/relationships/hyperlink" Target="https://www-oxfordreference-com.ezproxy.uwtsd.ac.uk/view/10.1093/acref/9780199596607.001.0001/acref-9780199596607-e-517" TargetMode="External"/><Relationship Id="rId5" Type="http://schemas.openxmlformats.org/officeDocument/2006/relationships/hyperlink" Target="https://www.hoxnehistory.org.uk/St%20Edmund.php" TargetMode="External"/><Relationship Id="rId4" Type="http://schemas.openxmlformats.org/officeDocument/2006/relationships/hyperlink" Target="http://secretsuffolk.com/hox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1771</TotalTime>
  <Pages>11</Pages>
  <Words>2195</Words>
  <Characters>10629</Characters>
  <Application>Microsoft Office Word</Application>
  <DocSecurity>0</DocSecurity>
  <Lines>231</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Isaac Law</dc:creator>
  <cp:lastModifiedBy>Isaac Law</cp:lastModifiedBy>
  <cp:revision>81</cp:revision>
  <dcterms:created xsi:type="dcterms:W3CDTF">2023-04-18T15:44:00Z</dcterms:created>
  <dcterms:modified xsi:type="dcterms:W3CDTF">2023-04-19T23:02:00Z</dcterms:modified>
</cp:coreProperties>
</file>