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B64925" w:rsidR="00B25E43" w:rsidRDefault="00B25E43" w14:paraId="6A049B50" w14:textId="77777777">
      <w:pPr>
        <w:rPr>
          <w:sz w:val="52"/>
          <w:szCs w:val="52"/>
        </w:rPr>
      </w:pPr>
      <w:r w:rsidRPr="00B64925">
        <w:rPr>
          <w:noProof/>
          <w:sz w:val="52"/>
          <w:szCs w:val="52"/>
        </w:rPr>
        <w:drawing>
          <wp:inline distT="0" distB="0" distL="0" distR="0" wp14:anchorId="672BEEAA" wp14:editId="11603932">
            <wp:extent cx="5731510" cy="2654300"/>
            <wp:effectExtent l="0" t="0" r="2540" b="0"/>
            <wp:docPr id="93083429" name="Picture 5"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University of Wales Trinity Saint David launches ‘One Planet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654300"/>
                    </a:xfrm>
                    <a:prstGeom prst="rect">
                      <a:avLst/>
                    </a:prstGeom>
                    <a:noFill/>
                    <a:ln>
                      <a:noFill/>
                    </a:ln>
                  </pic:spPr>
                </pic:pic>
              </a:graphicData>
            </a:graphic>
          </wp:inline>
        </w:drawing>
      </w:r>
    </w:p>
    <w:p w:rsidRPr="00B64925" w:rsidR="00B25E43" w:rsidRDefault="00B25E43" w14:paraId="2793A58B" w14:textId="77777777">
      <w:pPr>
        <w:rPr>
          <w:sz w:val="52"/>
          <w:szCs w:val="52"/>
        </w:rPr>
      </w:pPr>
    </w:p>
    <w:p w:rsidRPr="00B64925" w:rsidR="00B25E43" w:rsidRDefault="00B25E43" w14:paraId="6D14FD25" w14:textId="77777777">
      <w:pPr>
        <w:rPr>
          <w:sz w:val="52"/>
          <w:szCs w:val="52"/>
        </w:rPr>
      </w:pPr>
    </w:p>
    <w:p w:rsidR="00B64925" w:rsidRDefault="00B64925" w14:paraId="4BF18E31" w14:textId="6AC1D7DD">
      <w:pPr>
        <w:rPr>
          <w:sz w:val="52"/>
          <w:szCs w:val="52"/>
        </w:rPr>
      </w:pPr>
      <w:r w:rsidRPr="16B488A7" w:rsidR="00B64925">
        <w:rPr>
          <w:sz w:val="52"/>
          <w:szCs w:val="52"/>
        </w:rPr>
        <w:t>Counselling Theory &amp; Approaches (ECPS5013)</w:t>
      </w:r>
    </w:p>
    <w:p w:rsidR="16B488A7" w:rsidP="16B488A7" w:rsidRDefault="16B488A7" w14:paraId="55A3F8CE" w14:textId="1208AFE3">
      <w:pPr>
        <w:rPr>
          <w:sz w:val="52"/>
          <w:szCs w:val="52"/>
        </w:rPr>
      </w:pPr>
    </w:p>
    <w:p w:rsidR="17F8B9EB" w:rsidP="16B488A7" w:rsidRDefault="17F8B9EB" w14:paraId="35686187" w14:textId="673EB5FF">
      <w:pPr>
        <w:rPr>
          <w:sz w:val="28"/>
          <w:szCs w:val="28"/>
        </w:rPr>
      </w:pPr>
      <w:r w:rsidRPr="16B488A7" w:rsidR="17F8B9EB">
        <w:rPr>
          <w:sz w:val="28"/>
          <w:szCs w:val="28"/>
        </w:rPr>
        <w:t xml:space="preserve">AI </w:t>
      </w:r>
      <w:r w:rsidRPr="16B488A7" w:rsidR="7ED3E57B">
        <w:rPr>
          <w:sz w:val="28"/>
          <w:szCs w:val="28"/>
        </w:rPr>
        <w:t>acknowledgement</w:t>
      </w:r>
      <w:r w:rsidRPr="16B488A7" w:rsidR="17F8B9EB">
        <w:rPr>
          <w:sz w:val="28"/>
          <w:szCs w:val="28"/>
        </w:rPr>
        <w:t xml:space="preserve"> </w:t>
      </w:r>
    </w:p>
    <w:p w:rsidR="16B488A7" w:rsidP="16B488A7" w:rsidRDefault="16B488A7" w14:paraId="2E1F3D89" w14:textId="56A8E361">
      <w:pPr>
        <w:rPr>
          <w:sz w:val="52"/>
          <w:szCs w:val="52"/>
        </w:rPr>
      </w:pPr>
    </w:p>
    <w:p w:rsidR="16B488A7" w:rsidP="16B488A7" w:rsidRDefault="16B488A7" w14:paraId="76DF4274" w14:textId="322D83B1">
      <w:pPr>
        <w:rPr>
          <w:sz w:val="52"/>
          <w:szCs w:val="52"/>
        </w:rPr>
      </w:pPr>
    </w:p>
    <w:p w:rsidR="00B64925" w:rsidRDefault="00B64925" w14:paraId="2059EC93" w14:textId="77777777">
      <w:pPr>
        <w:rPr>
          <w:sz w:val="52"/>
          <w:szCs w:val="52"/>
        </w:rPr>
      </w:pPr>
    </w:p>
    <w:p w:rsidR="00B64925" w:rsidRDefault="00B64925" w14:paraId="7BEB0B28" w14:textId="77777777">
      <w:pPr>
        <w:rPr>
          <w:sz w:val="52"/>
          <w:szCs w:val="52"/>
        </w:rPr>
      </w:pPr>
    </w:p>
    <w:p w:rsidR="00B64925" w:rsidRDefault="00B64925" w14:paraId="4B06401D" w14:textId="77777777">
      <w:pPr>
        <w:rPr>
          <w:sz w:val="52"/>
          <w:szCs w:val="52"/>
        </w:rPr>
      </w:pPr>
    </w:p>
    <w:p w:rsidR="00B64925" w:rsidRDefault="00B64925" w14:paraId="44A0C206" w14:textId="77777777">
      <w:pPr>
        <w:rPr>
          <w:sz w:val="52"/>
          <w:szCs w:val="52"/>
        </w:rPr>
      </w:pPr>
    </w:p>
    <w:p w:rsidR="00B64925" w:rsidRDefault="00B64925" w14:paraId="464CC287" w14:textId="77777777">
      <w:pPr>
        <w:rPr>
          <w:sz w:val="52"/>
          <w:szCs w:val="52"/>
        </w:rPr>
      </w:pPr>
    </w:p>
    <w:p w:rsidR="16B488A7" w:rsidP="16B488A7" w:rsidRDefault="16B488A7" w14:paraId="427D55B1" w14:textId="0FAECCA8">
      <w:pPr>
        <w:rPr>
          <w:sz w:val="52"/>
          <w:szCs w:val="52"/>
        </w:rPr>
      </w:pPr>
    </w:p>
    <w:p w:rsidR="16B488A7" w:rsidP="16B488A7" w:rsidRDefault="16B488A7" w14:paraId="257F2C23" w14:textId="4CC93AA6">
      <w:pPr>
        <w:rPr>
          <w:sz w:val="52"/>
          <w:szCs w:val="52"/>
        </w:rPr>
      </w:pPr>
    </w:p>
    <w:p w:rsidR="16B488A7" w:rsidP="16B488A7" w:rsidRDefault="16B488A7" w14:paraId="254645AE" w14:textId="6ED9F0A7">
      <w:pPr>
        <w:rPr>
          <w:sz w:val="52"/>
          <w:szCs w:val="52"/>
        </w:rPr>
      </w:pPr>
    </w:p>
    <w:p w:rsidR="16B488A7" w:rsidP="16B488A7" w:rsidRDefault="16B488A7" w14:paraId="70BBCD9D" w14:textId="246A46E9">
      <w:pPr>
        <w:rPr>
          <w:sz w:val="52"/>
          <w:szCs w:val="52"/>
        </w:rPr>
      </w:pPr>
    </w:p>
    <w:p w:rsidR="16B488A7" w:rsidP="16B488A7" w:rsidRDefault="16B488A7" w14:paraId="3E6745B1" w14:textId="289AB307">
      <w:pPr>
        <w:rPr>
          <w:sz w:val="52"/>
          <w:szCs w:val="52"/>
        </w:rPr>
      </w:pPr>
    </w:p>
    <w:p w:rsidR="16B488A7" w:rsidP="16B488A7" w:rsidRDefault="16B488A7" w14:paraId="69B5CECE" w14:textId="3B8BE2C6">
      <w:pPr>
        <w:rPr>
          <w:sz w:val="52"/>
          <w:szCs w:val="52"/>
        </w:rPr>
      </w:pPr>
    </w:p>
    <w:p w:rsidR="16B488A7" w:rsidP="16B488A7" w:rsidRDefault="16B488A7" w14:paraId="70A465D5" w14:textId="7C936419">
      <w:pPr>
        <w:rPr>
          <w:sz w:val="52"/>
          <w:szCs w:val="52"/>
        </w:rPr>
      </w:pPr>
    </w:p>
    <w:p w:rsidR="16B488A7" w:rsidP="16B488A7" w:rsidRDefault="16B488A7" w14:paraId="1951FBF5" w14:textId="7AA06354">
      <w:pPr>
        <w:rPr>
          <w:sz w:val="52"/>
          <w:szCs w:val="52"/>
        </w:rPr>
      </w:pPr>
    </w:p>
    <w:p w:rsidR="16B488A7" w:rsidP="16B488A7" w:rsidRDefault="16B488A7" w14:paraId="2D0896FE" w14:textId="70FAAF43">
      <w:pPr>
        <w:rPr>
          <w:sz w:val="52"/>
          <w:szCs w:val="52"/>
        </w:rPr>
      </w:pPr>
    </w:p>
    <w:p w:rsidR="16B488A7" w:rsidP="16B488A7" w:rsidRDefault="16B488A7" w14:paraId="27C2B3FB" w14:textId="3B1B5750">
      <w:pPr>
        <w:rPr>
          <w:sz w:val="52"/>
          <w:szCs w:val="52"/>
        </w:rPr>
      </w:pPr>
    </w:p>
    <w:p w:rsidR="16B488A7" w:rsidP="16B488A7" w:rsidRDefault="16B488A7" w14:paraId="65C4BBD4" w14:textId="132B6266">
      <w:pPr>
        <w:rPr>
          <w:sz w:val="52"/>
          <w:szCs w:val="52"/>
        </w:rPr>
      </w:pPr>
    </w:p>
    <w:p w:rsidR="16B488A7" w:rsidP="16B488A7" w:rsidRDefault="16B488A7" w14:paraId="0CD356A5" w14:textId="357B0551">
      <w:pPr>
        <w:rPr>
          <w:sz w:val="52"/>
          <w:szCs w:val="52"/>
        </w:rPr>
      </w:pPr>
    </w:p>
    <w:p w:rsidR="16B488A7" w:rsidP="16B488A7" w:rsidRDefault="16B488A7" w14:paraId="1FEA8D9E" w14:textId="043887A5">
      <w:pPr>
        <w:rPr>
          <w:sz w:val="52"/>
          <w:szCs w:val="52"/>
        </w:rPr>
      </w:pPr>
    </w:p>
    <w:p w:rsidR="16B488A7" w:rsidP="66279921" w:rsidRDefault="16B488A7" w14:paraId="375E261A" w14:textId="4FB33CE7">
      <w:pPr>
        <w:rPr>
          <w:rFonts w:ascii="Times New Roman" w:hAnsi="Times New Roman" w:eastAsia="Times New Roman" w:cs="Times New Roman"/>
          <w:sz w:val="24"/>
          <w:szCs w:val="24"/>
        </w:rPr>
      </w:pPr>
    </w:p>
    <w:p w:rsidR="16B488A7" w:rsidP="66279921" w:rsidRDefault="16B488A7" w14:paraId="36F2820A" w14:textId="532BE963">
      <w:pPr>
        <w:rPr>
          <w:rFonts w:ascii="Times New Roman" w:hAnsi="Times New Roman" w:eastAsia="Times New Roman" w:cs="Times New Roman"/>
          <w:sz w:val="24"/>
          <w:szCs w:val="24"/>
        </w:rPr>
      </w:pPr>
    </w:p>
    <w:p w:rsidR="16B488A7" w:rsidP="66279921" w:rsidRDefault="16B488A7" w14:paraId="0587D576" w14:textId="7455D0EB">
      <w:pPr>
        <w:rPr>
          <w:rFonts w:ascii="Times New Roman" w:hAnsi="Times New Roman" w:eastAsia="Times New Roman" w:cs="Times New Roman"/>
          <w:sz w:val="24"/>
          <w:szCs w:val="24"/>
        </w:rPr>
      </w:pPr>
    </w:p>
    <w:p w:rsidR="16B488A7" w:rsidP="66279921" w:rsidRDefault="16B488A7" w14:paraId="60033C22" w14:textId="4E41D162">
      <w:pPr>
        <w:rPr>
          <w:rFonts w:ascii="Times New Roman" w:hAnsi="Times New Roman" w:eastAsia="Times New Roman" w:cs="Times New Roman"/>
          <w:sz w:val="24"/>
          <w:szCs w:val="24"/>
        </w:rPr>
      </w:pPr>
    </w:p>
    <w:p w:rsidR="16B488A7" w:rsidP="66279921" w:rsidRDefault="16B488A7" w14:paraId="1D6C89F9" w14:textId="67586F35">
      <w:pPr>
        <w:rPr>
          <w:rFonts w:ascii="Times New Roman" w:hAnsi="Times New Roman" w:eastAsia="Times New Roman" w:cs="Times New Roman"/>
          <w:sz w:val="24"/>
          <w:szCs w:val="24"/>
        </w:rPr>
      </w:pPr>
    </w:p>
    <w:p w:rsidR="00B64925" w:rsidP="66279921" w:rsidRDefault="00B64925" w14:paraId="79561508" w14:textId="77777777">
      <w:pPr>
        <w:rPr>
          <w:rFonts w:ascii="Times New Roman" w:hAnsi="Times New Roman" w:eastAsia="Times New Roman" w:cs="Times New Roman"/>
          <w:sz w:val="24"/>
          <w:szCs w:val="24"/>
        </w:rPr>
      </w:pPr>
    </w:p>
    <w:p w:rsidR="00B64925" w:rsidP="66279921" w:rsidRDefault="00B64925" w14:paraId="05F49E2B" w14:textId="77777777">
      <w:pPr>
        <w:rPr>
          <w:rFonts w:ascii="Times New Roman" w:hAnsi="Times New Roman" w:eastAsia="Times New Roman" w:cs="Times New Roman"/>
          <w:sz w:val="24"/>
          <w:szCs w:val="24"/>
        </w:rPr>
      </w:pPr>
    </w:p>
    <w:p w:rsidR="00B64925" w:rsidP="66279921" w:rsidRDefault="00B64925" w14:paraId="152DC491" w14:textId="25DF22DF">
      <w:pPr>
        <w:spacing w:before="120" w:beforeAutospacing="off" w:after="120" w:afterAutospacing="off"/>
        <w:jc w:val="center"/>
        <w:rPr>
          <w:rFonts w:ascii="Times New Roman" w:hAnsi="Times New Roman" w:eastAsia="Times New Roman" w:cs="Times New Roman"/>
          <w:noProof w:val="0"/>
          <w:color w:val="000000" w:themeColor="text1" w:themeTint="FF" w:themeShade="FF"/>
          <w:sz w:val="24"/>
          <w:szCs w:val="24"/>
          <w:lang w:val="en-GB"/>
        </w:rPr>
      </w:pPr>
      <w:r w:rsidRPr="66279921" w:rsidR="1BD6A52E">
        <w:rPr>
          <w:rFonts w:ascii="Times New Roman" w:hAnsi="Times New Roman" w:eastAsia="Times New Roman" w:cs="Times New Roman"/>
          <w:noProof w:val="0"/>
          <w:color w:val="000000" w:themeColor="text1" w:themeTint="FF" w:themeShade="FF"/>
          <w:sz w:val="24"/>
          <w:szCs w:val="24"/>
          <w:lang w:val="en-GB"/>
        </w:rPr>
        <w:t xml:space="preserve">Abstract  </w:t>
      </w:r>
    </w:p>
    <w:p w:rsidR="00B64925" w:rsidP="66279921" w:rsidRDefault="00B64925" w14:paraId="0FA4CC4B" w14:textId="767F6737">
      <w:pPr>
        <w:spacing w:before="120" w:beforeAutospacing="off" w:after="120" w:afterAutospacing="off"/>
        <w:jc w:val="center"/>
        <w:rPr>
          <w:rFonts w:ascii="Times New Roman" w:hAnsi="Times New Roman" w:eastAsia="Times New Roman" w:cs="Times New Roman"/>
          <w:noProof w:val="0"/>
          <w:color w:val="000000" w:themeColor="text1" w:themeTint="FF" w:themeShade="FF"/>
          <w:sz w:val="24"/>
          <w:szCs w:val="24"/>
          <w:lang w:val="en-GB"/>
        </w:rPr>
      </w:pPr>
      <w:r w:rsidRPr="66279921" w:rsidR="1BD6A52E">
        <w:rPr>
          <w:rFonts w:ascii="Times New Roman" w:hAnsi="Times New Roman" w:eastAsia="Times New Roman" w:cs="Times New Roman"/>
          <w:noProof w:val="0"/>
          <w:color w:val="000000" w:themeColor="text1" w:themeTint="FF" w:themeShade="FF"/>
          <w:sz w:val="24"/>
          <w:szCs w:val="24"/>
          <w:lang w:val="en-GB"/>
        </w:rPr>
        <w:t xml:space="preserve">This report looks at how counselling boundaries work in real practice, based on an interview with a counsellor. The findings show that clear boundaries like confidentiality, time limits, and written agreements help clients feel safe and supported. The report highlights the serious impact of boundary violations and the need for strong ethical awareness. Supervision was found to be essential because it helps counsellors think through </w:t>
      </w:r>
      <w:r w:rsidRPr="66279921" w:rsidR="1BD6A52E">
        <w:rPr>
          <w:rFonts w:ascii="Times New Roman" w:hAnsi="Times New Roman" w:eastAsia="Times New Roman" w:cs="Times New Roman"/>
          <w:noProof w:val="0"/>
          <w:color w:val="000000" w:themeColor="text1" w:themeTint="FF" w:themeShade="FF"/>
          <w:sz w:val="24"/>
          <w:szCs w:val="24"/>
          <w:lang w:val="en-GB"/>
        </w:rPr>
        <w:t>difficult situations</w:t>
      </w:r>
      <w:r w:rsidRPr="66279921" w:rsidR="1BD6A52E">
        <w:rPr>
          <w:rFonts w:ascii="Times New Roman" w:hAnsi="Times New Roman" w:eastAsia="Times New Roman" w:cs="Times New Roman"/>
          <w:noProof w:val="0"/>
          <w:color w:val="000000" w:themeColor="text1" w:themeTint="FF" w:themeShade="FF"/>
          <w:sz w:val="24"/>
          <w:szCs w:val="24"/>
          <w:lang w:val="en-GB"/>
        </w:rPr>
        <w:t xml:space="preserve"> and avoid burnout. Overall, the study shows that boundaries are central to safe, ethical, and supportive</w:t>
      </w:r>
      <w:r w:rsidRPr="66279921" w:rsidR="1BD6A52E">
        <w:rPr>
          <w:rFonts w:ascii="Times New Roman" w:hAnsi="Times New Roman" w:eastAsia="Times New Roman" w:cs="Times New Roman"/>
          <w:noProof w:val="0"/>
          <w:color w:val="000000" w:themeColor="text1" w:themeTint="FF" w:themeShade="FF"/>
          <w:sz w:val="24"/>
          <w:szCs w:val="24"/>
          <w:lang w:val="en-GB"/>
        </w:rPr>
        <w:t xml:space="preserve"> counselling. </w:t>
      </w:r>
    </w:p>
    <w:p w:rsidR="00B64925" w:rsidP="66279921" w:rsidRDefault="00B64925" w14:paraId="32E874EF" w14:textId="4CECAC36">
      <w:pPr>
        <w:spacing w:before="120" w:beforeAutospacing="off" w:after="120" w:afterAutospacing="off"/>
        <w:jc w:val="center"/>
        <w:rPr>
          <w:rFonts w:ascii="Times New Roman" w:hAnsi="Times New Roman" w:eastAsia="Times New Roman" w:cs="Times New Roman"/>
          <w:noProof w:val="0"/>
          <w:color w:val="000000" w:themeColor="text1" w:themeTint="FF" w:themeShade="FF"/>
          <w:sz w:val="24"/>
          <w:szCs w:val="24"/>
          <w:lang w:val="en-GB"/>
        </w:rPr>
      </w:pPr>
    </w:p>
    <w:p w:rsidR="00B64925" w:rsidP="66279921" w:rsidRDefault="00B64925" w14:paraId="23C0016C" w14:textId="6D1EF4BA">
      <w:pPr>
        <w:spacing w:before="120" w:beforeAutospacing="off" w:after="120" w:afterAutospacing="off"/>
        <w:jc w:val="center"/>
        <w:rPr>
          <w:rFonts w:ascii="Times New Roman" w:hAnsi="Times New Roman" w:eastAsia="Times New Roman" w:cs="Times New Roman"/>
          <w:noProof w:val="0"/>
          <w:color w:val="000000" w:themeColor="text1" w:themeTint="FF" w:themeShade="FF"/>
          <w:sz w:val="24"/>
          <w:szCs w:val="24"/>
          <w:lang w:val="en-GB"/>
        </w:rPr>
      </w:pPr>
    </w:p>
    <w:p w:rsidR="00B64925" w:rsidP="66279921" w:rsidRDefault="00B64925" w14:paraId="54E4AF12" w14:textId="44EF5F9E">
      <w:pPr>
        <w:spacing w:before="120" w:beforeAutospacing="off" w:after="120" w:afterAutospacing="off"/>
        <w:jc w:val="center"/>
        <w:rPr>
          <w:rFonts w:ascii="Times New Roman" w:hAnsi="Times New Roman" w:eastAsia="Times New Roman" w:cs="Times New Roman"/>
          <w:noProof w:val="0"/>
          <w:color w:val="000000" w:themeColor="text1" w:themeTint="FF" w:themeShade="FF"/>
          <w:sz w:val="24"/>
          <w:szCs w:val="24"/>
          <w:lang w:val="en-GB"/>
        </w:rPr>
      </w:pPr>
    </w:p>
    <w:p w:rsidR="00B64925" w:rsidP="66279921" w:rsidRDefault="00B64925" w14:paraId="33DE3140" w14:textId="0676FA6A">
      <w:pPr>
        <w:spacing w:before="120" w:beforeAutospacing="off" w:after="120" w:afterAutospacing="off"/>
        <w:jc w:val="center"/>
        <w:rPr>
          <w:rFonts w:ascii="Times New Roman" w:hAnsi="Times New Roman" w:eastAsia="Times New Roman" w:cs="Times New Roman"/>
          <w:noProof w:val="0"/>
          <w:color w:val="000000" w:themeColor="text1" w:themeTint="FF" w:themeShade="FF"/>
          <w:sz w:val="24"/>
          <w:szCs w:val="24"/>
          <w:lang w:val="en-GB"/>
        </w:rPr>
      </w:pPr>
      <w:r w:rsidRPr="66279921" w:rsidR="1BD6A52E">
        <w:rPr>
          <w:rFonts w:ascii="Times New Roman" w:hAnsi="Times New Roman" w:eastAsia="Times New Roman" w:cs="Times New Roman"/>
          <w:noProof w:val="0"/>
          <w:color w:val="000000" w:themeColor="text1" w:themeTint="FF" w:themeShade="FF"/>
          <w:sz w:val="24"/>
          <w:szCs w:val="24"/>
          <w:lang w:val="en-GB"/>
        </w:rPr>
        <w:t xml:space="preserve">Introduction </w:t>
      </w:r>
    </w:p>
    <w:p w:rsidR="00B64925" w:rsidP="66279921" w:rsidRDefault="00B64925" w14:paraId="38F9E546" w14:textId="3FB32467">
      <w:pPr>
        <w:spacing w:before="120" w:beforeAutospacing="off" w:after="120" w:afterAutospacing="off"/>
        <w:jc w:val="center"/>
        <w:rPr>
          <w:rFonts w:ascii="Times New Roman" w:hAnsi="Times New Roman" w:eastAsia="Times New Roman" w:cs="Times New Roman"/>
          <w:noProof w:val="0"/>
          <w:color w:val="000000" w:themeColor="text1" w:themeTint="FF" w:themeShade="FF"/>
          <w:sz w:val="24"/>
          <w:szCs w:val="24"/>
          <w:lang w:val="en-GB"/>
        </w:rPr>
      </w:pPr>
      <w:r w:rsidRPr="66279921" w:rsidR="1BD6A52E">
        <w:rPr>
          <w:rFonts w:ascii="Times New Roman" w:hAnsi="Times New Roman" w:eastAsia="Times New Roman" w:cs="Times New Roman"/>
          <w:noProof w:val="0"/>
          <w:color w:val="000000" w:themeColor="text1" w:themeTint="FF" w:themeShade="FF"/>
          <w:sz w:val="24"/>
          <w:szCs w:val="24"/>
          <w:lang w:val="en-GB"/>
        </w:rPr>
        <w:t xml:space="preserve">This report aims to show an understanding of the different counselling theories and how they are applied in practice, by analysing a counselling transcript. Professional boundaries are an important part of counselling because they help keep both the client and counsellor safe and support a healthy therapeutic relationship. However, there are guidelines about boundaries, and counsellors often face real-life situations that are more complicated than the rules suggest. This thematic analysis explores how counsellors understand boundaries and what it is like for them to manage these limits in everyday practice. Furthermore, by looking at their experiences, we can see how counsellors make decisions, handle challenges, and balance being supportive while also staying within ethical and professional limits. </w:t>
      </w:r>
    </w:p>
    <w:p w:rsidR="00B64925" w:rsidP="66279921" w:rsidRDefault="00B64925" w14:paraId="75A8D27B" w14:textId="7D930E89">
      <w:pPr>
        <w:spacing w:before="120" w:beforeAutospacing="off" w:after="120" w:afterAutospacing="off"/>
        <w:jc w:val="center"/>
        <w:rPr>
          <w:rFonts w:ascii="Times New Roman" w:hAnsi="Times New Roman" w:eastAsia="Times New Roman" w:cs="Times New Roman"/>
          <w:noProof w:val="0"/>
          <w:color w:val="000000" w:themeColor="text1" w:themeTint="FF" w:themeShade="FF"/>
          <w:sz w:val="24"/>
          <w:szCs w:val="24"/>
          <w:lang w:val="en-GB"/>
        </w:rPr>
      </w:pPr>
      <w:r w:rsidRPr="66279921" w:rsidR="1BD6A52E">
        <w:rPr>
          <w:rFonts w:ascii="Times New Roman" w:hAnsi="Times New Roman" w:eastAsia="Times New Roman" w:cs="Times New Roman"/>
          <w:noProof w:val="0"/>
          <w:color w:val="000000" w:themeColor="text1" w:themeTint="FF" w:themeShade="FF"/>
          <w:sz w:val="24"/>
          <w:szCs w:val="24"/>
          <w:lang w:val="en-GB"/>
        </w:rPr>
        <w:t xml:space="preserve">Qualitative research is important for understanding the therapeutic relationship, giving insight into the experiences of both counsellors and clients. Therefore, the report will also explore how counsellors understand and use boundaries to protect themselves, work ethically, and care for clients (BACP, 2024). </w:t>
      </w:r>
    </w:p>
    <w:p w:rsidR="00B64925" w:rsidP="66279921" w:rsidRDefault="00B64925" w14:paraId="2AC798F6" w14:textId="56D9A2D1">
      <w:pPr>
        <w:spacing w:before="120" w:beforeAutospacing="off" w:after="120" w:afterAutospacing="off"/>
        <w:jc w:val="center"/>
        <w:rPr>
          <w:rFonts w:ascii="Times New Roman" w:hAnsi="Times New Roman" w:eastAsia="Times New Roman" w:cs="Times New Roman"/>
          <w:noProof w:val="0"/>
          <w:color w:val="000000" w:themeColor="text1" w:themeTint="FF" w:themeShade="FF"/>
          <w:sz w:val="24"/>
          <w:szCs w:val="24"/>
          <w:lang w:val="en-GB"/>
        </w:rPr>
      </w:pPr>
    </w:p>
    <w:p w:rsidR="00B64925" w:rsidP="66279921" w:rsidRDefault="00B64925" w14:paraId="41439D28" w14:textId="05627AB6">
      <w:pPr>
        <w:pStyle w:val="Heading3"/>
        <w:spacing w:before="281" w:beforeAutospacing="off" w:after="140" w:afterAutospacing="off"/>
        <w:jc w:val="center"/>
        <w:rPr>
          <w:rFonts w:ascii="Times New Roman" w:hAnsi="Times New Roman" w:eastAsia="Times New Roman" w:cs="Times New Roman"/>
          <w:b w:val="1"/>
          <w:bCs w:val="1"/>
          <w:strike w:val="0"/>
          <w:dstrike w:val="0"/>
          <w:noProof w:val="0"/>
          <w:color w:val="000000" w:themeColor="text1" w:themeTint="FF" w:themeShade="FF"/>
          <w:sz w:val="24"/>
          <w:szCs w:val="24"/>
          <w:u w:val="single"/>
          <w:lang w:val="en-GB"/>
        </w:rPr>
      </w:pPr>
    </w:p>
    <w:p w:rsidR="00B64925" w:rsidP="66279921" w:rsidRDefault="00B64925" w14:paraId="3FAEA9C3" w14:textId="0B916162">
      <w:pPr>
        <w:pStyle w:val="Heading3"/>
        <w:spacing w:before="281" w:beforeAutospacing="off" w:after="140" w:afterAutospacing="off"/>
        <w:jc w:val="center"/>
        <w:rPr>
          <w:rFonts w:ascii="Times New Roman" w:hAnsi="Times New Roman" w:eastAsia="Times New Roman" w:cs="Times New Roman"/>
          <w:b w:val="1"/>
          <w:bCs w:val="1"/>
          <w:strike w:val="0"/>
          <w:dstrike w:val="0"/>
          <w:noProof w:val="0"/>
          <w:color w:val="000000" w:themeColor="text1" w:themeTint="FF" w:themeShade="FF"/>
          <w:sz w:val="24"/>
          <w:szCs w:val="24"/>
          <w:u w:val="single"/>
          <w:lang w:val="en-GB"/>
        </w:rPr>
      </w:pPr>
    </w:p>
    <w:p w:rsidR="00B64925" w:rsidP="66279921" w:rsidRDefault="00B64925" w14:paraId="2DC1A005" w14:textId="4A5DC2A6">
      <w:pPr>
        <w:pStyle w:val="Heading3"/>
        <w:spacing w:before="281" w:beforeAutospacing="off" w:after="140" w:afterAutospacing="off"/>
        <w:jc w:val="center"/>
        <w:rPr>
          <w:rFonts w:ascii="Times New Roman" w:hAnsi="Times New Roman" w:eastAsia="Times New Roman" w:cs="Times New Roman"/>
          <w:b w:val="1"/>
          <w:bCs w:val="1"/>
          <w:strike w:val="0"/>
          <w:dstrike w:val="0"/>
          <w:noProof w:val="0"/>
          <w:color w:val="000000" w:themeColor="text1" w:themeTint="FF" w:themeShade="FF"/>
          <w:sz w:val="24"/>
          <w:szCs w:val="24"/>
          <w:u w:val="single"/>
          <w:lang w:val="en-GB"/>
        </w:rPr>
      </w:pPr>
    </w:p>
    <w:p w:rsidR="00B64925" w:rsidP="66279921" w:rsidRDefault="00B64925" w14:paraId="14BCAF78" w14:textId="5771C15E">
      <w:pPr>
        <w:pStyle w:val="Heading3"/>
        <w:spacing w:before="281" w:beforeAutospacing="off" w:after="140" w:afterAutospacing="off"/>
        <w:jc w:val="center"/>
        <w:rPr>
          <w:rFonts w:ascii="Times New Roman" w:hAnsi="Times New Roman" w:eastAsia="Times New Roman" w:cs="Times New Roman"/>
          <w:b w:val="1"/>
          <w:bCs w:val="1"/>
          <w:strike w:val="0"/>
          <w:dstrike w:val="0"/>
          <w:noProof w:val="0"/>
          <w:color w:val="000000" w:themeColor="text1" w:themeTint="FF" w:themeShade="FF"/>
          <w:sz w:val="24"/>
          <w:szCs w:val="24"/>
          <w:u w:val="single"/>
          <w:lang w:val="en-GB"/>
        </w:rPr>
      </w:pPr>
    </w:p>
    <w:p w:rsidR="00B64925" w:rsidP="66279921" w:rsidRDefault="00B64925" w14:paraId="5DD85557" w14:textId="56EE083E">
      <w:pPr>
        <w:pStyle w:val="Normal"/>
        <w:spacing w:before="281" w:beforeAutospacing="off" w:after="140" w:afterAutospacing="off"/>
        <w:jc w:val="center"/>
        <w:rPr>
          <w:rFonts w:ascii="Times New Roman" w:hAnsi="Times New Roman" w:eastAsia="Times New Roman" w:cs="Times New Roman"/>
          <w:b w:val="1"/>
          <w:bCs w:val="1"/>
          <w:strike w:val="0"/>
          <w:dstrike w:val="0"/>
          <w:noProof w:val="0"/>
          <w:color w:val="000000" w:themeColor="text1" w:themeTint="FF" w:themeShade="FF"/>
          <w:sz w:val="24"/>
          <w:szCs w:val="24"/>
          <w:u w:val="single"/>
          <w:lang w:val="en-GB"/>
        </w:rPr>
      </w:pPr>
    </w:p>
    <w:p w:rsidR="00B64925" w:rsidP="66279921" w:rsidRDefault="00B64925" w14:paraId="21D92D05" w14:textId="2E5C2760">
      <w:pPr>
        <w:pStyle w:val="Normal"/>
        <w:spacing w:before="281" w:beforeAutospacing="off" w:after="140" w:afterAutospacing="off"/>
        <w:jc w:val="center"/>
        <w:rPr>
          <w:rFonts w:ascii="Times New Roman" w:hAnsi="Times New Roman" w:eastAsia="Times New Roman" w:cs="Times New Roman"/>
          <w:b w:val="1"/>
          <w:bCs w:val="1"/>
          <w:strike w:val="0"/>
          <w:dstrike w:val="0"/>
          <w:noProof w:val="0"/>
          <w:color w:val="000000" w:themeColor="text1" w:themeTint="FF" w:themeShade="FF"/>
          <w:sz w:val="24"/>
          <w:szCs w:val="24"/>
          <w:u w:val="single"/>
          <w:lang w:val="en-GB"/>
        </w:rPr>
      </w:pPr>
    </w:p>
    <w:p w:rsidR="00B64925" w:rsidP="66279921" w:rsidRDefault="00B64925" w14:paraId="6F5B0298" w14:textId="368A8073">
      <w:pPr>
        <w:pStyle w:val="Normal"/>
        <w:spacing w:before="281" w:beforeAutospacing="off" w:after="140" w:afterAutospacing="off"/>
        <w:jc w:val="center"/>
        <w:rPr>
          <w:rFonts w:ascii="Times New Roman" w:hAnsi="Times New Roman" w:eastAsia="Times New Roman" w:cs="Times New Roman"/>
          <w:b w:val="1"/>
          <w:bCs w:val="1"/>
          <w:strike w:val="0"/>
          <w:dstrike w:val="0"/>
          <w:noProof w:val="0"/>
          <w:color w:val="000000" w:themeColor="text1" w:themeTint="FF" w:themeShade="FF"/>
          <w:sz w:val="24"/>
          <w:szCs w:val="24"/>
          <w:u w:val="single"/>
          <w:lang w:val="en-GB"/>
        </w:rPr>
      </w:pPr>
      <w:r w:rsidRPr="66279921" w:rsidR="5B675963">
        <w:rPr>
          <w:rFonts w:ascii="Times New Roman" w:hAnsi="Times New Roman" w:eastAsia="Times New Roman" w:cs="Times New Roman"/>
          <w:b w:val="1"/>
          <w:bCs w:val="1"/>
          <w:strike w:val="0"/>
          <w:dstrike w:val="0"/>
          <w:noProof w:val="0"/>
          <w:color w:val="000000" w:themeColor="text1" w:themeTint="FF" w:themeShade="FF"/>
          <w:sz w:val="24"/>
          <w:szCs w:val="24"/>
          <w:u w:val="single"/>
          <w:lang w:val="en-GB"/>
        </w:rPr>
        <w:t>Methods</w:t>
      </w:r>
      <w:r w:rsidRPr="66279921" w:rsidR="5B675963">
        <w:rPr>
          <w:rFonts w:ascii="Times New Roman" w:hAnsi="Times New Roman" w:eastAsia="Times New Roman" w:cs="Times New Roman"/>
          <w:b w:val="1"/>
          <w:bCs w:val="1"/>
          <w:strike w:val="0"/>
          <w:dstrike w:val="0"/>
          <w:noProof w:val="0"/>
          <w:color w:val="000000" w:themeColor="text1" w:themeTint="FF" w:themeShade="FF"/>
          <w:sz w:val="24"/>
          <w:szCs w:val="24"/>
          <w:u w:val="single"/>
          <w:lang w:val="en-GB"/>
        </w:rPr>
        <w:t xml:space="preserve"> </w:t>
      </w:r>
    </w:p>
    <w:p w:rsidR="00B64925" w:rsidP="66279921" w:rsidRDefault="00B64925" w14:paraId="20440D53" w14:textId="078D5AC6">
      <w:pPr>
        <w:pStyle w:val="Heading3"/>
        <w:spacing w:before="281" w:beforeAutospacing="off" w:after="140" w:afterAutospacing="off"/>
        <w:jc w:val="center"/>
        <w:rPr>
          <w:rFonts w:ascii="Times New Roman" w:hAnsi="Times New Roman" w:eastAsia="Times New Roman" w:cs="Times New Roman"/>
          <w:b w:val="1"/>
          <w:bCs w:val="1"/>
          <w:strike w:val="0"/>
          <w:dstrike w:val="0"/>
          <w:noProof w:val="0"/>
          <w:color w:val="000000" w:themeColor="text1" w:themeTint="FF" w:themeShade="FF"/>
          <w:sz w:val="24"/>
          <w:szCs w:val="24"/>
          <w:u w:val="single"/>
          <w:lang w:val="en-GB"/>
        </w:rPr>
      </w:pPr>
      <w:r w:rsidRPr="66279921" w:rsidR="1BD6A52E">
        <w:rPr>
          <w:rFonts w:ascii="Times New Roman" w:hAnsi="Times New Roman" w:eastAsia="Times New Roman" w:cs="Times New Roman"/>
          <w:b w:val="1"/>
          <w:bCs w:val="1"/>
          <w:strike w:val="0"/>
          <w:dstrike w:val="0"/>
          <w:noProof w:val="0"/>
          <w:color w:val="000000" w:themeColor="text1" w:themeTint="FF" w:themeShade="FF"/>
          <w:sz w:val="24"/>
          <w:szCs w:val="24"/>
          <w:u w:val="single"/>
          <w:lang w:val="en-GB"/>
        </w:rPr>
        <w:t>Participants</w:t>
      </w:r>
    </w:p>
    <w:p w:rsidR="00B64925" w:rsidP="66279921" w:rsidRDefault="00B64925" w14:paraId="5F678E52" w14:textId="4B43DF7C">
      <w:pPr>
        <w:spacing w:before="120" w:beforeAutospacing="off" w:after="120" w:afterAutospacing="off"/>
        <w:jc w:val="center"/>
        <w:rPr>
          <w:rFonts w:ascii="Times New Roman" w:hAnsi="Times New Roman" w:eastAsia="Times New Roman" w:cs="Times New Roman"/>
          <w:noProof w:val="0"/>
          <w:color w:val="000000" w:themeColor="text1" w:themeTint="FF" w:themeShade="FF"/>
          <w:sz w:val="24"/>
          <w:szCs w:val="24"/>
          <w:lang w:val="en-GB"/>
        </w:rPr>
      </w:pPr>
      <w:r w:rsidRPr="66279921" w:rsidR="1BD6A52E">
        <w:rPr>
          <w:rFonts w:ascii="Times New Roman" w:hAnsi="Times New Roman" w:eastAsia="Times New Roman" w:cs="Times New Roman"/>
          <w:noProof w:val="0"/>
          <w:color w:val="000000" w:themeColor="text1" w:themeTint="FF" w:themeShade="FF"/>
          <w:sz w:val="24"/>
          <w:szCs w:val="24"/>
          <w:lang w:val="en-GB"/>
        </w:rPr>
        <w:t xml:space="preserve">One counsellor, pseudonymously named Chris (46, White British), practising in independent settings in Wales, </w:t>
      </w:r>
      <w:r w:rsidRPr="66279921" w:rsidR="1BD6A52E">
        <w:rPr>
          <w:rFonts w:ascii="Times New Roman" w:hAnsi="Times New Roman" w:eastAsia="Times New Roman" w:cs="Times New Roman"/>
          <w:noProof w:val="0"/>
          <w:color w:val="000000" w:themeColor="text1" w:themeTint="FF" w:themeShade="FF"/>
          <w:sz w:val="24"/>
          <w:szCs w:val="24"/>
          <w:lang w:val="en-GB"/>
        </w:rPr>
        <w:t>participated</w:t>
      </w:r>
      <w:r w:rsidRPr="66279921" w:rsidR="1BD6A52E">
        <w:rPr>
          <w:rFonts w:ascii="Times New Roman" w:hAnsi="Times New Roman" w:eastAsia="Times New Roman" w:cs="Times New Roman"/>
          <w:noProof w:val="0"/>
          <w:color w:val="000000" w:themeColor="text1" w:themeTint="FF" w:themeShade="FF"/>
          <w:sz w:val="24"/>
          <w:szCs w:val="24"/>
          <w:lang w:val="en-GB"/>
        </w:rPr>
        <w:t xml:space="preserve">. Purposive sampling ensured the participant had relevant experience managing professional boundaries. </w:t>
      </w:r>
    </w:p>
    <w:p w:rsidR="00B64925" w:rsidP="66279921" w:rsidRDefault="00B64925" w14:paraId="10732439" w14:textId="312A9302">
      <w:pPr>
        <w:pStyle w:val="Heading3"/>
        <w:spacing w:before="281" w:beforeAutospacing="off" w:after="140" w:afterAutospacing="off"/>
        <w:jc w:val="center"/>
        <w:rPr>
          <w:rFonts w:ascii="Times New Roman" w:hAnsi="Times New Roman" w:eastAsia="Times New Roman" w:cs="Times New Roman"/>
          <w:b w:val="1"/>
          <w:bCs w:val="1"/>
          <w:strike w:val="0"/>
          <w:dstrike w:val="0"/>
          <w:noProof w:val="0"/>
          <w:color w:val="000000" w:themeColor="text1" w:themeTint="FF" w:themeShade="FF"/>
          <w:sz w:val="24"/>
          <w:szCs w:val="24"/>
          <w:u w:val="single"/>
          <w:lang w:val="en-GB"/>
        </w:rPr>
      </w:pPr>
      <w:r w:rsidRPr="66279921" w:rsidR="1BD6A52E">
        <w:rPr>
          <w:rFonts w:ascii="Times New Roman" w:hAnsi="Times New Roman" w:eastAsia="Times New Roman" w:cs="Times New Roman"/>
          <w:b w:val="1"/>
          <w:bCs w:val="1"/>
          <w:strike w:val="0"/>
          <w:dstrike w:val="0"/>
          <w:noProof w:val="0"/>
          <w:color w:val="000000" w:themeColor="text1" w:themeTint="FF" w:themeShade="FF"/>
          <w:sz w:val="24"/>
          <w:szCs w:val="24"/>
          <w:u w:val="single"/>
          <w:lang w:val="en-GB"/>
        </w:rPr>
        <w:t>Data Collection</w:t>
      </w:r>
    </w:p>
    <w:p w:rsidR="00B64925" w:rsidP="66279921" w:rsidRDefault="00B64925" w14:paraId="1B7252ED" w14:textId="51056FD7">
      <w:pPr>
        <w:spacing w:before="120" w:beforeAutospacing="off" w:after="120" w:afterAutospacing="off"/>
        <w:jc w:val="center"/>
        <w:rPr>
          <w:rFonts w:ascii="Times New Roman" w:hAnsi="Times New Roman" w:eastAsia="Times New Roman" w:cs="Times New Roman"/>
          <w:noProof w:val="0"/>
          <w:color w:val="000000" w:themeColor="text1" w:themeTint="FF" w:themeShade="FF"/>
          <w:sz w:val="24"/>
          <w:szCs w:val="24"/>
          <w:lang w:val="en-GB"/>
        </w:rPr>
      </w:pPr>
      <w:r w:rsidRPr="66279921" w:rsidR="1BD6A52E">
        <w:rPr>
          <w:rFonts w:ascii="Times New Roman" w:hAnsi="Times New Roman" w:eastAsia="Times New Roman" w:cs="Times New Roman"/>
          <w:noProof w:val="0"/>
          <w:color w:val="000000" w:themeColor="text1" w:themeTint="FF" w:themeShade="FF"/>
          <w:sz w:val="24"/>
          <w:szCs w:val="24"/>
          <w:lang w:val="en-GB"/>
        </w:rPr>
        <w:t xml:space="preserve">The study employed a semi-structured interview method to examine participants' experiences related to boundaries within the therapeutic context. The interviews were audio-recorded, meticulously transcribed verbatim, and </w:t>
      </w:r>
      <w:r w:rsidRPr="66279921" w:rsidR="1BD6A52E">
        <w:rPr>
          <w:rFonts w:ascii="Times New Roman" w:hAnsi="Times New Roman" w:eastAsia="Times New Roman" w:cs="Times New Roman"/>
          <w:noProof w:val="0"/>
          <w:color w:val="000000" w:themeColor="text1" w:themeTint="FF" w:themeShade="FF"/>
          <w:sz w:val="24"/>
          <w:szCs w:val="24"/>
          <w:lang w:val="en-GB"/>
        </w:rPr>
        <w:t>subsequently</w:t>
      </w:r>
      <w:r w:rsidRPr="66279921" w:rsidR="1BD6A52E">
        <w:rPr>
          <w:rFonts w:ascii="Times New Roman" w:hAnsi="Times New Roman" w:eastAsia="Times New Roman" w:cs="Times New Roman"/>
          <w:noProof w:val="0"/>
          <w:color w:val="000000" w:themeColor="text1" w:themeTint="FF" w:themeShade="FF"/>
          <w:sz w:val="24"/>
          <w:szCs w:val="24"/>
          <w:lang w:val="en-GB"/>
        </w:rPr>
        <w:t xml:space="preserve"> anonymised to ensure confidentiality. </w:t>
      </w:r>
    </w:p>
    <w:p w:rsidR="00B64925" w:rsidP="66279921" w:rsidRDefault="00B64925" w14:paraId="23A4AA92" w14:textId="20E1D658">
      <w:pPr>
        <w:pStyle w:val="Heading3"/>
        <w:spacing w:before="281" w:beforeAutospacing="off" w:after="140" w:afterAutospacing="off"/>
        <w:jc w:val="center"/>
        <w:rPr>
          <w:rFonts w:ascii="Times New Roman" w:hAnsi="Times New Roman" w:eastAsia="Times New Roman" w:cs="Times New Roman"/>
          <w:b w:val="1"/>
          <w:bCs w:val="1"/>
          <w:strike w:val="0"/>
          <w:dstrike w:val="0"/>
          <w:noProof w:val="0"/>
          <w:color w:val="000000" w:themeColor="text1" w:themeTint="FF" w:themeShade="FF"/>
          <w:sz w:val="24"/>
          <w:szCs w:val="24"/>
          <w:u w:val="single"/>
          <w:lang w:val="en-GB"/>
        </w:rPr>
      </w:pPr>
      <w:r w:rsidRPr="66279921" w:rsidR="1BD6A52E">
        <w:rPr>
          <w:rFonts w:ascii="Times New Roman" w:hAnsi="Times New Roman" w:eastAsia="Times New Roman" w:cs="Times New Roman"/>
          <w:b w:val="1"/>
          <w:bCs w:val="1"/>
          <w:strike w:val="0"/>
          <w:dstrike w:val="0"/>
          <w:noProof w:val="0"/>
          <w:color w:val="000000" w:themeColor="text1" w:themeTint="FF" w:themeShade="FF"/>
          <w:sz w:val="24"/>
          <w:szCs w:val="24"/>
          <w:u w:val="single"/>
          <w:lang w:val="en-GB"/>
        </w:rPr>
        <w:t>Data Analysis</w:t>
      </w:r>
    </w:p>
    <w:p w:rsidR="00B64925" w:rsidP="66279921" w:rsidRDefault="00B64925" w14:paraId="176CDDED" w14:textId="187B6810">
      <w:pPr>
        <w:spacing w:before="120" w:beforeAutospacing="off" w:after="120" w:afterAutospacing="off"/>
        <w:jc w:val="center"/>
        <w:rPr>
          <w:rFonts w:ascii="Times New Roman" w:hAnsi="Times New Roman" w:eastAsia="Times New Roman" w:cs="Times New Roman"/>
          <w:noProof w:val="0"/>
          <w:color w:val="000000" w:themeColor="text1" w:themeTint="FF" w:themeShade="FF"/>
          <w:sz w:val="24"/>
          <w:szCs w:val="24"/>
          <w:lang w:val="en-GB"/>
        </w:rPr>
      </w:pPr>
      <w:r w:rsidRPr="66279921" w:rsidR="1BD6A52E">
        <w:rPr>
          <w:rFonts w:ascii="Times New Roman" w:hAnsi="Times New Roman" w:eastAsia="Times New Roman" w:cs="Times New Roman"/>
          <w:noProof w:val="0"/>
          <w:color w:val="000000" w:themeColor="text1" w:themeTint="FF" w:themeShade="FF"/>
          <w:sz w:val="24"/>
          <w:szCs w:val="24"/>
          <w:lang w:val="en-GB"/>
        </w:rPr>
        <w:t xml:space="preserve">This involved reading the transcript several times, taking detailed notes, </w:t>
      </w:r>
      <w:r w:rsidRPr="66279921" w:rsidR="1BD6A52E">
        <w:rPr>
          <w:rFonts w:ascii="Times New Roman" w:hAnsi="Times New Roman" w:eastAsia="Times New Roman" w:cs="Times New Roman"/>
          <w:noProof w:val="0"/>
          <w:color w:val="000000" w:themeColor="text1" w:themeTint="FF" w:themeShade="FF"/>
          <w:sz w:val="24"/>
          <w:szCs w:val="24"/>
          <w:lang w:val="en-GB"/>
        </w:rPr>
        <w:t>identifying</w:t>
      </w:r>
      <w:r w:rsidRPr="66279921" w:rsidR="1BD6A52E">
        <w:rPr>
          <w:rFonts w:ascii="Times New Roman" w:hAnsi="Times New Roman" w:eastAsia="Times New Roman" w:cs="Times New Roman"/>
          <w:noProof w:val="0"/>
          <w:color w:val="000000" w:themeColor="text1" w:themeTint="FF" w:themeShade="FF"/>
          <w:sz w:val="24"/>
          <w:szCs w:val="24"/>
          <w:lang w:val="en-GB"/>
        </w:rPr>
        <w:t xml:space="preserve"> key themes, and grouping these into larger categories to reflect the participant’s experience of boundaries (Braun and Clarke, 2006). </w:t>
      </w:r>
    </w:p>
    <w:p w:rsidR="00B64925" w:rsidP="66279921" w:rsidRDefault="00B64925" w14:paraId="6F2E9F09" w14:textId="59A816FC">
      <w:pPr>
        <w:pStyle w:val="Heading3"/>
        <w:spacing w:before="281" w:beforeAutospacing="off" w:after="140" w:afterAutospacing="off"/>
        <w:jc w:val="center"/>
        <w:rPr>
          <w:rFonts w:ascii="Times New Roman" w:hAnsi="Times New Roman" w:eastAsia="Times New Roman" w:cs="Times New Roman"/>
          <w:b w:val="1"/>
          <w:bCs w:val="1"/>
          <w:strike w:val="0"/>
          <w:dstrike w:val="0"/>
          <w:noProof w:val="0"/>
          <w:color w:val="000000" w:themeColor="text1" w:themeTint="FF" w:themeShade="FF"/>
          <w:sz w:val="24"/>
          <w:szCs w:val="24"/>
          <w:u w:val="single"/>
          <w:lang w:val="en-GB"/>
        </w:rPr>
      </w:pPr>
      <w:r w:rsidRPr="66279921" w:rsidR="1BD6A52E">
        <w:rPr>
          <w:rFonts w:ascii="Times New Roman" w:hAnsi="Times New Roman" w:eastAsia="Times New Roman" w:cs="Times New Roman"/>
          <w:b w:val="1"/>
          <w:bCs w:val="1"/>
          <w:strike w:val="0"/>
          <w:dstrike w:val="0"/>
          <w:noProof w:val="0"/>
          <w:color w:val="000000" w:themeColor="text1" w:themeTint="FF" w:themeShade="FF"/>
          <w:sz w:val="24"/>
          <w:szCs w:val="24"/>
          <w:u w:val="single"/>
          <w:lang w:val="en-GB"/>
        </w:rPr>
        <w:t>Results and Findings</w:t>
      </w:r>
    </w:p>
    <w:p w:rsidR="00B64925" w:rsidP="66279921" w:rsidRDefault="00B64925" w14:paraId="51EA783A" w14:textId="23794CD3">
      <w:pPr>
        <w:spacing w:before="120" w:beforeAutospacing="off" w:after="120" w:afterAutospacing="off"/>
        <w:jc w:val="center"/>
        <w:rPr>
          <w:rFonts w:ascii="Times New Roman" w:hAnsi="Times New Roman" w:eastAsia="Times New Roman" w:cs="Times New Roman"/>
          <w:noProof w:val="0"/>
          <w:color w:val="000000" w:themeColor="text1" w:themeTint="FF" w:themeShade="FF"/>
          <w:sz w:val="24"/>
          <w:szCs w:val="24"/>
          <w:lang w:val="en-GB"/>
        </w:rPr>
      </w:pPr>
      <w:r w:rsidRPr="66279921" w:rsidR="1BD6A52E">
        <w:rPr>
          <w:rFonts w:ascii="Times New Roman" w:hAnsi="Times New Roman" w:eastAsia="Times New Roman" w:cs="Times New Roman"/>
          <w:noProof w:val="0"/>
          <w:color w:val="000000" w:themeColor="text1" w:themeTint="FF" w:themeShade="FF"/>
          <w:sz w:val="24"/>
          <w:szCs w:val="24"/>
          <w:lang w:val="en-GB"/>
        </w:rPr>
        <w:t xml:space="preserve">I developed four </w:t>
      </w:r>
      <w:r w:rsidRPr="66279921" w:rsidR="1BD6A52E">
        <w:rPr>
          <w:rFonts w:ascii="Times New Roman" w:hAnsi="Times New Roman" w:eastAsia="Times New Roman" w:cs="Times New Roman"/>
          <w:b w:val="1"/>
          <w:bCs w:val="1"/>
          <w:noProof w:val="0"/>
          <w:color w:val="000000" w:themeColor="text1" w:themeTint="FF" w:themeShade="FF"/>
          <w:sz w:val="24"/>
          <w:szCs w:val="24"/>
          <w:lang w:val="en-GB"/>
        </w:rPr>
        <w:t>key themes</w:t>
      </w:r>
      <w:r w:rsidRPr="66279921" w:rsidR="1BD6A52E">
        <w:rPr>
          <w:rFonts w:ascii="Times New Roman" w:hAnsi="Times New Roman" w:eastAsia="Times New Roman" w:cs="Times New Roman"/>
          <w:noProof w:val="0"/>
          <w:color w:val="000000" w:themeColor="text1" w:themeTint="FF" w:themeShade="FF"/>
          <w:sz w:val="24"/>
          <w:szCs w:val="24"/>
          <w:lang w:val="en-GB"/>
        </w:rPr>
        <w:t xml:space="preserve"> within the counselling transcript. </w:t>
      </w:r>
    </w:p>
    <w:p w:rsidR="00B64925" w:rsidP="66279921" w:rsidRDefault="00B64925" w14:paraId="0688A0DF" w14:textId="55329251">
      <w:pPr>
        <w:spacing w:before="120" w:beforeAutospacing="off" w:after="120" w:afterAutospacing="off"/>
        <w:jc w:val="center"/>
        <w:rPr>
          <w:rFonts w:ascii="Times New Roman" w:hAnsi="Times New Roman" w:eastAsia="Times New Roman" w:cs="Times New Roman"/>
          <w:b w:val="1"/>
          <w:bCs w:val="1"/>
          <w:i w:val="1"/>
          <w:iCs w:val="1"/>
          <w:noProof w:val="0"/>
          <w:color w:val="000000" w:themeColor="text1" w:themeTint="FF" w:themeShade="FF"/>
          <w:sz w:val="24"/>
          <w:szCs w:val="24"/>
          <w:lang w:val="en-GB"/>
        </w:rPr>
      </w:pPr>
      <w:r w:rsidRPr="66279921" w:rsidR="1BD6A52E">
        <w:rPr>
          <w:rFonts w:ascii="Times New Roman" w:hAnsi="Times New Roman" w:eastAsia="Times New Roman" w:cs="Times New Roman"/>
          <w:noProof w:val="0"/>
          <w:color w:val="000000" w:themeColor="text1" w:themeTint="FF" w:themeShade="FF"/>
          <w:sz w:val="24"/>
          <w:szCs w:val="24"/>
          <w:lang w:val="en-GB"/>
        </w:rPr>
        <w:t>Theme one-</w:t>
      </w:r>
      <w:r w:rsidRPr="66279921" w:rsidR="1BD6A52E">
        <w:rPr>
          <w:rFonts w:ascii="Times New Roman" w:hAnsi="Times New Roman" w:eastAsia="Times New Roman" w:cs="Times New Roman"/>
          <w:b w:val="1"/>
          <w:bCs w:val="1"/>
          <w:noProof w:val="0"/>
          <w:color w:val="000000" w:themeColor="text1" w:themeTint="FF" w:themeShade="FF"/>
          <w:sz w:val="24"/>
          <w:szCs w:val="24"/>
          <w:lang w:val="en-GB"/>
        </w:rPr>
        <w:t xml:space="preserve"> </w:t>
      </w:r>
      <w:r w:rsidRPr="66279921" w:rsidR="1BD6A52E">
        <w:rPr>
          <w:rFonts w:ascii="Times New Roman" w:hAnsi="Times New Roman" w:eastAsia="Times New Roman" w:cs="Times New Roman"/>
          <w:b w:val="1"/>
          <w:bCs w:val="1"/>
          <w:i w:val="1"/>
          <w:iCs w:val="1"/>
          <w:noProof w:val="0"/>
          <w:color w:val="000000" w:themeColor="text1" w:themeTint="FF" w:themeShade="FF"/>
          <w:sz w:val="24"/>
          <w:szCs w:val="24"/>
          <w:lang w:val="en-GB"/>
        </w:rPr>
        <w:t>Boundaries and Endings.</w:t>
      </w:r>
    </w:p>
    <w:p w:rsidR="00B64925" w:rsidP="66279921" w:rsidRDefault="00B64925" w14:paraId="0432A932" w14:textId="00304973">
      <w:pPr>
        <w:spacing w:before="120" w:beforeAutospacing="off" w:after="120" w:afterAutospacing="off"/>
        <w:jc w:val="center"/>
        <w:rPr>
          <w:rFonts w:ascii="Times New Roman" w:hAnsi="Times New Roman" w:eastAsia="Times New Roman" w:cs="Times New Roman"/>
          <w:i w:val="1"/>
          <w:iCs w:val="1"/>
          <w:noProof w:val="0"/>
          <w:color w:val="000000" w:themeColor="text1" w:themeTint="FF" w:themeShade="FF"/>
          <w:sz w:val="24"/>
          <w:szCs w:val="24"/>
          <w:lang w:val="en-GB"/>
        </w:rPr>
      </w:pPr>
      <w:r w:rsidRPr="66279921" w:rsidR="1BD6A52E">
        <w:rPr>
          <w:rFonts w:ascii="Times New Roman" w:hAnsi="Times New Roman" w:eastAsia="Times New Roman" w:cs="Times New Roman"/>
          <w:i w:val="1"/>
          <w:iCs w:val="1"/>
          <w:noProof w:val="0"/>
          <w:color w:val="000000" w:themeColor="text1" w:themeTint="FF" w:themeShade="FF"/>
          <w:sz w:val="24"/>
          <w:szCs w:val="24"/>
          <w:lang w:val="en-GB"/>
        </w:rPr>
        <w:t xml:space="preserve">In paragraph 5 </w:t>
      </w:r>
    </w:p>
    <w:p w:rsidR="00B64925" w:rsidP="66279921" w:rsidRDefault="00B64925" w14:paraId="5AA148FE" w14:textId="73CBA363">
      <w:pPr>
        <w:spacing w:before="120" w:beforeAutospacing="off" w:after="120" w:afterAutospacing="off"/>
        <w:jc w:val="center"/>
        <w:rPr>
          <w:rFonts w:ascii="Times New Roman" w:hAnsi="Times New Roman" w:eastAsia="Times New Roman" w:cs="Times New Roman"/>
          <w:noProof w:val="0"/>
          <w:color w:val="000000" w:themeColor="text1" w:themeTint="FF" w:themeShade="FF"/>
          <w:sz w:val="24"/>
          <w:szCs w:val="24"/>
          <w:lang w:val="en-GB"/>
        </w:rPr>
      </w:pPr>
      <w:r w:rsidRPr="66279921" w:rsidR="1BD6A52E">
        <w:rPr>
          <w:rFonts w:ascii="Times New Roman" w:hAnsi="Times New Roman" w:eastAsia="Times New Roman" w:cs="Times New Roman"/>
          <w:i w:val="1"/>
          <w:iCs w:val="1"/>
          <w:noProof w:val="0"/>
          <w:color w:val="000000" w:themeColor="text1" w:themeTint="FF" w:themeShade="FF"/>
          <w:sz w:val="24"/>
          <w:szCs w:val="24"/>
          <w:lang w:val="en-GB"/>
        </w:rPr>
        <w:t>“</w:t>
      </w:r>
      <w:r w:rsidRPr="66279921" w:rsidR="1BD6A52E">
        <w:rPr>
          <w:rFonts w:ascii="Times New Roman" w:hAnsi="Times New Roman" w:eastAsia="Times New Roman" w:cs="Times New Roman"/>
          <w:noProof w:val="0"/>
          <w:color w:val="000000" w:themeColor="text1" w:themeTint="FF" w:themeShade="FF"/>
          <w:sz w:val="24"/>
          <w:szCs w:val="24"/>
          <w:lang w:val="en-GB"/>
        </w:rPr>
        <w:t>Boundaries are part of the ‘conditions</w:t>
      </w:r>
      <w:r w:rsidRPr="66279921" w:rsidR="1BD6A52E">
        <w:rPr>
          <w:rFonts w:ascii="Times New Roman" w:hAnsi="Times New Roman" w:eastAsia="Times New Roman" w:cs="Times New Roman"/>
          <w:noProof w:val="0"/>
          <w:color w:val="000000" w:themeColor="text1" w:themeTint="FF" w:themeShade="FF"/>
          <w:sz w:val="24"/>
          <w:szCs w:val="24"/>
          <w:lang w:val="en-GB"/>
        </w:rPr>
        <w:t>”.</w:t>
      </w:r>
      <w:r w:rsidRPr="66279921" w:rsidR="1BD6A52E">
        <w:rPr>
          <w:rFonts w:ascii="Times New Roman" w:hAnsi="Times New Roman" w:eastAsia="Times New Roman" w:cs="Times New Roman"/>
          <w:noProof w:val="0"/>
          <w:color w:val="000000" w:themeColor="text1" w:themeTint="FF" w:themeShade="FF"/>
          <w:sz w:val="24"/>
          <w:szCs w:val="24"/>
          <w:lang w:val="en-GB"/>
        </w:rPr>
        <w:t xml:space="preserve"> However, according to Rogers (2012), Boundaries are presented as the core structure of therapy, providing consistency and safety as well as a secure frame which allows clients to explore authentically, consistent with humanistic theory. This emphasises trust, empathy, and conditions for growth</w:t>
      </w:r>
      <w:r w:rsidRPr="66279921" w:rsidR="1BD6A52E">
        <w:rPr>
          <w:rFonts w:ascii="Times New Roman" w:hAnsi="Times New Roman" w:eastAsia="Times New Roman" w:cs="Times New Roman"/>
          <w:noProof w:val="0"/>
          <w:color w:val="000000" w:themeColor="text1" w:themeTint="FF" w:themeShade="FF"/>
          <w:sz w:val="24"/>
          <w:szCs w:val="24"/>
          <w:lang w:val="en-GB"/>
        </w:rPr>
        <w:t xml:space="preserve">.  </w:t>
      </w:r>
      <w:r w:rsidRPr="66279921" w:rsidR="1BD6A52E">
        <w:rPr>
          <w:rFonts w:ascii="Times New Roman" w:hAnsi="Times New Roman" w:eastAsia="Times New Roman" w:cs="Times New Roman"/>
          <w:noProof w:val="0"/>
          <w:color w:val="000000" w:themeColor="text1" w:themeTint="FF" w:themeShade="FF"/>
          <w:sz w:val="24"/>
          <w:szCs w:val="24"/>
          <w:lang w:val="en-GB"/>
        </w:rPr>
        <w:t>Furthermore, within the transcript, boundaries around confidentiality and session length are clearly established, helping clients feel understood, calmer, and less anxious. In addition, counsellors are expected to set these expectations, which then provides a predictable framework that supports emotional safety and engagement with the client and counsellor</w:t>
      </w:r>
      <w:r w:rsidRPr="66279921" w:rsidR="1BD6A52E">
        <w:rPr>
          <w:rFonts w:ascii="Times New Roman" w:hAnsi="Times New Roman" w:eastAsia="Times New Roman" w:cs="Times New Roman"/>
          <w:noProof w:val="0"/>
          <w:color w:val="000000" w:themeColor="text1" w:themeTint="FF" w:themeShade="FF"/>
          <w:sz w:val="24"/>
          <w:szCs w:val="24"/>
          <w:lang w:val="en-GB"/>
        </w:rPr>
        <w:t xml:space="preserve">.  </w:t>
      </w:r>
    </w:p>
    <w:p w:rsidR="00B64925" w:rsidP="66279921" w:rsidRDefault="00B64925" w14:paraId="358B8CC7" w14:textId="57032843">
      <w:pPr>
        <w:spacing w:before="120" w:beforeAutospacing="off" w:after="120" w:afterAutospacing="off"/>
        <w:jc w:val="center"/>
        <w:rPr>
          <w:rFonts w:ascii="Times New Roman" w:hAnsi="Times New Roman" w:eastAsia="Times New Roman" w:cs="Times New Roman"/>
          <w:noProof w:val="0"/>
          <w:color w:val="000000" w:themeColor="text1" w:themeTint="FF" w:themeShade="FF"/>
          <w:sz w:val="24"/>
          <w:szCs w:val="24"/>
          <w:lang w:val="en-GB"/>
        </w:rPr>
      </w:pPr>
      <w:r w:rsidRPr="66279921" w:rsidR="1BD6A52E">
        <w:rPr>
          <w:rFonts w:ascii="Times New Roman" w:hAnsi="Times New Roman" w:eastAsia="Times New Roman" w:cs="Times New Roman"/>
          <w:noProof w:val="0"/>
          <w:color w:val="000000" w:themeColor="text1" w:themeTint="FF" w:themeShade="FF"/>
          <w:sz w:val="24"/>
          <w:szCs w:val="24"/>
          <w:lang w:val="en-GB"/>
        </w:rPr>
        <w:t xml:space="preserve">In paragraph 12  </w:t>
      </w:r>
    </w:p>
    <w:p w:rsidR="00B64925" w:rsidP="66279921" w:rsidRDefault="00B64925" w14:paraId="4216B29F" w14:textId="5BFB33B8">
      <w:pPr>
        <w:spacing w:before="120" w:beforeAutospacing="off" w:after="120" w:afterAutospacing="off"/>
        <w:jc w:val="center"/>
        <w:rPr>
          <w:rFonts w:ascii="Times New Roman" w:hAnsi="Times New Roman" w:eastAsia="Times New Roman" w:cs="Times New Roman"/>
          <w:noProof w:val="0"/>
          <w:color w:val="000000" w:themeColor="text1" w:themeTint="FF" w:themeShade="FF"/>
          <w:sz w:val="24"/>
          <w:szCs w:val="24"/>
          <w:lang w:val="en-GB"/>
        </w:rPr>
      </w:pPr>
      <w:r w:rsidRPr="66279921" w:rsidR="1BD6A52E">
        <w:rPr>
          <w:rFonts w:ascii="Times New Roman" w:hAnsi="Times New Roman" w:eastAsia="Times New Roman" w:cs="Times New Roman"/>
          <w:noProof w:val="0"/>
          <w:color w:val="000000" w:themeColor="text1" w:themeTint="FF" w:themeShade="FF"/>
          <w:sz w:val="24"/>
          <w:szCs w:val="24"/>
          <w:lang w:val="en-GB"/>
        </w:rPr>
        <w:t xml:space="preserve">Chris states, “I worked with a client who often tested endings, sharing something significant right as I signalled time.” This shows that time boundaries are more than rules; these are used as a tool to provide structure, safety, and predictability in therapy. In addition, Chris pays close attention to the client’s emotions, using the time boundary to help them explore feelings of abandonment while keeping the session on track. According to Gans (2016), this approach reflects trauma-informed practice, which focuses on keeping clients within their window of tolerance and using boundaries to support emotional regulation and safety. Although therapy endings look </w:t>
      </w:r>
      <w:r w:rsidRPr="66279921" w:rsidR="1BD6A52E">
        <w:rPr>
          <w:rFonts w:ascii="Times New Roman" w:hAnsi="Times New Roman" w:eastAsia="Times New Roman" w:cs="Times New Roman"/>
          <w:noProof w:val="0"/>
          <w:color w:val="000000" w:themeColor="text1" w:themeTint="FF" w:themeShade="FF"/>
          <w:sz w:val="24"/>
          <w:szCs w:val="24"/>
          <w:lang w:val="en-GB"/>
        </w:rPr>
        <w:t>simple</w:t>
      </w:r>
      <w:r w:rsidRPr="66279921" w:rsidR="1BD6A52E">
        <w:rPr>
          <w:rFonts w:ascii="Times New Roman" w:hAnsi="Times New Roman" w:eastAsia="Times New Roman" w:cs="Times New Roman"/>
          <w:noProof w:val="0"/>
          <w:color w:val="000000" w:themeColor="text1" w:themeTint="FF" w:themeShade="FF"/>
          <w:sz w:val="24"/>
          <w:szCs w:val="24"/>
          <w:lang w:val="en-GB"/>
        </w:rPr>
        <w:t>, they are often emotionally complex</w:t>
      </w:r>
      <w:r w:rsidRPr="66279921" w:rsidR="1BD6A52E">
        <w:rPr>
          <w:rFonts w:ascii="Times New Roman" w:hAnsi="Times New Roman" w:eastAsia="Times New Roman" w:cs="Times New Roman"/>
          <w:noProof w:val="0"/>
          <w:color w:val="000000" w:themeColor="text1" w:themeTint="FF" w:themeShade="FF"/>
          <w:sz w:val="24"/>
          <w:szCs w:val="24"/>
          <w:lang w:val="en-GB"/>
        </w:rPr>
        <w:t xml:space="preserve">.  </w:t>
      </w:r>
    </w:p>
    <w:p w:rsidR="00B64925" w:rsidP="66279921" w:rsidRDefault="00B64925" w14:paraId="1ED2DE93" w14:textId="704B96C0">
      <w:pPr>
        <w:pStyle w:val="Heading3"/>
        <w:spacing w:before="281" w:beforeAutospacing="off" w:after="140" w:afterAutospacing="off"/>
        <w:jc w:val="center"/>
        <w:rPr>
          <w:rFonts w:ascii="Times New Roman" w:hAnsi="Times New Roman" w:eastAsia="Times New Roman" w:cs="Times New Roman"/>
          <w:b w:val="1"/>
          <w:bCs w:val="1"/>
          <w:noProof w:val="0"/>
          <w:color w:val="000000" w:themeColor="text1" w:themeTint="FF" w:themeShade="FF"/>
          <w:sz w:val="24"/>
          <w:szCs w:val="24"/>
          <w:lang w:val="en-GB"/>
        </w:rPr>
      </w:pPr>
      <w:r w:rsidRPr="66279921" w:rsidR="1BD6A52E">
        <w:rPr>
          <w:rFonts w:ascii="Times New Roman" w:hAnsi="Times New Roman" w:eastAsia="Times New Roman" w:cs="Times New Roman"/>
          <w:b w:val="1"/>
          <w:bCs w:val="1"/>
          <w:noProof w:val="0"/>
          <w:color w:val="000000" w:themeColor="text1" w:themeTint="FF" w:themeShade="FF"/>
          <w:sz w:val="24"/>
          <w:szCs w:val="24"/>
          <w:lang w:val="en-GB"/>
        </w:rPr>
        <w:t xml:space="preserve">Theme two- Managing Boundaries Across Therapeutic settings </w:t>
      </w:r>
    </w:p>
    <w:p w:rsidR="00B64925" w:rsidP="66279921" w:rsidRDefault="00B64925" w14:paraId="0CA38026" w14:textId="4981AD31">
      <w:pPr>
        <w:spacing w:before="120" w:beforeAutospacing="off" w:after="120" w:afterAutospacing="off"/>
        <w:jc w:val="center"/>
        <w:rPr>
          <w:rFonts w:ascii="Times New Roman" w:hAnsi="Times New Roman" w:eastAsia="Times New Roman" w:cs="Times New Roman"/>
          <w:noProof w:val="0"/>
          <w:color w:val="000000" w:themeColor="text1" w:themeTint="FF" w:themeShade="FF"/>
          <w:sz w:val="24"/>
          <w:szCs w:val="24"/>
          <w:lang w:val="en-GB"/>
        </w:rPr>
      </w:pPr>
      <w:r w:rsidRPr="66279921" w:rsidR="1BD6A52E">
        <w:rPr>
          <w:rFonts w:ascii="Times New Roman" w:hAnsi="Times New Roman" w:eastAsia="Times New Roman" w:cs="Times New Roman"/>
          <w:noProof w:val="0"/>
          <w:color w:val="000000" w:themeColor="text1" w:themeTint="FF" w:themeShade="FF"/>
          <w:sz w:val="24"/>
          <w:szCs w:val="24"/>
          <w:lang w:val="en-GB"/>
        </w:rPr>
        <w:t xml:space="preserve">In paragraph 15 </w:t>
      </w:r>
    </w:p>
    <w:p w:rsidR="00B64925" w:rsidP="66279921" w:rsidRDefault="00B64925" w14:paraId="2250765B" w14:textId="0824EC51">
      <w:pPr>
        <w:spacing w:before="120" w:beforeAutospacing="off" w:after="120" w:afterAutospacing="off"/>
        <w:jc w:val="center"/>
        <w:rPr>
          <w:rFonts w:ascii="Times New Roman" w:hAnsi="Times New Roman" w:eastAsia="Times New Roman" w:cs="Times New Roman"/>
          <w:noProof w:val="0"/>
          <w:color w:val="000000" w:themeColor="text1" w:themeTint="FF" w:themeShade="FF"/>
          <w:sz w:val="24"/>
          <w:szCs w:val="24"/>
          <w:lang w:val="en-GB"/>
        </w:rPr>
      </w:pPr>
      <w:r w:rsidRPr="66279921" w:rsidR="1BD6A52E">
        <w:rPr>
          <w:rFonts w:ascii="Times New Roman" w:hAnsi="Times New Roman" w:eastAsia="Times New Roman" w:cs="Times New Roman"/>
          <w:noProof w:val="0"/>
          <w:color w:val="000000" w:themeColor="text1" w:themeTint="FF" w:themeShade="FF"/>
          <w:sz w:val="24"/>
          <w:szCs w:val="24"/>
          <w:lang w:val="en-GB"/>
        </w:rPr>
        <w:t>Chris states, “I pay attention to the felt sense of the room</w:t>
      </w:r>
      <w:r w:rsidRPr="66279921" w:rsidR="1BD6A52E">
        <w:rPr>
          <w:rFonts w:ascii="Times New Roman" w:hAnsi="Times New Roman" w:eastAsia="Times New Roman" w:cs="Times New Roman"/>
          <w:noProof w:val="0"/>
          <w:color w:val="000000" w:themeColor="text1" w:themeTint="FF" w:themeShade="FF"/>
          <w:sz w:val="24"/>
          <w:szCs w:val="24"/>
          <w:lang w:val="en-GB"/>
        </w:rPr>
        <w:t>”.</w:t>
      </w:r>
      <w:r w:rsidRPr="66279921" w:rsidR="1BD6A52E">
        <w:rPr>
          <w:rFonts w:ascii="Times New Roman" w:hAnsi="Times New Roman" w:eastAsia="Times New Roman" w:cs="Times New Roman"/>
          <w:noProof w:val="0"/>
          <w:color w:val="000000" w:themeColor="text1" w:themeTint="FF" w:themeShade="FF"/>
          <w:sz w:val="24"/>
          <w:szCs w:val="24"/>
          <w:lang w:val="en-GB"/>
        </w:rPr>
        <w:t xml:space="preserve">  Lonczak (2020) argues that therapy approaches, including client-centred, psychoanalytic, existential-humanistic, gestalt, behavioural, transactional, rational-emotive, and reality therapy, all emphasise creating a safe and supportive environment for clients. Furthermore, these approaches focus on trust, empathy, structure, and confidentiality, allowing clients to explore thoughts, feelings, and behaviours openly. Furthermore, Counselling goals should be set </w:t>
      </w:r>
      <w:r w:rsidRPr="66279921" w:rsidR="1BD6A52E">
        <w:rPr>
          <w:rFonts w:ascii="Times New Roman" w:hAnsi="Times New Roman" w:eastAsia="Times New Roman" w:cs="Times New Roman"/>
          <w:noProof w:val="0"/>
          <w:color w:val="000000" w:themeColor="text1" w:themeTint="FF" w:themeShade="FF"/>
          <w:sz w:val="24"/>
          <w:szCs w:val="24"/>
          <w:lang w:val="en-GB"/>
        </w:rPr>
        <w:t>mainly by</w:t>
      </w:r>
      <w:r w:rsidRPr="66279921" w:rsidR="1BD6A52E">
        <w:rPr>
          <w:rFonts w:ascii="Times New Roman" w:hAnsi="Times New Roman" w:eastAsia="Times New Roman" w:cs="Times New Roman"/>
          <w:noProof w:val="0"/>
          <w:color w:val="000000" w:themeColor="text1" w:themeTint="FF" w:themeShade="FF"/>
          <w:sz w:val="24"/>
          <w:szCs w:val="24"/>
          <w:lang w:val="en-GB"/>
        </w:rPr>
        <w:t xml:space="preserve"> the client, with the therapist helping and guiding them. In addition, therapy begins by exploring what the client wants or needs to change, even if unclear. As well as goals reflect personal values, the therapist must respect the client’s perspective and avoid imposing their own beliefs (Corey, 2017, p. 24)</w:t>
      </w:r>
      <w:r w:rsidRPr="66279921" w:rsidR="1BD6A52E">
        <w:rPr>
          <w:rFonts w:ascii="Times New Roman" w:hAnsi="Times New Roman" w:eastAsia="Times New Roman" w:cs="Times New Roman"/>
          <w:noProof w:val="0"/>
          <w:color w:val="000000" w:themeColor="text1" w:themeTint="FF" w:themeShade="FF"/>
          <w:sz w:val="24"/>
          <w:szCs w:val="24"/>
          <w:lang w:val="en-GB"/>
        </w:rPr>
        <w:t xml:space="preserve">.  </w:t>
      </w:r>
    </w:p>
    <w:p w:rsidR="00B64925" w:rsidP="66279921" w:rsidRDefault="00B64925" w14:paraId="62007F1F" w14:textId="198C7204">
      <w:pPr>
        <w:spacing w:before="120" w:beforeAutospacing="off" w:after="120" w:afterAutospacing="off"/>
        <w:jc w:val="center"/>
        <w:rPr>
          <w:rFonts w:ascii="Times New Roman" w:hAnsi="Times New Roman" w:eastAsia="Times New Roman" w:cs="Times New Roman"/>
          <w:noProof w:val="0"/>
          <w:color w:val="000000" w:themeColor="text1" w:themeTint="FF" w:themeShade="FF"/>
          <w:sz w:val="24"/>
          <w:szCs w:val="24"/>
          <w:lang w:val="en-GB"/>
        </w:rPr>
      </w:pPr>
      <w:r w:rsidRPr="66279921" w:rsidR="1BD6A52E">
        <w:rPr>
          <w:rFonts w:ascii="Times New Roman" w:hAnsi="Times New Roman" w:eastAsia="Times New Roman" w:cs="Times New Roman"/>
          <w:noProof w:val="0"/>
          <w:color w:val="000000" w:themeColor="text1" w:themeTint="FF" w:themeShade="FF"/>
          <w:sz w:val="24"/>
          <w:szCs w:val="24"/>
          <w:lang w:val="en-GB"/>
        </w:rPr>
        <w:t xml:space="preserve">According to the British Association for Counselling and Psychotherapy (2023), it is ethically important for therapists to contract and to explain practical issues clearly when a client first makes contact. This includes session fees, how and when payments are made, and what happens if a client misses a session or cannot pay. However, therapists should also </w:t>
      </w:r>
      <w:r w:rsidRPr="66279921" w:rsidR="1BD6A52E">
        <w:rPr>
          <w:rFonts w:ascii="Times New Roman" w:hAnsi="Times New Roman" w:eastAsia="Times New Roman" w:cs="Times New Roman"/>
          <w:noProof w:val="0"/>
          <w:color w:val="000000" w:themeColor="text1" w:themeTint="FF" w:themeShade="FF"/>
          <w:sz w:val="24"/>
          <w:szCs w:val="24"/>
          <w:lang w:val="en-GB"/>
        </w:rPr>
        <w:t>state</w:t>
      </w:r>
      <w:r w:rsidRPr="66279921" w:rsidR="1BD6A52E">
        <w:rPr>
          <w:rFonts w:ascii="Times New Roman" w:hAnsi="Times New Roman" w:eastAsia="Times New Roman" w:cs="Times New Roman"/>
          <w:noProof w:val="0"/>
          <w:color w:val="000000" w:themeColor="text1" w:themeTint="FF" w:themeShade="FF"/>
          <w:sz w:val="24"/>
          <w:szCs w:val="24"/>
          <w:lang w:val="en-GB"/>
        </w:rPr>
        <w:t xml:space="preserve"> their policy on accepting gifts, so clients do not feel rejected if a gift is refused, and clear communication helps avoid misunderstandings, as shown in cases where small gifts are misinterpreted. A contract clarifies, makes the process transparent, and ensures safety. In addition, it helps clients understand what to expect and reduces misunderstandings or complaints. </w:t>
      </w:r>
    </w:p>
    <w:p w:rsidR="00B64925" w:rsidP="66279921" w:rsidRDefault="00B64925" w14:paraId="76BF885C" w14:textId="4ECF325C">
      <w:pPr>
        <w:spacing w:before="120" w:beforeAutospacing="off" w:after="120" w:afterAutospacing="off"/>
        <w:jc w:val="center"/>
        <w:rPr>
          <w:rFonts w:ascii="Times New Roman" w:hAnsi="Times New Roman" w:eastAsia="Times New Roman" w:cs="Times New Roman"/>
          <w:noProof w:val="0"/>
          <w:color w:val="000000" w:themeColor="text1" w:themeTint="FF" w:themeShade="FF"/>
          <w:sz w:val="24"/>
          <w:szCs w:val="24"/>
          <w:lang w:val="en-GB"/>
        </w:rPr>
      </w:pPr>
      <w:r w:rsidRPr="66279921" w:rsidR="1BD6A52E">
        <w:rPr>
          <w:rFonts w:ascii="Times New Roman" w:hAnsi="Times New Roman" w:eastAsia="Times New Roman" w:cs="Times New Roman"/>
          <w:noProof w:val="0"/>
          <w:color w:val="000000" w:themeColor="text1" w:themeTint="FF" w:themeShade="FF"/>
          <w:sz w:val="24"/>
          <w:szCs w:val="24"/>
          <w:lang w:val="en-GB"/>
        </w:rPr>
        <w:t xml:space="preserve">Theme Three- Dual Relationships &amp; Boundaries Styles  </w:t>
      </w:r>
    </w:p>
    <w:p w:rsidR="00B64925" w:rsidP="66279921" w:rsidRDefault="00B64925" w14:paraId="332907D9" w14:textId="3118A4B4">
      <w:pPr>
        <w:spacing w:before="120" w:beforeAutospacing="off" w:after="120" w:afterAutospacing="off"/>
        <w:jc w:val="center"/>
        <w:rPr>
          <w:rFonts w:ascii="Times New Roman" w:hAnsi="Times New Roman" w:eastAsia="Times New Roman" w:cs="Times New Roman"/>
          <w:noProof w:val="0"/>
          <w:color w:val="000000" w:themeColor="text1" w:themeTint="FF" w:themeShade="FF"/>
          <w:sz w:val="24"/>
          <w:szCs w:val="24"/>
          <w:lang w:val="en-GB"/>
        </w:rPr>
      </w:pPr>
      <w:r w:rsidRPr="66279921" w:rsidR="1BD6A52E">
        <w:rPr>
          <w:rFonts w:ascii="Times New Roman" w:hAnsi="Times New Roman" w:eastAsia="Times New Roman" w:cs="Times New Roman"/>
          <w:noProof w:val="0"/>
          <w:color w:val="000000" w:themeColor="text1" w:themeTint="FF" w:themeShade="FF"/>
          <w:sz w:val="24"/>
          <w:szCs w:val="24"/>
          <w:lang w:val="en-GB"/>
        </w:rPr>
        <w:t xml:space="preserve">In Paragraph 24  </w:t>
      </w:r>
    </w:p>
    <w:p w:rsidR="00B64925" w:rsidP="66279921" w:rsidRDefault="00B64925" w14:paraId="24D8021B" w14:textId="0FF34957">
      <w:pPr>
        <w:spacing w:before="120" w:beforeAutospacing="off" w:after="120" w:afterAutospacing="off"/>
        <w:jc w:val="center"/>
        <w:rPr>
          <w:rFonts w:ascii="Times New Roman" w:hAnsi="Times New Roman" w:eastAsia="Times New Roman" w:cs="Times New Roman"/>
          <w:sz w:val="24"/>
          <w:szCs w:val="24"/>
        </w:rPr>
      </w:pPr>
    </w:p>
    <w:p w:rsidR="00B64925" w:rsidP="66279921" w:rsidRDefault="00B64925" w14:paraId="457BF560" w14:textId="7D5587A4">
      <w:pPr>
        <w:spacing w:before="120" w:beforeAutospacing="off" w:after="120" w:afterAutospacing="off"/>
        <w:jc w:val="center"/>
        <w:rPr>
          <w:rFonts w:ascii="Times New Roman" w:hAnsi="Times New Roman" w:eastAsia="Times New Roman" w:cs="Times New Roman"/>
          <w:noProof w:val="0"/>
          <w:color w:val="000000" w:themeColor="text1" w:themeTint="FF" w:themeShade="FF"/>
          <w:sz w:val="24"/>
          <w:szCs w:val="24"/>
          <w:lang w:val="en-GB"/>
        </w:rPr>
      </w:pPr>
      <w:r w:rsidRPr="66279921" w:rsidR="1BD6A52E">
        <w:rPr>
          <w:rFonts w:ascii="Times New Roman" w:hAnsi="Times New Roman" w:eastAsia="Times New Roman" w:cs="Times New Roman"/>
          <w:noProof w:val="0"/>
          <w:color w:val="000000" w:themeColor="text1" w:themeTint="FF" w:themeShade="FF"/>
          <w:sz w:val="24"/>
          <w:szCs w:val="24"/>
          <w:lang w:val="en-GB"/>
        </w:rPr>
        <w:t>The interviewer asked Chris if “Dual relationships are hard to avoid in smaller communities, and how do you navigate that in Wales?” Chris replied, “</w:t>
      </w:r>
      <w:r w:rsidRPr="66279921" w:rsidR="1BD6A52E">
        <w:rPr>
          <w:rFonts w:ascii="Times New Roman" w:hAnsi="Times New Roman" w:eastAsia="Times New Roman" w:cs="Times New Roman"/>
          <w:noProof w:val="0"/>
          <w:color w:val="000000" w:themeColor="text1" w:themeTint="FF" w:themeShade="FF"/>
          <w:sz w:val="24"/>
          <w:szCs w:val="24"/>
          <w:lang w:val="en-GB"/>
        </w:rPr>
        <w:t>It’s</w:t>
      </w:r>
      <w:r w:rsidRPr="66279921" w:rsidR="1BD6A52E">
        <w:rPr>
          <w:rFonts w:ascii="Times New Roman" w:hAnsi="Times New Roman" w:eastAsia="Times New Roman" w:cs="Times New Roman"/>
          <w:noProof w:val="0"/>
          <w:color w:val="000000" w:themeColor="text1" w:themeTint="FF" w:themeShade="FF"/>
          <w:sz w:val="24"/>
          <w:szCs w:val="24"/>
          <w:lang w:val="en-GB"/>
        </w:rPr>
        <w:t xml:space="preserve"> real. </w:t>
      </w:r>
      <w:r w:rsidRPr="66279921" w:rsidR="1BD6A52E">
        <w:rPr>
          <w:rFonts w:ascii="Times New Roman" w:hAnsi="Times New Roman" w:eastAsia="Times New Roman" w:cs="Times New Roman"/>
          <w:noProof w:val="0"/>
          <w:color w:val="000000" w:themeColor="text1" w:themeTint="FF" w:themeShade="FF"/>
          <w:sz w:val="24"/>
          <w:szCs w:val="24"/>
          <w:lang w:val="en-GB"/>
        </w:rPr>
        <w:t>I’ve</w:t>
      </w:r>
      <w:r w:rsidRPr="66279921" w:rsidR="1BD6A52E">
        <w:rPr>
          <w:rFonts w:ascii="Times New Roman" w:hAnsi="Times New Roman" w:eastAsia="Times New Roman" w:cs="Times New Roman"/>
          <w:noProof w:val="0"/>
          <w:color w:val="000000" w:themeColor="text1" w:themeTint="FF" w:themeShade="FF"/>
          <w:sz w:val="24"/>
          <w:szCs w:val="24"/>
          <w:lang w:val="en-GB"/>
        </w:rPr>
        <w:t xml:space="preserve"> bumped into clients at the supermarket.”  </w:t>
      </w:r>
    </w:p>
    <w:p w:rsidR="00B64925" w:rsidP="66279921" w:rsidRDefault="00B64925" w14:paraId="0A13B2DE" w14:textId="14CA6526">
      <w:pPr>
        <w:spacing w:before="120" w:beforeAutospacing="off" w:after="120" w:afterAutospacing="off"/>
        <w:jc w:val="center"/>
        <w:rPr>
          <w:rFonts w:ascii="Times New Roman" w:hAnsi="Times New Roman" w:eastAsia="Times New Roman" w:cs="Times New Roman"/>
          <w:noProof w:val="0"/>
          <w:color w:val="000000" w:themeColor="text1" w:themeTint="FF" w:themeShade="FF"/>
          <w:sz w:val="24"/>
          <w:szCs w:val="24"/>
          <w:lang w:val="en-GB"/>
        </w:rPr>
      </w:pPr>
      <w:r w:rsidRPr="66279921" w:rsidR="1BD6A52E">
        <w:rPr>
          <w:rFonts w:ascii="Times New Roman" w:hAnsi="Times New Roman" w:eastAsia="Times New Roman" w:cs="Times New Roman"/>
          <w:noProof w:val="0"/>
          <w:color w:val="000000" w:themeColor="text1" w:themeTint="FF" w:themeShade="FF"/>
          <w:sz w:val="24"/>
          <w:szCs w:val="24"/>
          <w:lang w:val="en-GB"/>
        </w:rPr>
        <w:t xml:space="preserve">Burgard (2013) argues that dual relationships occur when therapists and clients interact outside therapy, such as in social, professional, or community settings. However, sexual relationships with clients are strictly unethical, while non-sexual dual relationships are more complex. Furthermore, these can create ethical challenges like conflicts of interest, breaches of confidentiality, and power imbalances. However, these relationships are </w:t>
      </w:r>
    </w:p>
    <w:p w:rsidR="00B64925" w:rsidP="66279921" w:rsidRDefault="00B64925" w14:paraId="1F83C6E3" w14:textId="5FB346EA">
      <w:pPr>
        <w:spacing w:before="120" w:beforeAutospacing="off" w:after="120" w:afterAutospacing="off"/>
        <w:jc w:val="center"/>
        <w:rPr>
          <w:rFonts w:ascii="Times New Roman" w:hAnsi="Times New Roman" w:eastAsia="Times New Roman" w:cs="Times New Roman"/>
          <w:noProof w:val="0"/>
          <w:color w:val="000000" w:themeColor="text1" w:themeTint="FF" w:themeShade="FF"/>
          <w:sz w:val="24"/>
          <w:szCs w:val="24"/>
          <w:lang w:val="en-GB"/>
        </w:rPr>
      </w:pPr>
      <w:r w:rsidRPr="66279921" w:rsidR="1BD6A52E">
        <w:rPr>
          <w:rFonts w:ascii="Times New Roman" w:hAnsi="Times New Roman" w:eastAsia="Times New Roman" w:cs="Times New Roman"/>
          <w:noProof w:val="0"/>
          <w:color w:val="000000" w:themeColor="text1" w:themeTint="FF" w:themeShade="FF"/>
          <w:sz w:val="24"/>
          <w:szCs w:val="24"/>
          <w:lang w:val="en-GB"/>
        </w:rPr>
        <w:t xml:space="preserve">especially common in small or rural communities, where therapists often have overlapping roles. As well as clear boundaries, ongoing monitoring, and specialised training are essential for managing dual relationships ethically, ensuring client welfare, and </w:t>
      </w:r>
      <w:r w:rsidRPr="66279921" w:rsidR="1BD6A52E">
        <w:rPr>
          <w:rFonts w:ascii="Times New Roman" w:hAnsi="Times New Roman" w:eastAsia="Times New Roman" w:cs="Times New Roman"/>
          <w:noProof w:val="0"/>
          <w:color w:val="000000" w:themeColor="text1" w:themeTint="FF" w:themeShade="FF"/>
          <w:sz w:val="24"/>
          <w:szCs w:val="24"/>
          <w:lang w:val="en-GB"/>
        </w:rPr>
        <w:t>maintaining</w:t>
      </w:r>
      <w:r w:rsidRPr="66279921" w:rsidR="1BD6A52E">
        <w:rPr>
          <w:rFonts w:ascii="Times New Roman" w:hAnsi="Times New Roman" w:eastAsia="Times New Roman" w:cs="Times New Roman"/>
          <w:noProof w:val="0"/>
          <w:color w:val="000000" w:themeColor="text1" w:themeTint="FF" w:themeShade="FF"/>
          <w:sz w:val="24"/>
          <w:szCs w:val="24"/>
          <w:lang w:val="en-GB"/>
        </w:rPr>
        <w:t xml:space="preserve"> effective therapeutic practice. </w:t>
      </w:r>
    </w:p>
    <w:p w:rsidR="00B64925" w:rsidP="66279921" w:rsidRDefault="00B64925" w14:paraId="0FC22AD5" w14:textId="1317E039">
      <w:pPr>
        <w:spacing w:before="120" w:beforeAutospacing="off" w:after="120" w:afterAutospacing="off"/>
        <w:jc w:val="center"/>
        <w:rPr>
          <w:rFonts w:ascii="Times New Roman" w:hAnsi="Times New Roman" w:eastAsia="Times New Roman" w:cs="Times New Roman"/>
          <w:noProof w:val="0"/>
          <w:color w:val="000000" w:themeColor="text1" w:themeTint="FF" w:themeShade="FF"/>
          <w:sz w:val="24"/>
          <w:szCs w:val="24"/>
          <w:lang w:val="en-GB"/>
        </w:rPr>
      </w:pPr>
      <w:r w:rsidRPr="66279921" w:rsidR="1BD6A52E">
        <w:rPr>
          <w:rFonts w:ascii="Times New Roman" w:hAnsi="Times New Roman" w:eastAsia="Times New Roman" w:cs="Times New Roman"/>
          <w:noProof w:val="0"/>
          <w:color w:val="000000" w:themeColor="text1" w:themeTint="FF" w:themeShade="FF"/>
          <w:sz w:val="24"/>
          <w:szCs w:val="24"/>
          <w:lang w:val="en-GB"/>
        </w:rPr>
        <w:t xml:space="preserve">According to Muir‑Smith (2024), treatments for anxiety include CBT, psychodynamic therapy, and mindfulness-based approaches. In addition, integrative methods that combine techniques to tackle both symptoms and underlying causes. Furthermore, CBT is effective; its benefits may not always be long-lasting. However, the Personal Consultancy (PC) model integrates counselling and coaching, guiding practitioners to support clients through stages of listening, rebalancing, generating, and supporting, addressing emotional and behavioural challenges in a structured way. </w:t>
      </w:r>
    </w:p>
    <w:p w:rsidR="00B64925" w:rsidP="66279921" w:rsidRDefault="00B64925" w14:paraId="2345183C" w14:textId="59FC99B4">
      <w:pPr>
        <w:spacing w:before="120" w:beforeAutospacing="off" w:after="120" w:afterAutospacing="off"/>
        <w:jc w:val="center"/>
        <w:rPr>
          <w:rFonts w:ascii="Times New Roman" w:hAnsi="Times New Roman" w:eastAsia="Times New Roman" w:cs="Times New Roman"/>
          <w:noProof w:val="0"/>
          <w:color w:val="000000" w:themeColor="text1" w:themeTint="FF" w:themeShade="FF"/>
          <w:sz w:val="24"/>
          <w:szCs w:val="24"/>
          <w:lang w:val="en-GB"/>
        </w:rPr>
      </w:pPr>
      <w:r w:rsidRPr="66279921" w:rsidR="1BD6A52E">
        <w:rPr>
          <w:rFonts w:ascii="Times New Roman" w:hAnsi="Times New Roman" w:eastAsia="Times New Roman" w:cs="Times New Roman"/>
          <w:noProof w:val="0"/>
          <w:color w:val="000000" w:themeColor="text1" w:themeTint="FF" w:themeShade="FF"/>
          <w:sz w:val="24"/>
          <w:szCs w:val="24"/>
          <w:lang w:val="en-GB"/>
        </w:rPr>
        <w:t>Hook (2018) argues that sexual boundary violations in therapy and healthcare, including inappropriate contact, sexualised behaviour, and misuse of power, can seriously harm patients. Consequences may include low self-esteem, depression, PTSD, and suicidal thoughts. Furthermore, most perpetrators are male, and while false allegations are rare, victims often struggle to trust others, access support, and process conflicting emotions, emphasising the need for greater awareness, prevention, and safeguarding</w:t>
      </w:r>
      <w:r w:rsidRPr="66279921" w:rsidR="1BD6A52E">
        <w:rPr>
          <w:rFonts w:ascii="Times New Roman" w:hAnsi="Times New Roman" w:eastAsia="Times New Roman" w:cs="Times New Roman"/>
          <w:noProof w:val="0"/>
          <w:color w:val="000000" w:themeColor="text1" w:themeTint="FF" w:themeShade="FF"/>
          <w:sz w:val="24"/>
          <w:szCs w:val="24"/>
          <w:lang w:val="en-GB"/>
        </w:rPr>
        <w:t xml:space="preserve">.  </w:t>
      </w:r>
    </w:p>
    <w:p w:rsidR="00B64925" w:rsidP="66279921" w:rsidRDefault="00B64925" w14:paraId="17BDA299" w14:textId="1B5E93C2">
      <w:pPr>
        <w:spacing w:before="120" w:beforeAutospacing="off" w:after="120" w:afterAutospacing="off"/>
        <w:jc w:val="center"/>
        <w:rPr>
          <w:rFonts w:ascii="Times New Roman" w:hAnsi="Times New Roman" w:eastAsia="Times New Roman" w:cs="Times New Roman"/>
          <w:noProof w:val="0"/>
          <w:color w:val="000000" w:themeColor="text1" w:themeTint="FF" w:themeShade="FF"/>
          <w:sz w:val="24"/>
          <w:szCs w:val="24"/>
          <w:lang w:val="en-GB"/>
        </w:rPr>
      </w:pPr>
      <w:r w:rsidRPr="66279921" w:rsidR="1BD6A52E">
        <w:rPr>
          <w:rFonts w:ascii="Times New Roman" w:hAnsi="Times New Roman" w:eastAsia="Times New Roman" w:cs="Times New Roman"/>
          <w:noProof w:val="0"/>
          <w:color w:val="000000" w:themeColor="text1" w:themeTint="FF" w:themeShade="FF"/>
          <w:sz w:val="24"/>
          <w:szCs w:val="24"/>
          <w:lang w:val="en-GB"/>
        </w:rPr>
        <w:t xml:space="preserve">Theme four- Supervision and Ethical Practice </w:t>
      </w:r>
    </w:p>
    <w:p w:rsidR="00B64925" w:rsidP="66279921" w:rsidRDefault="00B64925" w14:paraId="10794F95" w14:textId="786AB821">
      <w:pPr>
        <w:spacing w:before="120" w:beforeAutospacing="off" w:after="120" w:afterAutospacing="off"/>
        <w:jc w:val="center"/>
        <w:rPr>
          <w:rFonts w:ascii="Times New Roman" w:hAnsi="Times New Roman" w:eastAsia="Times New Roman" w:cs="Times New Roman"/>
          <w:noProof w:val="0"/>
          <w:color w:val="000000" w:themeColor="text1" w:themeTint="FF" w:themeShade="FF"/>
          <w:sz w:val="24"/>
          <w:szCs w:val="24"/>
          <w:lang w:val="en-GB"/>
        </w:rPr>
      </w:pPr>
      <w:r w:rsidRPr="66279921" w:rsidR="1BD6A52E">
        <w:rPr>
          <w:rFonts w:ascii="Times New Roman" w:hAnsi="Times New Roman" w:eastAsia="Times New Roman" w:cs="Times New Roman"/>
          <w:noProof w:val="0"/>
          <w:color w:val="000000" w:themeColor="text1" w:themeTint="FF" w:themeShade="FF"/>
          <w:sz w:val="24"/>
          <w:szCs w:val="24"/>
          <w:lang w:val="en-GB"/>
        </w:rPr>
        <w:t xml:space="preserve">In Paragraph 36  </w:t>
      </w:r>
    </w:p>
    <w:p w:rsidR="00B64925" w:rsidP="66279921" w:rsidRDefault="00B64925" w14:paraId="4175E014" w14:textId="1C9D6835">
      <w:pPr>
        <w:spacing w:before="120" w:beforeAutospacing="off" w:after="120" w:afterAutospacing="off"/>
        <w:jc w:val="center"/>
        <w:rPr>
          <w:rFonts w:ascii="Times New Roman" w:hAnsi="Times New Roman" w:eastAsia="Times New Roman" w:cs="Times New Roman"/>
          <w:noProof w:val="0"/>
          <w:color w:val="000000" w:themeColor="text1" w:themeTint="FF" w:themeShade="FF"/>
          <w:sz w:val="24"/>
          <w:szCs w:val="24"/>
          <w:lang w:val="en-GB"/>
        </w:rPr>
      </w:pPr>
      <w:r w:rsidRPr="66279921" w:rsidR="1BD6A52E">
        <w:rPr>
          <w:rFonts w:ascii="Times New Roman" w:hAnsi="Times New Roman" w:eastAsia="Times New Roman" w:cs="Times New Roman"/>
          <w:noProof w:val="0"/>
          <w:color w:val="000000" w:themeColor="text1" w:themeTint="FF" w:themeShade="FF"/>
          <w:sz w:val="24"/>
          <w:szCs w:val="24"/>
          <w:lang w:val="en-GB"/>
        </w:rPr>
        <w:t xml:space="preserve">The interviewer asked Chris, “How does supervision feature in boundary work?” Chis states, “supervision is where I reality check my judgements and tend my own edges” According to Gottschalk (2023). A study was conducted to look at how psychologists use knowledge in clinical supervision, beyond just improving skills or performance. Modern professional work involves complex and changing knowledge, so supervision helps practitioners understand, adapt, and apply what they know. The focus is on how supervisors and supervisees actively explore and use knowledge in real cases. Supervision provides a space to handle uncertainty, improve decision-making, and develop better judgment, helping professionals provide more effective care for their clients. </w:t>
      </w:r>
    </w:p>
    <w:p w:rsidR="00B64925" w:rsidP="66279921" w:rsidRDefault="00B64925" w14:paraId="0AB3FA9A" w14:textId="66F5CBAC">
      <w:pPr>
        <w:spacing w:before="120" w:beforeAutospacing="off" w:after="120" w:afterAutospacing="off"/>
        <w:jc w:val="center"/>
        <w:rPr>
          <w:rFonts w:ascii="Times New Roman" w:hAnsi="Times New Roman" w:eastAsia="Times New Roman" w:cs="Times New Roman"/>
          <w:noProof w:val="0"/>
          <w:color w:val="000000" w:themeColor="text1" w:themeTint="FF" w:themeShade="FF"/>
          <w:sz w:val="24"/>
          <w:szCs w:val="24"/>
          <w:lang w:val="en-GB"/>
        </w:rPr>
      </w:pPr>
      <w:r w:rsidRPr="66279921" w:rsidR="1BD6A52E">
        <w:rPr>
          <w:rFonts w:ascii="Times New Roman" w:hAnsi="Times New Roman" w:eastAsia="Times New Roman" w:cs="Times New Roman"/>
          <w:noProof w:val="0"/>
          <w:color w:val="000000" w:themeColor="text1" w:themeTint="FF" w:themeShade="FF"/>
          <w:sz w:val="24"/>
          <w:szCs w:val="24"/>
          <w:lang w:val="en-GB"/>
        </w:rPr>
        <w:t xml:space="preserve">In Paragraph 52 </w:t>
      </w:r>
    </w:p>
    <w:p w:rsidR="00B64925" w:rsidP="66279921" w:rsidRDefault="00B64925" w14:paraId="32A325F4" w14:textId="47C0796A">
      <w:pPr>
        <w:spacing w:before="120" w:beforeAutospacing="off" w:after="120" w:afterAutospacing="off"/>
        <w:jc w:val="center"/>
        <w:rPr>
          <w:rFonts w:ascii="Times New Roman" w:hAnsi="Times New Roman" w:eastAsia="Times New Roman" w:cs="Times New Roman"/>
          <w:noProof w:val="0"/>
          <w:color w:val="000000" w:themeColor="text1" w:themeTint="FF" w:themeShade="FF"/>
          <w:sz w:val="24"/>
          <w:szCs w:val="24"/>
          <w:lang w:val="en-GB"/>
        </w:rPr>
      </w:pPr>
      <w:r w:rsidRPr="66279921" w:rsidR="1BD6A52E">
        <w:rPr>
          <w:rFonts w:ascii="Times New Roman" w:hAnsi="Times New Roman" w:eastAsia="Times New Roman" w:cs="Times New Roman"/>
          <w:noProof w:val="0"/>
          <w:color w:val="000000" w:themeColor="text1" w:themeTint="FF" w:themeShade="FF"/>
          <w:sz w:val="24"/>
          <w:szCs w:val="24"/>
          <w:lang w:val="en-GB"/>
        </w:rPr>
        <w:t xml:space="preserve">The interviewer asked Chris, “What would you say to trainees who worry that boundaries will make them seem uncaring. </w:t>
      </w:r>
    </w:p>
    <w:p w:rsidR="00B64925" w:rsidP="66279921" w:rsidRDefault="00B64925" w14:paraId="4ACCE386" w14:textId="3887F765">
      <w:pPr>
        <w:spacing w:before="120" w:beforeAutospacing="off" w:after="120" w:afterAutospacing="off"/>
        <w:jc w:val="center"/>
        <w:rPr>
          <w:rFonts w:ascii="Times New Roman" w:hAnsi="Times New Roman" w:eastAsia="Times New Roman" w:cs="Times New Roman"/>
          <w:noProof w:val="0"/>
          <w:color w:val="000000" w:themeColor="text1" w:themeTint="FF" w:themeShade="FF"/>
          <w:sz w:val="24"/>
          <w:szCs w:val="24"/>
          <w:lang w:val="en-GB"/>
        </w:rPr>
      </w:pPr>
      <w:r w:rsidRPr="66279921" w:rsidR="1BD6A52E">
        <w:rPr>
          <w:rFonts w:ascii="Times New Roman" w:hAnsi="Times New Roman" w:eastAsia="Times New Roman" w:cs="Times New Roman"/>
          <w:noProof w:val="0"/>
          <w:color w:val="000000" w:themeColor="text1" w:themeTint="FF" w:themeShade="FF"/>
          <w:sz w:val="24"/>
          <w:szCs w:val="24"/>
          <w:lang w:val="en-GB"/>
        </w:rPr>
        <w:t xml:space="preserve">According to Pierce (2024) states that new therapists, </w:t>
      </w:r>
      <w:r w:rsidRPr="66279921" w:rsidR="1BD6A52E">
        <w:rPr>
          <w:rFonts w:ascii="Times New Roman" w:hAnsi="Times New Roman" w:eastAsia="Times New Roman" w:cs="Times New Roman"/>
          <w:noProof w:val="0"/>
          <w:color w:val="000000" w:themeColor="text1" w:themeTint="FF" w:themeShade="FF"/>
          <w:sz w:val="24"/>
          <w:szCs w:val="24"/>
          <w:lang w:val="en-GB"/>
        </w:rPr>
        <w:t>maintaining</w:t>
      </w:r>
      <w:r w:rsidRPr="66279921" w:rsidR="1BD6A52E">
        <w:rPr>
          <w:rFonts w:ascii="Times New Roman" w:hAnsi="Times New Roman" w:eastAsia="Times New Roman" w:cs="Times New Roman"/>
          <w:noProof w:val="0"/>
          <w:color w:val="000000" w:themeColor="text1" w:themeTint="FF" w:themeShade="FF"/>
          <w:sz w:val="24"/>
          <w:szCs w:val="24"/>
          <w:lang w:val="en-GB"/>
        </w:rPr>
        <w:t xml:space="preserve"> boundaries can be challenging, as the desire to help may lead to overcommitment. In addition, clear limits on sessions and contact protect the therapist’s well-being while fostering clients’ reflection, independence, and growth. Boundaries empower clients, model healthy relationships, and enable effective, focused therapeutic work</w:t>
      </w:r>
      <w:r w:rsidRPr="66279921" w:rsidR="1BD6A52E">
        <w:rPr>
          <w:rFonts w:ascii="Times New Roman" w:hAnsi="Times New Roman" w:eastAsia="Times New Roman" w:cs="Times New Roman"/>
          <w:noProof w:val="0"/>
          <w:color w:val="000000" w:themeColor="text1" w:themeTint="FF" w:themeShade="FF"/>
          <w:sz w:val="24"/>
          <w:szCs w:val="24"/>
          <w:lang w:val="en-GB"/>
        </w:rPr>
        <w:t xml:space="preserve">.  </w:t>
      </w:r>
    </w:p>
    <w:p w:rsidR="00B64925" w:rsidP="66279921" w:rsidRDefault="00B64925" w14:paraId="5AF9FA08" w14:textId="320DDC7A">
      <w:pPr>
        <w:spacing w:before="120" w:beforeAutospacing="off" w:after="120" w:afterAutospacing="off"/>
        <w:jc w:val="center"/>
        <w:rPr>
          <w:rFonts w:ascii="Times New Roman" w:hAnsi="Times New Roman" w:eastAsia="Times New Roman" w:cs="Times New Roman"/>
          <w:noProof w:val="0"/>
          <w:color w:val="000000" w:themeColor="text1" w:themeTint="FF" w:themeShade="FF"/>
          <w:sz w:val="24"/>
          <w:szCs w:val="24"/>
          <w:lang w:val="en-GB"/>
        </w:rPr>
      </w:pPr>
      <w:r w:rsidRPr="66279921" w:rsidR="1BD6A52E">
        <w:rPr>
          <w:rFonts w:ascii="Times New Roman" w:hAnsi="Times New Roman" w:eastAsia="Times New Roman" w:cs="Times New Roman"/>
          <w:noProof w:val="0"/>
          <w:color w:val="000000" w:themeColor="text1" w:themeTint="FF" w:themeShade="FF"/>
          <w:sz w:val="24"/>
          <w:szCs w:val="24"/>
          <w:lang w:val="en-GB"/>
        </w:rPr>
        <w:t xml:space="preserve">Boundary crossings and self-disclosures can lead to unforeseen problems. Counsellors might think an action is harmless if they perceive no personal benefit, but small, rationalised choices can build into serious ethical issues. Seeking supervision and consultation offers an outside perspective to prevent harm. </w:t>
      </w:r>
    </w:p>
    <w:p w:rsidR="00B64925" w:rsidP="66279921" w:rsidRDefault="00B64925" w14:paraId="105D79F0" w14:textId="6ABC1767">
      <w:pPr>
        <w:spacing w:before="120" w:beforeAutospacing="off" w:after="120" w:afterAutospacing="off"/>
        <w:jc w:val="center"/>
        <w:rPr>
          <w:rFonts w:ascii="Times New Roman" w:hAnsi="Times New Roman" w:eastAsia="Times New Roman" w:cs="Times New Roman"/>
          <w:noProof w:val="0"/>
          <w:color w:val="000000" w:themeColor="text1" w:themeTint="FF" w:themeShade="FF"/>
          <w:sz w:val="24"/>
          <w:szCs w:val="24"/>
          <w:lang w:val="en-GB"/>
        </w:rPr>
      </w:pPr>
      <w:r w:rsidRPr="66279921" w:rsidR="1BD6A52E">
        <w:rPr>
          <w:rFonts w:ascii="Times New Roman" w:hAnsi="Times New Roman" w:eastAsia="Times New Roman" w:cs="Times New Roman"/>
          <w:noProof w:val="0"/>
          <w:color w:val="000000" w:themeColor="text1" w:themeTint="FF" w:themeShade="FF"/>
          <w:sz w:val="24"/>
          <w:szCs w:val="24"/>
          <w:lang w:val="en-GB"/>
        </w:rPr>
        <w:t xml:space="preserve">In Paragraph 54 </w:t>
      </w:r>
    </w:p>
    <w:p w:rsidR="00B64925" w:rsidP="66279921" w:rsidRDefault="00B64925" w14:paraId="427BF9E0" w14:textId="4312478E">
      <w:pPr>
        <w:spacing w:before="120" w:beforeAutospacing="off" w:after="120" w:afterAutospacing="off"/>
        <w:jc w:val="center"/>
        <w:rPr>
          <w:rFonts w:ascii="Times New Roman" w:hAnsi="Times New Roman" w:eastAsia="Times New Roman" w:cs="Times New Roman"/>
          <w:noProof w:val="0"/>
          <w:color w:val="000000" w:themeColor="text1" w:themeTint="FF" w:themeShade="FF"/>
          <w:sz w:val="24"/>
          <w:szCs w:val="24"/>
          <w:lang w:val="en-GB"/>
        </w:rPr>
      </w:pPr>
      <w:r w:rsidRPr="66279921" w:rsidR="1BD6A52E">
        <w:rPr>
          <w:rFonts w:ascii="Times New Roman" w:hAnsi="Times New Roman" w:eastAsia="Times New Roman" w:cs="Times New Roman"/>
          <w:noProof w:val="0"/>
          <w:color w:val="000000" w:themeColor="text1" w:themeTint="FF" w:themeShade="FF"/>
          <w:sz w:val="24"/>
          <w:szCs w:val="24"/>
          <w:lang w:val="en-GB"/>
        </w:rPr>
        <w:t>The interview asked Chris, “Have your own life experiences influenced the way you set boundaries?” Chris replied, “Of course</w:t>
      </w:r>
      <w:r w:rsidRPr="66279921" w:rsidR="1BD6A52E">
        <w:rPr>
          <w:rFonts w:ascii="Times New Roman" w:hAnsi="Times New Roman" w:eastAsia="Times New Roman" w:cs="Times New Roman"/>
          <w:noProof w:val="0"/>
          <w:color w:val="000000" w:themeColor="text1" w:themeTint="FF" w:themeShade="FF"/>
          <w:sz w:val="24"/>
          <w:szCs w:val="24"/>
          <w:lang w:val="en-GB"/>
        </w:rPr>
        <w:t>”.</w:t>
      </w:r>
      <w:r w:rsidRPr="66279921" w:rsidR="1BD6A52E">
        <w:rPr>
          <w:rFonts w:ascii="Times New Roman" w:hAnsi="Times New Roman" w:eastAsia="Times New Roman" w:cs="Times New Roman"/>
          <w:noProof w:val="0"/>
          <w:color w:val="000000" w:themeColor="text1" w:themeTint="FF" w:themeShade="FF"/>
          <w:sz w:val="24"/>
          <w:szCs w:val="24"/>
          <w:lang w:val="en-GB"/>
        </w:rPr>
        <w:t xml:space="preserve">  </w:t>
      </w:r>
    </w:p>
    <w:p w:rsidR="00B64925" w:rsidP="66279921" w:rsidRDefault="00B64925" w14:paraId="612961FF" w14:textId="52A7F9DC">
      <w:pPr>
        <w:spacing w:before="120" w:beforeAutospacing="off" w:after="120" w:afterAutospacing="off"/>
        <w:jc w:val="center"/>
        <w:rPr>
          <w:rFonts w:ascii="Times New Roman" w:hAnsi="Times New Roman" w:eastAsia="Times New Roman" w:cs="Times New Roman"/>
          <w:noProof w:val="0"/>
          <w:color w:val="000000" w:themeColor="text1" w:themeTint="FF" w:themeShade="FF"/>
          <w:sz w:val="24"/>
          <w:szCs w:val="24"/>
          <w:lang w:val="en-GB"/>
        </w:rPr>
      </w:pPr>
      <w:r w:rsidRPr="66279921" w:rsidR="1BD6A52E">
        <w:rPr>
          <w:rFonts w:ascii="Times New Roman" w:hAnsi="Times New Roman" w:eastAsia="Times New Roman" w:cs="Times New Roman"/>
          <w:noProof w:val="0"/>
          <w:color w:val="000000" w:themeColor="text1" w:themeTint="FF" w:themeShade="FF"/>
          <w:sz w:val="24"/>
          <w:szCs w:val="24"/>
          <w:lang w:val="en-GB"/>
        </w:rPr>
        <w:t xml:space="preserve">Blundell (2022) carried out a study to explore how counsellors understand and use boundaries in therapy. Boundaries are important to keep both clients and counsellors safe and to ensure ethical practice. However, the study interviewed seven counsellors and analysed their experiences. The main finding was “Protection and Safety,” especially protecting the counsellor. Furthermore, the boundaries help counsellors manage stress and prevent burnout. The study highlights that boundaries are flexible tools that need careful thought to balance self-care with client-focused, ethical practice. </w:t>
      </w:r>
    </w:p>
    <w:p w:rsidR="00B64925" w:rsidP="66279921" w:rsidRDefault="00B64925" w14:paraId="1809F2FA" w14:textId="1EF3D7C3">
      <w:pPr>
        <w:pStyle w:val="Heading3"/>
        <w:spacing w:before="281" w:beforeAutospacing="off" w:after="140" w:afterAutospacing="off"/>
        <w:jc w:val="center"/>
        <w:rPr>
          <w:rFonts w:ascii="Times New Roman" w:hAnsi="Times New Roman" w:eastAsia="Times New Roman" w:cs="Times New Roman"/>
          <w:b w:val="1"/>
          <w:bCs w:val="1"/>
          <w:noProof w:val="0"/>
          <w:color w:val="000000" w:themeColor="text1" w:themeTint="FF" w:themeShade="FF"/>
          <w:sz w:val="24"/>
          <w:szCs w:val="24"/>
          <w:lang w:val="en-GB"/>
        </w:rPr>
      </w:pPr>
      <w:r w:rsidRPr="66279921" w:rsidR="1BD6A52E">
        <w:rPr>
          <w:rFonts w:ascii="Times New Roman" w:hAnsi="Times New Roman" w:eastAsia="Times New Roman" w:cs="Times New Roman"/>
          <w:b w:val="1"/>
          <w:bCs w:val="1"/>
          <w:noProof w:val="0"/>
          <w:color w:val="000000" w:themeColor="text1" w:themeTint="FF" w:themeShade="FF"/>
          <w:sz w:val="24"/>
          <w:szCs w:val="24"/>
          <w:lang w:val="en-GB"/>
        </w:rPr>
        <w:t xml:space="preserve">Discussion </w:t>
      </w:r>
    </w:p>
    <w:p w:rsidR="00B64925" w:rsidP="66279921" w:rsidRDefault="00B64925" w14:paraId="7C920638" w14:textId="2D465B9F">
      <w:pPr>
        <w:spacing w:before="120" w:beforeAutospacing="off" w:after="120" w:afterAutospacing="off"/>
        <w:jc w:val="center"/>
        <w:rPr>
          <w:rFonts w:ascii="Times New Roman" w:hAnsi="Times New Roman" w:eastAsia="Times New Roman" w:cs="Times New Roman"/>
          <w:noProof w:val="0"/>
          <w:color w:val="000000" w:themeColor="text1" w:themeTint="FF" w:themeShade="FF"/>
          <w:sz w:val="24"/>
          <w:szCs w:val="24"/>
          <w:lang w:val="en-GB"/>
        </w:rPr>
      </w:pPr>
      <w:r w:rsidRPr="66279921" w:rsidR="1BD6A52E">
        <w:rPr>
          <w:rFonts w:ascii="Times New Roman" w:hAnsi="Times New Roman" w:eastAsia="Times New Roman" w:cs="Times New Roman"/>
          <w:noProof w:val="0"/>
          <w:color w:val="000000" w:themeColor="text1" w:themeTint="FF" w:themeShade="FF"/>
          <w:sz w:val="24"/>
          <w:szCs w:val="24"/>
          <w:lang w:val="en-GB"/>
        </w:rPr>
        <w:t xml:space="preserve">The first theme, </w:t>
      </w:r>
      <w:r w:rsidRPr="66279921" w:rsidR="1BD6A52E">
        <w:rPr>
          <w:rFonts w:ascii="Times New Roman" w:hAnsi="Times New Roman" w:eastAsia="Times New Roman" w:cs="Times New Roman"/>
          <w:i w:val="1"/>
          <w:iCs w:val="1"/>
          <w:noProof w:val="0"/>
          <w:color w:val="000000" w:themeColor="text1" w:themeTint="FF" w:themeShade="FF"/>
          <w:sz w:val="24"/>
          <w:szCs w:val="24"/>
          <w:lang w:val="en-GB"/>
        </w:rPr>
        <w:t>Boundaries and Endings</w:t>
      </w:r>
      <w:r w:rsidRPr="66279921" w:rsidR="1BD6A52E">
        <w:rPr>
          <w:rFonts w:ascii="Times New Roman" w:hAnsi="Times New Roman" w:eastAsia="Times New Roman" w:cs="Times New Roman"/>
          <w:noProof w:val="0"/>
          <w:color w:val="000000" w:themeColor="text1" w:themeTint="FF" w:themeShade="FF"/>
          <w:sz w:val="24"/>
          <w:szCs w:val="24"/>
          <w:lang w:val="en-GB"/>
        </w:rPr>
        <w:t xml:space="preserve">, </w:t>
      </w:r>
      <w:r w:rsidRPr="66279921" w:rsidR="1BD6A52E">
        <w:rPr>
          <w:rFonts w:ascii="Times New Roman" w:hAnsi="Times New Roman" w:eastAsia="Times New Roman" w:cs="Times New Roman"/>
          <w:noProof w:val="0"/>
          <w:color w:val="000000" w:themeColor="text1" w:themeTint="FF" w:themeShade="FF"/>
          <w:sz w:val="24"/>
          <w:szCs w:val="24"/>
          <w:lang w:val="en-GB"/>
        </w:rPr>
        <w:t>demonstrates</w:t>
      </w:r>
      <w:r w:rsidRPr="66279921" w:rsidR="1BD6A52E">
        <w:rPr>
          <w:rFonts w:ascii="Times New Roman" w:hAnsi="Times New Roman" w:eastAsia="Times New Roman" w:cs="Times New Roman"/>
          <w:noProof w:val="0"/>
          <w:color w:val="000000" w:themeColor="text1" w:themeTint="FF" w:themeShade="FF"/>
          <w:sz w:val="24"/>
          <w:szCs w:val="24"/>
          <w:lang w:val="en-GB"/>
        </w:rPr>
        <w:t xml:space="preserve"> how structural elements such as time limits and confidentiality help clients feel safe, grounded, and emotionally regulated. </w:t>
      </w:r>
      <w:r w:rsidRPr="66279921" w:rsidR="0850873E">
        <w:rPr>
          <w:rFonts w:ascii="Times New Roman" w:hAnsi="Times New Roman" w:eastAsia="Times New Roman" w:cs="Times New Roman"/>
          <w:noProof w:val="0"/>
          <w:color w:val="000000" w:themeColor="text1" w:themeTint="FF" w:themeShade="FF"/>
          <w:sz w:val="24"/>
          <w:szCs w:val="24"/>
          <w:lang w:val="en-GB"/>
        </w:rPr>
        <w:t xml:space="preserve">In </w:t>
      </w:r>
      <w:r w:rsidRPr="66279921" w:rsidR="0850873E">
        <w:rPr>
          <w:rFonts w:ascii="Times New Roman" w:hAnsi="Times New Roman" w:eastAsia="Times New Roman" w:cs="Times New Roman"/>
          <w:noProof w:val="0"/>
          <w:color w:val="000000" w:themeColor="text1" w:themeTint="FF" w:themeShade="FF"/>
          <w:sz w:val="24"/>
          <w:szCs w:val="24"/>
          <w:lang w:val="en-GB"/>
        </w:rPr>
        <w:t>addition</w:t>
      </w:r>
      <w:r w:rsidRPr="66279921" w:rsidR="0850873E">
        <w:rPr>
          <w:rFonts w:ascii="Times New Roman" w:hAnsi="Times New Roman" w:eastAsia="Times New Roman" w:cs="Times New Roman"/>
          <w:noProof w:val="0"/>
          <w:color w:val="000000" w:themeColor="text1" w:themeTint="FF" w:themeShade="FF"/>
          <w:sz w:val="24"/>
          <w:szCs w:val="24"/>
          <w:lang w:val="en-GB"/>
        </w:rPr>
        <w:t xml:space="preserve"> ths </w:t>
      </w:r>
      <w:r w:rsidRPr="66279921" w:rsidR="1BD6A52E">
        <w:rPr>
          <w:rFonts w:ascii="Times New Roman" w:hAnsi="Times New Roman" w:eastAsia="Times New Roman" w:cs="Times New Roman"/>
          <w:noProof w:val="0"/>
          <w:color w:val="000000" w:themeColor="text1" w:themeTint="FF" w:themeShade="FF"/>
          <w:sz w:val="24"/>
          <w:szCs w:val="24"/>
          <w:lang w:val="en-GB"/>
        </w:rPr>
        <w:t xml:space="preserve">supports person-centred theory, where consistent conditions allow clients to express emotions freely and develop trust (Rogers, 2012). Chris’s example of clients testing boundaries near the end of sessions highlights how endings can activate deeper feelings, particularly in trauma-informed practice, where transitions often stir emotional vulnerability (Gans, 2016). In addition, this shows that endings are relational and emotionally meaningful, not just administrative. </w:t>
      </w:r>
    </w:p>
    <w:p w:rsidR="00B64925" w:rsidP="66279921" w:rsidRDefault="00B64925" w14:paraId="0DF1761C" w14:textId="1143B083">
      <w:pPr>
        <w:spacing w:before="120" w:beforeAutospacing="off" w:after="120" w:afterAutospacing="off"/>
        <w:jc w:val="center"/>
        <w:rPr>
          <w:rFonts w:ascii="Times New Roman" w:hAnsi="Times New Roman" w:eastAsia="Times New Roman" w:cs="Times New Roman"/>
          <w:noProof w:val="0"/>
          <w:color w:val="000000" w:themeColor="text1" w:themeTint="FF" w:themeShade="FF"/>
          <w:sz w:val="24"/>
          <w:szCs w:val="24"/>
          <w:lang w:val="en-GB"/>
        </w:rPr>
      </w:pPr>
      <w:r w:rsidRPr="66279921" w:rsidR="1BD6A52E">
        <w:rPr>
          <w:rFonts w:ascii="Times New Roman" w:hAnsi="Times New Roman" w:eastAsia="Times New Roman" w:cs="Times New Roman"/>
          <w:noProof w:val="0"/>
          <w:color w:val="000000" w:themeColor="text1" w:themeTint="FF" w:themeShade="FF"/>
          <w:sz w:val="24"/>
          <w:szCs w:val="24"/>
          <w:lang w:val="en-GB"/>
        </w:rPr>
        <w:t xml:space="preserve">The second theme, </w:t>
      </w:r>
      <w:r w:rsidRPr="66279921" w:rsidR="1BD6A52E">
        <w:rPr>
          <w:rFonts w:ascii="Times New Roman" w:hAnsi="Times New Roman" w:eastAsia="Times New Roman" w:cs="Times New Roman"/>
          <w:i w:val="1"/>
          <w:iCs w:val="1"/>
          <w:noProof w:val="0"/>
          <w:color w:val="000000" w:themeColor="text1" w:themeTint="FF" w:themeShade="FF"/>
          <w:sz w:val="24"/>
          <w:szCs w:val="24"/>
          <w:lang w:val="en-GB"/>
        </w:rPr>
        <w:t>Managing Boundaries Across Settings</w:t>
      </w:r>
      <w:r w:rsidRPr="66279921" w:rsidR="1BD6A52E">
        <w:rPr>
          <w:rFonts w:ascii="Times New Roman" w:hAnsi="Times New Roman" w:eastAsia="Times New Roman" w:cs="Times New Roman"/>
          <w:noProof w:val="0"/>
          <w:color w:val="000000" w:themeColor="text1" w:themeTint="FF" w:themeShade="FF"/>
          <w:sz w:val="24"/>
          <w:szCs w:val="24"/>
          <w:lang w:val="en-GB"/>
        </w:rPr>
        <w:t xml:space="preserve">, focuses on clarity, contracting, and creating a safe therapeutic environment. The BACP (2023) stresses that clear communication about practical issues prevents confusion and protects the therapeutic relationship. Chris’s awareness of the “felt sense” of the room reflects research showing that emotional and physical safety underpins many therapeutic models, Boundaries, therefore support containment for both client and counsellor. </w:t>
      </w:r>
    </w:p>
    <w:p w:rsidR="00B64925" w:rsidP="66279921" w:rsidRDefault="00B64925" w14:paraId="11CD8922" w14:textId="401C21C9">
      <w:pPr>
        <w:spacing w:before="120" w:beforeAutospacing="off" w:after="120" w:afterAutospacing="off"/>
        <w:jc w:val="center"/>
        <w:rPr>
          <w:rFonts w:ascii="Times New Roman" w:hAnsi="Times New Roman" w:eastAsia="Times New Roman" w:cs="Times New Roman"/>
          <w:noProof w:val="0"/>
          <w:color w:val="000000" w:themeColor="text1" w:themeTint="FF" w:themeShade="FF"/>
          <w:sz w:val="24"/>
          <w:szCs w:val="24"/>
          <w:lang w:val="en-GB"/>
        </w:rPr>
      </w:pPr>
      <w:r w:rsidRPr="66279921" w:rsidR="1BD6A52E">
        <w:rPr>
          <w:rFonts w:ascii="Times New Roman" w:hAnsi="Times New Roman" w:eastAsia="Times New Roman" w:cs="Times New Roman"/>
          <w:noProof w:val="0"/>
          <w:color w:val="000000" w:themeColor="text1" w:themeTint="FF" w:themeShade="FF"/>
          <w:sz w:val="24"/>
          <w:szCs w:val="24"/>
          <w:lang w:val="en-GB"/>
        </w:rPr>
        <w:t xml:space="preserve">The third theme, </w:t>
      </w:r>
      <w:r w:rsidRPr="66279921" w:rsidR="1BD6A52E">
        <w:rPr>
          <w:rFonts w:ascii="Times New Roman" w:hAnsi="Times New Roman" w:eastAsia="Times New Roman" w:cs="Times New Roman"/>
          <w:i w:val="1"/>
          <w:iCs w:val="1"/>
          <w:noProof w:val="0"/>
          <w:color w:val="000000" w:themeColor="text1" w:themeTint="FF" w:themeShade="FF"/>
          <w:sz w:val="24"/>
          <w:szCs w:val="24"/>
          <w:lang w:val="en-GB"/>
        </w:rPr>
        <w:t>Dual Relationships and Boundary Styles</w:t>
      </w:r>
      <w:r w:rsidRPr="66279921" w:rsidR="1BD6A52E">
        <w:rPr>
          <w:rFonts w:ascii="Times New Roman" w:hAnsi="Times New Roman" w:eastAsia="Times New Roman" w:cs="Times New Roman"/>
          <w:noProof w:val="0"/>
          <w:color w:val="000000" w:themeColor="text1" w:themeTint="FF" w:themeShade="FF"/>
          <w:sz w:val="24"/>
          <w:szCs w:val="24"/>
          <w:lang w:val="en-GB"/>
        </w:rPr>
        <w:t xml:space="preserve">, highlights the challenge in small communities where dual relationships are sometimes unavoidable. In addition, this requires careful judgment, transparency, and awareness of power imbalances (Burgard, 2013). Hook’s (2018) sexual boundary violations reinforce the serious harm caused when boundaries are crossed. </w:t>
      </w:r>
    </w:p>
    <w:p w:rsidR="00B64925" w:rsidP="66279921" w:rsidRDefault="00B64925" w14:paraId="63FA5CC6" w14:textId="57921C41">
      <w:pPr>
        <w:spacing w:before="120" w:beforeAutospacing="off" w:after="120" w:afterAutospacing="off"/>
        <w:jc w:val="center"/>
        <w:rPr>
          <w:rFonts w:ascii="Times New Roman" w:hAnsi="Times New Roman" w:eastAsia="Times New Roman" w:cs="Times New Roman"/>
          <w:noProof w:val="0"/>
          <w:color w:val="000000" w:themeColor="text1" w:themeTint="FF" w:themeShade="FF"/>
          <w:sz w:val="24"/>
          <w:szCs w:val="24"/>
          <w:lang w:val="en-GB"/>
        </w:rPr>
      </w:pPr>
      <w:r w:rsidRPr="66279921" w:rsidR="1BD6A52E">
        <w:rPr>
          <w:rFonts w:ascii="Times New Roman" w:hAnsi="Times New Roman" w:eastAsia="Times New Roman" w:cs="Times New Roman"/>
          <w:noProof w:val="0"/>
          <w:color w:val="000000" w:themeColor="text1" w:themeTint="FF" w:themeShade="FF"/>
          <w:sz w:val="24"/>
          <w:szCs w:val="24"/>
          <w:lang w:val="en-GB"/>
        </w:rPr>
        <w:t xml:space="preserve">Finally, </w:t>
      </w:r>
      <w:r w:rsidRPr="66279921" w:rsidR="1BD6A52E">
        <w:rPr>
          <w:rFonts w:ascii="Times New Roman" w:hAnsi="Times New Roman" w:eastAsia="Times New Roman" w:cs="Times New Roman"/>
          <w:i w:val="1"/>
          <w:iCs w:val="1"/>
          <w:noProof w:val="0"/>
          <w:color w:val="000000" w:themeColor="text1" w:themeTint="FF" w:themeShade="FF"/>
          <w:sz w:val="24"/>
          <w:szCs w:val="24"/>
          <w:lang w:val="en-GB"/>
        </w:rPr>
        <w:t>Supervision and Ethical Practice</w:t>
      </w:r>
      <w:r w:rsidRPr="66279921" w:rsidR="1BD6A52E">
        <w:rPr>
          <w:rFonts w:ascii="Times New Roman" w:hAnsi="Times New Roman" w:eastAsia="Times New Roman" w:cs="Times New Roman"/>
          <w:noProof w:val="0"/>
          <w:color w:val="000000" w:themeColor="text1" w:themeTint="FF" w:themeShade="FF"/>
          <w:sz w:val="24"/>
          <w:szCs w:val="24"/>
          <w:lang w:val="en-GB"/>
        </w:rPr>
        <w:t xml:space="preserve"> emphasise supervision as essential for reflective, ethical decision-making. Chris’s use of supervision to “reality-check” decisions echoes research showing supervision improves judgement, reduces uncertainty, and protects counsellors from burnout (Gottschalk, 2023; Blundell, 2022). </w:t>
      </w:r>
    </w:p>
    <w:p w:rsidR="00B64925" w:rsidP="66279921" w:rsidRDefault="00B64925" w14:paraId="273B7D75" w14:textId="40FC4B32">
      <w:pPr>
        <w:spacing w:before="120" w:beforeAutospacing="off" w:after="120" w:afterAutospacing="off"/>
        <w:jc w:val="center"/>
        <w:rPr>
          <w:rFonts w:ascii="Times New Roman" w:hAnsi="Times New Roman" w:eastAsia="Times New Roman" w:cs="Times New Roman"/>
          <w:noProof w:val="0"/>
          <w:color w:val="000000" w:themeColor="text1" w:themeTint="FF" w:themeShade="FF"/>
          <w:sz w:val="24"/>
          <w:szCs w:val="24"/>
          <w:lang w:val="en-GB"/>
        </w:rPr>
      </w:pPr>
      <w:r w:rsidRPr="66279921" w:rsidR="1BD6A52E">
        <w:rPr>
          <w:rFonts w:ascii="Times New Roman" w:hAnsi="Times New Roman" w:eastAsia="Times New Roman" w:cs="Times New Roman"/>
          <w:noProof w:val="0"/>
          <w:color w:val="000000" w:themeColor="text1" w:themeTint="FF" w:themeShade="FF"/>
          <w:sz w:val="24"/>
          <w:szCs w:val="24"/>
          <w:lang w:val="en-GB"/>
        </w:rPr>
        <w:t>An important part of working with boundaries is recognising that they help both the client and the counsellor stay safe and focused. However, boundaries are not just rules; they also support the therapist’s emotional stability and ability to stay present. Furthermore, in humanistic counselling, the counsellor aims to be empathic and genuine, but this is only possible when they have a clear sense of their professional role. In addition, boundaries become unclear, and counsellors may feel pulled into situations that cause stress, confusion, or emotional strain, which can weaken the therapeutic relationship</w:t>
      </w:r>
      <w:r w:rsidRPr="66279921" w:rsidR="1BD6A52E">
        <w:rPr>
          <w:rFonts w:ascii="Times New Roman" w:hAnsi="Times New Roman" w:eastAsia="Times New Roman" w:cs="Times New Roman"/>
          <w:noProof w:val="0"/>
          <w:color w:val="000000" w:themeColor="text1" w:themeTint="FF" w:themeShade="FF"/>
          <w:sz w:val="24"/>
          <w:szCs w:val="24"/>
          <w:lang w:val="en-GB"/>
        </w:rPr>
        <w:t xml:space="preserve">.  </w:t>
      </w:r>
      <w:r w:rsidRPr="66279921" w:rsidR="1BD6A52E">
        <w:rPr>
          <w:rFonts w:ascii="Times New Roman" w:hAnsi="Times New Roman" w:eastAsia="Times New Roman" w:cs="Times New Roman"/>
          <w:noProof w:val="0"/>
          <w:color w:val="000000" w:themeColor="text1" w:themeTint="FF" w:themeShade="FF"/>
          <w:sz w:val="24"/>
          <w:szCs w:val="24"/>
          <w:lang w:val="en-GB"/>
        </w:rPr>
        <w:t xml:space="preserve">notes, healthy boundaries allow counsellors to remain effective, open, and grounded in their work (Foster, 20215) </w:t>
      </w:r>
    </w:p>
    <w:p w:rsidR="00B64925" w:rsidP="66279921" w:rsidRDefault="00B64925" w14:paraId="0E43EC03" w14:textId="7D27A6D1">
      <w:pPr>
        <w:spacing w:before="120" w:beforeAutospacing="off" w:after="120" w:afterAutospacing="off"/>
        <w:jc w:val="center"/>
        <w:rPr>
          <w:rFonts w:ascii="Times New Roman" w:hAnsi="Times New Roman" w:eastAsia="Times New Roman" w:cs="Times New Roman"/>
          <w:noProof w:val="0"/>
          <w:color w:val="000000" w:themeColor="text1" w:themeTint="FF" w:themeShade="FF"/>
          <w:sz w:val="24"/>
          <w:szCs w:val="24"/>
          <w:lang w:val="en-GB"/>
        </w:rPr>
      </w:pPr>
      <w:r w:rsidRPr="66279921" w:rsidR="1BD6A52E">
        <w:rPr>
          <w:rFonts w:ascii="Times New Roman" w:hAnsi="Times New Roman" w:eastAsia="Times New Roman" w:cs="Times New Roman"/>
          <w:noProof w:val="0"/>
          <w:color w:val="000000" w:themeColor="text1" w:themeTint="FF" w:themeShade="FF"/>
          <w:sz w:val="24"/>
          <w:szCs w:val="24"/>
          <w:lang w:val="en-GB"/>
        </w:rPr>
        <w:t xml:space="preserve">Mearns (2013) argues that professional boundaries are fundamental to </w:t>
      </w:r>
      <w:r w:rsidRPr="66279921" w:rsidR="1BD6A52E">
        <w:rPr>
          <w:rFonts w:ascii="Times New Roman" w:hAnsi="Times New Roman" w:eastAsia="Times New Roman" w:cs="Times New Roman"/>
          <w:noProof w:val="0"/>
          <w:color w:val="000000" w:themeColor="text1" w:themeTint="FF" w:themeShade="FF"/>
          <w:sz w:val="24"/>
          <w:szCs w:val="24"/>
          <w:lang w:val="en-GB"/>
        </w:rPr>
        <w:t>maintaining</w:t>
      </w:r>
      <w:r w:rsidRPr="66279921" w:rsidR="1BD6A52E">
        <w:rPr>
          <w:rFonts w:ascii="Times New Roman" w:hAnsi="Times New Roman" w:eastAsia="Times New Roman" w:cs="Times New Roman"/>
          <w:noProof w:val="0"/>
          <w:color w:val="000000" w:themeColor="text1" w:themeTint="FF" w:themeShade="FF"/>
          <w:sz w:val="24"/>
          <w:szCs w:val="24"/>
          <w:lang w:val="en-GB"/>
        </w:rPr>
        <w:t xml:space="preserve"> ethical and effective counselling practices, offering the framework required to foster trust, safety, and meaningful therapeutic engagement. In humanistic counselling, these boundaries are understood less as strict rules and more as relational conditions that promote authenticity and personal growth. However, professional guidelines, furthermore, BACP (2018) that the ethical framework provides overarching principles </w:t>
      </w:r>
      <w:r w:rsidRPr="66279921" w:rsidR="1BD6A52E">
        <w:rPr>
          <w:rFonts w:ascii="Times New Roman" w:hAnsi="Times New Roman" w:eastAsia="Times New Roman" w:cs="Times New Roman"/>
          <w:noProof w:val="0"/>
          <w:color w:val="000000" w:themeColor="text1" w:themeTint="FF" w:themeShade="FF"/>
          <w:sz w:val="24"/>
          <w:szCs w:val="24"/>
          <w:lang w:val="en-GB"/>
        </w:rPr>
        <w:t>regarding</w:t>
      </w:r>
      <w:r w:rsidRPr="66279921" w:rsidR="1BD6A52E">
        <w:rPr>
          <w:rFonts w:ascii="Times New Roman" w:hAnsi="Times New Roman" w:eastAsia="Times New Roman" w:cs="Times New Roman"/>
          <w:noProof w:val="0"/>
          <w:color w:val="000000" w:themeColor="text1" w:themeTint="FF" w:themeShade="FF"/>
          <w:sz w:val="24"/>
          <w:szCs w:val="24"/>
          <w:lang w:val="en-GB"/>
        </w:rPr>
        <w:t xml:space="preserve"> areas like confidentiality, time management, and dual relationships. Humanistic counsellors </w:t>
      </w:r>
      <w:r w:rsidRPr="66279921" w:rsidR="1BD6A52E">
        <w:rPr>
          <w:rFonts w:ascii="Times New Roman" w:hAnsi="Times New Roman" w:eastAsia="Times New Roman" w:cs="Times New Roman"/>
          <w:noProof w:val="0"/>
          <w:color w:val="000000" w:themeColor="text1" w:themeTint="FF" w:themeShade="FF"/>
          <w:sz w:val="24"/>
          <w:szCs w:val="24"/>
          <w:lang w:val="en-GB"/>
        </w:rPr>
        <w:t>frequently</w:t>
      </w:r>
      <w:r w:rsidRPr="66279921" w:rsidR="1BD6A52E">
        <w:rPr>
          <w:rFonts w:ascii="Times New Roman" w:hAnsi="Times New Roman" w:eastAsia="Times New Roman" w:cs="Times New Roman"/>
          <w:noProof w:val="0"/>
          <w:color w:val="000000" w:themeColor="text1" w:themeTint="FF" w:themeShade="FF"/>
          <w:sz w:val="24"/>
          <w:szCs w:val="24"/>
          <w:lang w:val="en-GB"/>
        </w:rPr>
        <w:t xml:space="preserve"> </w:t>
      </w:r>
      <w:r w:rsidRPr="66279921" w:rsidR="1BD6A52E">
        <w:rPr>
          <w:rFonts w:ascii="Times New Roman" w:hAnsi="Times New Roman" w:eastAsia="Times New Roman" w:cs="Times New Roman"/>
          <w:noProof w:val="0"/>
          <w:color w:val="000000" w:themeColor="text1" w:themeTint="FF" w:themeShade="FF"/>
          <w:sz w:val="24"/>
          <w:szCs w:val="24"/>
          <w:lang w:val="en-GB"/>
        </w:rPr>
        <w:t>encounter</w:t>
      </w:r>
      <w:r w:rsidRPr="66279921" w:rsidR="1BD6A52E">
        <w:rPr>
          <w:rFonts w:ascii="Times New Roman" w:hAnsi="Times New Roman" w:eastAsia="Times New Roman" w:cs="Times New Roman"/>
          <w:noProof w:val="0"/>
          <w:color w:val="000000" w:themeColor="text1" w:themeTint="FF" w:themeShade="FF"/>
          <w:sz w:val="24"/>
          <w:szCs w:val="24"/>
          <w:lang w:val="en-GB"/>
        </w:rPr>
        <w:t xml:space="preserve"> nuanced, context-specific challenges in balancing structured boundaries with compassionate adaptability.</w:t>
      </w:r>
    </w:p>
    <w:p w:rsidR="00B64925" w:rsidRDefault="00B64925" w14:paraId="6E33A708" w14:textId="15172871">
      <w:pPr>
        <w:rPr>
          <w:sz w:val="52"/>
          <w:szCs w:val="52"/>
        </w:rPr>
      </w:pPr>
    </w:p>
    <w:p w:rsidR="14388707" w:rsidP="14388707" w:rsidRDefault="14388707" w14:paraId="6E1DBA5F" w14:textId="79B5DBCB">
      <w:pPr>
        <w:jc w:val="center"/>
        <w:rPr>
          <w:rFonts w:ascii="Times New Roman" w:hAnsi="Times New Roman" w:eastAsia="Times New Roman" w:cs="Times New Roman"/>
          <w:color w:val="EE0000"/>
          <w:sz w:val="24"/>
          <w:szCs w:val="24"/>
        </w:rPr>
      </w:pPr>
    </w:p>
    <w:p w:rsidRPr="007C139D" w:rsidR="007C139D" w:rsidP="6683E19F" w:rsidRDefault="007C139D" w14:paraId="0FB56B5E" w14:textId="631717E1">
      <w:pPr>
        <w:pStyle w:val="Normal"/>
        <w:jc w:val="center"/>
        <w:rPr>
          <w:sz w:val="24"/>
          <w:szCs w:val="24"/>
        </w:rPr>
      </w:pPr>
      <w:r w:rsidRPr="66279921" w:rsidR="007C139D">
        <w:rPr>
          <w:sz w:val="24"/>
          <w:szCs w:val="24"/>
        </w:rPr>
        <w:t>References</w:t>
      </w:r>
    </w:p>
    <w:p w:rsidR="14388707" w:rsidP="66279921" w:rsidRDefault="14388707" w14:paraId="314F213A" w14:textId="0B8116D0">
      <w:pPr>
        <w:spacing w:before="240" w:beforeAutospacing="off" w:after="240" w:afterAutospacing="off"/>
        <w:jc w:val="left"/>
      </w:pPr>
      <w:r w:rsidRPr="66279921" w:rsidR="109C145E">
        <w:rPr>
          <w:rFonts w:ascii="Aptos" w:hAnsi="Aptos" w:eastAsia="Aptos" w:cs="Aptos"/>
          <w:noProof w:val="0"/>
          <w:color w:val="000000" w:themeColor="text1" w:themeTint="FF" w:themeShade="FF"/>
          <w:sz w:val="24"/>
          <w:szCs w:val="24"/>
          <w:lang w:val="en-GB"/>
        </w:rPr>
        <w:t xml:space="preserve">Blundell, P., Oakley, L., &amp; Kinmond, K. (2022). </w:t>
      </w:r>
      <w:r w:rsidRPr="66279921" w:rsidR="109C145E">
        <w:rPr>
          <w:rFonts w:ascii="Aptos" w:hAnsi="Aptos" w:eastAsia="Aptos" w:cs="Aptos"/>
          <w:i w:val="1"/>
          <w:iCs w:val="1"/>
          <w:noProof w:val="0"/>
          <w:color w:val="000000" w:themeColor="text1" w:themeTint="FF" w:themeShade="FF"/>
          <w:sz w:val="24"/>
          <w:szCs w:val="24"/>
          <w:lang w:val="en-GB"/>
        </w:rPr>
        <w:t>Who are we protecting? Exploring counsellors’ understanding and experience of boundaries</w:t>
      </w:r>
      <w:r w:rsidRPr="66279921" w:rsidR="109C145E">
        <w:rPr>
          <w:rFonts w:ascii="Aptos" w:hAnsi="Aptos" w:eastAsia="Aptos" w:cs="Aptos"/>
          <w:noProof w:val="0"/>
          <w:color w:val="000000" w:themeColor="text1" w:themeTint="FF" w:themeShade="FF"/>
          <w:sz w:val="24"/>
          <w:szCs w:val="24"/>
          <w:lang w:val="en-GB"/>
        </w:rPr>
        <w:t xml:space="preserve">. </w:t>
      </w:r>
      <w:r w:rsidRPr="66279921" w:rsidR="109C145E">
        <w:rPr>
          <w:rFonts w:ascii="Aptos" w:hAnsi="Aptos" w:eastAsia="Aptos" w:cs="Aptos"/>
          <w:i w:val="1"/>
          <w:iCs w:val="1"/>
          <w:noProof w:val="0"/>
          <w:color w:val="000000" w:themeColor="text1" w:themeTint="FF" w:themeShade="FF"/>
          <w:sz w:val="24"/>
          <w:szCs w:val="24"/>
          <w:lang w:val="en-GB"/>
        </w:rPr>
        <w:t>European Journal of Qualitative Research in Psychotherapy, 12</w:t>
      </w:r>
      <w:r w:rsidRPr="66279921" w:rsidR="109C145E">
        <w:rPr>
          <w:rFonts w:ascii="Aptos" w:hAnsi="Aptos" w:eastAsia="Aptos" w:cs="Aptos"/>
          <w:noProof w:val="0"/>
          <w:color w:val="000000" w:themeColor="text1" w:themeTint="FF" w:themeShade="FF"/>
          <w:sz w:val="24"/>
          <w:szCs w:val="24"/>
          <w:lang w:val="en-GB"/>
        </w:rPr>
        <w:t xml:space="preserve">, 13–28. </w:t>
      </w:r>
      <w:hyperlink r:id="Ra35805829f484323">
        <w:r w:rsidRPr="66279921" w:rsidR="109C145E">
          <w:rPr>
            <w:rStyle w:val="Hyperlink"/>
            <w:rFonts w:ascii="Aptos" w:hAnsi="Aptos" w:eastAsia="Aptos" w:cs="Aptos"/>
            <w:noProof w:val="0"/>
            <w:color w:val="000000" w:themeColor="text1" w:themeTint="FF" w:themeShade="FF"/>
            <w:sz w:val="24"/>
            <w:szCs w:val="24"/>
            <w:lang w:val="en-GB"/>
          </w:rPr>
          <w:t>https://doi.org/10.1556/EJQRP.12.2022.02</w:t>
        </w:r>
      </w:hyperlink>
    </w:p>
    <w:p w:rsidR="14388707" w:rsidP="66279921" w:rsidRDefault="14388707" w14:paraId="053457C8" w14:textId="112953B7">
      <w:pPr>
        <w:spacing w:before="240" w:beforeAutospacing="off" w:after="240" w:afterAutospacing="off"/>
        <w:jc w:val="left"/>
      </w:pPr>
      <w:r w:rsidRPr="66279921" w:rsidR="109C145E">
        <w:rPr>
          <w:rFonts w:ascii="Aptos" w:hAnsi="Aptos" w:eastAsia="Aptos" w:cs="Aptos"/>
          <w:noProof w:val="0"/>
          <w:color w:val="000000" w:themeColor="text1" w:themeTint="FF" w:themeShade="FF"/>
          <w:sz w:val="24"/>
          <w:szCs w:val="24"/>
          <w:lang w:val="en-GB"/>
        </w:rPr>
        <w:t xml:space="preserve">Braun, V., &amp; Clarke, V. (2006). Using thematic analysis in psychology. </w:t>
      </w:r>
      <w:r w:rsidRPr="66279921" w:rsidR="109C145E">
        <w:rPr>
          <w:rFonts w:ascii="Aptos" w:hAnsi="Aptos" w:eastAsia="Aptos" w:cs="Aptos"/>
          <w:i w:val="1"/>
          <w:iCs w:val="1"/>
          <w:noProof w:val="0"/>
          <w:color w:val="000000" w:themeColor="text1" w:themeTint="FF" w:themeShade="FF"/>
          <w:sz w:val="24"/>
          <w:szCs w:val="24"/>
          <w:lang w:val="en-GB"/>
        </w:rPr>
        <w:t>Qualitative Research in Psychology, 3</w:t>
      </w:r>
      <w:r w:rsidRPr="66279921" w:rsidR="109C145E">
        <w:rPr>
          <w:rFonts w:ascii="Aptos" w:hAnsi="Aptos" w:eastAsia="Aptos" w:cs="Aptos"/>
          <w:noProof w:val="0"/>
          <w:color w:val="000000" w:themeColor="text1" w:themeTint="FF" w:themeShade="FF"/>
          <w:sz w:val="24"/>
          <w:szCs w:val="24"/>
          <w:lang w:val="en-GB"/>
        </w:rPr>
        <w:t xml:space="preserve">(2), 77–101. </w:t>
      </w:r>
      <w:hyperlink r:id="Rf7e67cc26db84805">
        <w:r w:rsidRPr="66279921" w:rsidR="109C145E">
          <w:rPr>
            <w:rStyle w:val="Hyperlink"/>
            <w:rFonts w:ascii="Aptos" w:hAnsi="Aptos" w:eastAsia="Aptos" w:cs="Aptos"/>
            <w:noProof w:val="0"/>
            <w:color w:val="000000" w:themeColor="text1" w:themeTint="FF" w:themeShade="FF"/>
            <w:sz w:val="24"/>
            <w:szCs w:val="24"/>
            <w:lang w:val="en-GB"/>
          </w:rPr>
          <w:t>https://www2.uwe.ac.uk/services/Marketing/students/Newstudents/HAS/Using%20thematic%20analysis%20in%20psychology.pdf</w:t>
        </w:r>
      </w:hyperlink>
    </w:p>
    <w:p w:rsidR="14388707" w:rsidP="66279921" w:rsidRDefault="14388707" w14:paraId="0F31C761" w14:textId="11F18023">
      <w:pPr>
        <w:spacing w:before="240" w:beforeAutospacing="off" w:after="240" w:afterAutospacing="off"/>
        <w:jc w:val="left"/>
      </w:pPr>
      <w:r w:rsidRPr="66279921" w:rsidR="109C145E">
        <w:rPr>
          <w:rFonts w:ascii="Aptos" w:hAnsi="Aptos" w:eastAsia="Aptos" w:cs="Aptos"/>
          <w:noProof w:val="0"/>
          <w:color w:val="000000" w:themeColor="text1" w:themeTint="FF" w:themeShade="FF"/>
          <w:sz w:val="24"/>
          <w:szCs w:val="24"/>
          <w:lang w:val="en-GB"/>
        </w:rPr>
        <w:t xml:space="preserve">British Association for Counselling and Psychotherapy (BACP). (2018). </w:t>
      </w:r>
      <w:r w:rsidRPr="66279921" w:rsidR="109C145E">
        <w:rPr>
          <w:rFonts w:ascii="Aptos" w:hAnsi="Aptos" w:eastAsia="Aptos" w:cs="Aptos"/>
          <w:i w:val="1"/>
          <w:iCs w:val="1"/>
          <w:noProof w:val="0"/>
          <w:color w:val="000000" w:themeColor="text1" w:themeTint="FF" w:themeShade="FF"/>
          <w:sz w:val="24"/>
          <w:szCs w:val="24"/>
          <w:lang w:val="en-GB"/>
        </w:rPr>
        <w:t>Ethical framework for the counselling professions</w:t>
      </w:r>
      <w:r w:rsidRPr="66279921" w:rsidR="109C145E">
        <w:rPr>
          <w:rFonts w:ascii="Aptos" w:hAnsi="Aptos" w:eastAsia="Aptos" w:cs="Aptos"/>
          <w:noProof w:val="0"/>
          <w:color w:val="000000" w:themeColor="text1" w:themeTint="FF" w:themeShade="FF"/>
          <w:sz w:val="24"/>
          <w:szCs w:val="24"/>
          <w:lang w:val="en-GB"/>
        </w:rPr>
        <w:t>.</w:t>
      </w:r>
    </w:p>
    <w:p w:rsidR="14388707" w:rsidP="66279921" w:rsidRDefault="14388707" w14:paraId="6213ED47" w14:textId="6119E05C">
      <w:pPr>
        <w:spacing w:before="240" w:beforeAutospacing="off" w:after="240" w:afterAutospacing="off"/>
        <w:jc w:val="left"/>
      </w:pPr>
      <w:r w:rsidRPr="66279921" w:rsidR="109C145E">
        <w:rPr>
          <w:rFonts w:ascii="Aptos" w:hAnsi="Aptos" w:eastAsia="Aptos" w:cs="Aptos"/>
          <w:noProof w:val="0"/>
          <w:color w:val="000000" w:themeColor="text1" w:themeTint="FF" w:themeShade="FF"/>
          <w:sz w:val="24"/>
          <w:szCs w:val="24"/>
          <w:lang w:val="en-GB"/>
        </w:rPr>
        <w:t xml:space="preserve">British Association for Counselling and Psychotherapy. (2023). </w:t>
      </w:r>
      <w:r w:rsidRPr="66279921" w:rsidR="109C145E">
        <w:rPr>
          <w:rFonts w:ascii="Aptos" w:hAnsi="Aptos" w:eastAsia="Aptos" w:cs="Aptos"/>
          <w:i w:val="1"/>
          <w:iCs w:val="1"/>
          <w:noProof w:val="0"/>
          <w:color w:val="000000" w:themeColor="text1" w:themeTint="FF" w:themeShade="FF"/>
          <w:sz w:val="24"/>
          <w:szCs w:val="24"/>
          <w:lang w:val="en-GB"/>
        </w:rPr>
        <w:t>Boundaries within the counselling professions</w:t>
      </w:r>
      <w:r w:rsidRPr="66279921" w:rsidR="109C145E">
        <w:rPr>
          <w:rFonts w:ascii="Aptos" w:hAnsi="Aptos" w:eastAsia="Aptos" w:cs="Aptos"/>
          <w:noProof w:val="0"/>
          <w:color w:val="000000" w:themeColor="text1" w:themeTint="FF" w:themeShade="FF"/>
          <w:sz w:val="24"/>
          <w:szCs w:val="24"/>
          <w:lang w:val="en-GB"/>
        </w:rPr>
        <w:t xml:space="preserve"> (</w:t>
      </w:r>
      <w:r w:rsidRPr="66279921" w:rsidR="109C145E">
        <w:rPr>
          <w:rFonts w:ascii="Aptos" w:hAnsi="Aptos" w:eastAsia="Aptos" w:cs="Aptos"/>
          <w:noProof w:val="0"/>
          <w:color w:val="000000" w:themeColor="text1" w:themeTint="FF" w:themeShade="FF"/>
          <w:sz w:val="24"/>
          <w:szCs w:val="24"/>
          <w:lang w:val="en-GB"/>
        </w:rPr>
        <w:t xml:space="preserve"> s</w:t>
      </w:r>
      <w:r w:rsidRPr="66279921" w:rsidR="109C145E">
        <w:rPr>
          <w:rFonts w:ascii="Aptos" w:hAnsi="Aptos" w:eastAsia="Aptos" w:cs="Aptos"/>
          <w:noProof w:val="0"/>
          <w:color w:val="000000" w:themeColor="text1" w:themeTint="FF" w:themeShade="FF"/>
          <w:sz w:val="24"/>
          <w:szCs w:val="24"/>
          <w:lang w:val="en-GB"/>
        </w:rPr>
        <w:t xml:space="preserve">heet). </w:t>
      </w:r>
      <w:hyperlink r:id="R07f3c9b92e5a4d68">
        <w:r w:rsidRPr="66279921" w:rsidR="109C145E">
          <w:rPr>
            <w:rStyle w:val="Hyperlink"/>
            <w:rFonts w:ascii="Aptos" w:hAnsi="Aptos" w:eastAsia="Aptos" w:cs="Aptos"/>
            <w:noProof w:val="0"/>
            <w:color w:val="000000" w:themeColor="text1" w:themeTint="FF" w:themeShade="FF"/>
            <w:sz w:val="24"/>
            <w:szCs w:val="24"/>
            <w:lang w:val="en-GB"/>
          </w:rPr>
          <w:t>https://www.bacp.co.uk/media/18188/gpia-110-fs-boundaries-within-the-clg-profs-update-2023.pdf</w:t>
        </w:r>
      </w:hyperlink>
    </w:p>
    <w:p w:rsidR="14388707" w:rsidP="66279921" w:rsidRDefault="14388707" w14:paraId="3D5278DB" w14:textId="1B233BBA">
      <w:pPr>
        <w:spacing w:before="240" w:beforeAutospacing="off" w:after="240" w:afterAutospacing="off"/>
        <w:jc w:val="left"/>
      </w:pPr>
      <w:r w:rsidRPr="66279921" w:rsidR="109C145E">
        <w:rPr>
          <w:rFonts w:ascii="Aptos" w:hAnsi="Aptos" w:eastAsia="Aptos" w:cs="Aptos"/>
          <w:noProof w:val="0"/>
          <w:color w:val="000000" w:themeColor="text1" w:themeTint="FF" w:themeShade="FF"/>
          <w:sz w:val="24"/>
          <w:szCs w:val="24"/>
          <w:lang w:val="en-GB"/>
        </w:rPr>
        <w:t xml:space="preserve">Burgard, E. L. (2013). Ethical concerns about dual relationships in small and rural communities: A review. </w:t>
      </w:r>
      <w:r w:rsidRPr="66279921" w:rsidR="109C145E">
        <w:rPr>
          <w:rFonts w:ascii="Aptos" w:hAnsi="Aptos" w:eastAsia="Aptos" w:cs="Aptos"/>
          <w:i w:val="1"/>
          <w:iCs w:val="1"/>
          <w:noProof w:val="0"/>
          <w:color w:val="000000" w:themeColor="text1" w:themeTint="FF" w:themeShade="FF"/>
          <w:sz w:val="24"/>
          <w:szCs w:val="24"/>
          <w:lang w:val="en-GB"/>
        </w:rPr>
        <w:t>Journal of European Psychology Students, 4</w:t>
      </w:r>
      <w:r w:rsidRPr="66279921" w:rsidR="109C145E">
        <w:rPr>
          <w:rFonts w:ascii="Aptos" w:hAnsi="Aptos" w:eastAsia="Aptos" w:cs="Aptos"/>
          <w:noProof w:val="0"/>
          <w:color w:val="000000" w:themeColor="text1" w:themeTint="FF" w:themeShade="FF"/>
          <w:sz w:val="24"/>
          <w:szCs w:val="24"/>
          <w:lang w:val="en-GB"/>
        </w:rPr>
        <w:t>(1), 69–77.</w:t>
      </w:r>
    </w:p>
    <w:p w:rsidR="14388707" w:rsidP="66279921" w:rsidRDefault="14388707" w14:paraId="7F0135A4" w14:textId="0D0F1482">
      <w:pPr>
        <w:spacing w:before="240" w:beforeAutospacing="off" w:after="240" w:afterAutospacing="off"/>
        <w:jc w:val="left"/>
      </w:pPr>
      <w:r w:rsidRPr="66279921" w:rsidR="109C145E">
        <w:rPr>
          <w:rFonts w:ascii="Aptos" w:hAnsi="Aptos" w:eastAsia="Aptos" w:cs="Aptos"/>
          <w:noProof w:val="0"/>
          <w:color w:val="000000" w:themeColor="text1" w:themeTint="FF" w:themeShade="FF"/>
          <w:sz w:val="24"/>
          <w:szCs w:val="24"/>
          <w:lang w:val="en-GB"/>
        </w:rPr>
        <w:t xml:space="preserve">Corey, G. (2017). </w:t>
      </w:r>
      <w:r w:rsidRPr="66279921" w:rsidR="109C145E">
        <w:rPr>
          <w:rFonts w:ascii="Aptos" w:hAnsi="Aptos" w:eastAsia="Aptos" w:cs="Aptos"/>
          <w:i w:val="1"/>
          <w:iCs w:val="1"/>
          <w:noProof w:val="0"/>
          <w:color w:val="000000" w:themeColor="text1" w:themeTint="FF" w:themeShade="FF"/>
          <w:sz w:val="24"/>
          <w:szCs w:val="24"/>
          <w:lang w:val="en-GB"/>
        </w:rPr>
        <w:t>Theory and practice of counselling and psychotherapy</w:t>
      </w:r>
      <w:r w:rsidRPr="66279921" w:rsidR="109C145E">
        <w:rPr>
          <w:rFonts w:ascii="Aptos" w:hAnsi="Aptos" w:eastAsia="Aptos" w:cs="Aptos"/>
          <w:noProof w:val="0"/>
          <w:color w:val="000000" w:themeColor="text1" w:themeTint="FF" w:themeShade="FF"/>
          <w:sz w:val="24"/>
          <w:szCs w:val="24"/>
          <w:lang w:val="en-GB"/>
        </w:rPr>
        <w:t xml:space="preserve"> (10th ed.). Cengage Learning.</w:t>
      </w:r>
    </w:p>
    <w:p w:rsidR="14388707" w:rsidP="66279921" w:rsidRDefault="14388707" w14:paraId="6219AD42" w14:textId="280B187E">
      <w:pPr>
        <w:spacing w:before="240" w:beforeAutospacing="off" w:after="240" w:afterAutospacing="off"/>
        <w:jc w:val="left"/>
      </w:pPr>
      <w:r w:rsidRPr="66279921" w:rsidR="109C145E">
        <w:rPr>
          <w:rFonts w:ascii="Aptos" w:hAnsi="Aptos" w:eastAsia="Aptos" w:cs="Aptos"/>
          <w:noProof w:val="0"/>
          <w:color w:val="000000" w:themeColor="text1" w:themeTint="FF" w:themeShade="FF"/>
          <w:sz w:val="24"/>
          <w:szCs w:val="24"/>
          <w:lang w:val="en-GB"/>
        </w:rPr>
        <w:t xml:space="preserve">Foster, T. (2014). </w:t>
      </w:r>
      <w:r w:rsidRPr="66279921" w:rsidR="109C145E">
        <w:rPr>
          <w:rFonts w:ascii="Aptos" w:hAnsi="Aptos" w:eastAsia="Aptos" w:cs="Aptos"/>
          <w:i w:val="1"/>
          <w:iCs w:val="1"/>
          <w:noProof w:val="0"/>
          <w:color w:val="000000" w:themeColor="text1" w:themeTint="FF" w:themeShade="FF"/>
          <w:sz w:val="24"/>
          <w:szCs w:val="24"/>
          <w:lang w:val="en-GB"/>
        </w:rPr>
        <w:t>Personal boundaries: What are they and why are they important?</w:t>
      </w:r>
      <w:r w:rsidRPr="66279921" w:rsidR="109C145E">
        <w:rPr>
          <w:rFonts w:ascii="Aptos" w:hAnsi="Aptos" w:eastAsia="Aptos" w:cs="Aptos"/>
          <w:noProof w:val="0"/>
          <w:color w:val="000000" w:themeColor="text1" w:themeTint="FF" w:themeShade="FF"/>
          <w:sz w:val="24"/>
          <w:szCs w:val="24"/>
          <w:lang w:val="en-GB"/>
        </w:rPr>
        <w:t xml:space="preserve"> Counselling Directory. </w:t>
      </w:r>
      <w:hyperlink r:id="R85181582ff144d72">
        <w:r w:rsidRPr="66279921" w:rsidR="109C145E">
          <w:rPr>
            <w:rStyle w:val="Hyperlink"/>
            <w:rFonts w:ascii="Aptos" w:hAnsi="Aptos" w:eastAsia="Aptos" w:cs="Aptos"/>
            <w:noProof w:val="0"/>
            <w:color w:val="000000" w:themeColor="text1" w:themeTint="FF" w:themeShade="FF"/>
            <w:sz w:val="24"/>
            <w:szCs w:val="24"/>
            <w:lang w:val="en-GB"/>
          </w:rPr>
          <w:t>https://www.counselling-directory.org.uk/articles/personal-boundaries-what-are-they-are-why-are-they-importan</w:t>
        </w:r>
      </w:hyperlink>
    </w:p>
    <w:p w:rsidR="14388707" w:rsidP="66279921" w:rsidRDefault="14388707" w14:paraId="1FDC4B8C" w14:textId="67EA4E5C">
      <w:pPr>
        <w:spacing w:before="240" w:beforeAutospacing="off" w:after="240" w:afterAutospacing="off"/>
        <w:jc w:val="left"/>
      </w:pPr>
      <w:r w:rsidRPr="66279921" w:rsidR="109C145E">
        <w:rPr>
          <w:rFonts w:ascii="Aptos" w:hAnsi="Aptos" w:eastAsia="Aptos" w:cs="Aptos"/>
          <w:noProof w:val="0"/>
          <w:color w:val="000000" w:themeColor="text1" w:themeTint="FF" w:themeShade="FF"/>
          <w:sz w:val="24"/>
          <w:szCs w:val="24"/>
          <w:lang w:val="en-GB"/>
        </w:rPr>
        <w:t xml:space="preserve">Gans, J. S. (2016). “Our time is up”: A relational perspective on the ending of a single psychotherapy session. </w:t>
      </w:r>
      <w:r w:rsidRPr="66279921" w:rsidR="109C145E">
        <w:rPr>
          <w:rFonts w:ascii="Aptos" w:hAnsi="Aptos" w:eastAsia="Aptos" w:cs="Aptos"/>
          <w:i w:val="1"/>
          <w:iCs w:val="1"/>
          <w:noProof w:val="0"/>
          <w:color w:val="000000" w:themeColor="text1" w:themeTint="FF" w:themeShade="FF"/>
          <w:sz w:val="24"/>
          <w:szCs w:val="24"/>
          <w:lang w:val="en-GB"/>
        </w:rPr>
        <w:t>American Journal of Psychotherapy, 70</w:t>
      </w:r>
      <w:r w:rsidRPr="66279921" w:rsidR="109C145E">
        <w:rPr>
          <w:rFonts w:ascii="Aptos" w:hAnsi="Aptos" w:eastAsia="Aptos" w:cs="Aptos"/>
          <w:noProof w:val="0"/>
          <w:color w:val="000000" w:themeColor="text1" w:themeTint="FF" w:themeShade="FF"/>
          <w:sz w:val="24"/>
          <w:szCs w:val="24"/>
          <w:lang w:val="en-GB"/>
        </w:rPr>
        <w:t>(4), 413–427.</w:t>
      </w:r>
    </w:p>
    <w:p w:rsidR="14388707" w:rsidP="66279921" w:rsidRDefault="14388707" w14:paraId="6BC539A0" w14:textId="5699005E">
      <w:pPr>
        <w:spacing w:before="240" w:beforeAutospacing="off" w:after="240" w:afterAutospacing="off"/>
        <w:jc w:val="left"/>
      </w:pPr>
      <w:r w:rsidRPr="66279921" w:rsidR="109C145E">
        <w:rPr>
          <w:rFonts w:ascii="Aptos" w:hAnsi="Aptos" w:eastAsia="Aptos" w:cs="Aptos"/>
          <w:noProof w:val="0"/>
          <w:color w:val="000000" w:themeColor="text1" w:themeTint="FF" w:themeShade="FF"/>
          <w:sz w:val="24"/>
          <w:szCs w:val="24"/>
          <w:lang w:val="en-GB"/>
        </w:rPr>
        <w:t xml:space="preserve">Gottschalk, B., &amp; Hopwood, N. (2023). Working with knowledge in clinical supervision: A qualitative study. </w:t>
      </w:r>
      <w:r w:rsidRPr="66279921" w:rsidR="109C145E">
        <w:rPr>
          <w:rFonts w:ascii="Aptos" w:hAnsi="Aptos" w:eastAsia="Aptos" w:cs="Aptos"/>
          <w:i w:val="1"/>
          <w:iCs w:val="1"/>
          <w:noProof w:val="0"/>
          <w:color w:val="000000" w:themeColor="text1" w:themeTint="FF" w:themeShade="FF"/>
          <w:sz w:val="24"/>
          <w:szCs w:val="24"/>
          <w:lang w:val="en-GB"/>
        </w:rPr>
        <w:t>Vocations and Learning, 16</w:t>
      </w:r>
      <w:r w:rsidRPr="66279921" w:rsidR="109C145E">
        <w:rPr>
          <w:rFonts w:ascii="Aptos" w:hAnsi="Aptos" w:eastAsia="Aptos" w:cs="Aptos"/>
          <w:noProof w:val="0"/>
          <w:color w:val="000000" w:themeColor="text1" w:themeTint="FF" w:themeShade="FF"/>
          <w:sz w:val="24"/>
          <w:szCs w:val="24"/>
          <w:lang w:val="en-GB"/>
        </w:rPr>
        <w:t>, 533–550.</w:t>
      </w:r>
    </w:p>
    <w:p w:rsidR="14388707" w:rsidP="66279921" w:rsidRDefault="14388707" w14:paraId="56AE47AC" w14:textId="604B8F01">
      <w:pPr>
        <w:spacing w:before="240" w:beforeAutospacing="off" w:after="240" w:afterAutospacing="off"/>
        <w:jc w:val="left"/>
      </w:pPr>
      <w:r w:rsidRPr="66279921" w:rsidR="109C145E">
        <w:rPr>
          <w:rFonts w:ascii="Aptos" w:hAnsi="Aptos" w:eastAsia="Aptos" w:cs="Aptos"/>
          <w:noProof w:val="0"/>
          <w:color w:val="000000" w:themeColor="text1" w:themeTint="FF" w:themeShade="FF"/>
          <w:sz w:val="24"/>
          <w:szCs w:val="24"/>
          <w:lang w:val="en-GB"/>
        </w:rPr>
        <w:t xml:space="preserve">Hook, J., &amp; Devereux, D. (2018). Boundary violations in therapy: The patient’s experience of harm. </w:t>
      </w:r>
      <w:r w:rsidRPr="66279921" w:rsidR="109C145E">
        <w:rPr>
          <w:rFonts w:ascii="Aptos" w:hAnsi="Aptos" w:eastAsia="Aptos" w:cs="Aptos"/>
          <w:i w:val="1"/>
          <w:iCs w:val="1"/>
          <w:noProof w:val="0"/>
          <w:color w:val="000000" w:themeColor="text1" w:themeTint="FF" w:themeShade="FF"/>
          <w:sz w:val="24"/>
          <w:szCs w:val="24"/>
          <w:lang w:val="en-GB"/>
        </w:rPr>
        <w:t>BJPsych</w:t>
      </w:r>
      <w:r w:rsidRPr="66279921" w:rsidR="109C145E">
        <w:rPr>
          <w:rFonts w:ascii="Aptos" w:hAnsi="Aptos" w:eastAsia="Aptos" w:cs="Aptos"/>
          <w:i w:val="1"/>
          <w:iCs w:val="1"/>
          <w:noProof w:val="0"/>
          <w:color w:val="000000" w:themeColor="text1" w:themeTint="FF" w:themeShade="FF"/>
          <w:sz w:val="24"/>
          <w:szCs w:val="24"/>
          <w:lang w:val="en-GB"/>
        </w:rPr>
        <w:t xml:space="preserve"> Advances, 24</w:t>
      </w:r>
      <w:r w:rsidRPr="66279921" w:rsidR="109C145E">
        <w:rPr>
          <w:rFonts w:ascii="Aptos" w:hAnsi="Aptos" w:eastAsia="Aptos" w:cs="Aptos"/>
          <w:noProof w:val="0"/>
          <w:color w:val="000000" w:themeColor="text1" w:themeTint="FF" w:themeShade="FF"/>
          <w:sz w:val="24"/>
          <w:szCs w:val="24"/>
          <w:lang w:val="en-GB"/>
        </w:rPr>
        <w:t xml:space="preserve">(6), 366–373. </w:t>
      </w:r>
      <w:hyperlink r:id="Reedc77bc74de4dda">
        <w:r w:rsidRPr="66279921" w:rsidR="109C145E">
          <w:rPr>
            <w:rStyle w:val="Hyperlink"/>
            <w:rFonts w:ascii="Aptos" w:hAnsi="Aptos" w:eastAsia="Aptos" w:cs="Aptos"/>
            <w:noProof w:val="0"/>
            <w:color w:val="000000" w:themeColor="text1" w:themeTint="FF" w:themeShade="FF"/>
            <w:sz w:val="24"/>
            <w:szCs w:val="24"/>
            <w:lang w:val="en-GB"/>
          </w:rPr>
          <w:t>https://doi.org/10.1192/bja.2018.2</w:t>
        </w:r>
      </w:hyperlink>
    </w:p>
    <w:p w:rsidR="14388707" w:rsidP="66279921" w:rsidRDefault="14388707" w14:paraId="2ECE5D06" w14:textId="567D9260">
      <w:pPr>
        <w:spacing w:before="240" w:beforeAutospacing="off" w:after="240" w:afterAutospacing="off"/>
        <w:jc w:val="left"/>
      </w:pPr>
      <w:r w:rsidRPr="66279921" w:rsidR="109C145E">
        <w:rPr>
          <w:rFonts w:ascii="Aptos" w:hAnsi="Aptos" w:eastAsia="Aptos" w:cs="Aptos"/>
          <w:noProof w:val="0"/>
          <w:color w:val="000000" w:themeColor="text1" w:themeTint="FF" w:themeShade="FF"/>
          <w:sz w:val="24"/>
          <w:szCs w:val="24"/>
          <w:lang w:val="en-GB"/>
        </w:rPr>
        <w:t xml:space="preserve">Lonczak, H. S. (2020, April 3). </w:t>
      </w:r>
      <w:r w:rsidRPr="66279921" w:rsidR="109C145E">
        <w:rPr>
          <w:rFonts w:ascii="Aptos" w:hAnsi="Aptos" w:eastAsia="Aptos" w:cs="Aptos"/>
          <w:i w:val="1"/>
          <w:iCs w:val="1"/>
          <w:noProof w:val="0"/>
          <w:color w:val="000000" w:themeColor="text1" w:themeTint="FF" w:themeShade="FF"/>
          <w:sz w:val="24"/>
          <w:szCs w:val="24"/>
          <w:lang w:val="en-GB"/>
        </w:rPr>
        <w:t>12 popular counselling approaches to consider</w:t>
      </w:r>
      <w:r w:rsidRPr="66279921" w:rsidR="109C145E">
        <w:rPr>
          <w:rFonts w:ascii="Aptos" w:hAnsi="Aptos" w:eastAsia="Aptos" w:cs="Aptos"/>
          <w:noProof w:val="0"/>
          <w:color w:val="000000" w:themeColor="text1" w:themeTint="FF" w:themeShade="FF"/>
          <w:sz w:val="24"/>
          <w:szCs w:val="24"/>
          <w:lang w:val="en-GB"/>
        </w:rPr>
        <w:t xml:space="preserve">. PositivePsychology.com. </w:t>
      </w:r>
      <w:hyperlink r:id="R96176e76bc7a4226">
        <w:r w:rsidRPr="66279921" w:rsidR="109C145E">
          <w:rPr>
            <w:rStyle w:val="Hyperlink"/>
            <w:rFonts w:ascii="Aptos" w:hAnsi="Aptos" w:eastAsia="Aptos" w:cs="Aptos"/>
            <w:noProof w:val="0"/>
            <w:color w:val="000000" w:themeColor="text1" w:themeTint="FF" w:themeShade="FF"/>
            <w:sz w:val="24"/>
            <w:szCs w:val="24"/>
            <w:lang w:val="en-GB"/>
          </w:rPr>
          <w:t>https://positivepsychology.com/popular-counseling-approaches</w:t>
        </w:r>
      </w:hyperlink>
    </w:p>
    <w:p w:rsidR="14388707" w:rsidP="66279921" w:rsidRDefault="14388707" w14:paraId="4F32BFC3" w14:textId="460D71C6">
      <w:pPr>
        <w:spacing w:before="240" w:beforeAutospacing="off" w:after="240" w:afterAutospacing="off"/>
        <w:jc w:val="left"/>
      </w:pPr>
      <w:r w:rsidRPr="66279921" w:rsidR="109C145E">
        <w:rPr>
          <w:rFonts w:ascii="Aptos" w:hAnsi="Aptos" w:eastAsia="Aptos" w:cs="Aptos"/>
          <w:noProof w:val="0"/>
          <w:color w:val="000000" w:themeColor="text1" w:themeTint="FF" w:themeShade="FF"/>
          <w:sz w:val="24"/>
          <w:szCs w:val="24"/>
          <w:lang w:val="en-GB"/>
        </w:rPr>
        <w:t xml:space="preserve">Mearns, D., &amp; Thorne, B. (2013). </w:t>
      </w:r>
      <w:r w:rsidRPr="66279921" w:rsidR="109C145E">
        <w:rPr>
          <w:rFonts w:ascii="Aptos" w:hAnsi="Aptos" w:eastAsia="Aptos" w:cs="Aptos"/>
          <w:i w:val="1"/>
          <w:iCs w:val="1"/>
          <w:noProof w:val="0"/>
          <w:color w:val="000000" w:themeColor="text1" w:themeTint="FF" w:themeShade="FF"/>
          <w:sz w:val="24"/>
          <w:szCs w:val="24"/>
          <w:lang w:val="en-GB"/>
        </w:rPr>
        <w:t>Person-centred counselling in action</w:t>
      </w:r>
      <w:r w:rsidRPr="66279921" w:rsidR="109C145E">
        <w:rPr>
          <w:rFonts w:ascii="Aptos" w:hAnsi="Aptos" w:eastAsia="Aptos" w:cs="Aptos"/>
          <w:noProof w:val="0"/>
          <w:color w:val="000000" w:themeColor="text1" w:themeTint="FF" w:themeShade="FF"/>
          <w:sz w:val="24"/>
          <w:szCs w:val="24"/>
          <w:lang w:val="en-GB"/>
        </w:rPr>
        <w:t xml:space="preserve"> (4th ed.). Sage.</w:t>
      </w:r>
    </w:p>
    <w:p w:rsidR="14388707" w:rsidP="66279921" w:rsidRDefault="14388707" w14:paraId="0663C21C" w14:textId="032851A4">
      <w:pPr>
        <w:spacing w:before="240" w:beforeAutospacing="off" w:after="240" w:afterAutospacing="off"/>
        <w:jc w:val="left"/>
      </w:pPr>
      <w:r w:rsidRPr="66279921" w:rsidR="109C145E">
        <w:rPr>
          <w:rFonts w:ascii="Aptos" w:hAnsi="Aptos" w:eastAsia="Aptos" w:cs="Aptos"/>
          <w:noProof w:val="0"/>
          <w:color w:val="000000" w:themeColor="text1" w:themeTint="FF" w:themeShade="FF"/>
          <w:sz w:val="24"/>
          <w:szCs w:val="24"/>
          <w:lang w:val="en-GB"/>
        </w:rPr>
        <w:t xml:space="preserve">Muir-Smith, V. (2024). Practitioners’ experiences of an integrative counselling-coaching framework in treating adult anxiety. </w:t>
      </w:r>
      <w:r w:rsidRPr="66279921" w:rsidR="109C145E">
        <w:rPr>
          <w:rFonts w:ascii="Aptos" w:hAnsi="Aptos" w:eastAsia="Aptos" w:cs="Aptos"/>
          <w:i w:val="1"/>
          <w:iCs w:val="1"/>
          <w:noProof w:val="0"/>
          <w:color w:val="000000" w:themeColor="text1" w:themeTint="FF" w:themeShade="FF"/>
          <w:sz w:val="24"/>
          <w:szCs w:val="24"/>
          <w:lang w:val="en-GB"/>
        </w:rPr>
        <w:t>Counselling Psychology Quarterly</w:t>
      </w:r>
      <w:r w:rsidRPr="66279921" w:rsidR="109C145E">
        <w:rPr>
          <w:rFonts w:ascii="Aptos" w:hAnsi="Aptos" w:eastAsia="Aptos" w:cs="Aptos"/>
          <w:noProof w:val="0"/>
          <w:color w:val="000000" w:themeColor="text1" w:themeTint="FF" w:themeShade="FF"/>
          <w:sz w:val="24"/>
          <w:szCs w:val="24"/>
          <w:lang w:val="en-GB"/>
        </w:rPr>
        <w:t xml:space="preserve">. Advance online publication. </w:t>
      </w:r>
      <w:hyperlink r:id="R9f57ed0ea8314425">
        <w:r w:rsidRPr="66279921" w:rsidR="109C145E">
          <w:rPr>
            <w:rStyle w:val="Hyperlink"/>
            <w:rFonts w:ascii="Aptos" w:hAnsi="Aptos" w:eastAsia="Aptos" w:cs="Aptos"/>
            <w:noProof w:val="0"/>
            <w:color w:val="000000" w:themeColor="text1" w:themeTint="FF" w:themeShade="FF"/>
            <w:sz w:val="24"/>
            <w:szCs w:val="24"/>
            <w:lang w:val="en-GB"/>
          </w:rPr>
          <w:t>https://doi.org/10.1080/09515070.2024.2431108</w:t>
        </w:r>
      </w:hyperlink>
    </w:p>
    <w:p w:rsidR="14388707" w:rsidP="66279921" w:rsidRDefault="14388707" w14:paraId="2F9068ED" w14:textId="567DAC21">
      <w:pPr>
        <w:spacing w:before="240" w:beforeAutospacing="off" w:after="240" w:afterAutospacing="off"/>
        <w:jc w:val="left"/>
      </w:pPr>
      <w:r w:rsidRPr="66279921" w:rsidR="109C145E">
        <w:rPr>
          <w:rFonts w:ascii="Aptos" w:hAnsi="Aptos" w:eastAsia="Aptos" w:cs="Aptos"/>
          <w:noProof w:val="0"/>
          <w:color w:val="000000" w:themeColor="text1" w:themeTint="FF" w:themeShade="FF"/>
          <w:sz w:val="24"/>
          <w:szCs w:val="24"/>
          <w:lang w:val="en-GB"/>
        </w:rPr>
        <w:t xml:space="preserve">Opland, C., &amp; Torrico, T. J. (2025). </w:t>
      </w:r>
      <w:r w:rsidRPr="66279921" w:rsidR="109C145E">
        <w:rPr>
          <w:rFonts w:ascii="Aptos" w:hAnsi="Aptos" w:eastAsia="Aptos" w:cs="Aptos"/>
          <w:i w:val="1"/>
          <w:iCs w:val="1"/>
          <w:noProof w:val="0"/>
          <w:color w:val="000000" w:themeColor="text1" w:themeTint="FF" w:themeShade="FF"/>
          <w:sz w:val="24"/>
          <w:szCs w:val="24"/>
          <w:lang w:val="en-GB"/>
        </w:rPr>
        <w:t>Psychotherapy and therapeutic relationship</w:t>
      </w:r>
      <w:r w:rsidRPr="66279921" w:rsidR="109C145E">
        <w:rPr>
          <w:rFonts w:ascii="Aptos" w:hAnsi="Aptos" w:eastAsia="Aptos" w:cs="Aptos"/>
          <w:noProof w:val="0"/>
          <w:color w:val="000000" w:themeColor="text1" w:themeTint="FF" w:themeShade="FF"/>
          <w:sz w:val="24"/>
          <w:szCs w:val="24"/>
          <w:lang w:val="en-GB"/>
        </w:rPr>
        <w:t xml:space="preserve">. In </w:t>
      </w:r>
      <w:r w:rsidRPr="66279921" w:rsidR="109C145E">
        <w:rPr>
          <w:rFonts w:ascii="Aptos" w:hAnsi="Aptos" w:eastAsia="Aptos" w:cs="Aptos"/>
          <w:i w:val="1"/>
          <w:iCs w:val="1"/>
          <w:noProof w:val="0"/>
          <w:color w:val="000000" w:themeColor="text1" w:themeTint="FF" w:themeShade="FF"/>
          <w:sz w:val="24"/>
          <w:szCs w:val="24"/>
          <w:lang w:val="en-GB"/>
        </w:rPr>
        <w:t>StatPearls</w:t>
      </w:r>
      <w:r w:rsidRPr="66279921" w:rsidR="109C145E">
        <w:rPr>
          <w:rFonts w:ascii="Aptos" w:hAnsi="Aptos" w:eastAsia="Aptos" w:cs="Aptos"/>
          <w:noProof w:val="0"/>
          <w:color w:val="000000" w:themeColor="text1" w:themeTint="FF" w:themeShade="FF"/>
          <w:sz w:val="24"/>
          <w:szCs w:val="24"/>
          <w:lang w:val="en-GB"/>
        </w:rPr>
        <w:t xml:space="preserve">. </w:t>
      </w:r>
      <w:r w:rsidRPr="66279921" w:rsidR="109C145E">
        <w:rPr>
          <w:rFonts w:ascii="Aptos" w:hAnsi="Aptos" w:eastAsia="Aptos" w:cs="Aptos"/>
          <w:noProof w:val="0"/>
          <w:color w:val="000000" w:themeColor="text1" w:themeTint="FF" w:themeShade="FF"/>
          <w:sz w:val="24"/>
          <w:szCs w:val="24"/>
          <w:lang w:val="en-GB"/>
        </w:rPr>
        <w:t>StatPearls</w:t>
      </w:r>
      <w:r w:rsidRPr="66279921" w:rsidR="109C145E">
        <w:rPr>
          <w:rFonts w:ascii="Aptos" w:hAnsi="Aptos" w:eastAsia="Aptos" w:cs="Aptos"/>
          <w:noProof w:val="0"/>
          <w:color w:val="000000" w:themeColor="text1" w:themeTint="FF" w:themeShade="FF"/>
          <w:sz w:val="24"/>
          <w:szCs w:val="24"/>
          <w:lang w:val="en-GB"/>
        </w:rPr>
        <w:t xml:space="preserve"> Publishing. </w:t>
      </w:r>
      <w:hyperlink r:id="R23ccaa408e4e4dbb">
        <w:r w:rsidRPr="66279921" w:rsidR="109C145E">
          <w:rPr>
            <w:rStyle w:val="Hyperlink"/>
            <w:rFonts w:ascii="Aptos" w:hAnsi="Aptos" w:eastAsia="Aptos" w:cs="Aptos"/>
            <w:noProof w:val="0"/>
            <w:color w:val="000000" w:themeColor="text1" w:themeTint="FF" w:themeShade="FF"/>
            <w:sz w:val="24"/>
            <w:szCs w:val="24"/>
            <w:lang w:val="en-GB"/>
          </w:rPr>
          <w:t>https://www.ncbi.nlm.nih.gov/books/NBK608012</w:t>
        </w:r>
      </w:hyperlink>
    </w:p>
    <w:p w:rsidR="14388707" w:rsidP="66279921" w:rsidRDefault="14388707" w14:paraId="77A733CA" w14:textId="43374110">
      <w:pPr>
        <w:spacing w:before="240" w:beforeAutospacing="off" w:after="240" w:afterAutospacing="off"/>
        <w:jc w:val="left"/>
      </w:pPr>
      <w:r w:rsidRPr="66279921" w:rsidR="109C145E">
        <w:rPr>
          <w:rFonts w:ascii="Aptos" w:hAnsi="Aptos" w:eastAsia="Aptos" w:cs="Aptos"/>
          <w:noProof w:val="0"/>
          <w:color w:val="000000" w:themeColor="text1" w:themeTint="FF" w:themeShade="FF"/>
          <w:sz w:val="24"/>
          <w:szCs w:val="24"/>
          <w:lang w:val="en-GB"/>
        </w:rPr>
        <w:t xml:space="preserve">Pierce, R. (2025, May 7). </w:t>
      </w:r>
      <w:r w:rsidRPr="66279921" w:rsidR="109C145E">
        <w:rPr>
          <w:rFonts w:ascii="Aptos" w:hAnsi="Aptos" w:eastAsia="Aptos" w:cs="Aptos"/>
          <w:i w:val="1"/>
          <w:iCs w:val="1"/>
          <w:noProof w:val="0"/>
          <w:color w:val="000000" w:themeColor="text1" w:themeTint="FF" w:themeShade="FF"/>
          <w:sz w:val="24"/>
          <w:szCs w:val="24"/>
          <w:lang w:val="en-GB"/>
        </w:rPr>
        <w:t>Therapeutic relationship: How boundaries foster growth and trust</w:t>
      </w:r>
      <w:r w:rsidRPr="66279921" w:rsidR="109C145E">
        <w:rPr>
          <w:rFonts w:ascii="Aptos" w:hAnsi="Aptos" w:eastAsia="Aptos" w:cs="Aptos"/>
          <w:noProof w:val="0"/>
          <w:color w:val="000000" w:themeColor="text1" w:themeTint="FF" w:themeShade="FF"/>
          <w:sz w:val="24"/>
          <w:szCs w:val="24"/>
          <w:lang w:val="en-GB"/>
        </w:rPr>
        <w:t xml:space="preserve">. LinkedIn. </w:t>
      </w:r>
      <w:hyperlink r:id="R9517217a003f45cb">
        <w:r w:rsidRPr="66279921" w:rsidR="109C145E">
          <w:rPr>
            <w:rStyle w:val="Hyperlink"/>
            <w:rFonts w:ascii="Aptos" w:hAnsi="Aptos" w:eastAsia="Aptos" w:cs="Aptos"/>
            <w:noProof w:val="0"/>
            <w:color w:val="000000" w:themeColor="text1" w:themeTint="FF" w:themeShade="FF"/>
            <w:sz w:val="24"/>
            <w:szCs w:val="24"/>
            <w:lang w:val="en-GB"/>
          </w:rPr>
          <w:t>https://www.linkedin.com/pulse/therapeutic-relationship-how-boundaries-foster-growth-richard-pierce-akvbe</w:t>
        </w:r>
      </w:hyperlink>
    </w:p>
    <w:p w:rsidR="14388707" w:rsidP="66279921" w:rsidRDefault="14388707" w14:paraId="2ADEBD4B" w14:textId="0FE438F3">
      <w:pPr>
        <w:spacing w:before="240" w:beforeAutospacing="off" w:after="240" w:afterAutospacing="off"/>
        <w:jc w:val="left"/>
      </w:pPr>
      <w:r w:rsidRPr="66279921" w:rsidR="109C145E">
        <w:rPr>
          <w:rFonts w:ascii="Aptos" w:hAnsi="Aptos" w:eastAsia="Aptos" w:cs="Aptos"/>
          <w:noProof w:val="0"/>
          <w:color w:val="000000" w:themeColor="text1" w:themeTint="FF" w:themeShade="FF"/>
          <w:sz w:val="24"/>
          <w:szCs w:val="24"/>
          <w:lang w:val="en-GB"/>
        </w:rPr>
        <w:t xml:space="preserve">Rogers, C. R. (2012). </w:t>
      </w:r>
      <w:r w:rsidRPr="66279921" w:rsidR="109C145E">
        <w:rPr>
          <w:rFonts w:ascii="Aptos" w:hAnsi="Aptos" w:eastAsia="Aptos" w:cs="Aptos"/>
          <w:i w:val="1"/>
          <w:iCs w:val="1"/>
          <w:noProof w:val="0"/>
          <w:color w:val="000000" w:themeColor="text1" w:themeTint="FF" w:themeShade="FF"/>
          <w:sz w:val="24"/>
          <w:szCs w:val="24"/>
          <w:lang w:val="en-GB"/>
        </w:rPr>
        <w:t>On becoming a person: A therapist’s view of psychotherapy</w:t>
      </w:r>
      <w:r w:rsidRPr="66279921" w:rsidR="109C145E">
        <w:rPr>
          <w:rFonts w:ascii="Aptos" w:hAnsi="Aptos" w:eastAsia="Aptos" w:cs="Aptos"/>
          <w:noProof w:val="0"/>
          <w:color w:val="000000" w:themeColor="text1" w:themeTint="FF" w:themeShade="FF"/>
          <w:sz w:val="24"/>
          <w:szCs w:val="24"/>
          <w:lang w:val="en-GB"/>
        </w:rPr>
        <w:t xml:space="preserve"> (2nd ed.). Houghton Mifflin Harcourt. (Original work published 1957)</w:t>
      </w:r>
    </w:p>
    <w:p w:rsidR="14388707" w:rsidP="66279921" w:rsidRDefault="14388707" w14:paraId="19B9E4EB" w14:textId="079F726F">
      <w:pPr>
        <w:spacing w:before="240" w:beforeAutospacing="off" w:after="240" w:afterAutospacing="off"/>
        <w:jc w:val="left"/>
      </w:pPr>
      <w:r w:rsidRPr="66279921" w:rsidR="109C145E">
        <w:rPr>
          <w:rFonts w:ascii="Aptos" w:hAnsi="Aptos" w:eastAsia="Aptos" w:cs="Aptos"/>
          <w:noProof w:val="0"/>
          <w:color w:val="000000" w:themeColor="text1" w:themeTint="FF" w:themeShade="FF"/>
          <w:sz w:val="24"/>
          <w:szCs w:val="24"/>
          <w:lang w:val="en-GB"/>
        </w:rPr>
        <w:t xml:space="preserve">Smith, J. A., Flowers, P., &amp; Larkin, M. (2009). </w:t>
      </w:r>
      <w:r w:rsidRPr="66279921" w:rsidR="109C145E">
        <w:rPr>
          <w:rFonts w:ascii="Aptos" w:hAnsi="Aptos" w:eastAsia="Aptos" w:cs="Aptos"/>
          <w:i w:val="1"/>
          <w:iCs w:val="1"/>
          <w:noProof w:val="0"/>
          <w:color w:val="000000" w:themeColor="text1" w:themeTint="FF" w:themeShade="FF"/>
          <w:sz w:val="24"/>
          <w:szCs w:val="24"/>
          <w:lang w:val="en-GB"/>
        </w:rPr>
        <w:t>Interpretative phenomenological analysis: Theory, method, and research</w:t>
      </w:r>
      <w:r w:rsidRPr="66279921" w:rsidR="109C145E">
        <w:rPr>
          <w:rFonts w:ascii="Aptos" w:hAnsi="Aptos" w:eastAsia="Aptos" w:cs="Aptos"/>
          <w:noProof w:val="0"/>
          <w:color w:val="000000" w:themeColor="text1" w:themeTint="FF" w:themeShade="FF"/>
          <w:sz w:val="24"/>
          <w:szCs w:val="24"/>
          <w:lang w:val="en-GB"/>
        </w:rPr>
        <w:t>. Sage.</w:t>
      </w:r>
    </w:p>
    <w:p w:rsidR="14388707" w:rsidP="14388707" w:rsidRDefault="14388707" w14:paraId="49CA3CD7" w14:textId="7ABF6D50">
      <w:pPr>
        <w:pStyle w:val="Normal"/>
        <w:jc w:val="center"/>
        <w:rPr>
          <w:sz w:val="24"/>
          <w:szCs w:val="24"/>
        </w:rPr>
      </w:pPr>
    </w:p>
    <w:p w:rsidR="1E044123" w:rsidP="1E044123" w:rsidRDefault="1E044123" w14:paraId="60C374E3" w14:textId="666BA335">
      <w:pPr>
        <w:pStyle w:val="Normal"/>
        <w:jc w:val="center"/>
        <w:rPr>
          <w:rFonts w:ascii="Aptos" w:hAnsi="Aptos" w:eastAsia="Aptos" w:cs="Aptos"/>
          <w:noProof w:val="0"/>
          <w:color w:val="000000" w:themeColor="text1" w:themeTint="FF" w:themeShade="FF"/>
          <w:sz w:val="24"/>
          <w:szCs w:val="24"/>
          <w:lang w:val="en-GB"/>
        </w:rPr>
      </w:pPr>
    </w:p>
    <w:p w:rsidR="23F258A2" w:rsidP="66279921" w:rsidRDefault="23F258A2" w14:paraId="0CE5C089" w14:textId="0EE6861F">
      <w:pPr>
        <w:jc w:val="center"/>
        <w:rPr>
          <w:rFonts w:ascii="Times New Roman" w:hAnsi="Times New Roman" w:eastAsia="Times New Roman" w:cs="Times New Roman"/>
          <w:color w:val="auto"/>
          <w:sz w:val="24"/>
          <w:szCs w:val="24"/>
          <w:u w:val="single"/>
        </w:rPr>
      </w:pPr>
      <w:r w:rsidRPr="1E044123" w:rsidR="23F258A2">
        <w:rPr>
          <w:rFonts w:ascii="Times New Roman" w:hAnsi="Times New Roman" w:eastAsia="Times New Roman" w:cs="Times New Roman"/>
          <w:color w:val="auto"/>
          <w:sz w:val="24"/>
          <w:szCs w:val="24"/>
          <w:u w:val="single"/>
        </w:rPr>
        <w:t>Append</w:t>
      </w:r>
      <w:r w:rsidRPr="1E044123" w:rsidR="258E398F">
        <w:rPr>
          <w:rFonts w:ascii="Times New Roman" w:hAnsi="Times New Roman" w:eastAsia="Times New Roman" w:cs="Times New Roman"/>
          <w:color w:val="auto"/>
          <w:sz w:val="24"/>
          <w:szCs w:val="24"/>
          <w:u w:val="single"/>
        </w:rPr>
        <w:t xml:space="preserve">ices </w:t>
      </w:r>
    </w:p>
    <w:p w:rsidR="1E044123" w:rsidP="1E044123" w:rsidRDefault="1E044123" w14:paraId="10CA12F8" w14:textId="408C95AC">
      <w:pPr>
        <w:jc w:val="center"/>
      </w:pPr>
    </w:p>
    <w:p w:rsidR="775F67FB" w:rsidP="1E044123" w:rsidRDefault="775F67FB" w14:paraId="2EF72000" w14:textId="56890F40">
      <w:pPr>
        <w:pStyle w:val="Normal"/>
        <w:jc w:val="center"/>
        <w:rPr>
          <w:rFonts w:ascii="Times New Roman" w:hAnsi="Times New Roman" w:eastAsia="Times New Roman" w:cs="Times New Roman"/>
          <w:color w:val="auto"/>
          <w:sz w:val="24"/>
          <w:szCs w:val="24"/>
          <w:u w:val="single"/>
        </w:rPr>
      </w:pPr>
      <w:r w:rsidR="775F67FB">
        <w:drawing>
          <wp:inline wp14:editId="4534F817" wp14:anchorId="2C04CCB4">
            <wp:extent cx="4295775" cy="5724525"/>
            <wp:effectExtent l="0" t="0" r="0" b="0"/>
            <wp:docPr id="27416783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74167837" name="Picture 274167837"/>
                    <pic:cNvPicPr/>
                  </pic:nvPicPr>
                  <pic:blipFill>
                    <a:blip xmlns:r="http://schemas.openxmlformats.org/officeDocument/2006/relationships" r:embed="rId1873903017">
                      <a:extLst>
                        <a:ext uri="{28A0092B-C50C-407E-A947-70E740481C1C}">
                          <a14:useLocalDpi xmlns:a14="http://schemas.microsoft.com/office/drawing/2010/main"/>
                        </a:ext>
                      </a:extLst>
                    </a:blip>
                    <a:stretch>
                      <a:fillRect/>
                    </a:stretch>
                  </pic:blipFill>
                  <pic:spPr>
                    <a:xfrm>
                      <a:off x="0" y="0"/>
                      <a:ext cx="4295775" cy="5724525"/>
                    </a:xfrm>
                    <a:prstGeom prst="rect">
                      <a:avLst/>
                    </a:prstGeom>
                  </pic:spPr>
                </pic:pic>
              </a:graphicData>
            </a:graphic>
          </wp:inline>
        </w:drawing>
      </w:r>
      <w:r w:rsidR="775F67FB">
        <w:drawing>
          <wp:inline wp14:editId="3C60D5F3" wp14:anchorId="51EF7E9F">
            <wp:extent cx="4295775" cy="5724525"/>
            <wp:effectExtent l="0" t="0" r="0" b="0"/>
            <wp:docPr id="142021653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20216539" name="Picture 1420216539"/>
                    <pic:cNvPicPr/>
                  </pic:nvPicPr>
                  <pic:blipFill>
                    <a:blip xmlns:r="http://schemas.openxmlformats.org/officeDocument/2006/relationships" r:embed="rId1819511486">
                      <a:extLst>
                        <a:ext uri="{28A0092B-C50C-407E-A947-70E740481C1C}">
                          <a14:useLocalDpi xmlns:a14="http://schemas.microsoft.com/office/drawing/2010/main"/>
                        </a:ext>
                      </a:extLst>
                    </a:blip>
                    <a:stretch>
                      <a:fillRect/>
                    </a:stretch>
                  </pic:blipFill>
                  <pic:spPr>
                    <a:xfrm>
                      <a:off x="0" y="0"/>
                      <a:ext cx="4295775" cy="5724525"/>
                    </a:xfrm>
                    <a:prstGeom prst="rect">
                      <a:avLst/>
                    </a:prstGeom>
                  </pic:spPr>
                </pic:pic>
              </a:graphicData>
            </a:graphic>
          </wp:inline>
        </w:drawing>
      </w:r>
      <w:r w:rsidR="775F67FB">
        <w:drawing>
          <wp:inline wp14:editId="06ED963E" wp14:anchorId="530B4EDD">
            <wp:extent cx="4295775" cy="5724525"/>
            <wp:effectExtent l="0" t="0" r="0" b="0"/>
            <wp:docPr id="82861415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28614150" name="Picture 828614150"/>
                    <pic:cNvPicPr/>
                  </pic:nvPicPr>
                  <pic:blipFill>
                    <a:blip xmlns:r="http://schemas.openxmlformats.org/officeDocument/2006/relationships" r:embed="rId213741646">
                      <a:extLst>
                        <a:ext uri="{28A0092B-C50C-407E-A947-70E740481C1C}">
                          <a14:useLocalDpi xmlns:a14="http://schemas.microsoft.com/office/drawing/2010/main"/>
                        </a:ext>
                      </a:extLst>
                    </a:blip>
                    <a:stretch>
                      <a:fillRect/>
                    </a:stretch>
                  </pic:blipFill>
                  <pic:spPr>
                    <a:xfrm>
                      <a:off x="0" y="0"/>
                      <a:ext cx="4295775" cy="5724525"/>
                    </a:xfrm>
                    <a:prstGeom prst="rect">
                      <a:avLst/>
                    </a:prstGeom>
                  </pic:spPr>
                </pic:pic>
              </a:graphicData>
            </a:graphic>
          </wp:inline>
        </w:drawing>
      </w:r>
      <w:r w:rsidR="775F67FB">
        <w:drawing>
          <wp:inline wp14:editId="4123E6FB" wp14:anchorId="2A4C6ED7">
            <wp:extent cx="4295775" cy="5724525"/>
            <wp:effectExtent l="0" t="0" r="0" b="0"/>
            <wp:docPr id="112101520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21015205" name="Picture 1121015205"/>
                    <pic:cNvPicPr/>
                  </pic:nvPicPr>
                  <pic:blipFill>
                    <a:blip xmlns:r="http://schemas.openxmlformats.org/officeDocument/2006/relationships" r:embed="rId1674141841">
                      <a:extLst>
                        <a:ext uri="{28A0092B-C50C-407E-A947-70E740481C1C}">
                          <a14:useLocalDpi xmlns:a14="http://schemas.microsoft.com/office/drawing/2010/main"/>
                        </a:ext>
                      </a:extLst>
                    </a:blip>
                    <a:stretch>
                      <a:fillRect/>
                    </a:stretch>
                  </pic:blipFill>
                  <pic:spPr>
                    <a:xfrm>
                      <a:off x="0" y="0"/>
                      <a:ext cx="4295775" cy="5724525"/>
                    </a:xfrm>
                    <a:prstGeom prst="rect">
                      <a:avLst/>
                    </a:prstGeom>
                  </pic:spPr>
                </pic:pic>
              </a:graphicData>
            </a:graphic>
          </wp:inline>
        </w:drawing>
      </w:r>
      <w:r w:rsidR="775F67FB">
        <w:drawing>
          <wp:inline wp14:editId="1165600E" wp14:anchorId="2B95690E">
            <wp:extent cx="4295775" cy="5724525"/>
            <wp:effectExtent l="0" t="0" r="0" b="0"/>
            <wp:docPr id="15839666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83966695" name="Picture 1583966695"/>
                    <pic:cNvPicPr/>
                  </pic:nvPicPr>
                  <pic:blipFill>
                    <a:blip xmlns:r="http://schemas.openxmlformats.org/officeDocument/2006/relationships" r:embed="rId2057580510">
                      <a:extLst>
                        <a:ext uri="{28A0092B-C50C-407E-A947-70E740481C1C}">
                          <a14:useLocalDpi xmlns:a14="http://schemas.microsoft.com/office/drawing/2010/main"/>
                        </a:ext>
                      </a:extLst>
                    </a:blip>
                    <a:stretch>
                      <a:fillRect/>
                    </a:stretch>
                  </pic:blipFill>
                  <pic:spPr>
                    <a:xfrm>
                      <a:off x="0" y="0"/>
                      <a:ext cx="4295775" cy="5724525"/>
                    </a:xfrm>
                    <a:prstGeom prst="rect">
                      <a:avLst/>
                    </a:prstGeom>
                  </pic:spPr>
                </pic:pic>
              </a:graphicData>
            </a:graphic>
          </wp:inline>
        </w:drawing>
      </w:r>
      <w:r w:rsidR="775F67FB">
        <w:drawing>
          <wp:inline wp14:editId="0AD8B9CE" wp14:anchorId="074BCE90">
            <wp:extent cx="4295775" cy="5724525"/>
            <wp:effectExtent l="0" t="0" r="0" b="0"/>
            <wp:docPr id="4618881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61888117" name="Picture 461888117"/>
                    <pic:cNvPicPr/>
                  </pic:nvPicPr>
                  <pic:blipFill>
                    <a:blip xmlns:r="http://schemas.openxmlformats.org/officeDocument/2006/relationships" r:embed="rId692738132">
                      <a:extLst>
                        <a:ext uri="{28A0092B-C50C-407E-A947-70E740481C1C}">
                          <a14:useLocalDpi xmlns:a14="http://schemas.microsoft.com/office/drawing/2010/main"/>
                        </a:ext>
                      </a:extLst>
                    </a:blip>
                    <a:stretch>
                      <a:fillRect/>
                    </a:stretch>
                  </pic:blipFill>
                  <pic:spPr>
                    <a:xfrm>
                      <a:off x="0" y="0"/>
                      <a:ext cx="4295775" cy="5724525"/>
                    </a:xfrm>
                    <a:prstGeom prst="rect">
                      <a:avLst/>
                    </a:prstGeom>
                  </pic:spPr>
                </pic:pic>
              </a:graphicData>
            </a:graphic>
          </wp:inline>
        </w:drawing>
      </w:r>
    </w:p>
    <w:p w:rsidR="16B488A7" w:rsidP="16B488A7" w:rsidRDefault="16B488A7" w14:paraId="327E0F6B" w14:textId="0FD5DF28">
      <w:pPr>
        <w:rPr>
          <w:sz w:val="24"/>
          <w:szCs w:val="24"/>
        </w:rPr>
      </w:pPr>
    </w:p>
    <w:sectPr w:rsidRPr="00B64925" w:rsidR="004C6594">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3">
    <w:nsid w:val="2fb413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4f410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47C758FD"/>
    <w:multiLevelType w:val="multilevel"/>
    <w:tmpl w:val="72D0186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508A72B2"/>
    <w:multiLevelType w:val="multilevel"/>
    <w:tmpl w:val="B518D6C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4">
    <w:abstractNumId w:val="3"/>
  </w:num>
  <w:num w:numId="3">
    <w:abstractNumId w:val="2"/>
  </w:num>
  <w:num w:numId="1" w16cid:durableId="59251586">
    <w:abstractNumId w:val="0"/>
  </w:num>
  <w:num w:numId="2" w16cid:durableId="2251483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5E43"/>
    <w:rsid w:val="003D4EEE"/>
    <w:rsid w:val="004C6594"/>
    <w:rsid w:val="005ED381"/>
    <w:rsid w:val="00616646"/>
    <w:rsid w:val="006C4B42"/>
    <w:rsid w:val="007C139D"/>
    <w:rsid w:val="007C74AF"/>
    <w:rsid w:val="00842FE2"/>
    <w:rsid w:val="008948CB"/>
    <w:rsid w:val="00A3632C"/>
    <w:rsid w:val="00B25E43"/>
    <w:rsid w:val="00B64925"/>
    <w:rsid w:val="00D5121E"/>
    <w:rsid w:val="00E4572B"/>
    <w:rsid w:val="00EE680A"/>
    <w:rsid w:val="0104A695"/>
    <w:rsid w:val="01733FD3"/>
    <w:rsid w:val="01A933F4"/>
    <w:rsid w:val="01B6A080"/>
    <w:rsid w:val="01F5C85C"/>
    <w:rsid w:val="01F8D5F1"/>
    <w:rsid w:val="01F9227C"/>
    <w:rsid w:val="020C44E9"/>
    <w:rsid w:val="021CFBD1"/>
    <w:rsid w:val="024CEEFF"/>
    <w:rsid w:val="02548FC5"/>
    <w:rsid w:val="02A7EBB0"/>
    <w:rsid w:val="02A91183"/>
    <w:rsid w:val="03408DBA"/>
    <w:rsid w:val="037FDDB4"/>
    <w:rsid w:val="03952DF6"/>
    <w:rsid w:val="03CE5423"/>
    <w:rsid w:val="0508BF9E"/>
    <w:rsid w:val="053B1807"/>
    <w:rsid w:val="0551B19F"/>
    <w:rsid w:val="0588CDC6"/>
    <w:rsid w:val="05CD1EC8"/>
    <w:rsid w:val="0603F8C2"/>
    <w:rsid w:val="0611B298"/>
    <w:rsid w:val="06A1F797"/>
    <w:rsid w:val="06C5273F"/>
    <w:rsid w:val="06D89257"/>
    <w:rsid w:val="06D8C89C"/>
    <w:rsid w:val="07112F5F"/>
    <w:rsid w:val="074C0F81"/>
    <w:rsid w:val="074CAD4E"/>
    <w:rsid w:val="075BAFB1"/>
    <w:rsid w:val="0784D5FD"/>
    <w:rsid w:val="079B1A79"/>
    <w:rsid w:val="07C9E4FE"/>
    <w:rsid w:val="07FD2966"/>
    <w:rsid w:val="0808B12C"/>
    <w:rsid w:val="0850873E"/>
    <w:rsid w:val="08AFFF8C"/>
    <w:rsid w:val="0919E726"/>
    <w:rsid w:val="0932DEC8"/>
    <w:rsid w:val="0947AFBF"/>
    <w:rsid w:val="097A6228"/>
    <w:rsid w:val="0A038D75"/>
    <w:rsid w:val="0A0F79E4"/>
    <w:rsid w:val="0A38148A"/>
    <w:rsid w:val="0A479DF4"/>
    <w:rsid w:val="0A605474"/>
    <w:rsid w:val="0A66BA6D"/>
    <w:rsid w:val="0A67EA0E"/>
    <w:rsid w:val="0B44E85B"/>
    <w:rsid w:val="0B579AB6"/>
    <w:rsid w:val="0B9F299D"/>
    <w:rsid w:val="0BAE6779"/>
    <w:rsid w:val="0BB192CD"/>
    <w:rsid w:val="0BD06C03"/>
    <w:rsid w:val="0CF924AF"/>
    <w:rsid w:val="0D1448EF"/>
    <w:rsid w:val="0D355A8B"/>
    <w:rsid w:val="0D62EEFF"/>
    <w:rsid w:val="0D9C66B0"/>
    <w:rsid w:val="0DC313C3"/>
    <w:rsid w:val="0E232795"/>
    <w:rsid w:val="0E2D4E87"/>
    <w:rsid w:val="0E4B658B"/>
    <w:rsid w:val="0EFE8888"/>
    <w:rsid w:val="0F1AF386"/>
    <w:rsid w:val="0F439C50"/>
    <w:rsid w:val="0FAC0F9C"/>
    <w:rsid w:val="0FED3C2A"/>
    <w:rsid w:val="0FF44A4C"/>
    <w:rsid w:val="10203B5F"/>
    <w:rsid w:val="102B520E"/>
    <w:rsid w:val="109C145E"/>
    <w:rsid w:val="110AB93A"/>
    <w:rsid w:val="11B31192"/>
    <w:rsid w:val="11E06AC2"/>
    <w:rsid w:val="121B335E"/>
    <w:rsid w:val="127219B1"/>
    <w:rsid w:val="12823768"/>
    <w:rsid w:val="128380F5"/>
    <w:rsid w:val="12C175C1"/>
    <w:rsid w:val="12C48961"/>
    <w:rsid w:val="13113B62"/>
    <w:rsid w:val="1341076C"/>
    <w:rsid w:val="1355CB4D"/>
    <w:rsid w:val="13AD58EB"/>
    <w:rsid w:val="13EA272F"/>
    <w:rsid w:val="14388707"/>
    <w:rsid w:val="145F5233"/>
    <w:rsid w:val="1476D4DD"/>
    <w:rsid w:val="148F22DF"/>
    <w:rsid w:val="14AEC019"/>
    <w:rsid w:val="15EEE14E"/>
    <w:rsid w:val="163DD33C"/>
    <w:rsid w:val="16AF3EE6"/>
    <w:rsid w:val="16B488A7"/>
    <w:rsid w:val="16CBD337"/>
    <w:rsid w:val="16EF119C"/>
    <w:rsid w:val="171F41DF"/>
    <w:rsid w:val="17F8B9EB"/>
    <w:rsid w:val="17FBFCE9"/>
    <w:rsid w:val="180D699E"/>
    <w:rsid w:val="181492E8"/>
    <w:rsid w:val="18555536"/>
    <w:rsid w:val="189D7685"/>
    <w:rsid w:val="18FA3418"/>
    <w:rsid w:val="199F92B6"/>
    <w:rsid w:val="1A0CF49C"/>
    <w:rsid w:val="1A850CC5"/>
    <w:rsid w:val="1BA2609C"/>
    <w:rsid w:val="1BD6A52E"/>
    <w:rsid w:val="1BE8EA72"/>
    <w:rsid w:val="1C8E4809"/>
    <w:rsid w:val="1CE20FD3"/>
    <w:rsid w:val="1CEC808F"/>
    <w:rsid w:val="1CECDA0A"/>
    <w:rsid w:val="1D32B1C8"/>
    <w:rsid w:val="1D72D347"/>
    <w:rsid w:val="1E044123"/>
    <w:rsid w:val="1E66E007"/>
    <w:rsid w:val="1EA336AB"/>
    <w:rsid w:val="1EBF4CC8"/>
    <w:rsid w:val="1F251F23"/>
    <w:rsid w:val="1F318A74"/>
    <w:rsid w:val="1F6FAB0E"/>
    <w:rsid w:val="201A03A2"/>
    <w:rsid w:val="20343510"/>
    <w:rsid w:val="20447922"/>
    <w:rsid w:val="20EF2B08"/>
    <w:rsid w:val="212BB9CF"/>
    <w:rsid w:val="2292095C"/>
    <w:rsid w:val="2303448D"/>
    <w:rsid w:val="2313E73D"/>
    <w:rsid w:val="2356208A"/>
    <w:rsid w:val="238AD256"/>
    <w:rsid w:val="239AFFDB"/>
    <w:rsid w:val="23F258A2"/>
    <w:rsid w:val="24117C5E"/>
    <w:rsid w:val="24564B3E"/>
    <w:rsid w:val="2457DB68"/>
    <w:rsid w:val="248F29C0"/>
    <w:rsid w:val="249452B1"/>
    <w:rsid w:val="249ED441"/>
    <w:rsid w:val="25161B86"/>
    <w:rsid w:val="252AED48"/>
    <w:rsid w:val="2588738E"/>
    <w:rsid w:val="258E398F"/>
    <w:rsid w:val="25CD1539"/>
    <w:rsid w:val="25DA3180"/>
    <w:rsid w:val="264DB67B"/>
    <w:rsid w:val="26740864"/>
    <w:rsid w:val="2688A1FC"/>
    <w:rsid w:val="26987BD9"/>
    <w:rsid w:val="26AD899D"/>
    <w:rsid w:val="26B246C4"/>
    <w:rsid w:val="26B6E5AA"/>
    <w:rsid w:val="26BD4D25"/>
    <w:rsid w:val="26F14644"/>
    <w:rsid w:val="27252B1B"/>
    <w:rsid w:val="2737077F"/>
    <w:rsid w:val="274F0A9B"/>
    <w:rsid w:val="27566FD9"/>
    <w:rsid w:val="27752484"/>
    <w:rsid w:val="277E5A23"/>
    <w:rsid w:val="27AD898E"/>
    <w:rsid w:val="27B11A23"/>
    <w:rsid w:val="27C48367"/>
    <w:rsid w:val="27CB74A3"/>
    <w:rsid w:val="27DBB199"/>
    <w:rsid w:val="2964A21D"/>
    <w:rsid w:val="2986CEF1"/>
    <w:rsid w:val="29930A43"/>
    <w:rsid w:val="29A14F6B"/>
    <w:rsid w:val="29A3B105"/>
    <w:rsid w:val="29AFD7C0"/>
    <w:rsid w:val="2A00C2C2"/>
    <w:rsid w:val="2A31468B"/>
    <w:rsid w:val="2A509FCC"/>
    <w:rsid w:val="2A5736B7"/>
    <w:rsid w:val="2A6ACF4B"/>
    <w:rsid w:val="2A98C5E5"/>
    <w:rsid w:val="2AB956D5"/>
    <w:rsid w:val="2AD215DA"/>
    <w:rsid w:val="2B0D10F0"/>
    <w:rsid w:val="2B6B4B80"/>
    <w:rsid w:val="2BB280B7"/>
    <w:rsid w:val="2BBB1911"/>
    <w:rsid w:val="2BE4E0D4"/>
    <w:rsid w:val="2BED4693"/>
    <w:rsid w:val="2C3AE250"/>
    <w:rsid w:val="2CE610A8"/>
    <w:rsid w:val="2D0BBBEE"/>
    <w:rsid w:val="2D30EB60"/>
    <w:rsid w:val="2D50FF9C"/>
    <w:rsid w:val="2D7ED5CD"/>
    <w:rsid w:val="2DBF665B"/>
    <w:rsid w:val="2E6130C2"/>
    <w:rsid w:val="2EB016E7"/>
    <w:rsid w:val="2F0670FC"/>
    <w:rsid w:val="2FCAF993"/>
    <w:rsid w:val="2FD6DFCE"/>
    <w:rsid w:val="2FD8F823"/>
    <w:rsid w:val="3003CACB"/>
    <w:rsid w:val="301E4B4A"/>
    <w:rsid w:val="304A1406"/>
    <w:rsid w:val="306E8381"/>
    <w:rsid w:val="308FDD4C"/>
    <w:rsid w:val="30BB8D4A"/>
    <w:rsid w:val="3109A7BA"/>
    <w:rsid w:val="3121F3B7"/>
    <w:rsid w:val="315BEA3B"/>
    <w:rsid w:val="32A500EB"/>
    <w:rsid w:val="32B378AD"/>
    <w:rsid w:val="3369B2CC"/>
    <w:rsid w:val="339AF2A0"/>
    <w:rsid w:val="343CAFE6"/>
    <w:rsid w:val="343FF150"/>
    <w:rsid w:val="34451776"/>
    <w:rsid w:val="3524F5F8"/>
    <w:rsid w:val="356A82D9"/>
    <w:rsid w:val="357FA6C2"/>
    <w:rsid w:val="3603719B"/>
    <w:rsid w:val="3613D9D6"/>
    <w:rsid w:val="363A648A"/>
    <w:rsid w:val="3657E178"/>
    <w:rsid w:val="36C43CCA"/>
    <w:rsid w:val="36F15150"/>
    <w:rsid w:val="373DBB7C"/>
    <w:rsid w:val="374F0881"/>
    <w:rsid w:val="374FABDD"/>
    <w:rsid w:val="37786687"/>
    <w:rsid w:val="37CD59EF"/>
    <w:rsid w:val="37DAFA61"/>
    <w:rsid w:val="3833F6B1"/>
    <w:rsid w:val="3863DC03"/>
    <w:rsid w:val="3877407A"/>
    <w:rsid w:val="388291D6"/>
    <w:rsid w:val="38A05DA9"/>
    <w:rsid w:val="38BBF18C"/>
    <w:rsid w:val="393C35AE"/>
    <w:rsid w:val="3944CE34"/>
    <w:rsid w:val="3952426B"/>
    <w:rsid w:val="396087A9"/>
    <w:rsid w:val="398FC1A2"/>
    <w:rsid w:val="39959B3C"/>
    <w:rsid w:val="39A5094A"/>
    <w:rsid w:val="39C42662"/>
    <w:rsid w:val="39CF7199"/>
    <w:rsid w:val="39E2F8E9"/>
    <w:rsid w:val="3A3A1023"/>
    <w:rsid w:val="3A603F4D"/>
    <w:rsid w:val="3AADC6A4"/>
    <w:rsid w:val="3ACCF88F"/>
    <w:rsid w:val="3AD006C0"/>
    <w:rsid w:val="3AF06A92"/>
    <w:rsid w:val="3B0B1496"/>
    <w:rsid w:val="3B10FCC5"/>
    <w:rsid w:val="3B340770"/>
    <w:rsid w:val="3BC7324B"/>
    <w:rsid w:val="3C57EA63"/>
    <w:rsid w:val="3CD38E7B"/>
    <w:rsid w:val="3CD64D12"/>
    <w:rsid w:val="3D2F5A59"/>
    <w:rsid w:val="3D44F503"/>
    <w:rsid w:val="3D74BE22"/>
    <w:rsid w:val="3DA282FA"/>
    <w:rsid w:val="3DB5EAA9"/>
    <w:rsid w:val="3DDA0EF8"/>
    <w:rsid w:val="3E011995"/>
    <w:rsid w:val="3E1BDC16"/>
    <w:rsid w:val="3E2D6633"/>
    <w:rsid w:val="3E35460E"/>
    <w:rsid w:val="3E7E2667"/>
    <w:rsid w:val="3F68922E"/>
    <w:rsid w:val="3FDC29CE"/>
    <w:rsid w:val="3FE578F9"/>
    <w:rsid w:val="3FF6531B"/>
    <w:rsid w:val="402010AB"/>
    <w:rsid w:val="402D0C28"/>
    <w:rsid w:val="406729A2"/>
    <w:rsid w:val="407E5043"/>
    <w:rsid w:val="40953A45"/>
    <w:rsid w:val="40C5CF2F"/>
    <w:rsid w:val="41019261"/>
    <w:rsid w:val="411D76BF"/>
    <w:rsid w:val="41271527"/>
    <w:rsid w:val="41A79C15"/>
    <w:rsid w:val="41C5A36A"/>
    <w:rsid w:val="4222FA05"/>
    <w:rsid w:val="42350528"/>
    <w:rsid w:val="4238476B"/>
    <w:rsid w:val="425ABD98"/>
    <w:rsid w:val="4270C8AF"/>
    <w:rsid w:val="427185FB"/>
    <w:rsid w:val="42732389"/>
    <w:rsid w:val="42A6CA5C"/>
    <w:rsid w:val="42B644D0"/>
    <w:rsid w:val="430D6DE6"/>
    <w:rsid w:val="435AFF13"/>
    <w:rsid w:val="4371FE4A"/>
    <w:rsid w:val="43754F8D"/>
    <w:rsid w:val="43A3A9B7"/>
    <w:rsid w:val="43E97E36"/>
    <w:rsid w:val="4420757C"/>
    <w:rsid w:val="446FF0BE"/>
    <w:rsid w:val="449BBA9C"/>
    <w:rsid w:val="44DF138D"/>
    <w:rsid w:val="4504D0FF"/>
    <w:rsid w:val="4535E99B"/>
    <w:rsid w:val="4566E170"/>
    <w:rsid w:val="457E6570"/>
    <w:rsid w:val="45B53913"/>
    <w:rsid w:val="45B6B1CA"/>
    <w:rsid w:val="45D34FB7"/>
    <w:rsid w:val="465622FE"/>
    <w:rsid w:val="46C34703"/>
    <w:rsid w:val="46E999F2"/>
    <w:rsid w:val="47C3AF6C"/>
    <w:rsid w:val="47CC3B02"/>
    <w:rsid w:val="47CC4AC2"/>
    <w:rsid w:val="482CCBE5"/>
    <w:rsid w:val="4830CAB9"/>
    <w:rsid w:val="483A813A"/>
    <w:rsid w:val="4866DB5F"/>
    <w:rsid w:val="487516C2"/>
    <w:rsid w:val="4885E14B"/>
    <w:rsid w:val="48B7C848"/>
    <w:rsid w:val="48FCED52"/>
    <w:rsid w:val="490F469D"/>
    <w:rsid w:val="4918245B"/>
    <w:rsid w:val="491D6AA1"/>
    <w:rsid w:val="49291B62"/>
    <w:rsid w:val="495EFCFC"/>
    <w:rsid w:val="49A46773"/>
    <w:rsid w:val="4A3563A8"/>
    <w:rsid w:val="4A573229"/>
    <w:rsid w:val="4A8266DA"/>
    <w:rsid w:val="4AC948C6"/>
    <w:rsid w:val="4AF28A30"/>
    <w:rsid w:val="4AF3C3C1"/>
    <w:rsid w:val="4B050001"/>
    <w:rsid w:val="4B3E6C6C"/>
    <w:rsid w:val="4C1053E4"/>
    <w:rsid w:val="4C1C600A"/>
    <w:rsid w:val="4C1FD13C"/>
    <w:rsid w:val="4C376654"/>
    <w:rsid w:val="4C825B55"/>
    <w:rsid w:val="4C8300C0"/>
    <w:rsid w:val="4CA0B276"/>
    <w:rsid w:val="4CCB8FD6"/>
    <w:rsid w:val="4CF37719"/>
    <w:rsid w:val="4CF776CD"/>
    <w:rsid w:val="4CFA5FF3"/>
    <w:rsid w:val="4D0D03D8"/>
    <w:rsid w:val="4D194BBA"/>
    <w:rsid w:val="4D20CE2E"/>
    <w:rsid w:val="4D49E85F"/>
    <w:rsid w:val="4D68A11B"/>
    <w:rsid w:val="4D97EDC5"/>
    <w:rsid w:val="4DCC3334"/>
    <w:rsid w:val="4DFF4BD2"/>
    <w:rsid w:val="4E0D808C"/>
    <w:rsid w:val="4E1F7008"/>
    <w:rsid w:val="4E20EAEC"/>
    <w:rsid w:val="4E3BEF68"/>
    <w:rsid w:val="4E87E3E5"/>
    <w:rsid w:val="4EC2AFC2"/>
    <w:rsid w:val="4EEB2187"/>
    <w:rsid w:val="4EF149FD"/>
    <w:rsid w:val="4EF3FF66"/>
    <w:rsid w:val="4EF9A799"/>
    <w:rsid w:val="4F43680D"/>
    <w:rsid w:val="4F81C6EC"/>
    <w:rsid w:val="4FC4D548"/>
    <w:rsid w:val="4FD77E58"/>
    <w:rsid w:val="4FD848C1"/>
    <w:rsid w:val="4FD97AE0"/>
    <w:rsid w:val="4FE1014C"/>
    <w:rsid w:val="4FF3EFED"/>
    <w:rsid w:val="50170A07"/>
    <w:rsid w:val="505249AD"/>
    <w:rsid w:val="505339A7"/>
    <w:rsid w:val="509C0D85"/>
    <w:rsid w:val="50A43A40"/>
    <w:rsid w:val="511B7D7C"/>
    <w:rsid w:val="511BB526"/>
    <w:rsid w:val="515EC3A5"/>
    <w:rsid w:val="5270435A"/>
    <w:rsid w:val="528E1A21"/>
    <w:rsid w:val="530B14E0"/>
    <w:rsid w:val="53111831"/>
    <w:rsid w:val="53344C69"/>
    <w:rsid w:val="534D9B4C"/>
    <w:rsid w:val="537B646B"/>
    <w:rsid w:val="537BE609"/>
    <w:rsid w:val="5386B9D8"/>
    <w:rsid w:val="53AD688B"/>
    <w:rsid w:val="53D41360"/>
    <w:rsid w:val="5493832B"/>
    <w:rsid w:val="54BB9350"/>
    <w:rsid w:val="55655734"/>
    <w:rsid w:val="55681EF9"/>
    <w:rsid w:val="55904728"/>
    <w:rsid w:val="55B43FB4"/>
    <w:rsid w:val="563573F4"/>
    <w:rsid w:val="56808725"/>
    <w:rsid w:val="5696D194"/>
    <w:rsid w:val="56DBF14A"/>
    <w:rsid w:val="56E94D0C"/>
    <w:rsid w:val="5737043E"/>
    <w:rsid w:val="575249A4"/>
    <w:rsid w:val="577FEC4C"/>
    <w:rsid w:val="5788CC88"/>
    <w:rsid w:val="5793D731"/>
    <w:rsid w:val="58124C8E"/>
    <w:rsid w:val="5858F3DA"/>
    <w:rsid w:val="589409CF"/>
    <w:rsid w:val="58BFA80E"/>
    <w:rsid w:val="58CF8E83"/>
    <w:rsid w:val="58F75BC9"/>
    <w:rsid w:val="5905F760"/>
    <w:rsid w:val="594E2D7A"/>
    <w:rsid w:val="59D63CFB"/>
    <w:rsid w:val="5A07CAA6"/>
    <w:rsid w:val="5A1B1835"/>
    <w:rsid w:val="5A5302E4"/>
    <w:rsid w:val="5A7A0913"/>
    <w:rsid w:val="5B5292C6"/>
    <w:rsid w:val="5B576A0F"/>
    <w:rsid w:val="5B675963"/>
    <w:rsid w:val="5B8492AA"/>
    <w:rsid w:val="5BCAE9F6"/>
    <w:rsid w:val="5BDBF21D"/>
    <w:rsid w:val="5BE17949"/>
    <w:rsid w:val="5C0E88A3"/>
    <w:rsid w:val="5C4F3119"/>
    <w:rsid w:val="5CD88ECF"/>
    <w:rsid w:val="5CFC31B1"/>
    <w:rsid w:val="5D0D7250"/>
    <w:rsid w:val="5D30ED26"/>
    <w:rsid w:val="5D38E64C"/>
    <w:rsid w:val="5D9F6E01"/>
    <w:rsid w:val="5DE25332"/>
    <w:rsid w:val="5DF9A550"/>
    <w:rsid w:val="5E368B58"/>
    <w:rsid w:val="5E5FB5A3"/>
    <w:rsid w:val="5EFAA172"/>
    <w:rsid w:val="5F617615"/>
    <w:rsid w:val="5FB248E4"/>
    <w:rsid w:val="5FE85DF6"/>
    <w:rsid w:val="5FF173B8"/>
    <w:rsid w:val="60081BC1"/>
    <w:rsid w:val="60404006"/>
    <w:rsid w:val="6058B126"/>
    <w:rsid w:val="6061C9A4"/>
    <w:rsid w:val="609401F7"/>
    <w:rsid w:val="60AEECA5"/>
    <w:rsid w:val="60F2062B"/>
    <w:rsid w:val="60F79B3C"/>
    <w:rsid w:val="61027312"/>
    <w:rsid w:val="613D604D"/>
    <w:rsid w:val="61948726"/>
    <w:rsid w:val="61BECF14"/>
    <w:rsid w:val="61F6E1AC"/>
    <w:rsid w:val="61FCEC0E"/>
    <w:rsid w:val="62C3EB3E"/>
    <w:rsid w:val="62D5525C"/>
    <w:rsid w:val="62F0E4AC"/>
    <w:rsid w:val="63705846"/>
    <w:rsid w:val="638521CF"/>
    <w:rsid w:val="6395764C"/>
    <w:rsid w:val="639FCF59"/>
    <w:rsid w:val="63A51476"/>
    <w:rsid w:val="63A932F8"/>
    <w:rsid w:val="643253BF"/>
    <w:rsid w:val="647A7BFF"/>
    <w:rsid w:val="6487A0EC"/>
    <w:rsid w:val="65344385"/>
    <w:rsid w:val="6553272D"/>
    <w:rsid w:val="65B9CF72"/>
    <w:rsid w:val="6605D9D1"/>
    <w:rsid w:val="66279921"/>
    <w:rsid w:val="6683E19F"/>
    <w:rsid w:val="6696D3C4"/>
    <w:rsid w:val="66D1267B"/>
    <w:rsid w:val="66DB7FF8"/>
    <w:rsid w:val="6703C009"/>
    <w:rsid w:val="67104C2E"/>
    <w:rsid w:val="6710BA9B"/>
    <w:rsid w:val="677C5B68"/>
    <w:rsid w:val="677F1B5C"/>
    <w:rsid w:val="67D14957"/>
    <w:rsid w:val="67EDDF87"/>
    <w:rsid w:val="67EE91AC"/>
    <w:rsid w:val="6812E53D"/>
    <w:rsid w:val="681DB334"/>
    <w:rsid w:val="6854ABA0"/>
    <w:rsid w:val="68E7DE2D"/>
    <w:rsid w:val="68EF6973"/>
    <w:rsid w:val="69339D19"/>
    <w:rsid w:val="69572A28"/>
    <w:rsid w:val="69A723D4"/>
    <w:rsid w:val="69BA081A"/>
    <w:rsid w:val="69C1FE69"/>
    <w:rsid w:val="69D575F4"/>
    <w:rsid w:val="69D73E6B"/>
    <w:rsid w:val="69E9772F"/>
    <w:rsid w:val="69F214CF"/>
    <w:rsid w:val="69FE361F"/>
    <w:rsid w:val="6A0DEFAB"/>
    <w:rsid w:val="6A1052C1"/>
    <w:rsid w:val="6A2AED1A"/>
    <w:rsid w:val="6A417305"/>
    <w:rsid w:val="6A6E29EF"/>
    <w:rsid w:val="6AD68D5B"/>
    <w:rsid w:val="6B0E9CBC"/>
    <w:rsid w:val="6B484443"/>
    <w:rsid w:val="6B5DD2C7"/>
    <w:rsid w:val="6B7744C6"/>
    <w:rsid w:val="6C0D7835"/>
    <w:rsid w:val="6C0E59A2"/>
    <w:rsid w:val="6C310610"/>
    <w:rsid w:val="6C50D1B0"/>
    <w:rsid w:val="6C9D1D0E"/>
    <w:rsid w:val="6CE64FDF"/>
    <w:rsid w:val="6D05E1F2"/>
    <w:rsid w:val="6D18E9EB"/>
    <w:rsid w:val="6D974D3C"/>
    <w:rsid w:val="6DD2479C"/>
    <w:rsid w:val="6E762A59"/>
    <w:rsid w:val="6EA11301"/>
    <w:rsid w:val="6EEA1978"/>
    <w:rsid w:val="6EFF3BB4"/>
    <w:rsid w:val="6F70F517"/>
    <w:rsid w:val="6FB44667"/>
    <w:rsid w:val="6FB86C87"/>
    <w:rsid w:val="7009AC77"/>
    <w:rsid w:val="703312CA"/>
    <w:rsid w:val="70887281"/>
    <w:rsid w:val="70CF698E"/>
    <w:rsid w:val="70EAA282"/>
    <w:rsid w:val="7115833B"/>
    <w:rsid w:val="715C33CC"/>
    <w:rsid w:val="716335D1"/>
    <w:rsid w:val="71695374"/>
    <w:rsid w:val="7183EAB9"/>
    <w:rsid w:val="7198562D"/>
    <w:rsid w:val="71B73DE8"/>
    <w:rsid w:val="71E0ACF8"/>
    <w:rsid w:val="720A1B4E"/>
    <w:rsid w:val="7242076F"/>
    <w:rsid w:val="72A11A4C"/>
    <w:rsid w:val="72A45BD1"/>
    <w:rsid w:val="72C7CE22"/>
    <w:rsid w:val="72D359F1"/>
    <w:rsid w:val="73A18AD6"/>
    <w:rsid w:val="73E1C3DD"/>
    <w:rsid w:val="7409B805"/>
    <w:rsid w:val="75044AD5"/>
    <w:rsid w:val="75126B1E"/>
    <w:rsid w:val="7519D8BD"/>
    <w:rsid w:val="754B8011"/>
    <w:rsid w:val="7583136B"/>
    <w:rsid w:val="75A84D93"/>
    <w:rsid w:val="7604AC0A"/>
    <w:rsid w:val="7661AEAB"/>
    <w:rsid w:val="76AA1234"/>
    <w:rsid w:val="76D00EB5"/>
    <w:rsid w:val="76F2A7C8"/>
    <w:rsid w:val="775F67FB"/>
    <w:rsid w:val="77D9CDBC"/>
    <w:rsid w:val="783EF0C7"/>
    <w:rsid w:val="78B76BA3"/>
    <w:rsid w:val="790196CA"/>
    <w:rsid w:val="79653722"/>
    <w:rsid w:val="79DC7D7E"/>
    <w:rsid w:val="79F2CC02"/>
    <w:rsid w:val="7A0E3043"/>
    <w:rsid w:val="7A2D6AED"/>
    <w:rsid w:val="7A8B1B80"/>
    <w:rsid w:val="7B2AE0CA"/>
    <w:rsid w:val="7B32A35E"/>
    <w:rsid w:val="7B4FC687"/>
    <w:rsid w:val="7B5DA818"/>
    <w:rsid w:val="7B75299F"/>
    <w:rsid w:val="7B8F60A2"/>
    <w:rsid w:val="7BAABF84"/>
    <w:rsid w:val="7C05C901"/>
    <w:rsid w:val="7C2E950E"/>
    <w:rsid w:val="7C3F6D08"/>
    <w:rsid w:val="7C445C55"/>
    <w:rsid w:val="7C4DBCBF"/>
    <w:rsid w:val="7C6C44A9"/>
    <w:rsid w:val="7C6CA4F4"/>
    <w:rsid w:val="7CA97DE6"/>
    <w:rsid w:val="7CC5B516"/>
    <w:rsid w:val="7D6925AD"/>
    <w:rsid w:val="7D8ABBCC"/>
    <w:rsid w:val="7D9AAA62"/>
    <w:rsid w:val="7E191A25"/>
    <w:rsid w:val="7EB4AEB0"/>
    <w:rsid w:val="7ED3E57B"/>
    <w:rsid w:val="7EE797CE"/>
    <w:rsid w:val="7F3B69CA"/>
    <w:rsid w:val="7F4A306C"/>
    <w:rsid w:val="7F549ADC"/>
    <w:rsid w:val="7F803769"/>
    <w:rsid w:val="7FB8F0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258771"/>
  <w15:chartTrackingRefBased/>
  <w15:docId w15:val="{8B03649C-F46D-42CA-BB86-F01DA8AC2C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B64925"/>
  </w:style>
  <w:style w:type="paragraph" w:styleId="Heading1">
    <w:name w:val="heading 1"/>
    <w:basedOn w:val="Normal"/>
    <w:next w:val="Normal"/>
    <w:link w:val="Heading1Char"/>
    <w:uiPriority w:val="9"/>
    <w:qFormat/>
    <w:rsid w:val="00B64925"/>
    <w:pPr>
      <w:keepNext/>
      <w:keepLines/>
      <w:pBdr>
        <w:bottom w:val="single" w:color="156082" w:themeColor="accent1" w:sz="4" w:space="1"/>
      </w:pBdr>
      <w:spacing w:before="400" w:after="40" w:line="240" w:lineRule="auto"/>
      <w:outlineLvl w:val="0"/>
    </w:pPr>
    <w:rPr>
      <w:rFonts w:asciiTheme="majorHAnsi" w:hAnsiTheme="majorHAnsi" w:eastAsiaTheme="majorEastAsia" w:cstheme="majorBidi"/>
      <w:color w:val="0F4761" w:themeColor="accent1" w:themeShade="BF"/>
      <w:sz w:val="36"/>
      <w:szCs w:val="36"/>
    </w:rPr>
  </w:style>
  <w:style w:type="paragraph" w:styleId="Heading2">
    <w:name w:val="heading 2"/>
    <w:basedOn w:val="Normal"/>
    <w:next w:val="Normal"/>
    <w:link w:val="Heading2Char"/>
    <w:uiPriority w:val="9"/>
    <w:semiHidden/>
    <w:unhideWhenUsed/>
    <w:qFormat/>
    <w:rsid w:val="00B64925"/>
    <w:pPr>
      <w:keepNext/>
      <w:keepLines/>
      <w:spacing w:before="160" w:after="0" w:line="240" w:lineRule="auto"/>
      <w:outlineLvl w:val="1"/>
    </w:pPr>
    <w:rPr>
      <w:rFonts w:asciiTheme="majorHAnsi" w:hAnsiTheme="majorHAnsi" w:eastAsiaTheme="majorEastAsia" w:cstheme="majorBidi"/>
      <w:color w:val="0F4761" w:themeColor="accent1" w:themeShade="BF"/>
      <w:sz w:val="28"/>
      <w:szCs w:val="28"/>
    </w:rPr>
  </w:style>
  <w:style w:type="paragraph" w:styleId="Heading3">
    <w:name w:val="heading 3"/>
    <w:basedOn w:val="Normal"/>
    <w:next w:val="Normal"/>
    <w:link w:val="Heading3Char"/>
    <w:uiPriority w:val="9"/>
    <w:semiHidden/>
    <w:unhideWhenUsed/>
    <w:qFormat/>
    <w:rsid w:val="00B64925"/>
    <w:pPr>
      <w:keepNext/>
      <w:keepLines/>
      <w:spacing w:before="80" w:after="0" w:line="240" w:lineRule="auto"/>
      <w:outlineLvl w:val="2"/>
    </w:pPr>
    <w:rPr>
      <w:rFonts w:asciiTheme="majorHAnsi" w:hAnsiTheme="majorHAnsi" w:eastAsiaTheme="majorEastAsia"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B64925"/>
    <w:pPr>
      <w:keepNext/>
      <w:keepLines/>
      <w:spacing w:before="80" w:after="0"/>
      <w:outlineLvl w:val="3"/>
    </w:pPr>
    <w:rPr>
      <w:rFonts w:asciiTheme="majorHAnsi" w:hAnsiTheme="majorHAnsi" w:eastAsiaTheme="majorEastAsia" w:cstheme="majorBidi"/>
      <w:sz w:val="24"/>
      <w:szCs w:val="24"/>
    </w:rPr>
  </w:style>
  <w:style w:type="paragraph" w:styleId="Heading5">
    <w:name w:val="heading 5"/>
    <w:basedOn w:val="Normal"/>
    <w:next w:val="Normal"/>
    <w:link w:val="Heading5Char"/>
    <w:uiPriority w:val="9"/>
    <w:semiHidden/>
    <w:unhideWhenUsed/>
    <w:qFormat/>
    <w:rsid w:val="00B64925"/>
    <w:pPr>
      <w:keepNext/>
      <w:keepLines/>
      <w:spacing w:before="80" w:after="0"/>
      <w:outlineLvl w:val="4"/>
    </w:pPr>
    <w:rPr>
      <w:rFonts w:asciiTheme="majorHAnsi" w:hAnsiTheme="majorHAnsi" w:eastAsiaTheme="majorEastAsia" w:cstheme="majorBidi"/>
      <w:i/>
      <w:iCs/>
      <w:sz w:val="22"/>
      <w:szCs w:val="22"/>
    </w:rPr>
  </w:style>
  <w:style w:type="paragraph" w:styleId="Heading6">
    <w:name w:val="heading 6"/>
    <w:basedOn w:val="Normal"/>
    <w:next w:val="Normal"/>
    <w:link w:val="Heading6Char"/>
    <w:uiPriority w:val="9"/>
    <w:semiHidden/>
    <w:unhideWhenUsed/>
    <w:qFormat/>
    <w:rsid w:val="00B64925"/>
    <w:pPr>
      <w:keepNext/>
      <w:keepLines/>
      <w:spacing w:before="80" w:after="0"/>
      <w:outlineLvl w:val="5"/>
    </w:pPr>
    <w:rPr>
      <w:rFonts w:asciiTheme="majorHAnsi" w:hAnsiTheme="majorHAnsi" w:eastAsiaTheme="majorEastAsia" w:cstheme="majorBidi"/>
      <w:color w:val="595959" w:themeColor="text1" w:themeTint="A6"/>
    </w:rPr>
  </w:style>
  <w:style w:type="paragraph" w:styleId="Heading7">
    <w:name w:val="heading 7"/>
    <w:basedOn w:val="Normal"/>
    <w:next w:val="Normal"/>
    <w:link w:val="Heading7Char"/>
    <w:uiPriority w:val="9"/>
    <w:semiHidden/>
    <w:unhideWhenUsed/>
    <w:qFormat/>
    <w:rsid w:val="00B64925"/>
    <w:pPr>
      <w:keepNext/>
      <w:keepLines/>
      <w:spacing w:before="80" w:after="0"/>
      <w:outlineLvl w:val="6"/>
    </w:pPr>
    <w:rPr>
      <w:rFonts w:asciiTheme="majorHAnsi" w:hAnsiTheme="majorHAnsi" w:eastAsiaTheme="majorEastAsia" w:cstheme="majorBidi"/>
      <w:i/>
      <w:iCs/>
      <w:color w:val="595959" w:themeColor="text1" w:themeTint="A6"/>
    </w:rPr>
  </w:style>
  <w:style w:type="paragraph" w:styleId="Heading8">
    <w:name w:val="heading 8"/>
    <w:basedOn w:val="Normal"/>
    <w:next w:val="Normal"/>
    <w:link w:val="Heading8Char"/>
    <w:uiPriority w:val="9"/>
    <w:semiHidden/>
    <w:unhideWhenUsed/>
    <w:qFormat/>
    <w:rsid w:val="00B64925"/>
    <w:pPr>
      <w:keepNext/>
      <w:keepLines/>
      <w:spacing w:before="80" w:after="0"/>
      <w:outlineLvl w:val="7"/>
    </w:pPr>
    <w:rPr>
      <w:rFonts w:asciiTheme="majorHAnsi" w:hAnsiTheme="majorHAnsi" w:eastAsiaTheme="majorEastAsia" w:cstheme="majorBidi"/>
      <w:smallCaps/>
      <w:color w:val="595959" w:themeColor="text1" w:themeTint="A6"/>
    </w:rPr>
  </w:style>
  <w:style w:type="paragraph" w:styleId="Heading9">
    <w:name w:val="heading 9"/>
    <w:basedOn w:val="Normal"/>
    <w:next w:val="Normal"/>
    <w:link w:val="Heading9Char"/>
    <w:uiPriority w:val="9"/>
    <w:semiHidden/>
    <w:unhideWhenUsed/>
    <w:qFormat/>
    <w:rsid w:val="00B64925"/>
    <w:pPr>
      <w:keepNext/>
      <w:keepLines/>
      <w:spacing w:before="80" w:after="0"/>
      <w:outlineLvl w:val="8"/>
    </w:pPr>
    <w:rPr>
      <w:rFonts w:asciiTheme="majorHAnsi" w:hAnsiTheme="majorHAnsi" w:eastAsiaTheme="majorEastAsia" w:cstheme="majorBidi"/>
      <w:i/>
      <w:iCs/>
      <w:smallCaps/>
      <w:color w:val="595959" w:themeColor="text1" w:themeTint="A6"/>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64925"/>
    <w:rPr>
      <w:rFonts w:asciiTheme="majorHAnsi" w:hAnsiTheme="majorHAnsi" w:eastAsiaTheme="majorEastAsia" w:cstheme="majorBidi"/>
      <w:color w:val="0F4761" w:themeColor="accent1" w:themeShade="BF"/>
      <w:sz w:val="36"/>
      <w:szCs w:val="36"/>
    </w:rPr>
  </w:style>
  <w:style w:type="character" w:styleId="Heading2Char" w:customStyle="1">
    <w:name w:val="Heading 2 Char"/>
    <w:basedOn w:val="DefaultParagraphFont"/>
    <w:link w:val="Heading2"/>
    <w:uiPriority w:val="9"/>
    <w:semiHidden/>
    <w:rsid w:val="00B64925"/>
    <w:rPr>
      <w:rFonts w:asciiTheme="majorHAnsi" w:hAnsiTheme="majorHAnsi" w:eastAsiaTheme="majorEastAsia" w:cstheme="majorBidi"/>
      <w:color w:val="0F4761" w:themeColor="accent1" w:themeShade="BF"/>
      <w:sz w:val="28"/>
      <w:szCs w:val="28"/>
    </w:rPr>
  </w:style>
  <w:style w:type="character" w:styleId="Heading3Char" w:customStyle="1">
    <w:name w:val="Heading 3 Char"/>
    <w:basedOn w:val="DefaultParagraphFont"/>
    <w:link w:val="Heading3"/>
    <w:uiPriority w:val="9"/>
    <w:semiHidden/>
    <w:rsid w:val="00B64925"/>
    <w:rPr>
      <w:rFonts w:asciiTheme="majorHAnsi" w:hAnsiTheme="majorHAnsi" w:eastAsiaTheme="majorEastAsia" w:cstheme="majorBidi"/>
      <w:color w:val="404040" w:themeColor="text1" w:themeTint="BF"/>
      <w:sz w:val="26"/>
      <w:szCs w:val="26"/>
    </w:rPr>
  </w:style>
  <w:style w:type="character" w:styleId="Heading4Char" w:customStyle="1">
    <w:name w:val="Heading 4 Char"/>
    <w:basedOn w:val="DefaultParagraphFont"/>
    <w:link w:val="Heading4"/>
    <w:uiPriority w:val="9"/>
    <w:semiHidden/>
    <w:rsid w:val="00B64925"/>
    <w:rPr>
      <w:rFonts w:asciiTheme="majorHAnsi" w:hAnsiTheme="majorHAnsi" w:eastAsiaTheme="majorEastAsia" w:cstheme="majorBidi"/>
      <w:sz w:val="24"/>
      <w:szCs w:val="24"/>
    </w:rPr>
  </w:style>
  <w:style w:type="character" w:styleId="Heading5Char" w:customStyle="1">
    <w:name w:val="Heading 5 Char"/>
    <w:basedOn w:val="DefaultParagraphFont"/>
    <w:link w:val="Heading5"/>
    <w:uiPriority w:val="9"/>
    <w:semiHidden/>
    <w:rsid w:val="00B64925"/>
    <w:rPr>
      <w:rFonts w:asciiTheme="majorHAnsi" w:hAnsiTheme="majorHAnsi" w:eastAsiaTheme="majorEastAsia" w:cstheme="majorBidi"/>
      <w:i/>
      <w:iCs/>
      <w:sz w:val="22"/>
      <w:szCs w:val="22"/>
    </w:rPr>
  </w:style>
  <w:style w:type="character" w:styleId="Heading6Char" w:customStyle="1">
    <w:name w:val="Heading 6 Char"/>
    <w:basedOn w:val="DefaultParagraphFont"/>
    <w:link w:val="Heading6"/>
    <w:uiPriority w:val="9"/>
    <w:semiHidden/>
    <w:rsid w:val="00B64925"/>
    <w:rPr>
      <w:rFonts w:asciiTheme="majorHAnsi" w:hAnsiTheme="majorHAnsi" w:eastAsiaTheme="majorEastAsia" w:cstheme="majorBidi"/>
      <w:color w:val="595959" w:themeColor="text1" w:themeTint="A6"/>
    </w:rPr>
  </w:style>
  <w:style w:type="character" w:styleId="Heading7Char" w:customStyle="1">
    <w:name w:val="Heading 7 Char"/>
    <w:basedOn w:val="DefaultParagraphFont"/>
    <w:link w:val="Heading7"/>
    <w:uiPriority w:val="9"/>
    <w:semiHidden/>
    <w:rsid w:val="00B64925"/>
    <w:rPr>
      <w:rFonts w:asciiTheme="majorHAnsi" w:hAnsiTheme="majorHAnsi" w:eastAsiaTheme="majorEastAsia" w:cstheme="majorBidi"/>
      <w:i/>
      <w:iCs/>
      <w:color w:val="595959" w:themeColor="text1" w:themeTint="A6"/>
    </w:rPr>
  </w:style>
  <w:style w:type="character" w:styleId="Heading8Char" w:customStyle="1">
    <w:name w:val="Heading 8 Char"/>
    <w:basedOn w:val="DefaultParagraphFont"/>
    <w:link w:val="Heading8"/>
    <w:uiPriority w:val="9"/>
    <w:semiHidden/>
    <w:rsid w:val="00B64925"/>
    <w:rPr>
      <w:rFonts w:asciiTheme="majorHAnsi" w:hAnsiTheme="majorHAnsi" w:eastAsiaTheme="majorEastAsia" w:cstheme="majorBidi"/>
      <w:smallCaps/>
      <w:color w:val="595959" w:themeColor="text1" w:themeTint="A6"/>
    </w:rPr>
  </w:style>
  <w:style w:type="character" w:styleId="Heading9Char" w:customStyle="1">
    <w:name w:val="Heading 9 Char"/>
    <w:basedOn w:val="DefaultParagraphFont"/>
    <w:link w:val="Heading9"/>
    <w:uiPriority w:val="9"/>
    <w:semiHidden/>
    <w:rsid w:val="00B64925"/>
    <w:rPr>
      <w:rFonts w:asciiTheme="majorHAnsi" w:hAnsiTheme="majorHAnsi" w:eastAsiaTheme="majorEastAsia" w:cstheme="majorBidi"/>
      <w:i/>
      <w:iCs/>
      <w:smallCaps/>
      <w:color w:val="595959" w:themeColor="text1" w:themeTint="A6"/>
    </w:rPr>
  </w:style>
  <w:style w:type="paragraph" w:styleId="Title">
    <w:name w:val="Title"/>
    <w:basedOn w:val="Normal"/>
    <w:next w:val="Normal"/>
    <w:link w:val="TitleChar"/>
    <w:uiPriority w:val="10"/>
    <w:qFormat/>
    <w:rsid w:val="00B64925"/>
    <w:pPr>
      <w:spacing w:after="0" w:line="240" w:lineRule="auto"/>
      <w:contextualSpacing/>
    </w:pPr>
    <w:rPr>
      <w:rFonts w:asciiTheme="majorHAnsi" w:hAnsiTheme="majorHAnsi" w:eastAsiaTheme="majorEastAsia" w:cstheme="majorBidi"/>
      <w:color w:val="0F4761" w:themeColor="accent1" w:themeShade="BF"/>
      <w:spacing w:val="-7"/>
      <w:sz w:val="80"/>
      <w:szCs w:val="80"/>
    </w:rPr>
  </w:style>
  <w:style w:type="character" w:styleId="TitleChar" w:customStyle="1">
    <w:name w:val="Title Char"/>
    <w:basedOn w:val="DefaultParagraphFont"/>
    <w:link w:val="Title"/>
    <w:uiPriority w:val="10"/>
    <w:rsid w:val="00B64925"/>
    <w:rPr>
      <w:rFonts w:asciiTheme="majorHAnsi" w:hAnsiTheme="majorHAnsi" w:eastAsiaTheme="majorEastAsia" w:cstheme="majorBidi"/>
      <w:color w:val="0F4761" w:themeColor="accent1" w:themeShade="BF"/>
      <w:spacing w:val="-7"/>
      <w:sz w:val="80"/>
      <w:szCs w:val="80"/>
    </w:rPr>
  </w:style>
  <w:style w:type="paragraph" w:styleId="Subtitle">
    <w:name w:val="Subtitle"/>
    <w:basedOn w:val="Normal"/>
    <w:next w:val="Normal"/>
    <w:link w:val="SubtitleChar"/>
    <w:uiPriority w:val="11"/>
    <w:qFormat/>
    <w:rsid w:val="00B64925"/>
    <w:pPr>
      <w:numPr>
        <w:ilvl w:val="1"/>
      </w:numPr>
      <w:spacing w:after="240" w:line="240" w:lineRule="auto"/>
    </w:pPr>
    <w:rPr>
      <w:rFonts w:asciiTheme="majorHAnsi" w:hAnsiTheme="majorHAnsi" w:eastAsiaTheme="majorEastAsia" w:cstheme="majorBidi"/>
      <w:color w:val="404040" w:themeColor="text1" w:themeTint="BF"/>
      <w:sz w:val="30"/>
      <w:szCs w:val="30"/>
    </w:rPr>
  </w:style>
  <w:style w:type="character" w:styleId="SubtitleChar" w:customStyle="1">
    <w:name w:val="Subtitle Char"/>
    <w:basedOn w:val="DefaultParagraphFont"/>
    <w:link w:val="Subtitle"/>
    <w:uiPriority w:val="11"/>
    <w:rsid w:val="00B64925"/>
    <w:rPr>
      <w:rFonts w:asciiTheme="majorHAnsi" w:hAnsiTheme="majorHAnsi" w:eastAsiaTheme="majorEastAsia" w:cstheme="majorBidi"/>
      <w:color w:val="404040" w:themeColor="text1" w:themeTint="BF"/>
      <w:sz w:val="30"/>
      <w:szCs w:val="30"/>
    </w:rPr>
  </w:style>
  <w:style w:type="paragraph" w:styleId="Quote">
    <w:name w:val="Quote"/>
    <w:basedOn w:val="Normal"/>
    <w:next w:val="Normal"/>
    <w:link w:val="QuoteChar"/>
    <w:uiPriority w:val="29"/>
    <w:qFormat/>
    <w:rsid w:val="00B64925"/>
    <w:pPr>
      <w:spacing w:before="240" w:after="240" w:line="252" w:lineRule="auto"/>
      <w:ind w:left="864" w:right="864"/>
      <w:jc w:val="center"/>
    </w:pPr>
    <w:rPr>
      <w:i/>
      <w:iCs/>
    </w:rPr>
  </w:style>
  <w:style w:type="character" w:styleId="QuoteChar" w:customStyle="1">
    <w:name w:val="Quote Char"/>
    <w:basedOn w:val="DefaultParagraphFont"/>
    <w:link w:val="Quote"/>
    <w:uiPriority w:val="29"/>
    <w:rsid w:val="00B64925"/>
    <w:rPr>
      <w:i/>
      <w:iCs/>
    </w:rPr>
  </w:style>
  <w:style w:type="paragraph" w:styleId="ListParagraph">
    <w:name w:val="List Paragraph"/>
    <w:basedOn w:val="Normal"/>
    <w:uiPriority w:val="34"/>
    <w:qFormat/>
    <w:rsid w:val="00B25E43"/>
    <w:pPr>
      <w:ind w:left="720"/>
      <w:contextualSpacing/>
    </w:pPr>
  </w:style>
  <w:style w:type="character" w:styleId="IntenseEmphasis">
    <w:name w:val="Intense Emphasis"/>
    <w:basedOn w:val="DefaultParagraphFont"/>
    <w:uiPriority w:val="21"/>
    <w:qFormat/>
    <w:rsid w:val="00B64925"/>
    <w:rPr>
      <w:b/>
      <w:bCs/>
      <w:i/>
      <w:iCs/>
    </w:rPr>
  </w:style>
  <w:style w:type="paragraph" w:styleId="IntenseQuote">
    <w:name w:val="Intense Quote"/>
    <w:basedOn w:val="Normal"/>
    <w:next w:val="Normal"/>
    <w:link w:val="IntenseQuoteChar"/>
    <w:uiPriority w:val="30"/>
    <w:qFormat/>
    <w:rsid w:val="00B64925"/>
    <w:pPr>
      <w:spacing w:before="100" w:beforeAutospacing="1" w:after="240"/>
      <w:ind w:left="864" w:right="864"/>
      <w:jc w:val="center"/>
    </w:pPr>
    <w:rPr>
      <w:rFonts w:asciiTheme="majorHAnsi" w:hAnsiTheme="majorHAnsi" w:eastAsiaTheme="majorEastAsia" w:cstheme="majorBidi"/>
      <w:color w:val="156082" w:themeColor="accent1"/>
      <w:sz w:val="28"/>
      <w:szCs w:val="28"/>
    </w:rPr>
  </w:style>
  <w:style w:type="character" w:styleId="IntenseQuoteChar" w:customStyle="1">
    <w:name w:val="Intense Quote Char"/>
    <w:basedOn w:val="DefaultParagraphFont"/>
    <w:link w:val="IntenseQuote"/>
    <w:uiPriority w:val="30"/>
    <w:rsid w:val="00B64925"/>
    <w:rPr>
      <w:rFonts w:asciiTheme="majorHAnsi" w:hAnsiTheme="majorHAnsi" w:eastAsiaTheme="majorEastAsia" w:cstheme="majorBidi"/>
      <w:color w:val="156082" w:themeColor="accent1"/>
      <w:sz w:val="28"/>
      <w:szCs w:val="28"/>
    </w:rPr>
  </w:style>
  <w:style w:type="character" w:styleId="IntenseReference">
    <w:name w:val="Intense Reference"/>
    <w:basedOn w:val="DefaultParagraphFont"/>
    <w:uiPriority w:val="32"/>
    <w:qFormat/>
    <w:rsid w:val="00B64925"/>
    <w:rPr>
      <w:b/>
      <w:bCs/>
      <w:smallCaps/>
      <w:u w:val="single"/>
    </w:rPr>
  </w:style>
  <w:style w:type="paragraph" w:styleId="Caption">
    <w:name w:val="caption"/>
    <w:basedOn w:val="Normal"/>
    <w:next w:val="Normal"/>
    <w:uiPriority w:val="35"/>
    <w:semiHidden/>
    <w:unhideWhenUsed/>
    <w:qFormat/>
    <w:rsid w:val="00B64925"/>
    <w:pPr>
      <w:spacing w:line="240" w:lineRule="auto"/>
    </w:pPr>
    <w:rPr>
      <w:b/>
      <w:bCs/>
      <w:color w:val="404040" w:themeColor="text1" w:themeTint="BF"/>
      <w:sz w:val="20"/>
      <w:szCs w:val="20"/>
    </w:rPr>
  </w:style>
  <w:style w:type="character" w:styleId="Strong">
    <w:name w:val="Strong"/>
    <w:basedOn w:val="DefaultParagraphFont"/>
    <w:uiPriority w:val="22"/>
    <w:qFormat/>
    <w:rsid w:val="00B64925"/>
    <w:rPr>
      <w:b/>
      <w:bCs/>
    </w:rPr>
  </w:style>
  <w:style w:type="character" w:styleId="Emphasis">
    <w:name w:val="Emphasis"/>
    <w:basedOn w:val="DefaultParagraphFont"/>
    <w:uiPriority w:val="20"/>
    <w:qFormat/>
    <w:rsid w:val="00B64925"/>
    <w:rPr>
      <w:i/>
      <w:iCs/>
    </w:rPr>
  </w:style>
  <w:style w:type="paragraph" w:styleId="NoSpacing">
    <w:name w:val="No Spacing"/>
    <w:uiPriority w:val="1"/>
    <w:qFormat/>
    <w:rsid w:val="00B64925"/>
    <w:pPr>
      <w:spacing w:after="0" w:line="240" w:lineRule="auto"/>
    </w:pPr>
  </w:style>
  <w:style w:type="character" w:styleId="SubtleEmphasis">
    <w:name w:val="Subtle Emphasis"/>
    <w:basedOn w:val="DefaultParagraphFont"/>
    <w:uiPriority w:val="19"/>
    <w:qFormat/>
    <w:rsid w:val="00B64925"/>
    <w:rPr>
      <w:i/>
      <w:iCs/>
      <w:color w:val="595959" w:themeColor="text1" w:themeTint="A6"/>
    </w:rPr>
  </w:style>
  <w:style w:type="character" w:styleId="SubtleReference">
    <w:name w:val="Subtle Reference"/>
    <w:basedOn w:val="DefaultParagraphFont"/>
    <w:uiPriority w:val="31"/>
    <w:qFormat/>
    <w:rsid w:val="00B64925"/>
    <w:rPr>
      <w:smallCaps/>
      <w:color w:val="404040" w:themeColor="text1" w:themeTint="BF"/>
    </w:rPr>
  </w:style>
  <w:style w:type="character" w:styleId="BookTitle">
    <w:name w:val="Book Title"/>
    <w:basedOn w:val="DefaultParagraphFont"/>
    <w:uiPriority w:val="33"/>
    <w:qFormat/>
    <w:rsid w:val="00B64925"/>
    <w:rPr>
      <w:b/>
      <w:bCs/>
      <w:smallCaps/>
    </w:rPr>
  </w:style>
  <w:style w:type="paragraph" w:styleId="TOCHeading">
    <w:name w:val="TOC Heading"/>
    <w:basedOn w:val="Heading1"/>
    <w:next w:val="Normal"/>
    <w:uiPriority w:val="39"/>
    <w:semiHidden/>
    <w:unhideWhenUsed/>
    <w:qFormat/>
    <w:rsid w:val="00B64925"/>
    <w:pPr>
      <w:outlineLvl w:val="9"/>
    </w:pPr>
  </w:style>
  <w:style w:type="paragraph" w:styleId="EndnoteText">
    <w:uiPriority w:val="99"/>
    <w:name w:val="endnote text"/>
    <w:basedOn w:val="Normal"/>
    <w:semiHidden/>
    <w:unhideWhenUsed/>
    <w:rsid w:val="46E999F2"/>
    <w:rPr>
      <w:sz w:val="20"/>
      <w:szCs w:val="20"/>
    </w:rPr>
    <w:pPr>
      <w:spacing w:after="0" w:line="240" w:lineRule="auto"/>
    </w:pPr>
  </w:style>
  <w:style w:type="paragraph" w:styleId="FootnoteText">
    <w:uiPriority w:val="99"/>
    <w:name w:val="footnote text"/>
    <w:basedOn w:val="Normal"/>
    <w:semiHidden/>
    <w:unhideWhenUsed/>
    <w:rsid w:val="46E999F2"/>
    <w:rPr>
      <w:sz w:val="20"/>
      <w:szCs w:val="20"/>
    </w:rPr>
    <w:pPr>
      <w:spacing w:after="0" w:line="240" w:lineRule="auto"/>
    </w:pPr>
  </w:style>
  <w:style w:type="character" w:styleId="Hyperlink">
    <w:uiPriority w:val="99"/>
    <w:name w:val="Hyperlink"/>
    <w:basedOn w:val="DefaultParagraphFont"/>
    <w:unhideWhenUsed/>
    <w:rsid w:val="46E999F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tyles" Target="styles.xml" Id="rId3" /><Relationship Type="http://schemas.openxmlformats.org/officeDocument/2006/relationships/fontTable" Target="fontTable.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image" Target="media/image1.jpeg"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hyperlink" Target="https://doi.org/10.1556/EJQRP.12.2022.02" TargetMode="External" Id="Ra35805829f484323" /><Relationship Type="http://schemas.openxmlformats.org/officeDocument/2006/relationships/hyperlink" Target="https://www2.uwe.ac.uk/services/Marketing/students/Newstudents/HAS/Using%20thematic%20analysis%20in%20psychology.pdf" TargetMode="External" Id="Rf7e67cc26db84805" /><Relationship Type="http://schemas.openxmlformats.org/officeDocument/2006/relationships/hyperlink" Target="https://www.bacp.co.uk/media/18188/gpia-110-fs-boundaries-within-the-clg-profs-update-2023.pdf" TargetMode="External" Id="R07f3c9b92e5a4d68" /><Relationship Type="http://schemas.openxmlformats.org/officeDocument/2006/relationships/hyperlink" Target="https://www.counselling-directory.org.uk/articles/personal-boundaries-what-are-they-are-why-are-they-importan" TargetMode="External" Id="R85181582ff144d72" /><Relationship Type="http://schemas.openxmlformats.org/officeDocument/2006/relationships/hyperlink" Target="https://doi.org/10.1192/bja.2018.2" TargetMode="External" Id="Reedc77bc74de4dda" /><Relationship Type="http://schemas.openxmlformats.org/officeDocument/2006/relationships/hyperlink" Target="https://positivepsychology.com/popular-counseling-approaches" TargetMode="External" Id="R96176e76bc7a4226" /><Relationship Type="http://schemas.openxmlformats.org/officeDocument/2006/relationships/hyperlink" Target="https://doi.org/10.1080/09515070.2024.2431108" TargetMode="External" Id="R9f57ed0ea8314425" /><Relationship Type="http://schemas.openxmlformats.org/officeDocument/2006/relationships/hyperlink" Target="https://www.ncbi.nlm.nih.gov/books/NBK608012" TargetMode="External" Id="R23ccaa408e4e4dbb" /><Relationship Type="http://schemas.openxmlformats.org/officeDocument/2006/relationships/hyperlink" Target="https://www.linkedin.com/pulse/therapeutic-relationship-how-boundaries-foster-growth-richard-pierce-akvbe" TargetMode="External" Id="R9517217a003f45cb" /><Relationship Type="http://schemas.openxmlformats.org/officeDocument/2006/relationships/image" Target="/media/image2.jpg" Id="rId1873903017" /><Relationship Type="http://schemas.openxmlformats.org/officeDocument/2006/relationships/image" Target="/media/image3.jpg" Id="rId1819511486" /><Relationship Type="http://schemas.openxmlformats.org/officeDocument/2006/relationships/image" Target="/media/image4.jpg" Id="rId213741646" /><Relationship Type="http://schemas.openxmlformats.org/officeDocument/2006/relationships/image" Target="/media/image5.jpg" Id="rId1674141841" /><Relationship Type="http://schemas.openxmlformats.org/officeDocument/2006/relationships/image" Target="/media/image6.jpg" Id="rId2057580510" /><Relationship Type="http://schemas.openxmlformats.org/officeDocument/2006/relationships/image" Target="/media/image7.jpg" Id="rId69273813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11539E-A491-47BF-BB24-8BC0E831053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Roxanne Osmundsen</dc:creator>
  <keywords/>
  <dc:description/>
  <lastModifiedBy>Roxanne Osmundsen (1451247)</lastModifiedBy>
  <revision>17</revision>
  <dcterms:created xsi:type="dcterms:W3CDTF">2025-11-05T11:54:00.0000000Z</dcterms:created>
  <dcterms:modified xsi:type="dcterms:W3CDTF">2025-12-02T19:46:08.5512863Z</dcterms:modified>
</coreProperties>
</file>