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20B1D" w:rsidRDefault="00520B1D" w:rsidP="0017687B">
      <w:pPr>
        <w:rPr>
          <w:rFonts w:cs="Arial"/>
          <w:b/>
          <w:i/>
          <w:sz w:val="52"/>
          <w:szCs w:val="52"/>
          <w:u w:val="single"/>
          <w:shd w:val="clear" w:color="auto" w:fill="FFFFFF"/>
        </w:rPr>
      </w:pPr>
    </w:p>
    <w:p w:rsidR="00520B1D" w:rsidRDefault="00520B1D" w:rsidP="00520B1D">
      <w:pPr>
        <w:jc w:val="center"/>
        <w:rPr>
          <w:rFonts w:cs="Arial"/>
          <w:b/>
          <w:i/>
          <w:sz w:val="52"/>
          <w:szCs w:val="52"/>
          <w:u w:val="single"/>
          <w:shd w:val="clear" w:color="auto" w:fill="FFFFFF"/>
        </w:rPr>
      </w:pPr>
    </w:p>
    <w:p w:rsidR="00520B1D" w:rsidRDefault="00520B1D" w:rsidP="00520B1D">
      <w:pPr>
        <w:jc w:val="center"/>
        <w:rPr>
          <w:rFonts w:cs="Arial"/>
          <w:b/>
          <w:i/>
          <w:sz w:val="52"/>
          <w:szCs w:val="52"/>
          <w:u w:val="single"/>
          <w:shd w:val="clear" w:color="auto" w:fill="FFFFFF"/>
        </w:rPr>
      </w:pPr>
    </w:p>
    <w:p w:rsidR="00520B1D" w:rsidRDefault="00520B1D" w:rsidP="00520B1D">
      <w:pPr>
        <w:jc w:val="center"/>
        <w:rPr>
          <w:rFonts w:cs="Arial"/>
          <w:b/>
          <w:i/>
          <w:sz w:val="52"/>
          <w:szCs w:val="52"/>
          <w:u w:val="single"/>
          <w:shd w:val="clear" w:color="auto" w:fill="FFFFFF"/>
        </w:rPr>
      </w:pPr>
    </w:p>
    <w:p w:rsidR="00520B1D" w:rsidRDefault="00520B1D" w:rsidP="00520B1D">
      <w:pPr>
        <w:jc w:val="center"/>
        <w:rPr>
          <w:rFonts w:cs="Arial"/>
          <w:b/>
          <w:i/>
          <w:sz w:val="52"/>
          <w:szCs w:val="52"/>
          <w:u w:val="single"/>
          <w:shd w:val="clear" w:color="auto" w:fill="FFFFFF"/>
        </w:rPr>
      </w:pPr>
      <w:r w:rsidRPr="00A44E3C">
        <w:rPr>
          <w:rFonts w:cs="Arial"/>
          <w:b/>
          <w:i/>
          <w:sz w:val="52"/>
          <w:szCs w:val="52"/>
          <w:u w:val="single"/>
          <w:shd w:val="clear" w:color="auto" w:fill="FFFFFF"/>
        </w:rPr>
        <w:t>Sustainable Hospitality and Tourism Management</w:t>
      </w:r>
    </w:p>
    <w:p w:rsidR="00520B1D" w:rsidRDefault="00520B1D" w:rsidP="00520B1D">
      <w:pPr>
        <w:jc w:val="center"/>
        <w:rPr>
          <w:rFonts w:cs="Arial"/>
          <w:b/>
          <w:i/>
          <w:sz w:val="52"/>
          <w:szCs w:val="52"/>
          <w:u w:val="single"/>
          <w:shd w:val="clear" w:color="auto" w:fill="FFFFFF"/>
        </w:rPr>
      </w:pPr>
    </w:p>
    <w:p w:rsidR="00520B1D" w:rsidRDefault="00520B1D" w:rsidP="00520B1D">
      <w:pPr>
        <w:jc w:val="center"/>
        <w:rPr>
          <w:rFonts w:cs="Arial"/>
          <w:b/>
          <w:i/>
          <w:sz w:val="52"/>
          <w:szCs w:val="52"/>
          <w:u w:val="single"/>
          <w:shd w:val="clear" w:color="auto" w:fill="FFFFFF"/>
        </w:rPr>
      </w:pPr>
    </w:p>
    <w:p w:rsidR="00520B1D" w:rsidRDefault="00520B1D" w:rsidP="00520B1D">
      <w:pPr>
        <w:jc w:val="center"/>
        <w:rPr>
          <w:rFonts w:cs="Arial"/>
          <w:b/>
          <w:i/>
          <w:sz w:val="52"/>
          <w:szCs w:val="52"/>
          <w:u w:val="single"/>
          <w:shd w:val="clear" w:color="auto" w:fill="FFFFFF"/>
        </w:rPr>
      </w:pPr>
    </w:p>
    <w:p w:rsidR="00520B1D" w:rsidRDefault="00520B1D" w:rsidP="00520B1D">
      <w:pPr>
        <w:jc w:val="center"/>
        <w:rPr>
          <w:rFonts w:cs="Arial"/>
          <w:b/>
          <w:i/>
          <w:sz w:val="52"/>
          <w:szCs w:val="52"/>
          <w:u w:val="single"/>
          <w:shd w:val="clear" w:color="auto" w:fill="FFFFFF"/>
        </w:rPr>
      </w:pPr>
    </w:p>
    <w:p w:rsidR="00520B1D" w:rsidRDefault="00520B1D" w:rsidP="00520B1D">
      <w:pPr>
        <w:jc w:val="center"/>
        <w:rPr>
          <w:rFonts w:cs="Arial"/>
          <w:b/>
          <w:i/>
          <w:sz w:val="52"/>
          <w:szCs w:val="52"/>
          <w:u w:val="single"/>
          <w:shd w:val="clear" w:color="auto" w:fill="FFFFFF"/>
        </w:rPr>
      </w:pPr>
    </w:p>
    <w:p w:rsidR="00520B1D" w:rsidRDefault="00520B1D" w:rsidP="00520B1D">
      <w:pPr>
        <w:spacing w:before="240" w:after="240"/>
        <w:jc w:val="left"/>
        <w:rPr>
          <w:rFonts w:cs="Arial"/>
          <w:bCs/>
          <w:color w:val="000000"/>
          <w:sz w:val="22"/>
        </w:rPr>
      </w:pPr>
      <w:r>
        <w:rPr>
          <w:rFonts w:cs="Arial"/>
          <w:bCs/>
          <w:color w:val="000000"/>
          <w:sz w:val="22"/>
        </w:rPr>
        <w:t xml:space="preserve">Student name: Natalia </w:t>
      </w:r>
      <w:proofErr w:type="spellStart"/>
      <w:r>
        <w:rPr>
          <w:rFonts w:cs="Arial"/>
          <w:bCs/>
          <w:color w:val="000000"/>
          <w:sz w:val="22"/>
        </w:rPr>
        <w:t>Ciuntu</w:t>
      </w:r>
      <w:proofErr w:type="spellEnd"/>
    </w:p>
    <w:p w:rsidR="00520B1D" w:rsidRDefault="00520B1D" w:rsidP="00520B1D">
      <w:pPr>
        <w:spacing w:before="240" w:after="240"/>
        <w:jc w:val="left"/>
      </w:pPr>
      <w:r>
        <w:rPr>
          <w:rFonts w:cs="Arial"/>
          <w:bCs/>
          <w:color w:val="000000"/>
          <w:sz w:val="22"/>
        </w:rPr>
        <w:t>Student ID</w:t>
      </w:r>
      <w:r>
        <w:rPr>
          <w:rFonts w:cs="Arial"/>
          <w:b/>
          <w:bCs/>
          <w:color w:val="000000"/>
          <w:sz w:val="22"/>
        </w:rPr>
        <w:t>:</w:t>
      </w:r>
      <w:r>
        <w:rPr>
          <w:rFonts w:cs="Arial"/>
          <w:color w:val="000000"/>
          <w:sz w:val="22"/>
        </w:rPr>
        <w:t xml:space="preserve"> 2114733</w:t>
      </w:r>
    </w:p>
    <w:p w:rsidR="00520B1D" w:rsidRDefault="00520B1D" w:rsidP="00520B1D">
      <w:pPr>
        <w:spacing w:before="240" w:after="240"/>
        <w:jc w:val="left"/>
      </w:pPr>
      <w:r>
        <w:rPr>
          <w:rFonts w:cs="Arial"/>
          <w:color w:val="000000"/>
          <w:sz w:val="22"/>
        </w:rPr>
        <w:t>Module:</w:t>
      </w:r>
      <w:r>
        <w:t xml:space="preserve"> Sustainable Hospitality &amp; Tourism Management</w:t>
      </w:r>
    </w:p>
    <w:p w:rsidR="00520B1D" w:rsidRDefault="00520B1D" w:rsidP="00520B1D">
      <w:pPr>
        <w:spacing w:before="240" w:after="240"/>
        <w:jc w:val="left"/>
      </w:pPr>
      <w:r>
        <w:rPr>
          <w:rFonts w:cs="Arial"/>
          <w:color w:val="000000"/>
          <w:sz w:val="22"/>
        </w:rPr>
        <w:t xml:space="preserve">Module code: </w:t>
      </w:r>
      <w:r>
        <w:t xml:space="preserve"> BMIH5006 </w:t>
      </w:r>
    </w:p>
    <w:p w:rsidR="00520B1D" w:rsidRPr="00B77D86" w:rsidRDefault="00520B1D" w:rsidP="00520B1D">
      <w:pPr>
        <w:spacing w:before="240" w:after="240"/>
        <w:jc w:val="left"/>
      </w:pPr>
      <w:r>
        <w:rPr>
          <w:rFonts w:cs="Arial"/>
          <w:bCs/>
          <w:sz w:val="22"/>
        </w:rPr>
        <w:t xml:space="preserve">Lecture Name: </w:t>
      </w:r>
      <w:r>
        <w:t xml:space="preserve">Dr </w:t>
      </w:r>
      <w:proofErr w:type="spellStart"/>
      <w:r>
        <w:t>Huw</w:t>
      </w:r>
      <w:proofErr w:type="spellEnd"/>
      <w:r>
        <w:t xml:space="preserve"> Thomas</w:t>
      </w:r>
      <w:r w:rsidRPr="00A44E3C">
        <w:rPr>
          <w:rFonts w:cs="Arial"/>
          <w:shd w:val="clear" w:color="auto" w:fill="FFFFFF"/>
        </w:rPr>
        <w:br w:type="page"/>
      </w:r>
    </w:p>
    <w:sdt>
      <w:sdtPr>
        <w:rPr>
          <w:rFonts w:ascii="Arial" w:eastAsiaTheme="minorHAnsi" w:hAnsi="Arial" w:cs="Arial"/>
          <w:b w:val="0"/>
          <w:bCs w:val="0"/>
          <w:color w:val="auto"/>
          <w:sz w:val="24"/>
          <w:szCs w:val="22"/>
          <w:lang w:eastAsia="en-US"/>
        </w:rPr>
        <w:id w:val="527509172"/>
        <w:docPartObj>
          <w:docPartGallery w:val="Table of Contents"/>
          <w:docPartUnique/>
        </w:docPartObj>
      </w:sdtPr>
      <w:sdtContent>
        <w:p w:rsidR="00520B1D" w:rsidRPr="00A44E3C" w:rsidRDefault="00520B1D" w:rsidP="00520B1D">
          <w:pPr>
            <w:pStyle w:val="a3"/>
            <w:jc w:val="center"/>
            <w:rPr>
              <w:rFonts w:ascii="Arial" w:hAnsi="Arial" w:cs="Arial"/>
            </w:rPr>
          </w:pPr>
          <w:r w:rsidRPr="00A44E3C">
            <w:rPr>
              <w:rFonts w:ascii="Arial" w:hAnsi="Arial" w:cs="Arial"/>
              <w:color w:val="0D0D0D" w:themeColor="text1" w:themeTint="F2"/>
            </w:rPr>
            <w:t>Table of Contents</w:t>
          </w:r>
        </w:p>
        <w:p w:rsidR="00520B1D" w:rsidRPr="00A44E3C" w:rsidRDefault="00CB7AD1" w:rsidP="00520B1D">
          <w:pPr>
            <w:pStyle w:val="11"/>
            <w:tabs>
              <w:tab w:val="right" w:leader="dot" w:pos="9350"/>
            </w:tabs>
            <w:rPr>
              <w:rFonts w:eastAsiaTheme="minorEastAsia" w:cs="Arial"/>
              <w:noProof/>
              <w:sz w:val="22"/>
              <w:lang w:val="en-US"/>
            </w:rPr>
          </w:pPr>
          <w:r w:rsidRPr="00A44E3C">
            <w:rPr>
              <w:rFonts w:cs="Arial"/>
            </w:rPr>
            <w:fldChar w:fldCharType="begin"/>
          </w:r>
          <w:r w:rsidR="00520B1D" w:rsidRPr="00A44E3C">
            <w:rPr>
              <w:rFonts w:cs="Arial"/>
            </w:rPr>
            <w:instrText xml:space="preserve"> TOC \o "1-3" \h \z \u </w:instrText>
          </w:r>
          <w:r w:rsidRPr="00A44E3C">
            <w:rPr>
              <w:rFonts w:cs="Arial"/>
            </w:rPr>
            <w:fldChar w:fldCharType="separate"/>
          </w:r>
          <w:hyperlink w:anchor="_Toc156837504" w:history="1">
            <w:r w:rsidR="00520B1D" w:rsidRPr="00A44E3C">
              <w:rPr>
                <w:rStyle w:val="a4"/>
                <w:rFonts w:cs="Arial"/>
                <w:noProof/>
                <w:shd w:val="clear" w:color="auto" w:fill="FFFFFF"/>
              </w:rPr>
              <w:t>Introduction</w:t>
            </w:r>
            <w:r w:rsidR="00520B1D" w:rsidRPr="00A44E3C">
              <w:rPr>
                <w:rFonts w:cs="Arial"/>
                <w:noProof/>
                <w:webHidden/>
              </w:rPr>
              <w:tab/>
            </w:r>
            <w:r w:rsidRPr="00A44E3C">
              <w:rPr>
                <w:rFonts w:cs="Arial"/>
                <w:noProof/>
                <w:webHidden/>
              </w:rPr>
              <w:fldChar w:fldCharType="begin"/>
            </w:r>
            <w:r w:rsidR="00520B1D" w:rsidRPr="00A44E3C">
              <w:rPr>
                <w:rFonts w:cs="Arial"/>
                <w:noProof/>
                <w:webHidden/>
              </w:rPr>
              <w:instrText xml:space="preserve"> PAGEREF _Toc156837504 \h </w:instrText>
            </w:r>
            <w:r w:rsidRPr="00A44E3C">
              <w:rPr>
                <w:rFonts w:cs="Arial"/>
                <w:noProof/>
                <w:webHidden/>
              </w:rPr>
            </w:r>
            <w:r w:rsidRPr="00A44E3C">
              <w:rPr>
                <w:rFonts w:cs="Arial"/>
                <w:noProof/>
                <w:webHidden/>
              </w:rPr>
              <w:fldChar w:fldCharType="separate"/>
            </w:r>
            <w:r w:rsidR="00520B1D" w:rsidRPr="00A44E3C">
              <w:rPr>
                <w:rFonts w:cs="Arial"/>
                <w:noProof/>
                <w:webHidden/>
              </w:rPr>
              <w:t>3</w:t>
            </w:r>
            <w:r w:rsidRPr="00A44E3C">
              <w:rPr>
                <w:rFonts w:cs="Arial"/>
                <w:noProof/>
                <w:webHidden/>
              </w:rPr>
              <w:fldChar w:fldCharType="end"/>
            </w:r>
          </w:hyperlink>
        </w:p>
        <w:p w:rsidR="00520B1D" w:rsidRPr="00A44E3C" w:rsidRDefault="00CB7AD1" w:rsidP="00520B1D">
          <w:pPr>
            <w:pStyle w:val="11"/>
            <w:tabs>
              <w:tab w:val="right" w:leader="dot" w:pos="9350"/>
            </w:tabs>
            <w:rPr>
              <w:rFonts w:eastAsiaTheme="minorEastAsia" w:cs="Arial"/>
              <w:noProof/>
              <w:sz w:val="22"/>
              <w:lang w:val="en-US"/>
            </w:rPr>
          </w:pPr>
          <w:hyperlink w:anchor="_Toc156837505" w:history="1">
            <w:r w:rsidR="00520B1D" w:rsidRPr="00A44E3C">
              <w:rPr>
                <w:rStyle w:val="a4"/>
                <w:rFonts w:cs="Arial"/>
                <w:noProof/>
                <w:shd w:val="clear" w:color="auto" w:fill="FFFFFF"/>
              </w:rPr>
              <w:t>Main body</w:t>
            </w:r>
            <w:r w:rsidR="00520B1D" w:rsidRPr="00A44E3C">
              <w:rPr>
                <w:rFonts w:cs="Arial"/>
                <w:noProof/>
                <w:webHidden/>
              </w:rPr>
              <w:tab/>
            </w:r>
            <w:r w:rsidRPr="00A44E3C">
              <w:rPr>
                <w:rFonts w:cs="Arial"/>
                <w:noProof/>
                <w:webHidden/>
              </w:rPr>
              <w:fldChar w:fldCharType="begin"/>
            </w:r>
            <w:r w:rsidR="00520B1D" w:rsidRPr="00A44E3C">
              <w:rPr>
                <w:rFonts w:cs="Arial"/>
                <w:noProof/>
                <w:webHidden/>
              </w:rPr>
              <w:instrText xml:space="preserve"> PAGEREF _Toc156837505 \h </w:instrText>
            </w:r>
            <w:r w:rsidRPr="00A44E3C">
              <w:rPr>
                <w:rFonts w:cs="Arial"/>
                <w:noProof/>
                <w:webHidden/>
              </w:rPr>
            </w:r>
            <w:r w:rsidRPr="00A44E3C">
              <w:rPr>
                <w:rFonts w:cs="Arial"/>
                <w:noProof/>
                <w:webHidden/>
              </w:rPr>
              <w:fldChar w:fldCharType="separate"/>
            </w:r>
            <w:r w:rsidR="00520B1D" w:rsidRPr="00A44E3C">
              <w:rPr>
                <w:rFonts w:cs="Arial"/>
                <w:noProof/>
                <w:webHidden/>
              </w:rPr>
              <w:t>3</w:t>
            </w:r>
            <w:r w:rsidRPr="00A44E3C">
              <w:rPr>
                <w:rFonts w:cs="Arial"/>
                <w:noProof/>
                <w:webHidden/>
              </w:rPr>
              <w:fldChar w:fldCharType="end"/>
            </w:r>
          </w:hyperlink>
        </w:p>
        <w:p w:rsidR="00520B1D" w:rsidRPr="00A44E3C" w:rsidRDefault="00CB7AD1" w:rsidP="00520B1D">
          <w:pPr>
            <w:pStyle w:val="11"/>
            <w:tabs>
              <w:tab w:val="right" w:leader="dot" w:pos="9350"/>
            </w:tabs>
            <w:rPr>
              <w:rFonts w:eastAsiaTheme="minorEastAsia" w:cs="Arial"/>
              <w:noProof/>
              <w:sz w:val="22"/>
              <w:lang w:val="en-US"/>
            </w:rPr>
          </w:pPr>
          <w:hyperlink w:anchor="_Toc156837506" w:history="1">
            <w:r w:rsidR="00520B1D" w:rsidRPr="00A44E3C">
              <w:rPr>
                <w:rStyle w:val="a4"/>
                <w:rFonts w:cs="Arial"/>
                <w:noProof/>
              </w:rPr>
              <w:t>Conclusion</w:t>
            </w:r>
            <w:r w:rsidR="00520B1D" w:rsidRPr="00A44E3C">
              <w:rPr>
                <w:rFonts w:cs="Arial"/>
                <w:noProof/>
                <w:webHidden/>
              </w:rPr>
              <w:tab/>
            </w:r>
            <w:r w:rsidRPr="00A44E3C">
              <w:rPr>
                <w:rFonts w:cs="Arial"/>
                <w:noProof/>
                <w:webHidden/>
              </w:rPr>
              <w:fldChar w:fldCharType="begin"/>
            </w:r>
            <w:r w:rsidR="00520B1D" w:rsidRPr="00A44E3C">
              <w:rPr>
                <w:rFonts w:cs="Arial"/>
                <w:noProof/>
                <w:webHidden/>
              </w:rPr>
              <w:instrText xml:space="preserve"> PAGEREF _Toc156837506 \h </w:instrText>
            </w:r>
            <w:r w:rsidRPr="00A44E3C">
              <w:rPr>
                <w:rFonts w:cs="Arial"/>
                <w:noProof/>
                <w:webHidden/>
              </w:rPr>
            </w:r>
            <w:r w:rsidRPr="00A44E3C">
              <w:rPr>
                <w:rFonts w:cs="Arial"/>
                <w:noProof/>
                <w:webHidden/>
              </w:rPr>
              <w:fldChar w:fldCharType="separate"/>
            </w:r>
            <w:r w:rsidR="00520B1D" w:rsidRPr="00A44E3C">
              <w:rPr>
                <w:rFonts w:cs="Arial"/>
                <w:noProof/>
                <w:webHidden/>
              </w:rPr>
              <w:t>8</w:t>
            </w:r>
            <w:r w:rsidRPr="00A44E3C">
              <w:rPr>
                <w:rFonts w:cs="Arial"/>
                <w:noProof/>
                <w:webHidden/>
              </w:rPr>
              <w:fldChar w:fldCharType="end"/>
            </w:r>
          </w:hyperlink>
        </w:p>
        <w:p w:rsidR="00520B1D" w:rsidRPr="00A44E3C" w:rsidRDefault="00CB7AD1" w:rsidP="00520B1D">
          <w:pPr>
            <w:pStyle w:val="11"/>
            <w:tabs>
              <w:tab w:val="right" w:leader="dot" w:pos="9350"/>
            </w:tabs>
            <w:rPr>
              <w:rFonts w:eastAsiaTheme="minorEastAsia" w:cs="Arial"/>
              <w:noProof/>
              <w:sz w:val="22"/>
              <w:lang w:val="en-US"/>
            </w:rPr>
          </w:pPr>
          <w:hyperlink w:anchor="_Toc156837507" w:history="1">
            <w:r w:rsidR="00520B1D" w:rsidRPr="00A44E3C">
              <w:rPr>
                <w:rStyle w:val="a4"/>
                <w:rFonts w:cs="Arial"/>
                <w:noProof/>
                <w:shd w:val="clear" w:color="auto" w:fill="FFFFFF"/>
              </w:rPr>
              <w:t>References</w:t>
            </w:r>
            <w:r w:rsidR="00520B1D" w:rsidRPr="00A44E3C">
              <w:rPr>
                <w:rFonts w:cs="Arial"/>
                <w:noProof/>
                <w:webHidden/>
              </w:rPr>
              <w:tab/>
            </w:r>
            <w:r w:rsidRPr="00A44E3C">
              <w:rPr>
                <w:rFonts w:cs="Arial"/>
                <w:noProof/>
                <w:webHidden/>
              </w:rPr>
              <w:fldChar w:fldCharType="begin"/>
            </w:r>
            <w:r w:rsidR="00520B1D" w:rsidRPr="00A44E3C">
              <w:rPr>
                <w:rFonts w:cs="Arial"/>
                <w:noProof/>
                <w:webHidden/>
              </w:rPr>
              <w:instrText xml:space="preserve"> PAGEREF _Toc156837507 \h </w:instrText>
            </w:r>
            <w:r w:rsidRPr="00A44E3C">
              <w:rPr>
                <w:rFonts w:cs="Arial"/>
                <w:noProof/>
                <w:webHidden/>
              </w:rPr>
            </w:r>
            <w:r w:rsidRPr="00A44E3C">
              <w:rPr>
                <w:rFonts w:cs="Arial"/>
                <w:noProof/>
                <w:webHidden/>
              </w:rPr>
              <w:fldChar w:fldCharType="separate"/>
            </w:r>
            <w:r w:rsidR="00520B1D" w:rsidRPr="00A44E3C">
              <w:rPr>
                <w:rFonts w:cs="Arial"/>
                <w:noProof/>
                <w:webHidden/>
              </w:rPr>
              <w:t>10</w:t>
            </w:r>
            <w:r w:rsidRPr="00A44E3C">
              <w:rPr>
                <w:rFonts w:cs="Arial"/>
                <w:noProof/>
                <w:webHidden/>
              </w:rPr>
              <w:fldChar w:fldCharType="end"/>
            </w:r>
          </w:hyperlink>
        </w:p>
        <w:p w:rsidR="00520B1D" w:rsidRPr="00A44E3C" w:rsidRDefault="00CB7AD1" w:rsidP="00520B1D">
          <w:pPr>
            <w:rPr>
              <w:rFonts w:cs="Arial"/>
            </w:rPr>
          </w:pPr>
          <w:r w:rsidRPr="00A44E3C">
            <w:rPr>
              <w:rFonts w:cs="Arial"/>
            </w:rPr>
            <w:fldChar w:fldCharType="end"/>
          </w:r>
        </w:p>
      </w:sdtContent>
    </w:sdt>
    <w:p w:rsidR="00520B1D" w:rsidRPr="00A44E3C" w:rsidRDefault="00520B1D" w:rsidP="00520B1D">
      <w:pPr>
        <w:rPr>
          <w:rFonts w:cs="Arial"/>
          <w:shd w:val="clear" w:color="auto" w:fill="FFFFFF"/>
        </w:rPr>
      </w:pPr>
    </w:p>
    <w:p w:rsidR="00520B1D" w:rsidRPr="00A44E3C" w:rsidRDefault="00520B1D" w:rsidP="00520B1D">
      <w:pPr>
        <w:spacing w:after="200" w:line="276" w:lineRule="auto"/>
        <w:jc w:val="left"/>
        <w:rPr>
          <w:rFonts w:cs="Arial"/>
          <w:shd w:val="clear" w:color="auto" w:fill="FFFFFF"/>
        </w:rPr>
      </w:pPr>
      <w:r w:rsidRPr="00A44E3C">
        <w:rPr>
          <w:rFonts w:cs="Arial"/>
          <w:shd w:val="clear" w:color="auto" w:fill="FFFFFF"/>
        </w:rPr>
        <w:br w:type="page"/>
      </w:r>
    </w:p>
    <w:p w:rsidR="00520B1D" w:rsidRDefault="00520B1D" w:rsidP="00520B1D">
      <w:pPr>
        <w:pStyle w:val="1"/>
        <w:rPr>
          <w:rFonts w:cs="Arial"/>
          <w:sz w:val="24"/>
          <w:szCs w:val="24"/>
          <w:shd w:val="clear" w:color="auto" w:fill="FFFFFF"/>
        </w:rPr>
      </w:pPr>
      <w:bookmarkStart w:id="0" w:name="_Toc156837504"/>
      <w:r w:rsidRPr="00293AF1">
        <w:rPr>
          <w:rFonts w:cs="Arial"/>
          <w:sz w:val="24"/>
          <w:szCs w:val="24"/>
          <w:shd w:val="clear" w:color="auto" w:fill="FFFFFF"/>
        </w:rPr>
        <w:lastRenderedPageBreak/>
        <w:t>Introduction</w:t>
      </w:r>
      <w:bookmarkEnd w:id="0"/>
    </w:p>
    <w:p w:rsidR="0017687B" w:rsidRPr="0017687B" w:rsidRDefault="0017687B" w:rsidP="0017687B">
      <w:r w:rsidRPr="0017687B">
        <w:t xml:space="preserve">A form of tourism known as "sustainable tourism" considers the </w:t>
      </w:r>
      <w:proofErr w:type="spellStart"/>
      <w:r w:rsidRPr="0017687B">
        <w:t>traveler's</w:t>
      </w:r>
      <w:proofErr w:type="spellEnd"/>
      <w:r w:rsidRPr="0017687B">
        <w:t xml:space="preserve"> needs in terms of the economy, society, and environment. The primary focus of this kind of tourism is how travel affects social and cultural characteristics in relation to past and future behaviours (Sloan et al., 2017). The components of the circular economy and their relationship to CSR initiatives will be covered in this article. In-depth analysis and assessment of IHG's CSR practices as well as a discussion of how the company's CSR practices relate to the hotel industry's circular economy will also be included in this article.   </w:t>
      </w:r>
    </w:p>
    <w:p w:rsidR="00520B1D" w:rsidRPr="00293AF1" w:rsidRDefault="00520B1D" w:rsidP="00520B1D">
      <w:pPr>
        <w:pStyle w:val="1"/>
        <w:rPr>
          <w:rFonts w:cs="Arial"/>
          <w:sz w:val="24"/>
          <w:szCs w:val="24"/>
          <w:shd w:val="clear" w:color="auto" w:fill="FFFFFF"/>
        </w:rPr>
      </w:pPr>
      <w:bookmarkStart w:id="1" w:name="_Toc156837505"/>
      <w:r w:rsidRPr="00293AF1">
        <w:rPr>
          <w:rFonts w:cs="Arial"/>
          <w:sz w:val="24"/>
          <w:szCs w:val="24"/>
          <w:shd w:val="clear" w:color="auto" w:fill="FFFFFF"/>
        </w:rPr>
        <w:t>Main body</w:t>
      </w:r>
      <w:bookmarkEnd w:id="1"/>
    </w:p>
    <w:p w:rsidR="00520B1D" w:rsidRPr="00293AF1" w:rsidRDefault="00520B1D" w:rsidP="00520B1D">
      <w:pPr>
        <w:rPr>
          <w:rFonts w:cs="Arial"/>
          <w:b/>
          <w:szCs w:val="24"/>
        </w:rPr>
      </w:pPr>
      <w:r w:rsidRPr="00293AF1">
        <w:rPr>
          <w:rFonts w:cs="Arial"/>
          <w:b/>
          <w:szCs w:val="24"/>
        </w:rPr>
        <w:t>Circular Economy</w:t>
      </w:r>
    </w:p>
    <w:p w:rsidR="00520B1D" w:rsidRPr="00293AF1" w:rsidRDefault="0017687B" w:rsidP="00520B1D">
      <w:pPr>
        <w:rPr>
          <w:rFonts w:cs="Arial"/>
          <w:szCs w:val="24"/>
        </w:rPr>
      </w:pPr>
      <w:r w:rsidRPr="0017687B">
        <w:rPr>
          <w:rFonts w:cs="Arial"/>
          <w:szCs w:val="24"/>
        </w:rPr>
        <w:t xml:space="preserve">According to </w:t>
      </w:r>
      <w:proofErr w:type="spellStart"/>
      <w:r w:rsidRPr="0017687B">
        <w:rPr>
          <w:rFonts w:cs="Arial"/>
          <w:szCs w:val="24"/>
        </w:rPr>
        <w:t>Corvellec</w:t>
      </w:r>
      <w:proofErr w:type="spellEnd"/>
      <w:r w:rsidRPr="0017687B">
        <w:rPr>
          <w:rFonts w:cs="Arial"/>
          <w:szCs w:val="24"/>
        </w:rPr>
        <w:t xml:space="preserve"> et al. (2022), the circular economy is a consumption and production model that encompasses the following practices: leasing, sharing, reusing, refurbishing, repairing, and recycling current things, provided that they remain functional. These procedures all guarantee that the product has a long life cycle. Ensuring little waste output is the ultimate objective of the circular economy.</w:t>
      </w:r>
      <w:r>
        <w:rPr>
          <w:rFonts w:cs="Arial"/>
          <w:szCs w:val="24"/>
        </w:rPr>
        <w:t xml:space="preserve"> </w:t>
      </w:r>
      <w:r w:rsidR="00520B1D" w:rsidRPr="00293AF1">
        <w:rPr>
          <w:rFonts w:cs="Arial"/>
          <w:szCs w:val="24"/>
        </w:rPr>
        <w:t xml:space="preserve">Whenever a product reaches its end of its life cycle, the product is kept in the system with the sole reason of recycling. The product can then be used over and over again to increase the productivity. This process helps in increasing the value of the product. </w:t>
      </w:r>
    </w:p>
    <w:p w:rsidR="00520B1D" w:rsidRPr="00293AF1" w:rsidRDefault="00520B1D" w:rsidP="00520B1D">
      <w:pPr>
        <w:keepNext/>
        <w:jc w:val="center"/>
        <w:rPr>
          <w:rFonts w:cs="Arial"/>
          <w:szCs w:val="24"/>
        </w:rPr>
      </w:pPr>
      <w:r w:rsidRPr="00293AF1">
        <w:rPr>
          <w:rFonts w:cs="Arial"/>
          <w:noProof/>
          <w:szCs w:val="24"/>
          <w:lang w:val="ru-RU" w:eastAsia="ru-RU"/>
        </w:rPr>
        <w:drawing>
          <wp:inline distT="0" distB="0" distL="0" distR="0">
            <wp:extent cx="3257550" cy="2374266"/>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cstate="print"/>
                    <a:stretch>
                      <a:fillRect/>
                    </a:stretch>
                  </pic:blipFill>
                  <pic:spPr bwMode="auto">
                    <a:xfrm>
                      <a:off x="0" y="0"/>
                      <a:ext cx="3257550" cy="2374266"/>
                    </a:xfrm>
                    <a:prstGeom prst="rect">
                      <a:avLst/>
                    </a:prstGeom>
                    <a:noFill/>
                    <a:ln w="9525">
                      <a:noFill/>
                      <a:miter lim="800000"/>
                      <a:headEnd/>
                      <a:tailEnd/>
                    </a:ln>
                  </pic:spPr>
                </pic:pic>
              </a:graphicData>
            </a:graphic>
          </wp:inline>
        </w:drawing>
      </w:r>
    </w:p>
    <w:p w:rsidR="00520B1D" w:rsidRPr="00293AF1" w:rsidRDefault="00520B1D" w:rsidP="00520B1D">
      <w:pPr>
        <w:pStyle w:val="a7"/>
        <w:spacing w:line="360" w:lineRule="auto"/>
        <w:jc w:val="center"/>
        <w:rPr>
          <w:rFonts w:cs="Arial"/>
          <w:color w:val="0D0D0D" w:themeColor="text1" w:themeTint="F2"/>
          <w:sz w:val="24"/>
          <w:szCs w:val="24"/>
        </w:rPr>
      </w:pPr>
      <w:r w:rsidRPr="00293AF1">
        <w:rPr>
          <w:rFonts w:cs="Arial"/>
          <w:color w:val="0D0D0D" w:themeColor="text1" w:themeTint="F2"/>
          <w:sz w:val="24"/>
          <w:szCs w:val="24"/>
        </w:rPr>
        <w:t xml:space="preserve">Figure </w:t>
      </w:r>
      <w:r w:rsidR="00CB7AD1" w:rsidRPr="00293AF1">
        <w:rPr>
          <w:rFonts w:cs="Arial"/>
          <w:color w:val="0D0D0D" w:themeColor="text1" w:themeTint="F2"/>
          <w:sz w:val="24"/>
          <w:szCs w:val="24"/>
        </w:rPr>
        <w:fldChar w:fldCharType="begin"/>
      </w:r>
      <w:r w:rsidRPr="00293AF1">
        <w:rPr>
          <w:rFonts w:cs="Arial"/>
          <w:color w:val="0D0D0D" w:themeColor="text1" w:themeTint="F2"/>
          <w:sz w:val="24"/>
          <w:szCs w:val="24"/>
        </w:rPr>
        <w:instrText xml:space="preserve"> SEQ Figure \* ARABIC </w:instrText>
      </w:r>
      <w:r w:rsidR="00CB7AD1" w:rsidRPr="00293AF1">
        <w:rPr>
          <w:rFonts w:cs="Arial"/>
          <w:color w:val="0D0D0D" w:themeColor="text1" w:themeTint="F2"/>
          <w:sz w:val="24"/>
          <w:szCs w:val="24"/>
        </w:rPr>
        <w:fldChar w:fldCharType="separate"/>
      </w:r>
      <w:r w:rsidRPr="00293AF1">
        <w:rPr>
          <w:rFonts w:cs="Arial"/>
          <w:noProof/>
          <w:color w:val="0D0D0D" w:themeColor="text1" w:themeTint="F2"/>
          <w:sz w:val="24"/>
          <w:szCs w:val="24"/>
        </w:rPr>
        <w:t>1</w:t>
      </w:r>
      <w:r w:rsidR="00CB7AD1" w:rsidRPr="00293AF1">
        <w:rPr>
          <w:rFonts w:cs="Arial"/>
          <w:color w:val="0D0D0D" w:themeColor="text1" w:themeTint="F2"/>
          <w:sz w:val="24"/>
          <w:szCs w:val="24"/>
        </w:rPr>
        <w:fldChar w:fldCharType="end"/>
      </w:r>
      <w:r w:rsidRPr="00293AF1">
        <w:rPr>
          <w:rFonts w:cs="Arial"/>
          <w:color w:val="0D0D0D" w:themeColor="text1" w:themeTint="F2"/>
          <w:sz w:val="24"/>
          <w:szCs w:val="24"/>
        </w:rPr>
        <w:t>: Circular Economy.</w:t>
      </w:r>
    </w:p>
    <w:p w:rsidR="00520B1D" w:rsidRPr="00293AF1" w:rsidRDefault="00520B1D" w:rsidP="00520B1D">
      <w:pPr>
        <w:jc w:val="center"/>
        <w:rPr>
          <w:rFonts w:cs="Arial"/>
          <w:szCs w:val="24"/>
        </w:rPr>
      </w:pPr>
      <w:r w:rsidRPr="00293AF1">
        <w:rPr>
          <w:rFonts w:cs="Arial"/>
          <w:szCs w:val="24"/>
        </w:rPr>
        <w:t>(Source:</w:t>
      </w:r>
      <w:r w:rsidRPr="00293AF1">
        <w:rPr>
          <w:rFonts w:cs="Arial"/>
          <w:color w:val="222222"/>
          <w:szCs w:val="24"/>
          <w:shd w:val="clear" w:color="auto" w:fill="FFFFFF"/>
        </w:rPr>
        <w:t xml:space="preserve"> European Parliament, 2024)</w:t>
      </w:r>
    </w:p>
    <w:p w:rsidR="00520B1D" w:rsidRPr="00293AF1" w:rsidRDefault="00520B1D" w:rsidP="00520B1D">
      <w:pPr>
        <w:rPr>
          <w:rFonts w:cs="Arial"/>
          <w:szCs w:val="24"/>
        </w:rPr>
      </w:pPr>
      <w:r w:rsidRPr="00293AF1">
        <w:rPr>
          <w:rFonts w:cs="Arial"/>
          <w:szCs w:val="24"/>
        </w:rPr>
        <w:lastRenderedPageBreak/>
        <w:t>One of the most important benefits of the circular economy is that the model helps in protecting the environment. Recycling and recycling the product again and again will help in reducing the usage of the natural resources. Recycling also helps in reducing the disruptions that are caused in the natural habitats of the animals and also helps in limiting the loss of the biodiversity. Circular economy also helps in reducing the annual emission of the greenhouse gases</w:t>
      </w:r>
      <w:r w:rsidRPr="00293AF1">
        <w:rPr>
          <w:rFonts w:cs="Arial"/>
          <w:szCs w:val="24"/>
          <w:shd w:val="clear" w:color="auto" w:fill="FFFFFF"/>
        </w:rPr>
        <w:t xml:space="preserve"> (</w:t>
      </w:r>
      <w:proofErr w:type="spellStart"/>
      <w:r w:rsidRPr="00293AF1">
        <w:rPr>
          <w:rFonts w:cs="Arial"/>
          <w:szCs w:val="24"/>
          <w:shd w:val="clear" w:color="auto" w:fill="FFFFFF"/>
        </w:rPr>
        <w:t>Velenturf</w:t>
      </w:r>
      <w:proofErr w:type="spellEnd"/>
      <w:r w:rsidRPr="00293AF1">
        <w:rPr>
          <w:rFonts w:cs="Arial"/>
          <w:szCs w:val="24"/>
          <w:shd w:val="clear" w:color="auto" w:fill="FFFFFF"/>
        </w:rPr>
        <w:t xml:space="preserve"> and </w:t>
      </w:r>
      <w:proofErr w:type="spellStart"/>
      <w:r w:rsidRPr="00293AF1">
        <w:rPr>
          <w:rFonts w:cs="Arial"/>
          <w:szCs w:val="24"/>
          <w:shd w:val="clear" w:color="auto" w:fill="FFFFFF"/>
        </w:rPr>
        <w:t>Purnell</w:t>
      </w:r>
      <w:proofErr w:type="spellEnd"/>
      <w:r w:rsidRPr="00293AF1">
        <w:rPr>
          <w:rFonts w:cs="Arial"/>
          <w:szCs w:val="24"/>
          <w:shd w:val="clear" w:color="auto" w:fill="FFFFFF"/>
        </w:rPr>
        <w:t>, 2021).</w:t>
      </w:r>
      <w:r w:rsidRPr="00293AF1">
        <w:rPr>
          <w:rFonts w:cs="Arial"/>
          <w:szCs w:val="24"/>
        </w:rPr>
        <w:t xml:space="preserve"> By creating a circular system of use of more sustainable and efficient products the energy consumptions are also reduced. Circular economy also aims to focus on the packing of the products with the use of more sustainable methods so that the design of the excessive packing can be improved.</w:t>
      </w:r>
    </w:p>
    <w:p w:rsidR="00520B1D" w:rsidRPr="00293AF1" w:rsidRDefault="00520B1D" w:rsidP="00520B1D">
      <w:pPr>
        <w:rPr>
          <w:rFonts w:cs="Arial"/>
          <w:szCs w:val="24"/>
        </w:rPr>
      </w:pPr>
      <w:r w:rsidRPr="00293AF1">
        <w:rPr>
          <w:rFonts w:cs="Arial"/>
          <w:szCs w:val="24"/>
        </w:rPr>
        <w:t>The circular economy also promotes innovation, Competitiveness and boasts the economic growth as all the processes include the use of equipments and machinery that requires workforce. The supply chain of the world is limited, and a circular economy helps in improving it. Consumers receive products that have a long product life and are also able to save money. Circular economy proves to be great contributor towards the sustainable tourism as Sustainable tourism   also aims to improve the environmental and economic condition of the surrounding habitat</w:t>
      </w:r>
      <w:r w:rsidRPr="00293AF1">
        <w:rPr>
          <w:rFonts w:cs="Arial"/>
          <w:szCs w:val="24"/>
          <w:shd w:val="clear" w:color="auto" w:fill="FFFFFF"/>
        </w:rPr>
        <w:t xml:space="preserve"> (Moraga </w:t>
      </w:r>
      <w:r w:rsidRPr="00293AF1">
        <w:rPr>
          <w:rFonts w:cs="Arial"/>
          <w:i/>
          <w:szCs w:val="24"/>
          <w:shd w:val="clear" w:color="auto" w:fill="FFFFFF"/>
        </w:rPr>
        <w:t>et.al</w:t>
      </w:r>
      <w:r w:rsidRPr="00293AF1">
        <w:rPr>
          <w:rFonts w:cs="Arial"/>
          <w:szCs w:val="24"/>
          <w:shd w:val="clear" w:color="auto" w:fill="FFFFFF"/>
        </w:rPr>
        <w:t xml:space="preserve"> 2019).</w:t>
      </w:r>
      <w:r w:rsidRPr="00293AF1">
        <w:rPr>
          <w:rFonts w:cs="Arial"/>
          <w:szCs w:val="24"/>
        </w:rPr>
        <w:t xml:space="preserve"> Circular economy proposes the opportunity to develop the wellbeing of the local tourism by promoting jobs and helps in improving the relationship between the local businesses and the tourists. For tourists the circular economy helps in saving money and also provides a chance to leave a positive footprint which travelling for a purpose (</w:t>
      </w:r>
      <w:proofErr w:type="spellStart"/>
      <w:r w:rsidRPr="00293AF1">
        <w:rPr>
          <w:rFonts w:cs="Arial"/>
          <w:szCs w:val="24"/>
        </w:rPr>
        <w:t>Camilleri</w:t>
      </w:r>
      <w:proofErr w:type="spellEnd"/>
      <w:r w:rsidRPr="00293AF1">
        <w:rPr>
          <w:rFonts w:cs="Arial"/>
          <w:szCs w:val="24"/>
        </w:rPr>
        <w:t>, 2020).</w:t>
      </w:r>
    </w:p>
    <w:p w:rsidR="00520B1D" w:rsidRDefault="00520B1D" w:rsidP="00520B1D">
      <w:pPr>
        <w:rPr>
          <w:rFonts w:cs="Arial"/>
          <w:szCs w:val="24"/>
        </w:rPr>
      </w:pPr>
      <w:r w:rsidRPr="00293AF1">
        <w:rPr>
          <w:rFonts w:cs="Arial"/>
          <w:szCs w:val="24"/>
        </w:rPr>
        <w:t>The whole ecosystem of tourism can be developed with the help of the circular economy. The tourism sector can also experience behavioural change in the ecosystem. The hotel chains and the service providing businesses can improve their service with the help of this model</w:t>
      </w:r>
      <w:r w:rsidRPr="00293AF1">
        <w:rPr>
          <w:rFonts w:cs="Arial"/>
          <w:szCs w:val="24"/>
          <w:shd w:val="clear" w:color="auto" w:fill="FFFFFF"/>
        </w:rPr>
        <w:t xml:space="preserve"> (</w:t>
      </w:r>
      <w:proofErr w:type="spellStart"/>
      <w:r w:rsidRPr="00293AF1">
        <w:rPr>
          <w:rFonts w:cs="Arial"/>
          <w:szCs w:val="24"/>
          <w:shd w:val="clear" w:color="auto" w:fill="FFFFFF"/>
        </w:rPr>
        <w:t>Batabyal</w:t>
      </w:r>
      <w:proofErr w:type="spellEnd"/>
      <w:r w:rsidRPr="00293AF1">
        <w:rPr>
          <w:rFonts w:cs="Arial"/>
          <w:szCs w:val="24"/>
          <w:shd w:val="clear" w:color="auto" w:fill="FFFFFF"/>
        </w:rPr>
        <w:t>, 2018)</w:t>
      </w:r>
      <w:r w:rsidRPr="00293AF1">
        <w:rPr>
          <w:rFonts w:cs="Arial"/>
          <w:szCs w:val="24"/>
        </w:rPr>
        <w:t>. But the transition to a sustainable tourism with the help of circular economy can only happen with the active participation of the public and the government agencies. The global organisations of tourism also need to develop certain policies so that the idea of sustainable tourism can be promoted worldwide.</w:t>
      </w:r>
    </w:p>
    <w:p w:rsidR="00520B1D" w:rsidRPr="00293AF1" w:rsidRDefault="00520B1D" w:rsidP="00520B1D">
      <w:pPr>
        <w:rPr>
          <w:rFonts w:cs="Arial"/>
          <w:szCs w:val="24"/>
        </w:rPr>
      </w:pPr>
    </w:p>
    <w:p w:rsidR="00520B1D" w:rsidRPr="00293AF1" w:rsidRDefault="00520B1D" w:rsidP="00520B1D">
      <w:pPr>
        <w:rPr>
          <w:rFonts w:cs="Arial"/>
          <w:b/>
          <w:szCs w:val="24"/>
        </w:rPr>
      </w:pPr>
      <w:r w:rsidRPr="00293AF1">
        <w:rPr>
          <w:rFonts w:cs="Arial"/>
          <w:b/>
          <w:szCs w:val="24"/>
        </w:rPr>
        <w:lastRenderedPageBreak/>
        <w:t>CSR and Circular Economy</w:t>
      </w:r>
    </w:p>
    <w:p w:rsidR="00520B1D" w:rsidRPr="00293AF1" w:rsidRDefault="00520B1D" w:rsidP="00520B1D">
      <w:pPr>
        <w:rPr>
          <w:rFonts w:cs="Arial"/>
          <w:szCs w:val="24"/>
        </w:rPr>
      </w:pPr>
      <w:r w:rsidRPr="00293AF1">
        <w:rPr>
          <w:rFonts w:cs="Arial"/>
          <w:szCs w:val="24"/>
        </w:rPr>
        <w:t>The corporate social responsibility is a type of strategy that is undertaken by organisations to not just increase the profits but also to have an active participation with the social responsibility around them. The CSR is a type of understanding the organisations have about their role in the development of the society around them. The term CSR is related with the term corporate citizenship</w:t>
      </w:r>
      <w:r w:rsidRPr="00293AF1">
        <w:rPr>
          <w:rFonts w:cs="Arial"/>
          <w:szCs w:val="24"/>
          <w:shd w:val="clear" w:color="auto" w:fill="FFFFFF"/>
        </w:rPr>
        <w:t xml:space="preserve"> (Millar </w:t>
      </w:r>
      <w:r w:rsidRPr="00293AF1">
        <w:rPr>
          <w:rFonts w:cs="Arial"/>
          <w:i/>
          <w:szCs w:val="24"/>
          <w:shd w:val="clear" w:color="auto" w:fill="FFFFFF"/>
        </w:rPr>
        <w:t>et.al</w:t>
      </w:r>
      <w:r w:rsidRPr="00293AF1">
        <w:rPr>
          <w:rFonts w:cs="Arial"/>
          <w:szCs w:val="24"/>
          <w:shd w:val="clear" w:color="auto" w:fill="FFFFFF"/>
        </w:rPr>
        <w:t xml:space="preserve"> 2019).</w:t>
      </w:r>
      <w:r w:rsidR="0017687B" w:rsidRPr="0017687B">
        <w:t xml:space="preserve"> </w:t>
      </w:r>
      <w:r w:rsidR="0017687B" w:rsidRPr="0017687B">
        <w:rPr>
          <w:rFonts w:cs="Arial"/>
          <w:szCs w:val="24"/>
          <w:shd w:val="clear" w:color="auto" w:fill="FFFFFF"/>
        </w:rPr>
        <w:t>There are many different kinds of corporate social responsibility (CSR), including charitable, environmental, ethical, and economic. CSR is an organization's way of expressing its values and culture. Ethical corporate social responsibility encompasses social obligations and human-related policies. Taking care of the environment and the local economy of the tourist destination is one of the corporate social obligations associated with sustainable tourism (</w:t>
      </w:r>
      <w:proofErr w:type="spellStart"/>
      <w:r w:rsidR="0017687B" w:rsidRPr="0017687B">
        <w:rPr>
          <w:rFonts w:cs="Arial"/>
          <w:szCs w:val="24"/>
          <w:shd w:val="clear" w:color="auto" w:fill="FFFFFF"/>
        </w:rPr>
        <w:t>Morea</w:t>
      </w:r>
      <w:proofErr w:type="spellEnd"/>
      <w:r w:rsidR="0017687B" w:rsidRPr="0017687B">
        <w:rPr>
          <w:rFonts w:cs="Arial"/>
          <w:szCs w:val="24"/>
          <w:shd w:val="clear" w:color="auto" w:fill="FFFFFF"/>
        </w:rPr>
        <w:t xml:space="preserve"> et al., 2021).</w:t>
      </w:r>
      <w:r w:rsidRPr="00293AF1">
        <w:rPr>
          <w:rFonts w:cs="Arial"/>
          <w:szCs w:val="24"/>
        </w:rPr>
        <w:t xml:space="preserve">          </w:t>
      </w:r>
    </w:p>
    <w:p w:rsidR="00520B1D" w:rsidRPr="00293AF1" w:rsidRDefault="00520B1D" w:rsidP="00520B1D">
      <w:pPr>
        <w:rPr>
          <w:rFonts w:cs="Arial"/>
          <w:szCs w:val="24"/>
        </w:rPr>
      </w:pPr>
      <w:r w:rsidRPr="00293AF1">
        <w:rPr>
          <w:rFonts w:cs="Arial"/>
          <w:szCs w:val="24"/>
        </w:rPr>
        <w:t>Good CSR practices in the tourism include good use of the natural resources, limiting the pollution, responsible use of the local products, supportive collaboration and cooperation, promotion of the sustainable products, conservation of the cultural heritage and biodiversity. All of these practices promote sustainable development in the tourism sector. The CSR practices need to be used in the long term in order to be successful. Organisation need to integrate the environmental concerns in their business model in order to achieve sustainable development (</w:t>
      </w:r>
      <w:proofErr w:type="spellStart"/>
      <w:r w:rsidRPr="00293AF1">
        <w:rPr>
          <w:rFonts w:cs="Arial"/>
          <w:szCs w:val="24"/>
          <w:shd w:val="clear" w:color="auto" w:fill="FFFFFF"/>
        </w:rPr>
        <w:t>Stoyanova</w:t>
      </w:r>
      <w:proofErr w:type="spellEnd"/>
      <w:r w:rsidRPr="00293AF1">
        <w:rPr>
          <w:rFonts w:cs="Arial"/>
          <w:szCs w:val="24"/>
          <w:shd w:val="clear" w:color="auto" w:fill="FFFFFF"/>
        </w:rPr>
        <w:t>, 2019).</w:t>
      </w:r>
      <w:r w:rsidRPr="00293AF1">
        <w:rPr>
          <w:rFonts w:cs="Arial"/>
          <w:szCs w:val="24"/>
        </w:rPr>
        <w:t xml:space="preserve"> Circular economy can be integrated within the CSR structure so that the practices and use of the resources can optimized. </w:t>
      </w:r>
    </w:p>
    <w:p w:rsidR="00520B1D" w:rsidRPr="00293AF1" w:rsidRDefault="00520B1D" w:rsidP="00520B1D">
      <w:pPr>
        <w:rPr>
          <w:rFonts w:cs="Arial"/>
          <w:szCs w:val="24"/>
        </w:rPr>
      </w:pPr>
      <w:r w:rsidRPr="00293AF1">
        <w:rPr>
          <w:rFonts w:cs="Arial"/>
          <w:szCs w:val="24"/>
        </w:rPr>
        <w:t>Circular economy model and the corporate social responsibilities can go hands in hand. Within the concerns of the environmental responsibilities an organisation can recycle its products so that both the environment and the organisation can get a benefit from it. With the help of recycling the usage of the natural resource will also be limited which will have both economic benefits as well environmental benefits</w:t>
      </w:r>
      <w:r w:rsidRPr="00293AF1">
        <w:rPr>
          <w:rFonts w:cs="Arial"/>
          <w:szCs w:val="24"/>
          <w:shd w:val="clear" w:color="auto" w:fill="FFFFFF"/>
        </w:rPr>
        <w:t xml:space="preserve"> (</w:t>
      </w:r>
      <w:proofErr w:type="spellStart"/>
      <w:r w:rsidRPr="00293AF1">
        <w:rPr>
          <w:rFonts w:cs="Arial"/>
          <w:szCs w:val="24"/>
          <w:shd w:val="clear" w:color="auto" w:fill="FFFFFF"/>
        </w:rPr>
        <w:t>Rodríguez-Antón</w:t>
      </w:r>
      <w:proofErr w:type="spellEnd"/>
      <w:r w:rsidRPr="00293AF1">
        <w:rPr>
          <w:rFonts w:cs="Arial"/>
          <w:szCs w:val="24"/>
          <w:shd w:val="clear" w:color="auto" w:fill="FFFFFF"/>
        </w:rPr>
        <w:t xml:space="preserve"> and Alonso-Almeida, 2019).</w:t>
      </w:r>
      <w:r w:rsidRPr="00293AF1">
        <w:rPr>
          <w:rFonts w:cs="Arial"/>
          <w:szCs w:val="24"/>
        </w:rPr>
        <w:t xml:space="preserve">The use of the circular economic model with the CSR’s will also ensure that the energy consumption of the organisation is limited. The energy consumption that is regulated then can be used in the transportation. The CSR practices help in elevating the travel sector as well. The employee wellness program </w:t>
      </w:r>
      <w:r w:rsidRPr="00293AF1">
        <w:rPr>
          <w:rFonts w:cs="Arial"/>
          <w:szCs w:val="24"/>
        </w:rPr>
        <w:lastRenderedPageBreak/>
        <w:t>that is used in the CSR practices also follows the circular economic model (Jones and Wynn, 2023).</w:t>
      </w:r>
    </w:p>
    <w:p w:rsidR="00520B1D" w:rsidRPr="00293AF1" w:rsidRDefault="00520B1D" w:rsidP="00520B1D">
      <w:pPr>
        <w:rPr>
          <w:rFonts w:cs="Arial"/>
          <w:szCs w:val="24"/>
        </w:rPr>
      </w:pPr>
      <w:proofErr w:type="gramStart"/>
      <w:r w:rsidRPr="00293AF1">
        <w:rPr>
          <w:rFonts w:cs="Arial"/>
          <w:szCs w:val="24"/>
        </w:rPr>
        <w:t>The direct and the indirect control of the CO2 emissions follow both of the areas which are CSR and the circular economic model.</w:t>
      </w:r>
      <w:proofErr w:type="gramEnd"/>
      <w:r w:rsidRPr="00293AF1">
        <w:rPr>
          <w:rFonts w:cs="Arial"/>
          <w:szCs w:val="24"/>
        </w:rPr>
        <w:t xml:space="preserve"> The circular economic model fits right with the CSR practices as both of them aim to benefit the user and the environment around them </w:t>
      </w:r>
      <w:r w:rsidRPr="00293AF1">
        <w:rPr>
          <w:rFonts w:cs="Arial"/>
          <w:szCs w:val="24"/>
          <w:shd w:val="clear" w:color="auto" w:fill="FFFFFF"/>
        </w:rPr>
        <w:t>(</w:t>
      </w:r>
      <w:proofErr w:type="spellStart"/>
      <w:r w:rsidRPr="00293AF1">
        <w:rPr>
          <w:rFonts w:cs="Arial"/>
          <w:szCs w:val="24"/>
          <w:shd w:val="clear" w:color="auto" w:fill="FFFFFF"/>
        </w:rPr>
        <w:t>Batabyal</w:t>
      </w:r>
      <w:proofErr w:type="spellEnd"/>
      <w:r w:rsidRPr="00293AF1">
        <w:rPr>
          <w:rFonts w:cs="Arial"/>
          <w:szCs w:val="24"/>
          <w:shd w:val="clear" w:color="auto" w:fill="FFFFFF"/>
        </w:rPr>
        <w:t>, 2018)</w:t>
      </w:r>
      <w:r w:rsidRPr="00293AF1">
        <w:rPr>
          <w:rFonts w:cs="Arial"/>
          <w:szCs w:val="24"/>
        </w:rPr>
        <w:t>.The CSR practice in the transportation sector generally includes the usage of the engines hat more less combustion and more sustainability. The practices also include the usage of the clean fuel that doesn’t damage the environment and also the usage of ethanol blending (</w:t>
      </w:r>
      <w:proofErr w:type="spellStart"/>
      <w:r w:rsidRPr="00293AF1">
        <w:rPr>
          <w:rFonts w:cs="Arial"/>
          <w:szCs w:val="24"/>
        </w:rPr>
        <w:t>Bhagtani</w:t>
      </w:r>
      <w:proofErr w:type="spellEnd"/>
      <w:r w:rsidRPr="00293AF1">
        <w:rPr>
          <w:rFonts w:cs="Arial"/>
          <w:szCs w:val="24"/>
        </w:rPr>
        <w:t xml:space="preserve">, 2022).                    </w:t>
      </w:r>
    </w:p>
    <w:p w:rsidR="00520B1D" w:rsidRPr="00293AF1" w:rsidRDefault="00520B1D" w:rsidP="00520B1D">
      <w:pPr>
        <w:rPr>
          <w:rFonts w:cs="Arial"/>
          <w:b/>
          <w:szCs w:val="24"/>
        </w:rPr>
      </w:pPr>
      <w:r w:rsidRPr="00293AF1">
        <w:rPr>
          <w:rFonts w:cs="Arial"/>
          <w:b/>
          <w:szCs w:val="24"/>
        </w:rPr>
        <w:t>Review and evaluation of CSR</w:t>
      </w:r>
    </w:p>
    <w:p w:rsidR="00520B1D" w:rsidRPr="00293AF1" w:rsidRDefault="00520B1D" w:rsidP="00520B1D">
      <w:pPr>
        <w:rPr>
          <w:rFonts w:cs="Arial"/>
          <w:szCs w:val="24"/>
        </w:rPr>
      </w:pPr>
      <w:r w:rsidRPr="00293AF1">
        <w:rPr>
          <w:rFonts w:cs="Arial"/>
          <w:szCs w:val="24"/>
        </w:rPr>
        <w:t xml:space="preserve">An IHG hotel is a very influential group in the hospitality industry, claiming they are supporting global sustainable goals. IHG claims that it is creating, building, and designing more sustainable hotels by including three significant dimensions of CSR: economic, ethical, legal, and philanthropic responsibility (Sloan </w:t>
      </w:r>
      <w:r w:rsidRPr="00293AF1">
        <w:rPr>
          <w:rFonts w:cs="Arial"/>
          <w:i/>
          <w:szCs w:val="24"/>
        </w:rPr>
        <w:t>et.al</w:t>
      </w:r>
      <w:r w:rsidRPr="00293AF1">
        <w:rPr>
          <w:rFonts w:cs="Arial"/>
          <w:szCs w:val="24"/>
        </w:rPr>
        <w:t xml:space="preserve"> 2017). The venture focuses on carbon neutrality in its practices and to decrease the environmental externalities to promote positive environmental practices in its activities to ensure about circular economy and sustainability. The venture fulfils its economic responsibility by concentrating on the long-term growth practices for the business while setting the environmental and ethical standards for its operations by balancing its overall impact on society (</w:t>
      </w:r>
      <w:proofErr w:type="spellStart"/>
      <w:r w:rsidRPr="00293AF1">
        <w:rPr>
          <w:rFonts w:cs="Arial"/>
          <w:szCs w:val="24"/>
        </w:rPr>
        <w:t>Bhagtani</w:t>
      </w:r>
      <w:proofErr w:type="spellEnd"/>
      <w:r w:rsidRPr="00293AF1">
        <w:rPr>
          <w:rFonts w:cs="Arial"/>
          <w:szCs w:val="24"/>
        </w:rPr>
        <w:t xml:space="preserve">, 2022). The venture generates high-level profit continuously by using the opportunities that help in focusing the new products and consumer markets through its efficient and impressive business management, which results in a reduction of cost and a rise in the profit margin of the business (IHG, 2024).  </w:t>
      </w:r>
    </w:p>
    <w:p w:rsidR="00520B1D" w:rsidRPr="00293AF1" w:rsidRDefault="00520B1D" w:rsidP="00520B1D">
      <w:pPr>
        <w:rPr>
          <w:rFonts w:cs="Arial"/>
          <w:szCs w:val="24"/>
        </w:rPr>
      </w:pPr>
      <w:r w:rsidRPr="00293AF1">
        <w:rPr>
          <w:rFonts w:cs="Arial"/>
          <w:szCs w:val="24"/>
        </w:rPr>
        <w:t>The business follows several strategies to increase its sales by offering discounts to its consumers and also expanding and introducing new products to new markets through effective marketing and communication strategies (</w:t>
      </w:r>
      <w:proofErr w:type="spellStart"/>
      <w:r w:rsidRPr="00293AF1">
        <w:rPr>
          <w:rFonts w:cs="Arial"/>
          <w:szCs w:val="24"/>
        </w:rPr>
        <w:t>Rodríguez-Antón</w:t>
      </w:r>
      <w:proofErr w:type="spellEnd"/>
      <w:r w:rsidRPr="00293AF1">
        <w:rPr>
          <w:rFonts w:cs="Arial"/>
          <w:szCs w:val="24"/>
        </w:rPr>
        <w:t xml:space="preserve"> and Alonso-Almeida, 2019). Decisions are made according to circular economy and ensure to have better CSR implementation. The venture is focusing on increasing the use of recycled products, which can benefit by using fewer resources and minimising material costs. IHG is attentively investing in new innovative technologies and market research to know its customers' preferences and choices and to strategise actively within environmental </w:t>
      </w:r>
      <w:r w:rsidRPr="00293AF1">
        <w:rPr>
          <w:rFonts w:cs="Arial"/>
          <w:szCs w:val="24"/>
        </w:rPr>
        <w:lastRenderedPageBreak/>
        <w:t>changes, and it could remain sustainable by fulfilling its economic responsibility (IHG, 2024). The business is also focusing on its legal policies to ensure its corporate social responsibility in the market. IHG follows legal rules and their compliance in society and their business practices to work in a transparent and proper manner. The legislators of the company ensure the compliance of legal rules and their contribution to making the IHG profitable and sustainable without compromising the development of society. IHG follows the minimum wage law for employees; also, workplace safety is considered by providing the safety standards and occupational well-being of the employees.</w:t>
      </w:r>
    </w:p>
    <w:p w:rsidR="00520B1D" w:rsidRPr="00293AF1" w:rsidRDefault="00520B1D" w:rsidP="00520B1D">
      <w:pPr>
        <w:rPr>
          <w:rFonts w:cs="Arial"/>
          <w:szCs w:val="24"/>
        </w:rPr>
      </w:pPr>
      <w:r w:rsidRPr="00293AF1">
        <w:rPr>
          <w:rFonts w:cs="Arial"/>
          <w:szCs w:val="24"/>
        </w:rPr>
        <w:t>The venture also follows anti-discrimination laws to give an equitable, open and inclusive work environment to its employees. IHG ensures its CSR by fulfilling its ethical responsibility by making sure that all raw materials are ethically collected and sourced from the suppliers to protect the environment by confirming that sustainable methods supply all products. The company follows labour practices which are ethical for its supply chain partners, which provide the commodities (Cooper, 2021). Practices are certified to meet fair trade standards that help in making the business more sustainable in the circular economy, by reusing and recycling the existing raw material and reducing the waste create new products and promote awareness about the environment. It increases the productivity of the business through effective and sustainable CSR management practices in the circular economy (</w:t>
      </w:r>
      <w:proofErr w:type="spellStart"/>
      <w:r w:rsidRPr="00293AF1">
        <w:rPr>
          <w:rFonts w:cs="Arial"/>
          <w:szCs w:val="24"/>
        </w:rPr>
        <w:t>Stoyanova</w:t>
      </w:r>
      <w:proofErr w:type="spellEnd"/>
      <w:r w:rsidRPr="00293AF1">
        <w:rPr>
          <w:rFonts w:cs="Arial"/>
          <w:szCs w:val="24"/>
        </w:rPr>
        <w:t>, 2019).</w:t>
      </w:r>
    </w:p>
    <w:p w:rsidR="00520B1D" w:rsidRPr="00293AF1" w:rsidRDefault="00520B1D" w:rsidP="00520B1D">
      <w:pPr>
        <w:rPr>
          <w:rFonts w:cs="Arial"/>
          <w:b/>
          <w:szCs w:val="24"/>
        </w:rPr>
      </w:pPr>
      <w:r w:rsidRPr="00293AF1">
        <w:rPr>
          <w:rFonts w:cs="Arial"/>
          <w:b/>
          <w:szCs w:val="24"/>
        </w:rPr>
        <w:t>Industry examples of circular economy</w:t>
      </w:r>
    </w:p>
    <w:p w:rsidR="00520B1D" w:rsidRPr="00293AF1" w:rsidRDefault="0017687B" w:rsidP="00520B1D">
      <w:pPr>
        <w:rPr>
          <w:rFonts w:cs="Arial"/>
          <w:szCs w:val="24"/>
        </w:rPr>
      </w:pPr>
      <w:r w:rsidRPr="0017687B">
        <w:rPr>
          <w:rFonts w:cs="Arial"/>
          <w:szCs w:val="24"/>
        </w:rPr>
        <w:t>A circular economy contributes to less material being used in the creation and production of new goods. It will be more sustainable and environmentally good for the world and environment if it incorporates the waste of raw materials to develop, design, and produce a new resource or new product (</w:t>
      </w:r>
      <w:proofErr w:type="spellStart"/>
      <w:r w:rsidRPr="0017687B">
        <w:rPr>
          <w:rFonts w:cs="Arial"/>
          <w:szCs w:val="24"/>
        </w:rPr>
        <w:t>Inkson</w:t>
      </w:r>
      <w:proofErr w:type="spellEnd"/>
      <w:r w:rsidRPr="0017687B">
        <w:rPr>
          <w:rFonts w:cs="Arial"/>
          <w:szCs w:val="24"/>
        </w:rPr>
        <w:t xml:space="preserve"> and </w:t>
      </w:r>
      <w:proofErr w:type="spellStart"/>
      <w:r w:rsidRPr="0017687B">
        <w:rPr>
          <w:rFonts w:cs="Arial"/>
          <w:szCs w:val="24"/>
        </w:rPr>
        <w:t>Minnaert</w:t>
      </w:r>
      <w:proofErr w:type="spellEnd"/>
      <w:r w:rsidRPr="0017687B">
        <w:rPr>
          <w:rFonts w:cs="Arial"/>
          <w:szCs w:val="24"/>
        </w:rPr>
        <w:t>, 2018).</w:t>
      </w:r>
    </w:p>
    <w:p w:rsidR="00520B1D" w:rsidRPr="00293AF1" w:rsidRDefault="00520B1D" w:rsidP="00520B1D">
      <w:pPr>
        <w:rPr>
          <w:rFonts w:cs="Arial"/>
          <w:szCs w:val="24"/>
        </w:rPr>
      </w:pPr>
      <w:r w:rsidRPr="00293AF1">
        <w:rPr>
          <w:rFonts w:cs="Arial"/>
          <w:szCs w:val="24"/>
        </w:rPr>
        <w:t xml:space="preserve">For example, Marriott demonstrates sustainability by sharing, leasing, reusing, repairing, refurbishing, and recycling processes. The company works with local communities to share resources, such as meeting rooms in order to minimising environmental effect. Marriott supports the circular economy through leasing arrangements, which extend the life of assets like as furniture. The reuse of linens and towels saves waste, while regular repair and refurbishing programmes assure longevity. Furthermore, recycling activities focus on repurposing materials which contributes to a </w:t>
      </w:r>
      <w:r w:rsidRPr="00293AF1">
        <w:rPr>
          <w:rFonts w:cs="Arial"/>
          <w:szCs w:val="24"/>
        </w:rPr>
        <w:lastRenderedPageBreak/>
        <w:t>responsible and environmentally sustainable approach (Marriott, 2019). Marriott's dedication to these principles displays a holistic approach to sustainable company operations.</w:t>
      </w:r>
    </w:p>
    <w:p w:rsidR="00520B1D" w:rsidRPr="00293AF1" w:rsidRDefault="00520B1D" w:rsidP="00520B1D">
      <w:pPr>
        <w:rPr>
          <w:rFonts w:cs="Arial"/>
          <w:szCs w:val="24"/>
        </w:rPr>
      </w:pPr>
      <w:r w:rsidRPr="00293AF1">
        <w:rPr>
          <w:rFonts w:cs="Arial"/>
          <w:szCs w:val="24"/>
        </w:rPr>
        <w:t>In the industry, veterans and disabled people are invited to employment to promote equality. The CSR practice of the reduction in food waste and the single-use toiletries can help in the environmental protection and recycling of the guest room, which is a sustainable hospitality management of the organisation (Cooper, 2021). Recycling of the food guest rooms and single-use plastic bottles and toiletries can be effective in the circular economy as it reduces the material cost to create new products.</w:t>
      </w:r>
    </w:p>
    <w:p w:rsidR="0017687B" w:rsidRDefault="0017687B" w:rsidP="00520B1D">
      <w:pPr>
        <w:rPr>
          <w:rFonts w:cs="Arial"/>
          <w:szCs w:val="24"/>
        </w:rPr>
      </w:pPr>
      <w:r w:rsidRPr="0017687B">
        <w:rPr>
          <w:rFonts w:cs="Arial"/>
          <w:szCs w:val="24"/>
        </w:rPr>
        <w:t xml:space="preserve">Ten percent of Accor's energy comes from renewable sources on the premises. Additionally, it gathers and repurposes rainfall to encourage sustainability in its operations (Accor, 2023). Premier Inn is the most popular hotel brand in the United Kingdom and a restricted hotel service network. With an emphasis on many CSR facets, the enterprise aims to reduce its carbon footprint by half by the end of 2025. This will be achieved by implementing zero gas in all new Premier Inn hotels and making sure that renewable energy is used for both UK and global operations. The company is spending money on effective solutions to lower the gas usage in its hotel. </w:t>
      </w:r>
    </w:p>
    <w:p w:rsidR="00520B1D" w:rsidRPr="00293AF1" w:rsidRDefault="0017687B" w:rsidP="00520B1D">
      <w:pPr>
        <w:rPr>
          <w:rFonts w:cs="Arial"/>
          <w:szCs w:val="24"/>
        </w:rPr>
      </w:pPr>
      <w:r>
        <w:rPr>
          <w:rFonts w:cs="Arial"/>
          <w:szCs w:val="24"/>
        </w:rPr>
        <w:t>T</w:t>
      </w:r>
      <w:r w:rsidR="00520B1D" w:rsidRPr="00293AF1">
        <w:rPr>
          <w:rFonts w:cs="Arial"/>
          <w:szCs w:val="24"/>
        </w:rPr>
        <w:t>he business is also using more electric vehicle for its distribution activities to promote the sustainability in its operations. 100% use of renewable electricity in UK based sites of Premier Inn (Premier inn, 2023). The Installation of solar panels in its 113 hotels in UK to promote the use of renewable energy and sustainable hospitability, it is also effective in circular economy as reduction in the resources and cost for creating new energy resources for its operation can be reduced with the use of solar panels.</w:t>
      </w:r>
    </w:p>
    <w:p w:rsidR="00520B1D" w:rsidRPr="00293AF1" w:rsidRDefault="00520B1D" w:rsidP="00520B1D">
      <w:pPr>
        <w:pStyle w:val="1"/>
        <w:rPr>
          <w:rFonts w:cs="Arial"/>
          <w:sz w:val="24"/>
          <w:szCs w:val="24"/>
        </w:rPr>
      </w:pPr>
      <w:bookmarkStart w:id="2" w:name="_Toc156837506"/>
      <w:r w:rsidRPr="00293AF1">
        <w:rPr>
          <w:rFonts w:cs="Arial"/>
          <w:sz w:val="24"/>
          <w:szCs w:val="24"/>
        </w:rPr>
        <w:t>Conclusion</w:t>
      </w:r>
      <w:bookmarkEnd w:id="2"/>
    </w:p>
    <w:p w:rsidR="00520B1D" w:rsidRPr="00293AF1" w:rsidRDefault="00520B1D" w:rsidP="00520B1D">
      <w:pPr>
        <w:rPr>
          <w:rFonts w:cs="Arial"/>
          <w:szCs w:val="24"/>
        </w:rPr>
      </w:pPr>
      <w:r w:rsidRPr="00293AF1">
        <w:rPr>
          <w:rFonts w:cs="Arial"/>
          <w:szCs w:val="24"/>
        </w:rPr>
        <w:t xml:space="preserve">This essay concludes the sustainable hospitability and tourism management. This illustrates several benefits of sustainability in hotel industry such as it helps in cost saving through reduction in the consumption of water and energy resources. It also helps in improving the environmental sustainability by reducing the waste of raw material in business operations. Sustainable management in hotel industry also helps in attracting the eco conscious guests by saving the environment through reducing the carbon use in their business practices. This further illustrates the corporate social </w:t>
      </w:r>
      <w:r w:rsidRPr="00293AF1">
        <w:rPr>
          <w:rFonts w:cs="Arial"/>
          <w:szCs w:val="24"/>
        </w:rPr>
        <w:lastRenderedPageBreak/>
        <w:t>responsibility in the hotel industry. This is also focused on the evaluating and reviewing the CSR policies of IHG and their sustainability in the hotel industry. Lastly it concludes the several examples of hotel industry embodying in circular economy such as Premier inn, Marriot and other hotels.</w:t>
      </w:r>
    </w:p>
    <w:p w:rsidR="00520B1D" w:rsidRPr="00A44E3C" w:rsidRDefault="00520B1D" w:rsidP="00520B1D">
      <w:pPr>
        <w:spacing w:after="200" w:line="276" w:lineRule="auto"/>
        <w:jc w:val="left"/>
        <w:rPr>
          <w:rFonts w:cs="Arial"/>
          <w:sz w:val="30"/>
          <w:szCs w:val="30"/>
        </w:rPr>
      </w:pPr>
    </w:p>
    <w:p w:rsidR="00520B1D" w:rsidRPr="00A44E3C" w:rsidRDefault="00520B1D" w:rsidP="00520B1D">
      <w:pPr>
        <w:spacing w:after="200" w:line="276" w:lineRule="auto"/>
        <w:jc w:val="left"/>
        <w:rPr>
          <w:rFonts w:cs="Arial"/>
          <w:sz w:val="30"/>
          <w:szCs w:val="30"/>
        </w:rPr>
      </w:pPr>
    </w:p>
    <w:p w:rsidR="00520B1D" w:rsidRPr="00A44E3C" w:rsidRDefault="00520B1D" w:rsidP="00520B1D">
      <w:pPr>
        <w:spacing w:after="200" w:line="276" w:lineRule="auto"/>
        <w:jc w:val="left"/>
        <w:rPr>
          <w:rFonts w:eastAsiaTheme="majorEastAsia" w:cs="Arial"/>
          <w:b/>
          <w:bCs/>
          <w:sz w:val="28"/>
          <w:szCs w:val="28"/>
          <w:shd w:val="clear" w:color="auto" w:fill="FFFFFF"/>
        </w:rPr>
      </w:pPr>
      <w:r w:rsidRPr="00A44E3C">
        <w:rPr>
          <w:rFonts w:cs="Arial"/>
          <w:shd w:val="clear" w:color="auto" w:fill="FFFFFF"/>
        </w:rPr>
        <w:br w:type="page"/>
      </w:r>
    </w:p>
    <w:p w:rsidR="00520B1D" w:rsidRPr="00A44E3C" w:rsidRDefault="00520B1D" w:rsidP="00520B1D">
      <w:pPr>
        <w:pStyle w:val="1"/>
        <w:rPr>
          <w:rFonts w:cs="Arial"/>
          <w:shd w:val="clear" w:color="auto" w:fill="FFFFFF"/>
        </w:rPr>
      </w:pPr>
      <w:bookmarkStart w:id="3" w:name="_Toc156837507"/>
      <w:r w:rsidRPr="00A44E3C">
        <w:rPr>
          <w:rFonts w:cs="Arial"/>
          <w:shd w:val="clear" w:color="auto" w:fill="FFFFFF"/>
        </w:rPr>
        <w:lastRenderedPageBreak/>
        <w:t>References</w:t>
      </w:r>
      <w:bookmarkEnd w:id="3"/>
      <w:r w:rsidRPr="00A44E3C">
        <w:rPr>
          <w:rFonts w:cs="Arial"/>
          <w:shd w:val="clear" w:color="auto" w:fill="FFFFFF"/>
        </w:rPr>
        <w:t xml:space="preserve">  </w:t>
      </w:r>
    </w:p>
    <w:p w:rsidR="00520B1D" w:rsidRPr="00293AF1" w:rsidRDefault="00520B1D" w:rsidP="00520B1D">
      <w:pPr>
        <w:pStyle w:val="a8"/>
        <w:numPr>
          <w:ilvl w:val="0"/>
          <w:numId w:val="1"/>
        </w:numPr>
        <w:rPr>
          <w:rFonts w:cs="Arial"/>
        </w:rPr>
      </w:pPr>
      <w:r w:rsidRPr="00293AF1">
        <w:rPr>
          <w:rFonts w:cs="Arial"/>
        </w:rPr>
        <w:t xml:space="preserve">Accor, (2023). </w:t>
      </w:r>
      <w:r w:rsidRPr="00293AF1">
        <w:rPr>
          <w:rFonts w:cs="Arial"/>
          <w:i/>
        </w:rPr>
        <w:t>Environment &amp; CSR.</w:t>
      </w:r>
      <w:r w:rsidRPr="00293AF1">
        <w:rPr>
          <w:rFonts w:cs="Arial"/>
          <w:b/>
          <w:i/>
        </w:rPr>
        <w:t xml:space="preserve"> </w:t>
      </w:r>
      <w:r w:rsidRPr="00293AF1">
        <w:rPr>
          <w:rFonts w:cs="Arial"/>
        </w:rPr>
        <w:t>[Online]. Available through: &lt;</w:t>
      </w:r>
      <w:hyperlink r:id="rId8" w:history="1">
        <w:r w:rsidRPr="00293AF1">
          <w:rPr>
            <w:rStyle w:val="a4"/>
            <w:rFonts w:cs="Arial"/>
            <w:bCs/>
            <w:iCs/>
            <w:szCs w:val="24"/>
          </w:rPr>
          <w:t>https://group.accor.com/en/hotel-development/Optimise-your-costs/Environment-and-CSR</w:t>
        </w:r>
      </w:hyperlink>
      <w:r w:rsidR="000E275A">
        <w:rPr>
          <w:rFonts w:cs="Arial"/>
        </w:rPr>
        <w:t>&gt;. [Accessed on: 22</w:t>
      </w:r>
      <w:r w:rsidRPr="00293AF1">
        <w:rPr>
          <w:rFonts w:cs="Arial"/>
          <w:vertAlign w:val="superscript"/>
        </w:rPr>
        <w:t>nd</w:t>
      </w:r>
      <w:r w:rsidRPr="00293AF1">
        <w:rPr>
          <w:rFonts w:cs="Arial"/>
        </w:rPr>
        <w:t xml:space="preserve"> January, 2024].</w:t>
      </w:r>
    </w:p>
    <w:p w:rsidR="00520B1D" w:rsidRPr="00293AF1" w:rsidRDefault="00520B1D" w:rsidP="00520B1D">
      <w:pPr>
        <w:pStyle w:val="a8"/>
        <w:numPr>
          <w:ilvl w:val="0"/>
          <w:numId w:val="1"/>
        </w:numPr>
        <w:rPr>
          <w:rFonts w:cs="Arial"/>
          <w:shd w:val="clear" w:color="auto" w:fill="FFFFFF"/>
        </w:rPr>
      </w:pPr>
      <w:proofErr w:type="spellStart"/>
      <w:r w:rsidRPr="00293AF1">
        <w:rPr>
          <w:rFonts w:cs="Arial"/>
          <w:shd w:val="clear" w:color="auto" w:fill="FFFFFF"/>
        </w:rPr>
        <w:t>Batabyal</w:t>
      </w:r>
      <w:proofErr w:type="spellEnd"/>
      <w:r w:rsidRPr="00293AF1">
        <w:rPr>
          <w:rFonts w:cs="Arial"/>
          <w:shd w:val="clear" w:color="auto" w:fill="FFFFFF"/>
        </w:rPr>
        <w:t>. (2018). Managing Sustainable Tourism Resources.IGI Global.</w:t>
      </w:r>
    </w:p>
    <w:p w:rsidR="00520B1D" w:rsidRPr="0056362C" w:rsidRDefault="00520B1D" w:rsidP="00520B1D">
      <w:pPr>
        <w:pStyle w:val="a8"/>
        <w:numPr>
          <w:ilvl w:val="0"/>
          <w:numId w:val="1"/>
        </w:numPr>
        <w:rPr>
          <w:rFonts w:cs="Arial"/>
          <w:shd w:val="clear" w:color="auto" w:fill="FFFFFF"/>
        </w:rPr>
      </w:pPr>
      <w:proofErr w:type="spellStart"/>
      <w:r w:rsidRPr="0056362C">
        <w:rPr>
          <w:rFonts w:cs="Arial"/>
          <w:shd w:val="clear" w:color="auto" w:fill="FFFFFF"/>
        </w:rPr>
        <w:t>Bhagtani</w:t>
      </w:r>
      <w:proofErr w:type="spellEnd"/>
      <w:r w:rsidRPr="0056362C">
        <w:rPr>
          <w:rFonts w:cs="Arial"/>
          <w:shd w:val="clear" w:color="auto" w:fill="FFFFFF"/>
        </w:rPr>
        <w:t>, N., (2022). Hotel general managers’ quality of life and its impact on organisational sustainability and corporate social responsibility initiatives. Worldwide Hospitality and Tourism Themes, 14(3), pp.286-299.</w:t>
      </w:r>
    </w:p>
    <w:p w:rsidR="00520B1D" w:rsidRPr="00293AF1" w:rsidRDefault="00520B1D" w:rsidP="00520B1D">
      <w:pPr>
        <w:pStyle w:val="a8"/>
        <w:numPr>
          <w:ilvl w:val="0"/>
          <w:numId w:val="1"/>
        </w:numPr>
        <w:rPr>
          <w:rFonts w:cs="Arial"/>
          <w:shd w:val="clear" w:color="auto" w:fill="FFFFFF"/>
        </w:rPr>
      </w:pPr>
      <w:proofErr w:type="spellStart"/>
      <w:r w:rsidRPr="00293AF1">
        <w:rPr>
          <w:rFonts w:cs="Arial"/>
          <w:shd w:val="clear" w:color="auto" w:fill="FFFFFF"/>
        </w:rPr>
        <w:t>Camilleri</w:t>
      </w:r>
      <w:proofErr w:type="spellEnd"/>
      <w:r w:rsidRPr="00293AF1">
        <w:rPr>
          <w:rFonts w:cs="Arial"/>
          <w:shd w:val="clear" w:color="auto" w:fill="FFFFFF"/>
        </w:rPr>
        <w:t>, M.A., (2020). Strategic corporate social responsibility in tourism and hospitality. </w:t>
      </w:r>
      <w:proofErr w:type="spellStart"/>
      <w:r w:rsidRPr="00293AF1">
        <w:rPr>
          <w:rFonts w:cs="Arial"/>
          <w:shd w:val="clear" w:color="auto" w:fill="FFFFFF"/>
        </w:rPr>
        <w:t>Camilleri</w:t>
      </w:r>
      <w:proofErr w:type="spellEnd"/>
      <w:r w:rsidRPr="00293AF1">
        <w:rPr>
          <w:rFonts w:cs="Arial"/>
          <w:shd w:val="clear" w:color="auto" w:fill="FFFFFF"/>
        </w:rPr>
        <w:t>, MA, Strategic Corporate Social Responsibility in Tourism and Hospitality. Sustainable Development, pp.1-3.</w:t>
      </w:r>
    </w:p>
    <w:p w:rsidR="00520B1D" w:rsidRPr="00293AF1" w:rsidRDefault="00520B1D" w:rsidP="00520B1D">
      <w:pPr>
        <w:pStyle w:val="a8"/>
        <w:numPr>
          <w:ilvl w:val="0"/>
          <w:numId w:val="1"/>
        </w:numPr>
        <w:rPr>
          <w:rFonts w:cs="Arial"/>
        </w:rPr>
      </w:pPr>
      <w:r w:rsidRPr="00293AF1">
        <w:rPr>
          <w:rFonts w:cs="Arial"/>
        </w:rPr>
        <w:t>Cooper, C. (2021) Essentials of tourism. Third edition. London: SAGE.</w:t>
      </w:r>
    </w:p>
    <w:p w:rsidR="00520B1D" w:rsidRDefault="00520B1D" w:rsidP="00520B1D">
      <w:pPr>
        <w:pStyle w:val="a8"/>
        <w:numPr>
          <w:ilvl w:val="0"/>
          <w:numId w:val="1"/>
        </w:numPr>
        <w:rPr>
          <w:rFonts w:cs="Arial"/>
          <w:shd w:val="clear" w:color="auto" w:fill="FFFFFF"/>
        </w:rPr>
      </w:pPr>
      <w:proofErr w:type="spellStart"/>
      <w:r w:rsidRPr="0056362C">
        <w:rPr>
          <w:rFonts w:cs="Arial"/>
          <w:shd w:val="clear" w:color="auto" w:fill="FFFFFF"/>
        </w:rPr>
        <w:t>Corvellec</w:t>
      </w:r>
      <w:proofErr w:type="spellEnd"/>
      <w:r w:rsidRPr="0056362C">
        <w:rPr>
          <w:rFonts w:cs="Arial"/>
          <w:shd w:val="clear" w:color="auto" w:fill="FFFFFF"/>
        </w:rPr>
        <w:t xml:space="preserve">, H., </w:t>
      </w:r>
      <w:proofErr w:type="spellStart"/>
      <w:r w:rsidRPr="0056362C">
        <w:rPr>
          <w:rFonts w:cs="Arial"/>
          <w:shd w:val="clear" w:color="auto" w:fill="FFFFFF"/>
        </w:rPr>
        <w:t>Stowell</w:t>
      </w:r>
      <w:proofErr w:type="spellEnd"/>
      <w:r w:rsidRPr="0056362C">
        <w:rPr>
          <w:rFonts w:cs="Arial"/>
          <w:shd w:val="clear" w:color="auto" w:fill="FFFFFF"/>
        </w:rPr>
        <w:t>, A.F. and Johansson, N., (2022). Critiques of the circular economy. </w:t>
      </w:r>
      <w:r w:rsidRPr="0056362C">
        <w:rPr>
          <w:rFonts w:cs="Arial"/>
          <w:i/>
          <w:shd w:val="clear" w:color="auto" w:fill="FFFFFF"/>
        </w:rPr>
        <w:t>Journal of industrial ecology</w:t>
      </w:r>
      <w:r w:rsidRPr="0056362C">
        <w:rPr>
          <w:rFonts w:cs="Arial"/>
          <w:shd w:val="clear" w:color="auto" w:fill="FFFFFF"/>
        </w:rPr>
        <w:t>, </w:t>
      </w:r>
      <w:r w:rsidRPr="0056362C">
        <w:rPr>
          <w:rFonts w:cs="Arial"/>
          <w:i/>
          <w:shd w:val="clear" w:color="auto" w:fill="FFFFFF"/>
        </w:rPr>
        <w:t>26</w:t>
      </w:r>
      <w:r w:rsidRPr="0056362C">
        <w:rPr>
          <w:rFonts w:cs="Arial"/>
          <w:shd w:val="clear" w:color="auto" w:fill="FFFFFF"/>
        </w:rPr>
        <w:t>(2), pp.421-432.</w:t>
      </w:r>
    </w:p>
    <w:p w:rsidR="0056714C" w:rsidRPr="0056362C" w:rsidRDefault="0056714C" w:rsidP="00520B1D">
      <w:pPr>
        <w:pStyle w:val="a8"/>
        <w:numPr>
          <w:ilvl w:val="0"/>
          <w:numId w:val="1"/>
        </w:numPr>
        <w:rPr>
          <w:rFonts w:cs="Arial"/>
          <w:shd w:val="clear" w:color="auto" w:fill="FFFFFF"/>
        </w:rPr>
      </w:pPr>
      <w:proofErr w:type="spellStart"/>
      <w:r>
        <w:t>Dickman</w:t>
      </w:r>
      <w:proofErr w:type="spellEnd"/>
      <w:r>
        <w:t xml:space="preserve">, S. (1997) Tourism: An Introductory Text. Holder Education, </w:t>
      </w:r>
      <w:proofErr w:type="spellStart"/>
      <w:r>
        <w:t>Rydalmere</w:t>
      </w:r>
      <w:proofErr w:type="spellEnd"/>
      <w:r>
        <w:t>, New South Wales.</w:t>
      </w:r>
    </w:p>
    <w:p w:rsidR="00520B1D" w:rsidRPr="00293AF1" w:rsidRDefault="00520B1D" w:rsidP="00520B1D">
      <w:pPr>
        <w:pStyle w:val="a8"/>
        <w:numPr>
          <w:ilvl w:val="0"/>
          <w:numId w:val="1"/>
        </w:numPr>
        <w:rPr>
          <w:rFonts w:cs="Arial"/>
          <w:color w:val="222222"/>
          <w:shd w:val="clear" w:color="auto" w:fill="FFFFFF"/>
        </w:rPr>
      </w:pPr>
      <w:r w:rsidRPr="00293AF1">
        <w:rPr>
          <w:rFonts w:cs="Arial"/>
          <w:color w:val="222222"/>
          <w:shd w:val="clear" w:color="auto" w:fill="FFFFFF"/>
        </w:rPr>
        <w:t>European Parliament , (2024).</w:t>
      </w:r>
      <w:r w:rsidRPr="00293AF1">
        <w:rPr>
          <w:rFonts w:cs="Arial"/>
        </w:rPr>
        <w:t>Circular economy: definition, importance and benefits</w:t>
      </w:r>
      <w:r>
        <w:rPr>
          <w:rFonts w:cs="Arial"/>
          <w:color w:val="222222"/>
          <w:shd w:val="clear" w:color="auto" w:fill="FFFFFF"/>
        </w:rPr>
        <w:t> .</w:t>
      </w:r>
      <w:r w:rsidRPr="00293AF1">
        <w:rPr>
          <w:rFonts w:cs="Arial"/>
          <w:color w:val="222222"/>
          <w:shd w:val="clear" w:color="auto" w:fill="FFFFFF"/>
        </w:rPr>
        <w:t>[Online].Availablethrough:&lt;</w:t>
      </w:r>
      <w:hyperlink r:id="rId9" w:history="1">
        <w:r w:rsidRPr="00293AF1">
          <w:rPr>
            <w:rStyle w:val="a4"/>
            <w:rFonts w:cs="Arial"/>
            <w:shd w:val="clear" w:color="auto" w:fill="FFFFFF"/>
          </w:rPr>
          <w:t>https://www.europarl.europa.eu/news/en/headlines/economy/20151201STO05603/circular-economy-definition-importance-and-benefit</w:t>
        </w:r>
      </w:hyperlink>
      <w:hyperlink r:id="rId10" w:tgtFrame="_blank" w:history="1">
        <w:r w:rsidRPr="00293AF1">
          <w:rPr>
            <w:rStyle w:val="a4"/>
            <w:rFonts w:cs="Arial"/>
            <w:shd w:val="clear" w:color="auto" w:fill="FFFFFF"/>
          </w:rPr>
          <w:t>/</w:t>
        </w:r>
      </w:hyperlink>
      <w:r w:rsidRPr="00293AF1">
        <w:rPr>
          <w:rFonts w:cs="Arial"/>
          <w:color w:val="222222"/>
          <w:shd w:val="clear" w:color="auto" w:fill="FFFFFF"/>
        </w:rPr>
        <w:t> &gt; [Accessed on: 22</w:t>
      </w:r>
      <w:r w:rsidRPr="00293AF1">
        <w:rPr>
          <w:rFonts w:cs="Arial"/>
          <w:color w:val="222222"/>
          <w:shd w:val="clear" w:color="auto" w:fill="FFFFFF"/>
          <w:vertAlign w:val="superscript"/>
        </w:rPr>
        <w:t>nd</w:t>
      </w:r>
      <w:r w:rsidRPr="00293AF1">
        <w:rPr>
          <w:rFonts w:cs="Arial"/>
          <w:color w:val="222222"/>
          <w:shd w:val="clear" w:color="auto" w:fill="FFFFFF"/>
        </w:rPr>
        <w:t xml:space="preserve"> January , 2024] </w:t>
      </w:r>
    </w:p>
    <w:p w:rsidR="00520B1D" w:rsidRPr="0056362C" w:rsidRDefault="00520B1D" w:rsidP="00520B1D">
      <w:pPr>
        <w:pStyle w:val="a8"/>
        <w:numPr>
          <w:ilvl w:val="0"/>
          <w:numId w:val="1"/>
        </w:numPr>
        <w:jc w:val="left"/>
        <w:rPr>
          <w:rFonts w:cs="Arial"/>
        </w:rPr>
      </w:pPr>
      <w:proofErr w:type="spellStart"/>
      <w:r w:rsidRPr="00293AF1">
        <w:rPr>
          <w:rFonts w:cs="Arial"/>
        </w:rPr>
        <w:t>Haski-Leventhal</w:t>
      </w:r>
      <w:proofErr w:type="spellEnd"/>
      <w:r w:rsidRPr="00293AF1">
        <w:rPr>
          <w:rFonts w:cs="Arial"/>
        </w:rPr>
        <w:t>, D. (2018) Strategic corporate social responsibility : tools &amp; theories for responsible management. London: SAGE.</w:t>
      </w:r>
      <w:r w:rsidRPr="0056362C">
        <w:rPr>
          <w:rFonts w:cs="Arial"/>
        </w:rPr>
        <w:t>IHG, (2024).</w:t>
      </w:r>
      <w:r w:rsidRPr="0056362C">
        <w:rPr>
          <w:rFonts w:cs="Arial"/>
          <w:color w:val="000000"/>
          <w:sz w:val="104"/>
          <w:szCs w:val="104"/>
        </w:rPr>
        <w:t xml:space="preserve"> </w:t>
      </w:r>
    </w:p>
    <w:p w:rsidR="00520B1D" w:rsidRPr="0056362C" w:rsidRDefault="00520B1D" w:rsidP="00520B1D">
      <w:pPr>
        <w:pStyle w:val="a8"/>
        <w:numPr>
          <w:ilvl w:val="0"/>
          <w:numId w:val="1"/>
        </w:numPr>
        <w:rPr>
          <w:rFonts w:cs="Arial"/>
        </w:rPr>
      </w:pPr>
      <w:r w:rsidRPr="0056362C">
        <w:rPr>
          <w:rFonts w:cs="Arial"/>
          <w:i/>
        </w:rPr>
        <w:t>IHG Green Engage Hotels</w:t>
      </w:r>
      <w:r w:rsidRPr="0056362C">
        <w:rPr>
          <w:rFonts w:cs="Arial"/>
        </w:rPr>
        <w:t>. [Online]. Available through: &lt;</w:t>
      </w:r>
      <w:hyperlink r:id="rId11" w:anchor=":~:text=Green%20Engage%20is%20an%20innovative,run%20even%20more%20sustainable%20hotels" w:history="1">
        <w:r w:rsidRPr="0056362C">
          <w:rPr>
            <w:rStyle w:val="a4"/>
            <w:rFonts w:cs="Arial"/>
            <w:szCs w:val="24"/>
          </w:rPr>
          <w:t>https://www.ihg.com/content/us/en/support/green-engage-hotels#:~:text=Green%20Engage%20is%20an%20innovative,run%20even%20more%20sustainable%20hotels</w:t>
        </w:r>
      </w:hyperlink>
      <w:r w:rsidRPr="0056362C">
        <w:rPr>
          <w:rFonts w:cs="Arial"/>
        </w:rPr>
        <w:t>.&gt;. [Accessed on: 22</w:t>
      </w:r>
      <w:r w:rsidRPr="0056362C">
        <w:rPr>
          <w:rFonts w:cs="Arial"/>
          <w:vertAlign w:val="superscript"/>
        </w:rPr>
        <w:t>nd</w:t>
      </w:r>
      <w:r w:rsidRPr="0056362C">
        <w:rPr>
          <w:rFonts w:cs="Arial"/>
        </w:rPr>
        <w:t xml:space="preserve"> January, 2024].</w:t>
      </w:r>
    </w:p>
    <w:p w:rsidR="00520B1D" w:rsidRPr="000E275A" w:rsidRDefault="00520B1D" w:rsidP="00520B1D">
      <w:pPr>
        <w:pStyle w:val="a8"/>
        <w:numPr>
          <w:ilvl w:val="0"/>
          <w:numId w:val="1"/>
        </w:numPr>
        <w:rPr>
          <w:rFonts w:cs="Arial"/>
          <w:b/>
        </w:rPr>
      </w:pPr>
      <w:proofErr w:type="spellStart"/>
      <w:r w:rsidRPr="00293AF1">
        <w:rPr>
          <w:rFonts w:cs="Arial"/>
        </w:rPr>
        <w:t>Inkson</w:t>
      </w:r>
      <w:proofErr w:type="spellEnd"/>
      <w:r w:rsidRPr="00293AF1">
        <w:rPr>
          <w:rFonts w:cs="Arial"/>
        </w:rPr>
        <w:t xml:space="preserve">, C. and </w:t>
      </w:r>
      <w:proofErr w:type="spellStart"/>
      <w:r w:rsidRPr="00293AF1">
        <w:rPr>
          <w:rFonts w:cs="Arial"/>
        </w:rPr>
        <w:t>Minnaert</w:t>
      </w:r>
      <w:proofErr w:type="spellEnd"/>
      <w:r w:rsidRPr="00293AF1">
        <w:rPr>
          <w:rFonts w:cs="Arial"/>
        </w:rPr>
        <w:t>, L. (2018) Tourism management : an introduction. 2nd ed. London: SAG</w:t>
      </w:r>
    </w:p>
    <w:p w:rsidR="00520B1D" w:rsidRPr="000E275A" w:rsidRDefault="00520B1D" w:rsidP="00520B1D">
      <w:pPr>
        <w:pStyle w:val="a8"/>
        <w:numPr>
          <w:ilvl w:val="0"/>
          <w:numId w:val="1"/>
        </w:numPr>
        <w:rPr>
          <w:rFonts w:cs="Arial"/>
          <w:b/>
        </w:rPr>
      </w:pPr>
      <w:r w:rsidRPr="000E275A">
        <w:rPr>
          <w:rFonts w:cs="Arial"/>
          <w:shd w:val="clear" w:color="auto" w:fill="FFFFFF"/>
        </w:rPr>
        <w:t xml:space="preserve">Jones, P. and Wynn, M.G., (2023). </w:t>
      </w:r>
      <w:proofErr w:type="gramStart"/>
      <w:r w:rsidRPr="000E275A">
        <w:rPr>
          <w:rFonts w:cs="Arial"/>
          <w:shd w:val="clear" w:color="auto" w:fill="FFFFFF"/>
        </w:rPr>
        <w:t>The circular economy and natural capital in the tourism and hospitality industry.</w:t>
      </w:r>
      <w:proofErr w:type="gramEnd"/>
      <w:r w:rsidRPr="000E275A">
        <w:rPr>
          <w:rFonts w:cs="Arial"/>
          <w:shd w:val="clear" w:color="auto" w:fill="FFFFFF"/>
        </w:rPr>
        <w:t> </w:t>
      </w:r>
      <w:proofErr w:type="gramStart"/>
      <w:r w:rsidRPr="000E275A">
        <w:rPr>
          <w:rFonts w:cs="Arial"/>
          <w:shd w:val="clear" w:color="auto" w:fill="FFFFFF"/>
        </w:rPr>
        <w:t>Circular Economy, 1(1), pp.1-12.</w:t>
      </w:r>
      <w:proofErr w:type="gramEnd"/>
    </w:p>
    <w:p w:rsidR="00520B1D" w:rsidRPr="00293AF1" w:rsidRDefault="00520B1D" w:rsidP="00520B1D">
      <w:pPr>
        <w:pStyle w:val="a8"/>
        <w:numPr>
          <w:ilvl w:val="0"/>
          <w:numId w:val="1"/>
        </w:numPr>
        <w:rPr>
          <w:rFonts w:cs="Arial"/>
        </w:rPr>
      </w:pPr>
      <w:r w:rsidRPr="00293AF1">
        <w:rPr>
          <w:rFonts w:cs="Arial"/>
        </w:rPr>
        <w:lastRenderedPageBreak/>
        <w:t xml:space="preserve">Marriott, (2019). </w:t>
      </w:r>
      <w:r w:rsidRPr="00293AF1">
        <w:rPr>
          <w:rFonts w:cs="Arial"/>
          <w:i/>
        </w:rPr>
        <w:t>Today, business plays an increasingly critical role</w:t>
      </w:r>
      <w:r w:rsidRPr="00293AF1">
        <w:rPr>
          <w:rFonts w:cs="Arial"/>
        </w:rPr>
        <w:t xml:space="preserve">. [Online]. Available through: &lt; </w:t>
      </w:r>
      <w:hyperlink r:id="rId12" w:history="1">
        <w:r w:rsidRPr="00293AF1">
          <w:rPr>
            <w:rStyle w:val="a4"/>
            <w:rFonts w:cs="Arial"/>
            <w:iCs/>
            <w:szCs w:val="24"/>
          </w:rPr>
          <w:t>https://serve360.marriott.com/</w:t>
        </w:r>
      </w:hyperlink>
      <w:r w:rsidRPr="00293AF1">
        <w:rPr>
          <w:rFonts w:cs="Arial"/>
        </w:rPr>
        <w:t>&gt;. [Accessed on: 22</w:t>
      </w:r>
      <w:r w:rsidRPr="00293AF1">
        <w:rPr>
          <w:rFonts w:cs="Arial"/>
          <w:vertAlign w:val="superscript"/>
        </w:rPr>
        <w:t>nd</w:t>
      </w:r>
      <w:r w:rsidRPr="00293AF1">
        <w:rPr>
          <w:rFonts w:cs="Arial"/>
        </w:rPr>
        <w:t xml:space="preserve"> januray</w:t>
      </w:r>
      <w:proofErr w:type="gramStart"/>
      <w:r w:rsidRPr="00293AF1">
        <w:rPr>
          <w:rFonts w:cs="Arial"/>
        </w:rPr>
        <w:t>,2024</w:t>
      </w:r>
      <w:proofErr w:type="gramEnd"/>
      <w:r w:rsidRPr="00293AF1">
        <w:rPr>
          <w:rFonts w:cs="Arial"/>
        </w:rPr>
        <w:t>].</w:t>
      </w:r>
    </w:p>
    <w:p w:rsidR="00520B1D" w:rsidRPr="00293AF1" w:rsidRDefault="00520B1D" w:rsidP="00520B1D">
      <w:pPr>
        <w:pStyle w:val="a8"/>
        <w:numPr>
          <w:ilvl w:val="0"/>
          <w:numId w:val="1"/>
        </w:numPr>
        <w:rPr>
          <w:rFonts w:cs="Arial"/>
          <w:shd w:val="clear" w:color="auto" w:fill="FFFFFF"/>
        </w:rPr>
      </w:pPr>
      <w:r w:rsidRPr="00293AF1">
        <w:rPr>
          <w:rFonts w:cs="Arial"/>
          <w:shd w:val="clear" w:color="auto" w:fill="FFFFFF"/>
        </w:rPr>
        <w:t xml:space="preserve">Millar, N., McLaughlin, E. and </w:t>
      </w:r>
      <w:proofErr w:type="spellStart"/>
      <w:r w:rsidRPr="00293AF1">
        <w:rPr>
          <w:rFonts w:cs="Arial"/>
          <w:shd w:val="clear" w:color="auto" w:fill="FFFFFF"/>
        </w:rPr>
        <w:t>Börger</w:t>
      </w:r>
      <w:proofErr w:type="spellEnd"/>
      <w:r w:rsidRPr="00293AF1">
        <w:rPr>
          <w:rFonts w:cs="Arial"/>
          <w:shd w:val="clear" w:color="auto" w:fill="FFFFFF"/>
        </w:rPr>
        <w:t>, T., (2019). The circular economy: swings and roundabouts</w:t>
      </w:r>
      <w:proofErr w:type="gramStart"/>
      <w:r w:rsidRPr="00293AF1">
        <w:rPr>
          <w:rFonts w:cs="Arial"/>
          <w:shd w:val="clear" w:color="auto" w:fill="FFFFFF"/>
        </w:rPr>
        <w:t>?.</w:t>
      </w:r>
      <w:proofErr w:type="gramEnd"/>
      <w:r w:rsidRPr="00293AF1">
        <w:rPr>
          <w:rFonts w:cs="Arial"/>
          <w:shd w:val="clear" w:color="auto" w:fill="FFFFFF"/>
        </w:rPr>
        <w:t> </w:t>
      </w:r>
      <w:r w:rsidRPr="00293AF1">
        <w:rPr>
          <w:rFonts w:cs="Arial"/>
          <w:i/>
          <w:shd w:val="clear" w:color="auto" w:fill="FFFFFF"/>
        </w:rPr>
        <w:t>Ecological economics</w:t>
      </w:r>
      <w:r w:rsidRPr="00293AF1">
        <w:rPr>
          <w:rFonts w:cs="Arial"/>
          <w:shd w:val="clear" w:color="auto" w:fill="FFFFFF"/>
        </w:rPr>
        <w:t>, </w:t>
      </w:r>
      <w:r w:rsidRPr="00293AF1">
        <w:rPr>
          <w:rFonts w:cs="Arial"/>
          <w:i/>
          <w:shd w:val="clear" w:color="auto" w:fill="FFFFFF"/>
        </w:rPr>
        <w:t>158</w:t>
      </w:r>
      <w:r w:rsidRPr="00293AF1">
        <w:rPr>
          <w:rFonts w:cs="Arial"/>
          <w:shd w:val="clear" w:color="auto" w:fill="FFFFFF"/>
        </w:rPr>
        <w:t>, pp.11-19.</w:t>
      </w:r>
    </w:p>
    <w:p w:rsidR="00520B1D" w:rsidRPr="00293AF1" w:rsidRDefault="00520B1D" w:rsidP="00520B1D">
      <w:pPr>
        <w:pStyle w:val="a8"/>
        <w:numPr>
          <w:ilvl w:val="0"/>
          <w:numId w:val="1"/>
        </w:numPr>
        <w:rPr>
          <w:rFonts w:cs="Arial"/>
          <w:shd w:val="clear" w:color="auto" w:fill="FFFFFF"/>
        </w:rPr>
      </w:pPr>
      <w:r w:rsidRPr="00293AF1">
        <w:rPr>
          <w:rFonts w:cs="Arial"/>
          <w:shd w:val="clear" w:color="auto" w:fill="FFFFFF"/>
        </w:rPr>
        <w:t xml:space="preserve">Moraga, G., </w:t>
      </w:r>
      <w:proofErr w:type="spellStart"/>
      <w:r w:rsidRPr="00293AF1">
        <w:rPr>
          <w:rFonts w:cs="Arial"/>
          <w:shd w:val="clear" w:color="auto" w:fill="FFFFFF"/>
        </w:rPr>
        <w:t>Huysveld</w:t>
      </w:r>
      <w:proofErr w:type="spellEnd"/>
      <w:r w:rsidRPr="00293AF1">
        <w:rPr>
          <w:rFonts w:cs="Arial"/>
          <w:shd w:val="clear" w:color="auto" w:fill="FFFFFF"/>
        </w:rPr>
        <w:t xml:space="preserve">, S., </w:t>
      </w:r>
      <w:proofErr w:type="spellStart"/>
      <w:r w:rsidRPr="00293AF1">
        <w:rPr>
          <w:rFonts w:cs="Arial"/>
          <w:shd w:val="clear" w:color="auto" w:fill="FFFFFF"/>
        </w:rPr>
        <w:t>Mathieux</w:t>
      </w:r>
      <w:proofErr w:type="spellEnd"/>
      <w:r w:rsidRPr="00293AF1">
        <w:rPr>
          <w:rFonts w:cs="Arial"/>
          <w:shd w:val="clear" w:color="auto" w:fill="FFFFFF"/>
        </w:rPr>
        <w:t xml:space="preserve">, F., </w:t>
      </w:r>
      <w:proofErr w:type="spellStart"/>
      <w:r w:rsidRPr="00293AF1">
        <w:rPr>
          <w:rFonts w:cs="Arial"/>
          <w:shd w:val="clear" w:color="auto" w:fill="FFFFFF"/>
        </w:rPr>
        <w:t>Blengini</w:t>
      </w:r>
      <w:proofErr w:type="spellEnd"/>
      <w:r w:rsidRPr="00293AF1">
        <w:rPr>
          <w:rFonts w:cs="Arial"/>
          <w:shd w:val="clear" w:color="auto" w:fill="FFFFFF"/>
        </w:rPr>
        <w:t xml:space="preserve">, G.A., </w:t>
      </w:r>
      <w:proofErr w:type="spellStart"/>
      <w:r w:rsidRPr="00293AF1">
        <w:rPr>
          <w:rFonts w:cs="Arial"/>
          <w:shd w:val="clear" w:color="auto" w:fill="FFFFFF"/>
        </w:rPr>
        <w:t>Alaerts</w:t>
      </w:r>
      <w:proofErr w:type="spellEnd"/>
      <w:r w:rsidRPr="00293AF1">
        <w:rPr>
          <w:rFonts w:cs="Arial"/>
          <w:shd w:val="clear" w:color="auto" w:fill="FFFFFF"/>
        </w:rPr>
        <w:t xml:space="preserve">, L., Van Acker, K., De </w:t>
      </w:r>
      <w:proofErr w:type="spellStart"/>
      <w:r w:rsidRPr="00293AF1">
        <w:rPr>
          <w:rFonts w:cs="Arial"/>
          <w:shd w:val="clear" w:color="auto" w:fill="FFFFFF"/>
        </w:rPr>
        <w:t>Meester</w:t>
      </w:r>
      <w:proofErr w:type="spellEnd"/>
      <w:r w:rsidRPr="00293AF1">
        <w:rPr>
          <w:rFonts w:cs="Arial"/>
          <w:shd w:val="clear" w:color="auto" w:fill="FFFFFF"/>
        </w:rPr>
        <w:t xml:space="preserve">, S. and </w:t>
      </w:r>
      <w:proofErr w:type="spellStart"/>
      <w:r w:rsidRPr="00293AF1">
        <w:rPr>
          <w:rFonts w:cs="Arial"/>
          <w:shd w:val="clear" w:color="auto" w:fill="FFFFFF"/>
        </w:rPr>
        <w:t>Dewulf</w:t>
      </w:r>
      <w:proofErr w:type="spellEnd"/>
      <w:r w:rsidRPr="00293AF1">
        <w:rPr>
          <w:rFonts w:cs="Arial"/>
          <w:shd w:val="clear" w:color="auto" w:fill="FFFFFF"/>
        </w:rPr>
        <w:t>, J., (2019). Circular economy indicators: What do they measure</w:t>
      </w:r>
      <w:proofErr w:type="gramStart"/>
      <w:r w:rsidRPr="00293AF1">
        <w:rPr>
          <w:rFonts w:cs="Arial"/>
          <w:shd w:val="clear" w:color="auto" w:fill="FFFFFF"/>
        </w:rPr>
        <w:t>?.</w:t>
      </w:r>
      <w:proofErr w:type="gramEnd"/>
      <w:r w:rsidRPr="00293AF1">
        <w:rPr>
          <w:rFonts w:cs="Arial"/>
          <w:shd w:val="clear" w:color="auto" w:fill="FFFFFF"/>
        </w:rPr>
        <w:t> </w:t>
      </w:r>
      <w:r w:rsidRPr="00293AF1">
        <w:rPr>
          <w:rFonts w:cs="Arial"/>
          <w:i/>
          <w:shd w:val="clear" w:color="auto" w:fill="FFFFFF"/>
        </w:rPr>
        <w:t>Resources, Conservation and Recycling</w:t>
      </w:r>
      <w:r w:rsidRPr="00293AF1">
        <w:rPr>
          <w:rFonts w:cs="Arial"/>
          <w:shd w:val="clear" w:color="auto" w:fill="FFFFFF"/>
        </w:rPr>
        <w:t>, </w:t>
      </w:r>
      <w:r w:rsidRPr="00293AF1">
        <w:rPr>
          <w:rFonts w:cs="Arial"/>
          <w:i/>
          <w:shd w:val="clear" w:color="auto" w:fill="FFFFFF"/>
        </w:rPr>
        <w:t>146</w:t>
      </w:r>
      <w:r w:rsidRPr="00293AF1">
        <w:rPr>
          <w:rFonts w:cs="Arial"/>
          <w:shd w:val="clear" w:color="auto" w:fill="FFFFFF"/>
        </w:rPr>
        <w:t>, pp.452-461.</w:t>
      </w:r>
    </w:p>
    <w:p w:rsidR="00520B1D" w:rsidRDefault="00520B1D" w:rsidP="00520B1D">
      <w:pPr>
        <w:pStyle w:val="a8"/>
        <w:numPr>
          <w:ilvl w:val="0"/>
          <w:numId w:val="1"/>
        </w:numPr>
        <w:rPr>
          <w:rFonts w:cs="Arial"/>
          <w:shd w:val="clear" w:color="auto" w:fill="FFFFFF"/>
        </w:rPr>
      </w:pPr>
      <w:proofErr w:type="spellStart"/>
      <w:r w:rsidRPr="00293AF1">
        <w:rPr>
          <w:rFonts w:cs="Arial"/>
          <w:shd w:val="clear" w:color="auto" w:fill="FFFFFF"/>
        </w:rPr>
        <w:t>Morea</w:t>
      </w:r>
      <w:proofErr w:type="spellEnd"/>
      <w:r w:rsidRPr="00293AF1">
        <w:rPr>
          <w:rFonts w:cs="Arial"/>
          <w:shd w:val="clear" w:color="auto" w:fill="FFFFFF"/>
        </w:rPr>
        <w:t xml:space="preserve">, D., </w:t>
      </w:r>
      <w:proofErr w:type="spellStart"/>
      <w:r w:rsidRPr="00293AF1">
        <w:rPr>
          <w:rFonts w:cs="Arial"/>
          <w:shd w:val="clear" w:color="auto" w:fill="FFFFFF"/>
        </w:rPr>
        <w:t>Fortunati</w:t>
      </w:r>
      <w:proofErr w:type="spellEnd"/>
      <w:r w:rsidRPr="00293AF1">
        <w:rPr>
          <w:rFonts w:cs="Arial"/>
          <w:shd w:val="clear" w:color="auto" w:fill="FFFFFF"/>
        </w:rPr>
        <w:t xml:space="preserve">, S. and </w:t>
      </w:r>
      <w:proofErr w:type="spellStart"/>
      <w:r w:rsidRPr="00293AF1">
        <w:rPr>
          <w:rFonts w:cs="Arial"/>
          <w:shd w:val="clear" w:color="auto" w:fill="FFFFFF"/>
        </w:rPr>
        <w:t>Martiniello</w:t>
      </w:r>
      <w:proofErr w:type="spellEnd"/>
      <w:r w:rsidRPr="00293AF1">
        <w:rPr>
          <w:rFonts w:cs="Arial"/>
          <w:shd w:val="clear" w:color="auto" w:fill="FFFFFF"/>
        </w:rPr>
        <w:t>, L., (2021). Circular economy and corporate social responsibility: Towards an integrated strategic approach in the multinational cosmetics industry. Journal of Cleaner Production, 315, p.128232.</w:t>
      </w:r>
    </w:p>
    <w:p w:rsidR="00520B1D" w:rsidRPr="00293AF1" w:rsidRDefault="00520B1D" w:rsidP="00520B1D">
      <w:pPr>
        <w:pStyle w:val="a8"/>
        <w:numPr>
          <w:ilvl w:val="0"/>
          <w:numId w:val="1"/>
        </w:numPr>
        <w:rPr>
          <w:rFonts w:cs="Arial"/>
        </w:rPr>
      </w:pPr>
      <w:r w:rsidRPr="00293AF1">
        <w:rPr>
          <w:rFonts w:cs="Arial"/>
        </w:rPr>
        <w:t xml:space="preserve">Premier inn, (2023). </w:t>
      </w:r>
      <w:r w:rsidRPr="00293AF1">
        <w:rPr>
          <w:rFonts w:cs="Arial"/>
          <w:i/>
        </w:rPr>
        <w:t>We're a Force for Good. [</w:t>
      </w:r>
      <w:r w:rsidRPr="00293AF1">
        <w:rPr>
          <w:rFonts w:cs="Arial"/>
        </w:rPr>
        <w:t xml:space="preserve">Online]. Available through: &lt; </w:t>
      </w:r>
      <w:hyperlink r:id="rId13" w:history="1">
        <w:r w:rsidRPr="00293AF1">
          <w:rPr>
            <w:rStyle w:val="a4"/>
            <w:rFonts w:cs="Arial"/>
            <w:bCs/>
            <w:szCs w:val="24"/>
          </w:rPr>
          <w:t>https://www.premierinn.com/gb/en/why/force-for-good.html</w:t>
        </w:r>
      </w:hyperlink>
      <w:r w:rsidRPr="00293AF1">
        <w:rPr>
          <w:rFonts w:cs="Arial"/>
        </w:rPr>
        <w:t>&gt;. [Accessed on: 22</w:t>
      </w:r>
      <w:r w:rsidRPr="00293AF1">
        <w:rPr>
          <w:rFonts w:cs="Arial"/>
          <w:vertAlign w:val="superscript"/>
        </w:rPr>
        <w:t>nd</w:t>
      </w:r>
      <w:r w:rsidRPr="00293AF1">
        <w:rPr>
          <w:rFonts w:cs="Arial"/>
        </w:rPr>
        <w:t xml:space="preserve"> January, 2024].</w:t>
      </w:r>
    </w:p>
    <w:p w:rsidR="00520B1D" w:rsidRPr="00293AF1" w:rsidRDefault="00520B1D" w:rsidP="00520B1D">
      <w:pPr>
        <w:pStyle w:val="a8"/>
        <w:numPr>
          <w:ilvl w:val="0"/>
          <w:numId w:val="1"/>
        </w:numPr>
        <w:rPr>
          <w:rFonts w:cs="Arial"/>
        </w:rPr>
      </w:pPr>
      <w:proofErr w:type="spellStart"/>
      <w:r w:rsidRPr="00293AF1">
        <w:rPr>
          <w:rFonts w:cs="Arial"/>
          <w:shd w:val="clear" w:color="auto" w:fill="FFFFFF"/>
        </w:rPr>
        <w:t>Rodríguez-Antón</w:t>
      </w:r>
      <w:proofErr w:type="spellEnd"/>
      <w:r w:rsidRPr="00293AF1">
        <w:rPr>
          <w:rFonts w:cs="Arial"/>
          <w:shd w:val="clear" w:color="auto" w:fill="FFFFFF"/>
        </w:rPr>
        <w:t xml:space="preserve">, J.M. and Alonso-Almeida, M.D.M., (2019). The circular economy strategy in hospitality: A </w:t>
      </w:r>
      <w:proofErr w:type="spellStart"/>
      <w:r w:rsidRPr="00293AF1">
        <w:rPr>
          <w:rFonts w:cs="Arial"/>
          <w:shd w:val="clear" w:color="auto" w:fill="FFFFFF"/>
        </w:rPr>
        <w:t>multicase</w:t>
      </w:r>
      <w:proofErr w:type="spellEnd"/>
      <w:r w:rsidRPr="00293AF1">
        <w:rPr>
          <w:rFonts w:cs="Arial"/>
          <w:shd w:val="clear" w:color="auto" w:fill="FFFFFF"/>
        </w:rPr>
        <w:t xml:space="preserve"> approach. </w:t>
      </w:r>
      <w:r w:rsidRPr="00293AF1">
        <w:rPr>
          <w:rFonts w:cs="Arial"/>
          <w:i/>
          <w:shd w:val="clear" w:color="auto" w:fill="FFFFFF"/>
        </w:rPr>
        <w:t>Sustainability</w:t>
      </w:r>
      <w:r w:rsidRPr="00293AF1">
        <w:rPr>
          <w:rFonts w:cs="Arial"/>
          <w:shd w:val="clear" w:color="auto" w:fill="FFFFFF"/>
        </w:rPr>
        <w:t>, </w:t>
      </w:r>
      <w:r w:rsidRPr="00293AF1">
        <w:rPr>
          <w:rFonts w:cs="Arial"/>
          <w:i/>
          <w:shd w:val="clear" w:color="auto" w:fill="FFFFFF"/>
        </w:rPr>
        <w:t>11</w:t>
      </w:r>
      <w:r w:rsidRPr="00293AF1">
        <w:rPr>
          <w:rFonts w:cs="Arial"/>
          <w:shd w:val="clear" w:color="auto" w:fill="FFFFFF"/>
        </w:rPr>
        <w:t>(20), p.5665.</w:t>
      </w:r>
    </w:p>
    <w:p w:rsidR="00520B1D" w:rsidRPr="00293AF1" w:rsidRDefault="00520B1D" w:rsidP="00520B1D">
      <w:pPr>
        <w:pStyle w:val="a8"/>
        <w:numPr>
          <w:ilvl w:val="0"/>
          <w:numId w:val="1"/>
        </w:numPr>
        <w:rPr>
          <w:rFonts w:cs="Arial"/>
        </w:rPr>
      </w:pPr>
      <w:r w:rsidRPr="00293AF1">
        <w:rPr>
          <w:rFonts w:cs="Arial"/>
        </w:rPr>
        <w:t xml:space="preserve">Sloan, P., </w:t>
      </w:r>
      <w:proofErr w:type="spellStart"/>
      <w:r w:rsidRPr="00293AF1">
        <w:rPr>
          <w:rFonts w:cs="Arial"/>
        </w:rPr>
        <w:t>Legrand</w:t>
      </w:r>
      <w:proofErr w:type="spellEnd"/>
      <w:r w:rsidRPr="00293AF1">
        <w:rPr>
          <w:rFonts w:cs="Arial"/>
        </w:rPr>
        <w:t xml:space="preserve">, W. and Chen, J.S. (2017) Sustainability in the hospitality industry : principles of sustainable operations. 3rd </w:t>
      </w:r>
      <w:proofErr w:type="spellStart"/>
      <w:r w:rsidRPr="00293AF1">
        <w:rPr>
          <w:rFonts w:cs="Arial"/>
        </w:rPr>
        <w:t>edn</w:t>
      </w:r>
      <w:proofErr w:type="spellEnd"/>
      <w:r w:rsidRPr="00293AF1">
        <w:rPr>
          <w:rFonts w:cs="Arial"/>
        </w:rPr>
        <w:t>. London: Butterworth-Heinemann.</w:t>
      </w:r>
    </w:p>
    <w:p w:rsidR="00520B1D" w:rsidRPr="00293AF1" w:rsidRDefault="00520B1D" w:rsidP="00520B1D">
      <w:pPr>
        <w:pStyle w:val="a8"/>
        <w:numPr>
          <w:ilvl w:val="0"/>
          <w:numId w:val="1"/>
        </w:numPr>
        <w:rPr>
          <w:rFonts w:cs="Arial"/>
        </w:rPr>
      </w:pPr>
      <w:proofErr w:type="spellStart"/>
      <w:r w:rsidRPr="00293AF1">
        <w:rPr>
          <w:rFonts w:cs="Arial"/>
          <w:shd w:val="clear" w:color="auto" w:fill="FFFFFF"/>
        </w:rPr>
        <w:t>Stoyanova</w:t>
      </w:r>
      <w:proofErr w:type="spellEnd"/>
      <w:r w:rsidRPr="00293AF1">
        <w:rPr>
          <w:rFonts w:cs="Arial"/>
          <w:shd w:val="clear" w:color="auto" w:fill="FFFFFF"/>
        </w:rPr>
        <w:t>, T., (2019). CSR strategies applied in terms of circular economy. </w:t>
      </w:r>
      <w:r w:rsidRPr="00293AF1">
        <w:rPr>
          <w:rFonts w:cs="Arial"/>
          <w:i/>
          <w:shd w:val="clear" w:color="auto" w:fill="FFFFFF"/>
        </w:rPr>
        <w:t xml:space="preserve">Econ. </w:t>
      </w:r>
      <w:proofErr w:type="spellStart"/>
      <w:r w:rsidRPr="00293AF1">
        <w:rPr>
          <w:rFonts w:cs="Arial"/>
          <w:i/>
          <w:shd w:val="clear" w:color="auto" w:fill="FFFFFF"/>
        </w:rPr>
        <w:t>Altern</w:t>
      </w:r>
      <w:proofErr w:type="spellEnd"/>
      <w:r w:rsidRPr="00293AF1">
        <w:rPr>
          <w:rFonts w:cs="Arial"/>
          <w:shd w:val="clear" w:color="auto" w:fill="FFFFFF"/>
        </w:rPr>
        <w:t>, </w:t>
      </w:r>
      <w:r w:rsidRPr="00293AF1">
        <w:rPr>
          <w:rFonts w:cs="Arial"/>
          <w:i/>
          <w:shd w:val="clear" w:color="auto" w:fill="FFFFFF"/>
        </w:rPr>
        <w:t>2</w:t>
      </w:r>
      <w:r w:rsidRPr="00293AF1">
        <w:rPr>
          <w:rFonts w:cs="Arial"/>
          <w:shd w:val="clear" w:color="auto" w:fill="FFFFFF"/>
        </w:rPr>
        <w:t>, pp.263-274.</w:t>
      </w:r>
    </w:p>
    <w:p w:rsidR="00520B1D" w:rsidRPr="00AE42AA" w:rsidRDefault="00520B1D" w:rsidP="00520B1D">
      <w:pPr>
        <w:pStyle w:val="a8"/>
        <w:numPr>
          <w:ilvl w:val="0"/>
          <w:numId w:val="1"/>
        </w:numPr>
        <w:rPr>
          <w:rFonts w:cs="Arial"/>
          <w:shd w:val="clear" w:color="auto" w:fill="FFFFFF"/>
        </w:rPr>
      </w:pPr>
      <w:r>
        <w:t xml:space="preserve">United Nations (2023) Academic Impact. Available at: • </w:t>
      </w:r>
      <w:hyperlink r:id="rId14" w:history="1">
        <w:r w:rsidRPr="004E2801">
          <w:rPr>
            <w:rStyle w:val="a4"/>
          </w:rPr>
          <w:t>https://www.un.org/en/academic-impact/sustainability</w:t>
        </w:r>
      </w:hyperlink>
      <w:r>
        <w:t xml:space="preserve"> [Accessed: 25 January 2024)</w:t>
      </w:r>
    </w:p>
    <w:p w:rsidR="00520B1D" w:rsidRPr="00AE42AA" w:rsidRDefault="00520B1D" w:rsidP="00520B1D">
      <w:pPr>
        <w:pStyle w:val="a8"/>
        <w:numPr>
          <w:ilvl w:val="0"/>
          <w:numId w:val="1"/>
        </w:numPr>
        <w:rPr>
          <w:rFonts w:cs="Arial"/>
          <w:shd w:val="clear" w:color="auto" w:fill="FFFFFF"/>
        </w:rPr>
      </w:pPr>
      <w:r>
        <w:t xml:space="preserve"> </w:t>
      </w:r>
      <w:proofErr w:type="spellStart"/>
      <w:r w:rsidRPr="00AE42AA">
        <w:rPr>
          <w:rFonts w:cs="Arial"/>
          <w:shd w:val="clear" w:color="auto" w:fill="FFFFFF"/>
        </w:rPr>
        <w:t>Velenturf</w:t>
      </w:r>
      <w:proofErr w:type="spellEnd"/>
      <w:r w:rsidRPr="00AE42AA">
        <w:rPr>
          <w:rFonts w:cs="Arial"/>
          <w:shd w:val="clear" w:color="auto" w:fill="FFFFFF"/>
        </w:rPr>
        <w:t xml:space="preserve">, A.P. and </w:t>
      </w:r>
      <w:proofErr w:type="spellStart"/>
      <w:r w:rsidRPr="00AE42AA">
        <w:rPr>
          <w:rFonts w:cs="Arial"/>
          <w:shd w:val="clear" w:color="auto" w:fill="FFFFFF"/>
        </w:rPr>
        <w:t>Purnell</w:t>
      </w:r>
      <w:proofErr w:type="spellEnd"/>
      <w:r w:rsidRPr="00AE42AA">
        <w:rPr>
          <w:rFonts w:cs="Arial"/>
          <w:shd w:val="clear" w:color="auto" w:fill="FFFFFF"/>
        </w:rPr>
        <w:t>, P., (2021). Principles for a sustainable circular economy. </w:t>
      </w:r>
      <w:r w:rsidRPr="00AE42AA">
        <w:rPr>
          <w:rFonts w:cs="Arial"/>
          <w:i/>
          <w:shd w:val="clear" w:color="auto" w:fill="FFFFFF"/>
        </w:rPr>
        <w:t>Sustainable Production and Consumption</w:t>
      </w:r>
      <w:r w:rsidRPr="00AE42AA">
        <w:rPr>
          <w:rFonts w:cs="Arial"/>
          <w:shd w:val="clear" w:color="auto" w:fill="FFFFFF"/>
        </w:rPr>
        <w:t>, </w:t>
      </w:r>
      <w:r w:rsidRPr="00AE42AA">
        <w:rPr>
          <w:rFonts w:cs="Arial"/>
          <w:i/>
          <w:shd w:val="clear" w:color="auto" w:fill="FFFFFF"/>
        </w:rPr>
        <w:t>27</w:t>
      </w:r>
      <w:r w:rsidRPr="00AE42AA">
        <w:rPr>
          <w:rFonts w:cs="Arial"/>
          <w:shd w:val="clear" w:color="auto" w:fill="FFFFFF"/>
        </w:rPr>
        <w:t>, pp.1437-1457.</w:t>
      </w:r>
    </w:p>
    <w:p w:rsidR="00520B1D" w:rsidRDefault="00520B1D" w:rsidP="00520B1D"/>
    <w:p w:rsidR="007E32E6" w:rsidRDefault="007E32E6"/>
    <w:sectPr w:rsidR="007E32E6" w:rsidSect="008F73F9">
      <w:footerReference w:type="default" r:id="rId15"/>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B57DC" w:rsidRDefault="008B57DC" w:rsidP="00D3182D">
      <w:pPr>
        <w:spacing w:line="240" w:lineRule="auto"/>
      </w:pPr>
      <w:r>
        <w:separator/>
      </w:r>
    </w:p>
  </w:endnote>
  <w:endnote w:type="continuationSeparator" w:id="0">
    <w:p w:rsidR="008B57DC" w:rsidRDefault="008B57DC" w:rsidP="00D3182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F73F9" w:rsidRDefault="00CB7AD1" w:rsidP="008F73F9">
    <w:pPr>
      <w:pStyle w:val="a5"/>
    </w:pPr>
    <w:r>
      <w:fldChar w:fldCharType="begin"/>
    </w:r>
    <w:r w:rsidR="00186986">
      <w:instrText xml:space="preserve"> PAGE   \* MERGEFORMAT </w:instrText>
    </w:r>
    <w:r>
      <w:fldChar w:fldCharType="separate"/>
    </w:r>
    <w:r w:rsidR="000E275A">
      <w:rPr>
        <w:noProof/>
      </w:rPr>
      <w:t>9</w:t>
    </w:r>
    <w:r>
      <w:rPr>
        <w:noProof/>
      </w:rPr>
      <w:fldChar w:fldCharType="end"/>
    </w:r>
  </w:p>
  <w:p w:rsidR="008F73F9" w:rsidRDefault="008B57DC" w:rsidP="008F73F9">
    <w:pPr>
      <w:pStyle w:val="a5"/>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B57DC" w:rsidRDefault="008B57DC" w:rsidP="00D3182D">
      <w:pPr>
        <w:spacing w:line="240" w:lineRule="auto"/>
      </w:pPr>
      <w:r>
        <w:separator/>
      </w:r>
    </w:p>
  </w:footnote>
  <w:footnote w:type="continuationSeparator" w:id="0">
    <w:p w:rsidR="008B57DC" w:rsidRDefault="008B57DC" w:rsidP="00D3182D">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18541A1"/>
    <w:multiLevelType w:val="hybridMultilevel"/>
    <w:tmpl w:val="AC8299F4"/>
    <w:lvl w:ilvl="0" w:tplc="04190001">
      <w:start w:val="1"/>
      <w:numFmt w:val="bullet"/>
      <w:lvlText w:val=""/>
      <w:lvlJc w:val="left"/>
      <w:pPr>
        <w:ind w:left="720" w:hanging="360"/>
      </w:pPr>
      <w:rPr>
        <w:rFonts w:ascii="Symbol" w:hAnsi="Symbol"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characterSpacingControl w:val="doNotCompress"/>
  <w:footnotePr>
    <w:footnote w:id="-1"/>
    <w:footnote w:id="0"/>
  </w:footnotePr>
  <w:endnotePr>
    <w:endnote w:id="-1"/>
    <w:endnote w:id="0"/>
  </w:endnotePr>
  <w:compat/>
  <w:rsids>
    <w:rsidRoot w:val="00520B1D"/>
    <w:rsid w:val="000E275A"/>
    <w:rsid w:val="0017687B"/>
    <w:rsid w:val="00186986"/>
    <w:rsid w:val="00520B1D"/>
    <w:rsid w:val="0056714C"/>
    <w:rsid w:val="00793FF8"/>
    <w:rsid w:val="007E32E6"/>
    <w:rsid w:val="008B57DC"/>
    <w:rsid w:val="00CB7AD1"/>
    <w:rsid w:val="00D31769"/>
    <w:rsid w:val="00D3182D"/>
    <w:rsid w:val="00E61B77"/>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520B1D"/>
    <w:pPr>
      <w:spacing w:after="0" w:line="360" w:lineRule="auto"/>
      <w:jc w:val="both"/>
    </w:pPr>
    <w:rPr>
      <w:rFonts w:ascii="Arial" w:hAnsi="Arial"/>
      <w:sz w:val="24"/>
      <w:lang w:val="en-GB"/>
    </w:rPr>
  </w:style>
  <w:style w:type="paragraph" w:styleId="1">
    <w:name w:val="heading 1"/>
    <w:basedOn w:val="a"/>
    <w:next w:val="a"/>
    <w:link w:val="10"/>
    <w:uiPriority w:val="9"/>
    <w:qFormat/>
    <w:rsid w:val="00520B1D"/>
    <w:pPr>
      <w:keepNext/>
      <w:keepLines/>
      <w:jc w:val="left"/>
      <w:outlineLvl w:val="0"/>
    </w:pPr>
    <w:rPr>
      <w:rFonts w:eastAsiaTheme="majorEastAsia"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520B1D"/>
    <w:rPr>
      <w:rFonts w:ascii="Arial" w:eastAsiaTheme="majorEastAsia" w:hAnsi="Arial" w:cstheme="majorBidi"/>
      <w:b/>
      <w:bCs/>
      <w:sz w:val="28"/>
      <w:szCs w:val="28"/>
      <w:lang w:val="en-GB"/>
    </w:rPr>
  </w:style>
  <w:style w:type="paragraph" w:styleId="a3">
    <w:name w:val="TOC Heading"/>
    <w:basedOn w:val="1"/>
    <w:next w:val="a"/>
    <w:uiPriority w:val="39"/>
    <w:unhideWhenUsed/>
    <w:qFormat/>
    <w:rsid w:val="00520B1D"/>
    <w:pPr>
      <w:spacing w:before="480" w:line="276" w:lineRule="auto"/>
      <w:outlineLvl w:val="9"/>
    </w:pPr>
    <w:rPr>
      <w:rFonts w:asciiTheme="majorHAnsi" w:hAnsiTheme="majorHAnsi"/>
      <w:color w:val="365F91" w:themeColor="accent1" w:themeShade="BF"/>
      <w:lang w:eastAsia="ja-JP"/>
    </w:rPr>
  </w:style>
  <w:style w:type="paragraph" w:styleId="11">
    <w:name w:val="toc 1"/>
    <w:basedOn w:val="a"/>
    <w:next w:val="a"/>
    <w:autoRedefine/>
    <w:uiPriority w:val="39"/>
    <w:unhideWhenUsed/>
    <w:rsid w:val="00520B1D"/>
    <w:pPr>
      <w:spacing w:after="100"/>
    </w:pPr>
  </w:style>
  <w:style w:type="character" w:styleId="a4">
    <w:name w:val="Hyperlink"/>
    <w:basedOn w:val="a0"/>
    <w:uiPriority w:val="99"/>
    <w:unhideWhenUsed/>
    <w:rsid w:val="00520B1D"/>
    <w:rPr>
      <w:color w:val="0000FF" w:themeColor="hyperlink"/>
      <w:u w:val="single"/>
    </w:rPr>
  </w:style>
  <w:style w:type="paragraph" w:styleId="a5">
    <w:name w:val="footer"/>
    <w:basedOn w:val="a"/>
    <w:link w:val="a6"/>
    <w:uiPriority w:val="99"/>
    <w:unhideWhenUsed/>
    <w:rsid w:val="00520B1D"/>
    <w:pPr>
      <w:tabs>
        <w:tab w:val="center" w:pos="4680"/>
        <w:tab w:val="right" w:pos="9360"/>
      </w:tabs>
      <w:spacing w:line="240" w:lineRule="auto"/>
    </w:pPr>
    <w:rPr>
      <w:shd w:val="clear" w:color="auto" w:fill="FFFFFF"/>
    </w:rPr>
  </w:style>
  <w:style w:type="character" w:customStyle="1" w:styleId="a6">
    <w:name w:val="Нижний колонтитул Знак"/>
    <w:basedOn w:val="a0"/>
    <w:link w:val="a5"/>
    <w:uiPriority w:val="99"/>
    <w:rsid w:val="00520B1D"/>
    <w:rPr>
      <w:rFonts w:ascii="Arial" w:hAnsi="Arial"/>
      <w:sz w:val="24"/>
      <w:lang w:val="en-GB"/>
    </w:rPr>
  </w:style>
  <w:style w:type="paragraph" w:styleId="a7">
    <w:name w:val="caption"/>
    <w:basedOn w:val="a"/>
    <w:next w:val="a"/>
    <w:uiPriority w:val="35"/>
    <w:unhideWhenUsed/>
    <w:qFormat/>
    <w:rsid w:val="00520B1D"/>
    <w:pPr>
      <w:spacing w:after="200" w:line="240" w:lineRule="auto"/>
    </w:pPr>
    <w:rPr>
      <w:b/>
      <w:bCs/>
      <w:color w:val="4F81BD" w:themeColor="accent1"/>
      <w:sz w:val="18"/>
      <w:szCs w:val="18"/>
    </w:rPr>
  </w:style>
  <w:style w:type="paragraph" w:styleId="a8">
    <w:name w:val="List Paragraph"/>
    <w:basedOn w:val="a"/>
    <w:uiPriority w:val="34"/>
    <w:qFormat/>
    <w:rsid w:val="00520B1D"/>
    <w:pPr>
      <w:ind w:left="720"/>
      <w:contextualSpacing/>
    </w:pPr>
  </w:style>
  <w:style w:type="paragraph" w:styleId="a9">
    <w:name w:val="Balloon Text"/>
    <w:basedOn w:val="a"/>
    <w:link w:val="aa"/>
    <w:uiPriority w:val="99"/>
    <w:semiHidden/>
    <w:unhideWhenUsed/>
    <w:rsid w:val="00520B1D"/>
    <w:pPr>
      <w:spacing w:line="240" w:lineRule="auto"/>
    </w:pPr>
    <w:rPr>
      <w:rFonts w:ascii="Tahoma" w:hAnsi="Tahoma" w:cs="Tahoma"/>
      <w:sz w:val="16"/>
      <w:szCs w:val="16"/>
    </w:rPr>
  </w:style>
  <w:style w:type="character" w:customStyle="1" w:styleId="aa">
    <w:name w:val="Текст выноски Знак"/>
    <w:basedOn w:val="a0"/>
    <w:link w:val="a9"/>
    <w:uiPriority w:val="99"/>
    <w:semiHidden/>
    <w:rsid w:val="00520B1D"/>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hotel-development/Optimise-your-costs/Environment-and-CSR" TargetMode="External"/><Relationship Id="rId13" Type="http://schemas.openxmlformats.org/officeDocument/2006/relationships/hyperlink" Target="https://www.premierinn.com/gb/en/why/force-for-good.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erve360.marriott.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hg.com/content/us/en/support/green-engage-hotel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stellaartois.com/en_gb/product-range/original/" TargetMode="External"/><Relationship Id="rId4" Type="http://schemas.openxmlformats.org/officeDocument/2006/relationships/webSettings" Target="webSettings.xml"/><Relationship Id="rId9" Type="http://schemas.openxmlformats.org/officeDocument/2006/relationships/hyperlink" Target="ALS%20NATASU%204000%202201%20Essay.edited.docx" TargetMode="External"/><Relationship Id="rId14" Type="http://schemas.openxmlformats.org/officeDocument/2006/relationships/hyperlink" Target="https://www.un.org/en/academic-impact/sustainability"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49</TotalTime>
  <Pages>1</Pages>
  <Words>2784</Words>
  <Characters>15873</Characters>
  <Application>Microsoft Office Word</Application>
  <DocSecurity>0</DocSecurity>
  <Lines>132</Lines>
  <Paragraphs>37</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18620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9</cp:revision>
  <dcterms:created xsi:type="dcterms:W3CDTF">2024-01-29T23:55:00Z</dcterms:created>
  <dcterms:modified xsi:type="dcterms:W3CDTF">2024-01-31T11:33:00Z</dcterms:modified>
</cp:coreProperties>
</file>