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21807" w14:textId="6D926CEF" w:rsidR="00DF1E56" w:rsidRPr="00DF1E56" w:rsidRDefault="00DF1E56" w:rsidP="00DF1E56">
      <w:pPr>
        <w:spacing w:line="240" w:lineRule="auto"/>
        <w:jc w:val="center"/>
        <w:rPr>
          <w:lang w:eastAsia="en-GB"/>
        </w:rPr>
      </w:pPr>
      <w:r w:rsidRPr="00DF1E56">
        <w:rPr>
          <w:lang w:eastAsia="en-GB"/>
        </w:rPr>
        <w:fldChar w:fldCharType="begin"/>
      </w:r>
      <w:r w:rsidRPr="00DF1E56">
        <w:rPr>
          <w:lang w:eastAsia="en-GB"/>
        </w:rPr>
        <w:instrText xml:space="preserve"> INCLUDEPICTURE "/var/folders/n5/64c3yn0n4svdswx9ryn7969m0000gn/T/com.microsoft.Word/WebArchiveCopyPasteTempFiles/page1image53854416" \* MERGEFORMATINET </w:instrText>
      </w:r>
      <w:r w:rsidRPr="00DF1E56">
        <w:rPr>
          <w:lang w:eastAsia="en-GB"/>
        </w:rPr>
        <w:fldChar w:fldCharType="separate"/>
      </w:r>
      <w:r w:rsidRPr="00DF1E56">
        <w:rPr>
          <w:noProof/>
          <w:lang w:eastAsia="en-GB"/>
        </w:rPr>
        <w:drawing>
          <wp:inline distT="0" distB="0" distL="0" distR="0" wp14:anchorId="37C87DE2" wp14:editId="27045DE2">
            <wp:extent cx="1804670" cy="721995"/>
            <wp:effectExtent l="0" t="0" r="0" b="0"/>
            <wp:docPr id="5" name="Picture 5" descr="page1image5385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538544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DF1E56">
        <w:rPr>
          <w:lang w:eastAsia="en-GB"/>
        </w:rPr>
        <w:fldChar w:fldCharType="end"/>
      </w:r>
    </w:p>
    <w:p w14:paraId="00000001" w14:textId="77777777" w:rsidR="003E6AAD" w:rsidRDefault="003E6AAD" w:rsidP="005079C2">
      <w:pPr>
        <w:jc w:val="center"/>
        <w:rPr>
          <w:sz w:val="32"/>
          <w:szCs w:val="32"/>
        </w:rPr>
      </w:pPr>
    </w:p>
    <w:p w14:paraId="00000002" w14:textId="77777777" w:rsidR="003E6AAD" w:rsidRDefault="003E6AAD" w:rsidP="005079C2">
      <w:pPr>
        <w:jc w:val="center"/>
        <w:rPr>
          <w:b/>
          <w:sz w:val="32"/>
          <w:szCs w:val="32"/>
        </w:rPr>
      </w:pPr>
    </w:p>
    <w:p w14:paraId="65427844" w14:textId="77777777" w:rsidR="00CE1F3D" w:rsidRDefault="00CE1F3D" w:rsidP="005079C2">
      <w:pPr>
        <w:jc w:val="center"/>
        <w:rPr>
          <w:b/>
          <w:sz w:val="32"/>
          <w:szCs w:val="32"/>
        </w:rPr>
      </w:pPr>
    </w:p>
    <w:p w14:paraId="7EE8D029" w14:textId="77777777" w:rsidR="00CE1F3D" w:rsidRDefault="00CE1F3D" w:rsidP="005079C2">
      <w:pPr>
        <w:jc w:val="center"/>
        <w:rPr>
          <w:b/>
          <w:sz w:val="32"/>
          <w:szCs w:val="32"/>
        </w:rPr>
      </w:pPr>
    </w:p>
    <w:p w14:paraId="7FBBA7CB" w14:textId="77777777" w:rsidR="00CE1F3D" w:rsidRDefault="00CE1F3D" w:rsidP="005079C2">
      <w:pPr>
        <w:jc w:val="center"/>
        <w:rPr>
          <w:b/>
          <w:sz w:val="32"/>
          <w:szCs w:val="32"/>
        </w:rPr>
      </w:pPr>
    </w:p>
    <w:p w14:paraId="4E5CECBA" w14:textId="77777777" w:rsidR="00CE1F3D" w:rsidRDefault="00CE1F3D" w:rsidP="005079C2">
      <w:pPr>
        <w:jc w:val="center"/>
        <w:rPr>
          <w:b/>
          <w:sz w:val="32"/>
          <w:szCs w:val="32"/>
        </w:rPr>
      </w:pPr>
    </w:p>
    <w:p w14:paraId="473980BA" w14:textId="32D6B4BD" w:rsidR="00DF1E56" w:rsidRDefault="00CE1F3D" w:rsidP="005079C2">
      <w:pPr>
        <w:jc w:val="center"/>
        <w:rPr>
          <w:b/>
          <w:sz w:val="32"/>
          <w:szCs w:val="32"/>
        </w:rPr>
      </w:pPr>
      <w:r>
        <w:rPr>
          <w:b/>
          <w:sz w:val="32"/>
          <w:szCs w:val="32"/>
        </w:rPr>
        <w:t>INTERNATIONAL FINANCIAL MANAGEMENT</w:t>
      </w:r>
    </w:p>
    <w:p w14:paraId="71E08C60" w14:textId="2569F1C1" w:rsidR="00DF1E56" w:rsidRDefault="00DF1E56" w:rsidP="005079C2">
      <w:pPr>
        <w:jc w:val="center"/>
        <w:rPr>
          <w:b/>
          <w:sz w:val="32"/>
          <w:szCs w:val="32"/>
        </w:rPr>
      </w:pPr>
      <w:r>
        <w:rPr>
          <w:b/>
          <w:sz w:val="32"/>
          <w:szCs w:val="32"/>
        </w:rPr>
        <w:t>Assessment 2</w:t>
      </w:r>
    </w:p>
    <w:p w14:paraId="6C6C465D" w14:textId="10D4420B" w:rsidR="00DF1E56" w:rsidRDefault="00DF1E56" w:rsidP="005079C2">
      <w:pPr>
        <w:jc w:val="center"/>
        <w:rPr>
          <w:b/>
          <w:sz w:val="32"/>
          <w:szCs w:val="32"/>
        </w:rPr>
      </w:pPr>
    </w:p>
    <w:p w14:paraId="1634F6DE" w14:textId="77777777" w:rsidR="00DF1E56" w:rsidRDefault="00DF1E56" w:rsidP="00DF1E56">
      <w:pPr>
        <w:rPr>
          <w:b/>
          <w:sz w:val="32"/>
          <w:szCs w:val="32"/>
        </w:rPr>
      </w:pPr>
    </w:p>
    <w:p w14:paraId="75A3B1B0" w14:textId="77777777" w:rsidR="00DF1E56" w:rsidRDefault="00DF1E56" w:rsidP="005079C2">
      <w:pPr>
        <w:jc w:val="center"/>
        <w:rPr>
          <w:b/>
          <w:sz w:val="32"/>
          <w:szCs w:val="32"/>
        </w:rPr>
      </w:pPr>
    </w:p>
    <w:p w14:paraId="0AAA1331" w14:textId="722DC064" w:rsidR="00DF1E56" w:rsidRDefault="00DF1E56" w:rsidP="00DF1E56">
      <w:pPr>
        <w:jc w:val="right"/>
        <w:rPr>
          <w:b/>
          <w:bCs/>
          <w:sz w:val="28"/>
          <w:szCs w:val="28"/>
        </w:rPr>
      </w:pPr>
      <w:r w:rsidRPr="00DF1E56">
        <w:rPr>
          <w:b/>
          <w:bCs/>
          <w:sz w:val="28"/>
          <w:szCs w:val="28"/>
        </w:rPr>
        <w:t xml:space="preserve">Student name: Florin-Alin Cretulescu (1911820) </w:t>
      </w:r>
    </w:p>
    <w:p w14:paraId="603AA335" w14:textId="449401CB" w:rsidR="006450FC" w:rsidRDefault="006450FC" w:rsidP="00DF1E56">
      <w:pPr>
        <w:jc w:val="right"/>
        <w:rPr>
          <w:b/>
          <w:bCs/>
          <w:sz w:val="28"/>
          <w:szCs w:val="28"/>
        </w:rPr>
      </w:pPr>
      <w:r w:rsidRPr="00DF1E56">
        <w:rPr>
          <w:b/>
          <w:bCs/>
          <w:sz w:val="28"/>
          <w:szCs w:val="28"/>
        </w:rPr>
        <w:t>Florin Ciobu (1913409)</w:t>
      </w:r>
    </w:p>
    <w:p w14:paraId="1AE85EBB" w14:textId="77777777" w:rsidR="00DF1E56" w:rsidRPr="00DF1E56" w:rsidRDefault="00DF1E56" w:rsidP="00DF1E56">
      <w:pPr>
        <w:jc w:val="right"/>
        <w:rPr>
          <w:b/>
          <w:sz w:val="28"/>
          <w:szCs w:val="28"/>
        </w:rPr>
      </w:pPr>
      <w:r w:rsidRPr="00DF1E56">
        <w:rPr>
          <w:b/>
          <w:bCs/>
          <w:sz w:val="28"/>
          <w:szCs w:val="28"/>
        </w:rPr>
        <w:t>Andreea Tomus (1916189)</w:t>
      </w:r>
    </w:p>
    <w:p w14:paraId="5F86FB22" w14:textId="1B4AC556" w:rsidR="00DF1E56" w:rsidRDefault="00DF1E56" w:rsidP="00DF1E56">
      <w:pPr>
        <w:jc w:val="right"/>
        <w:rPr>
          <w:b/>
          <w:bCs/>
          <w:sz w:val="28"/>
          <w:szCs w:val="28"/>
        </w:rPr>
      </w:pPr>
      <w:r w:rsidRPr="00DF1E56">
        <w:rPr>
          <w:b/>
          <w:bCs/>
          <w:sz w:val="28"/>
          <w:szCs w:val="28"/>
        </w:rPr>
        <w:t xml:space="preserve">      Alexandru-Ionut Stefaroi (1914985)</w:t>
      </w:r>
    </w:p>
    <w:p w14:paraId="5CE8E37D" w14:textId="77777777" w:rsidR="006450FC" w:rsidRPr="00DF1E56" w:rsidRDefault="006450FC" w:rsidP="006450FC">
      <w:pPr>
        <w:jc w:val="right"/>
        <w:rPr>
          <w:b/>
          <w:sz w:val="28"/>
          <w:szCs w:val="28"/>
        </w:rPr>
      </w:pPr>
      <w:r w:rsidRPr="00DF1E56">
        <w:rPr>
          <w:b/>
          <w:bCs/>
          <w:sz w:val="28"/>
          <w:szCs w:val="28"/>
        </w:rPr>
        <w:t xml:space="preserve">Oana Balaban (1911819)                                                        </w:t>
      </w:r>
    </w:p>
    <w:p w14:paraId="1E812EB0" w14:textId="77777777" w:rsidR="006450FC" w:rsidRPr="00DF1E56" w:rsidRDefault="006450FC" w:rsidP="00DF1E56">
      <w:pPr>
        <w:jc w:val="right"/>
        <w:rPr>
          <w:b/>
          <w:sz w:val="28"/>
          <w:szCs w:val="28"/>
        </w:rPr>
      </w:pPr>
    </w:p>
    <w:p w14:paraId="585D20F7" w14:textId="01CEB621" w:rsidR="00DF1E56" w:rsidRDefault="00DF1E56" w:rsidP="00DF1E56">
      <w:pPr>
        <w:jc w:val="right"/>
        <w:rPr>
          <w:b/>
          <w:bCs/>
          <w:sz w:val="28"/>
          <w:szCs w:val="28"/>
        </w:rPr>
      </w:pPr>
      <w:r w:rsidRPr="00DF1E56">
        <w:rPr>
          <w:b/>
          <w:bCs/>
          <w:sz w:val="28"/>
          <w:szCs w:val="28"/>
        </w:rPr>
        <w:t xml:space="preserve">                                                       </w:t>
      </w:r>
    </w:p>
    <w:p w14:paraId="1B5F7939" w14:textId="77777777" w:rsidR="00DF1E56" w:rsidRDefault="00DF1E56" w:rsidP="00DF1E56">
      <w:pPr>
        <w:jc w:val="right"/>
        <w:rPr>
          <w:b/>
          <w:sz w:val="32"/>
          <w:szCs w:val="32"/>
        </w:rPr>
      </w:pPr>
    </w:p>
    <w:p w14:paraId="34881932" w14:textId="3C027546" w:rsidR="00DF1E56" w:rsidRDefault="00DF1E56" w:rsidP="005079C2">
      <w:pPr>
        <w:jc w:val="center"/>
      </w:pPr>
    </w:p>
    <w:p w14:paraId="4559D4BF" w14:textId="224386D2" w:rsidR="00DF1E56" w:rsidRDefault="00DF1E56" w:rsidP="005079C2">
      <w:pPr>
        <w:jc w:val="center"/>
      </w:pPr>
    </w:p>
    <w:p w14:paraId="1397DB31" w14:textId="77777777" w:rsidR="00DF1E56" w:rsidRDefault="00DF1E56" w:rsidP="005079C2">
      <w:pPr>
        <w:jc w:val="center"/>
      </w:pPr>
    </w:p>
    <w:p w14:paraId="00000003" w14:textId="2FF3EE1C" w:rsidR="003E6AAD" w:rsidRPr="00DF1E56" w:rsidRDefault="00DF1E56" w:rsidP="005079C2">
      <w:pPr>
        <w:jc w:val="center"/>
        <w:rPr>
          <w:b/>
          <w:bCs/>
          <w:sz w:val="32"/>
          <w:szCs w:val="32"/>
        </w:rPr>
      </w:pPr>
      <w:r w:rsidRPr="00DF1E56">
        <w:rPr>
          <w:b/>
          <w:bCs/>
        </w:rPr>
        <w:t>MAY 2022</w:t>
      </w:r>
      <w:r w:rsidR="00E90353" w:rsidRPr="00DF1E56">
        <w:rPr>
          <w:b/>
          <w:bCs/>
        </w:rPr>
        <w:br w:type="page"/>
      </w:r>
    </w:p>
    <w:sdt>
      <w:sdtPr>
        <w:rPr>
          <w:rFonts w:ascii="Times New Roman" w:eastAsia="Times New Roman" w:hAnsi="Times New Roman" w:cs="Times New Roman"/>
          <w:color w:val="auto"/>
          <w:sz w:val="24"/>
          <w:szCs w:val="24"/>
          <w:lang w:val="en-GB" w:eastAsia="en-IN"/>
        </w:rPr>
        <w:id w:val="73396455"/>
        <w:docPartObj>
          <w:docPartGallery w:val="Table of Contents"/>
          <w:docPartUnique/>
        </w:docPartObj>
      </w:sdtPr>
      <w:sdtEndPr>
        <w:rPr>
          <w:b/>
          <w:bCs/>
          <w:noProof/>
        </w:rPr>
      </w:sdtEndPr>
      <w:sdtContent>
        <w:p w14:paraId="11990746" w14:textId="3AE87079" w:rsidR="00CE1F3D" w:rsidRPr="00CE1F3D" w:rsidRDefault="00CE1F3D" w:rsidP="005079C2">
          <w:pPr>
            <w:pStyle w:val="TOCHeading"/>
            <w:spacing w:line="360" w:lineRule="auto"/>
            <w:jc w:val="center"/>
            <w:rPr>
              <w:rFonts w:ascii="Times New Roman" w:hAnsi="Times New Roman" w:cs="Times New Roman"/>
              <w:b/>
              <w:bCs/>
              <w:color w:val="000000" w:themeColor="text1"/>
              <w:sz w:val="28"/>
              <w:szCs w:val="28"/>
            </w:rPr>
          </w:pPr>
          <w:r w:rsidRPr="00CE1F3D">
            <w:rPr>
              <w:rFonts w:ascii="Times New Roman" w:hAnsi="Times New Roman" w:cs="Times New Roman"/>
              <w:b/>
              <w:bCs/>
              <w:color w:val="000000" w:themeColor="text1"/>
              <w:sz w:val="28"/>
              <w:szCs w:val="28"/>
            </w:rPr>
            <w:t>Table of Contents</w:t>
          </w:r>
        </w:p>
        <w:p w14:paraId="7B46F870" w14:textId="6D838087" w:rsidR="00A01E55" w:rsidRDefault="00CE1F3D" w:rsidP="005079C2">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02482070" w:history="1">
            <w:r w:rsidR="00A01E55" w:rsidRPr="004E7BE6">
              <w:rPr>
                <w:rStyle w:val="Hyperlink"/>
                <w:noProof/>
              </w:rPr>
              <w:t>Case Study - The British Petroleum Corporation (BP)</w:t>
            </w:r>
            <w:r w:rsidR="00A01E55">
              <w:rPr>
                <w:noProof/>
                <w:webHidden/>
              </w:rPr>
              <w:tab/>
            </w:r>
            <w:r w:rsidR="00A01E55">
              <w:rPr>
                <w:noProof/>
                <w:webHidden/>
              </w:rPr>
              <w:fldChar w:fldCharType="begin"/>
            </w:r>
            <w:r w:rsidR="00A01E55">
              <w:rPr>
                <w:noProof/>
                <w:webHidden/>
              </w:rPr>
              <w:instrText xml:space="preserve"> PAGEREF _Toc102482070 \h </w:instrText>
            </w:r>
            <w:r w:rsidR="00A01E55">
              <w:rPr>
                <w:noProof/>
                <w:webHidden/>
              </w:rPr>
            </w:r>
            <w:r w:rsidR="00A01E55">
              <w:rPr>
                <w:noProof/>
                <w:webHidden/>
              </w:rPr>
              <w:fldChar w:fldCharType="separate"/>
            </w:r>
            <w:r w:rsidR="00330E1D">
              <w:rPr>
                <w:noProof/>
                <w:webHidden/>
              </w:rPr>
              <w:t>2</w:t>
            </w:r>
            <w:r w:rsidR="00A01E55">
              <w:rPr>
                <w:noProof/>
                <w:webHidden/>
              </w:rPr>
              <w:fldChar w:fldCharType="end"/>
            </w:r>
          </w:hyperlink>
        </w:p>
        <w:p w14:paraId="6CB5E42F" w14:textId="54E4E3ED"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1" w:history="1">
            <w:r w:rsidR="00A01E55" w:rsidRPr="004E7BE6">
              <w:rPr>
                <w:rStyle w:val="Hyperlink"/>
                <w:noProof/>
              </w:rPr>
              <w:t>Introduction</w:t>
            </w:r>
            <w:r w:rsidR="00A01E55">
              <w:rPr>
                <w:noProof/>
                <w:webHidden/>
              </w:rPr>
              <w:tab/>
            </w:r>
            <w:r w:rsidR="00A01E55">
              <w:rPr>
                <w:noProof/>
                <w:webHidden/>
              </w:rPr>
              <w:fldChar w:fldCharType="begin"/>
            </w:r>
            <w:r w:rsidR="00A01E55">
              <w:rPr>
                <w:noProof/>
                <w:webHidden/>
              </w:rPr>
              <w:instrText xml:space="preserve"> PAGEREF _Toc102482071 \h </w:instrText>
            </w:r>
            <w:r w:rsidR="00A01E55">
              <w:rPr>
                <w:noProof/>
                <w:webHidden/>
              </w:rPr>
            </w:r>
            <w:r w:rsidR="00A01E55">
              <w:rPr>
                <w:noProof/>
                <w:webHidden/>
              </w:rPr>
              <w:fldChar w:fldCharType="separate"/>
            </w:r>
            <w:r w:rsidR="00330E1D">
              <w:rPr>
                <w:noProof/>
                <w:webHidden/>
              </w:rPr>
              <w:t>2</w:t>
            </w:r>
            <w:r w:rsidR="00A01E55">
              <w:rPr>
                <w:noProof/>
                <w:webHidden/>
              </w:rPr>
              <w:fldChar w:fldCharType="end"/>
            </w:r>
          </w:hyperlink>
        </w:p>
        <w:p w14:paraId="18FFD6E3" w14:textId="19578708"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2" w:history="1">
            <w:r w:rsidR="00A01E55" w:rsidRPr="004E7BE6">
              <w:rPr>
                <w:rStyle w:val="Hyperlink"/>
                <w:noProof/>
              </w:rPr>
              <w:t>Critically analyses reasons why BP corporation internationalised</w:t>
            </w:r>
            <w:r w:rsidR="00A01E55">
              <w:rPr>
                <w:noProof/>
                <w:webHidden/>
              </w:rPr>
              <w:tab/>
            </w:r>
            <w:r w:rsidR="00A01E55">
              <w:rPr>
                <w:noProof/>
                <w:webHidden/>
              </w:rPr>
              <w:fldChar w:fldCharType="begin"/>
            </w:r>
            <w:r w:rsidR="00A01E55">
              <w:rPr>
                <w:noProof/>
                <w:webHidden/>
              </w:rPr>
              <w:instrText xml:space="preserve"> PAGEREF _Toc102482072 \h </w:instrText>
            </w:r>
            <w:r w:rsidR="00A01E55">
              <w:rPr>
                <w:noProof/>
                <w:webHidden/>
              </w:rPr>
            </w:r>
            <w:r w:rsidR="00A01E55">
              <w:rPr>
                <w:noProof/>
                <w:webHidden/>
              </w:rPr>
              <w:fldChar w:fldCharType="separate"/>
            </w:r>
            <w:r w:rsidR="00330E1D">
              <w:rPr>
                <w:noProof/>
                <w:webHidden/>
              </w:rPr>
              <w:t>2</w:t>
            </w:r>
            <w:r w:rsidR="00A01E55">
              <w:rPr>
                <w:noProof/>
                <w:webHidden/>
              </w:rPr>
              <w:fldChar w:fldCharType="end"/>
            </w:r>
          </w:hyperlink>
        </w:p>
        <w:p w14:paraId="29E38707" w14:textId="645C773F"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3" w:history="1">
            <w:r w:rsidR="00A01E55" w:rsidRPr="004E7BE6">
              <w:rPr>
                <w:rStyle w:val="Hyperlink"/>
                <w:noProof/>
              </w:rPr>
              <w:t>Critically analyses and evaluates the strategies that BP corporation has adopted in managing their financial risks</w:t>
            </w:r>
            <w:r w:rsidR="00A01E55">
              <w:rPr>
                <w:noProof/>
                <w:webHidden/>
              </w:rPr>
              <w:tab/>
            </w:r>
            <w:r w:rsidR="00A01E55">
              <w:rPr>
                <w:noProof/>
                <w:webHidden/>
              </w:rPr>
              <w:fldChar w:fldCharType="begin"/>
            </w:r>
            <w:r w:rsidR="00A01E55">
              <w:rPr>
                <w:noProof/>
                <w:webHidden/>
              </w:rPr>
              <w:instrText xml:space="preserve"> PAGEREF _Toc102482073 \h </w:instrText>
            </w:r>
            <w:r w:rsidR="00A01E55">
              <w:rPr>
                <w:noProof/>
                <w:webHidden/>
              </w:rPr>
            </w:r>
            <w:r w:rsidR="00A01E55">
              <w:rPr>
                <w:noProof/>
                <w:webHidden/>
              </w:rPr>
              <w:fldChar w:fldCharType="separate"/>
            </w:r>
            <w:r w:rsidR="00330E1D">
              <w:rPr>
                <w:noProof/>
                <w:webHidden/>
              </w:rPr>
              <w:t>3</w:t>
            </w:r>
            <w:r w:rsidR="00A01E55">
              <w:rPr>
                <w:noProof/>
                <w:webHidden/>
              </w:rPr>
              <w:fldChar w:fldCharType="end"/>
            </w:r>
          </w:hyperlink>
        </w:p>
        <w:p w14:paraId="18BFD2BD" w14:textId="70C32CFB"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4" w:history="1">
            <w:r w:rsidR="00A01E55" w:rsidRPr="004E7BE6">
              <w:rPr>
                <w:rStyle w:val="Hyperlink"/>
                <w:noProof/>
              </w:rPr>
              <w:t>Critically analyses how country risks may affect BP’s investments opportunities in host countries</w:t>
            </w:r>
            <w:r w:rsidR="00A01E55">
              <w:rPr>
                <w:noProof/>
                <w:webHidden/>
              </w:rPr>
              <w:tab/>
            </w:r>
            <w:r w:rsidR="00A01E55">
              <w:rPr>
                <w:noProof/>
                <w:webHidden/>
              </w:rPr>
              <w:fldChar w:fldCharType="begin"/>
            </w:r>
            <w:r w:rsidR="00A01E55">
              <w:rPr>
                <w:noProof/>
                <w:webHidden/>
              </w:rPr>
              <w:instrText xml:space="preserve"> PAGEREF _Toc102482074 \h </w:instrText>
            </w:r>
            <w:r w:rsidR="00A01E55">
              <w:rPr>
                <w:noProof/>
                <w:webHidden/>
              </w:rPr>
            </w:r>
            <w:r w:rsidR="00A01E55">
              <w:rPr>
                <w:noProof/>
                <w:webHidden/>
              </w:rPr>
              <w:fldChar w:fldCharType="separate"/>
            </w:r>
            <w:r w:rsidR="00330E1D">
              <w:rPr>
                <w:noProof/>
                <w:webHidden/>
              </w:rPr>
              <w:t>5</w:t>
            </w:r>
            <w:r w:rsidR="00A01E55">
              <w:rPr>
                <w:noProof/>
                <w:webHidden/>
              </w:rPr>
              <w:fldChar w:fldCharType="end"/>
            </w:r>
          </w:hyperlink>
        </w:p>
        <w:p w14:paraId="1204632C" w14:textId="1016F0DF"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5" w:history="1">
            <w:r w:rsidR="00A01E55" w:rsidRPr="004E7BE6">
              <w:rPr>
                <w:rStyle w:val="Hyperlink"/>
                <w:noProof/>
              </w:rPr>
              <w:t>Critically analyses and evaluates BP Corporation’s sources of finance</w:t>
            </w:r>
            <w:r w:rsidR="00A01E55">
              <w:rPr>
                <w:noProof/>
                <w:webHidden/>
              </w:rPr>
              <w:tab/>
            </w:r>
            <w:r w:rsidR="00A01E55">
              <w:rPr>
                <w:noProof/>
                <w:webHidden/>
              </w:rPr>
              <w:fldChar w:fldCharType="begin"/>
            </w:r>
            <w:r w:rsidR="00A01E55">
              <w:rPr>
                <w:noProof/>
                <w:webHidden/>
              </w:rPr>
              <w:instrText xml:space="preserve"> PAGEREF _Toc102482075 \h </w:instrText>
            </w:r>
            <w:r w:rsidR="00A01E55">
              <w:rPr>
                <w:noProof/>
                <w:webHidden/>
              </w:rPr>
            </w:r>
            <w:r w:rsidR="00A01E55">
              <w:rPr>
                <w:noProof/>
                <w:webHidden/>
              </w:rPr>
              <w:fldChar w:fldCharType="separate"/>
            </w:r>
            <w:r w:rsidR="00330E1D">
              <w:rPr>
                <w:noProof/>
                <w:webHidden/>
              </w:rPr>
              <w:t>6</w:t>
            </w:r>
            <w:r w:rsidR="00A01E55">
              <w:rPr>
                <w:noProof/>
                <w:webHidden/>
              </w:rPr>
              <w:fldChar w:fldCharType="end"/>
            </w:r>
          </w:hyperlink>
        </w:p>
        <w:p w14:paraId="4D5D3F8A" w14:textId="1ADE4C17"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6" w:history="1">
            <w:r w:rsidR="00A01E55" w:rsidRPr="004E7BE6">
              <w:rPr>
                <w:rStyle w:val="Hyperlink"/>
                <w:noProof/>
              </w:rPr>
              <w:t>Evaluates the different strategies that BP Corporation uses to manage their exposure to foreign exchange risks</w:t>
            </w:r>
            <w:r w:rsidR="00A01E55">
              <w:rPr>
                <w:noProof/>
                <w:webHidden/>
              </w:rPr>
              <w:tab/>
            </w:r>
            <w:r w:rsidR="00A01E55">
              <w:rPr>
                <w:noProof/>
                <w:webHidden/>
              </w:rPr>
              <w:fldChar w:fldCharType="begin"/>
            </w:r>
            <w:r w:rsidR="00A01E55">
              <w:rPr>
                <w:noProof/>
                <w:webHidden/>
              </w:rPr>
              <w:instrText xml:space="preserve"> PAGEREF _Toc102482076 \h </w:instrText>
            </w:r>
            <w:r w:rsidR="00A01E55">
              <w:rPr>
                <w:noProof/>
                <w:webHidden/>
              </w:rPr>
            </w:r>
            <w:r w:rsidR="00A01E55">
              <w:rPr>
                <w:noProof/>
                <w:webHidden/>
              </w:rPr>
              <w:fldChar w:fldCharType="separate"/>
            </w:r>
            <w:r w:rsidR="00330E1D">
              <w:rPr>
                <w:noProof/>
                <w:webHidden/>
              </w:rPr>
              <w:t>8</w:t>
            </w:r>
            <w:r w:rsidR="00A01E55">
              <w:rPr>
                <w:noProof/>
                <w:webHidden/>
              </w:rPr>
              <w:fldChar w:fldCharType="end"/>
            </w:r>
          </w:hyperlink>
        </w:p>
        <w:p w14:paraId="0D5B5F96" w14:textId="106EB147"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7" w:history="1">
            <w:r w:rsidR="00A01E55" w:rsidRPr="004E7BE6">
              <w:rPr>
                <w:rStyle w:val="Hyperlink"/>
                <w:noProof/>
                <w:highlight w:val="white"/>
              </w:rPr>
              <w:t>Conclusion</w:t>
            </w:r>
            <w:r w:rsidR="00A01E55">
              <w:rPr>
                <w:noProof/>
                <w:webHidden/>
              </w:rPr>
              <w:tab/>
            </w:r>
            <w:r w:rsidR="00A01E55">
              <w:rPr>
                <w:noProof/>
                <w:webHidden/>
              </w:rPr>
              <w:fldChar w:fldCharType="begin"/>
            </w:r>
            <w:r w:rsidR="00A01E55">
              <w:rPr>
                <w:noProof/>
                <w:webHidden/>
              </w:rPr>
              <w:instrText xml:space="preserve"> PAGEREF _Toc102482077 \h </w:instrText>
            </w:r>
            <w:r w:rsidR="00A01E55">
              <w:rPr>
                <w:noProof/>
                <w:webHidden/>
              </w:rPr>
            </w:r>
            <w:r w:rsidR="00A01E55">
              <w:rPr>
                <w:noProof/>
                <w:webHidden/>
              </w:rPr>
              <w:fldChar w:fldCharType="separate"/>
            </w:r>
            <w:r w:rsidR="00330E1D">
              <w:rPr>
                <w:noProof/>
                <w:webHidden/>
              </w:rPr>
              <w:t>9</w:t>
            </w:r>
            <w:r w:rsidR="00A01E55">
              <w:rPr>
                <w:noProof/>
                <w:webHidden/>
              </w:rPr>
              <w:fldChar w:fldCharType="end"/>
            </w:r>
          </w:hyperlink>
        </w:p>
        <w:p w14:paraId="056EB7CA" w14:textId="59D712CA" w:rsidR="00A01E55" w:rsidRDefault="003C788C" w:rsidP="005079C2">
          <w:pPr>
            <w:pStyle w:val="TOC1"/>
            <w:tabs>
              <w:tab w:val="right" w:leader="dot" w:pos="9350"/>
            </w:tabs>
            <w:rPr>
              <w:rFonts w:asciiTheme="minorHAnsi" w:eastAsiaTheme="minorEastAsia" w:hAnsiTheme="minorHAnsi" w:cstheme="minorBidi"/>
              <w:noProof/>
              <w:sz w:val="22"/>
              <w:szCs w:val="22"/>
              <w:lang w:val="en-IN"/>
            </w:rPr>
          </w:pPr>
          <w:hyperlink w:anchor="_Toc102482078" w:history="1">
            <w:r w:rsidR="00A01E55" w:rsidRPr="004E7BE6">
              <w:rPr>
                <w:rStyle w:val="Hyperlink"/>
                <w:noProof/>
              </w:rPr>
              <w:t>Reference List</w:t>
            </w:r>
            <w:r w:rsidR="00A01E55">
              <w:rPr>
                <w:noProof/>
                <w:webHidden/>
              </w:rPr>
              <w:tab/>
            </w:r>
            <w:r w:rsidR="00A01E55">
              <w:rPr>
                <w:noProof/>
                <w:webHidden/>
              </w:rPr>
              <w:fldChar w:fldCharType="begin"/>
            </w:r>
            <w:r w:rsidR="00A01E55">
              <w:rPr>
                <w:noProof/>
                <w:webHidden/>
              </w:rPr>
              <w:instrText xml:space="preserve"> PAGEREF _Toc102482078 \h </w:instrText>
            </w:r>
            <w:r w:rsidR="00A01E55">
              <w:rPr>
                <w:noProof/>
                <w:webHidden/>
              </w:rPr>
            </w:r>
            <w:r w:rsidR="00A01E55">
              <w:rPr>
                <w:noProof/>
                <w:webHidden/>
              </w:rPr>
              <w:fldChar w:fldCharType="separate"/>
            </w:r>
            <w:r w:rsidR="00330E1D">
              <w:rPr>
                <w:noProof/>
                <w:webHidden/>
              </w:rPr>
              <w:t>10</w:t>
            </w:r>
            <w:r w:rsidR="00A01E55">
              <w:rPr>
                <w:noProof/>
                <w:webHidden/>
              </w:rPr>
              <w:fldChar w:fldCharType="end"/>
            </w:r>
          </w:hyperlink>
        </w:p>
        <w:p w14:paraId="36B8CFEA" w14:textId="7FA0123B" w:rsidR="00CE1F3D" w:rsidRDefault="00CE1F3D" w:rsidP="005079C2">
          <w:r>
            <w:rPr>
              <w:b/>
              <w:bCs/>
              <w:noProof/>
            </w:rPr>
            <w:fldChar w:fldCharType="end"/>
          </w:r>
        </w:p>
      </w:sdtContent>
    </w:sdt>
    <w:p w14:paraId="48293877" w14:textId="77777777" w:rsidR="00CE1F3D" w:rsidRDefault="00CE1F3D" w:rsidP="005079C2">
      <w:pPr>
        <w:rPr>
          <w:b/>
          <w:sz w:val="28"/>
          <w:szCs w:val="28"/>
        </w:rPr>
      </w:pPr>
      <w:r>
        <w:br w:type="page"/>
      </w:r>
    </w:p>
    <w:p w14:paraId="00000004" w14:textId="431F5B44" w:rsidR="003E6AAD" w:rsidRDefault="00E90353" w:rsidP="009A6320">
      <w:pPr>
        <w:pStyle w:val="Heading1"/>
        <w:jc w:val="center"/>
      </w:pPr>
      <w:bookmarkStart w:id="0" w:name="_Toc102482070"/>
      <w:r>
        <w:lastRenderedPageBreak/>
        <w:t>Case Study - The British Petroleum Corporation (BP)</w:t>
      </w:r>
      <w:bookmarkEnd w:id="0"/>
    </w:p>
    <w:p w14:paraId="24FD0D1B" w14:textId="77777777" w:rsidR="00DF1E56" w:rsidRPr="00DF1E56" w:rsidRDefault="00DF1E56" w:rsidP="00DF1E56"/>
    <w:p w14:paraId="00000005" w14:textId="2DD1C2B8" w:rsidR="003E6AAD" w:rsidRPr="006450FC" w:rsidRDefault="00DF1E56" w:rsidP="006450FC">
      <w:pPr>
        <w:jc w:val="center"/>
        <w:rPr>
          <w:b/>
          <w:bCs/>
          <w:sz w:val="28"/>
          <w:szCs w:val="28"/>
        </w:rPr>
      </w:pPr>
      <w:bookmarkStart w:id="1" w:name="_d3aar5lwf4w8" w:colFirst="0" w:colLast="0"/>
      <w:bookmarkEnd w:id="1"/>
      <w:r w:rsidRPr="006450FC">
        <w:rPr>
          <w:b/>
          <w:bCs/>
          <w:sz w:val="28"/>
          <w:szCs w:val="28"/>
        </w:rPr>
        <w:t xml:space="preserve">Introduction </w:t>
      </w:r>
      <w:r w:rsidR="006450FC" w:rsidRPr="006450FC">
        <w:rPr>
          <w:b/>
          <w:bCs/>
          <w:sz w:val="28"/>
          <w:szCs w:val="28"/>
        </w:rPr>
        <w:t>(</w:t>
      </w:r>
      <w:r w:rsidR="006450FC" w:rsidRPr="00DF1E56">
        <w:rPr>
          <w:b/>
          <w:bCs/>
          <w:sz w:val="28"/>
          <w:szCs w:val="28"/>
        </w:rPr>
        <w:t>Florin-Alin Cretulescu (1911820)</w:t>
      </w:r>
    </w:p>
    <w:p w14:paraId="0C2B4304" w14:textId="77777777" w:rsidR="00DF1E56" w:rsidRPr="00DF1E56" w:rsidRDefault="00DF1E56" w:rsidP="00DF1E56"/>
    <w:p w14:paraId="0781FE04" w14:textId="468E34E2" w:rsidR="006450FC" w:rsidRDefault="00E90353" w:rsidP="002876EB">
      <w:pPr>
        <w:ind w:firstLine="720"/>
      </w:pPr>
      <w:r>
        <w:t xml:space="preserve">The British Petroleum Corporation formerly known as </w:t>
      </w:r>
      <w:r w:rsidR="00CE1F3D">
        <w:rPr>
          <w:b/>
          <w:i/>
        </w:rPr>
        <w:t>“Anglo</w:t>
      </w:r>
      <w:r>
        <w:rPr>
          <w:b/>
          <w:i/>
        </w:rPr>
        <w:t>-Persian Oil Company, Ltd. (1909–35), Anglo-Iranian Oil Company, Ltd. (1935–54), British Petroleum Company Limited (1954–82), British Petroleum Company PLC (1982–98), and finally BP Amoco (1998–2000)”</w:t>
      </w:r>
      <w:r>
        <w:t xml:space="preserve"> refer to case study), became the greatest oil company globally after it merged with Amoco Corporation of the US. The study will be focusing on the company’s internationalisation, its sources of finances, source of debt and the risk and opportunities that it potentially </w:t>
      </w:r>
      <w:r w:rsidR="006450FC">
        <w:t>must</w:t>
      </w:r>
      <w:r>
        <w:t xml:space="preserve"> get a detailed insight of the oil company. </w:t>
      </w:r>
    </w:p>
    <w:p w14:paraId="588FA59B" w14:textId="77777777" w:rsidR="002876EB" w:rsidRDefault="002876EB" w:rsidP="002876EB">
      <w:pPr>
        <w:ind w:firstLine="720"/>
      </w:pPr>
    </w:p>
    <w:p w14:paraId="7A39DC30" w14:textId="574B4066" w:rsidR="006450FC" w:rsidRPr="006450FC" w:rsidRDefault="00E90353" w:rsidP="006450FC">
      <w:pPr>
        <w:pStyle w:val="Heading1"/>
        <w:ind w:firstLine="720"/>
        <w:jc w:val="center"/>
      </w:pPr>
      <w:bookmarkStart w:id="2" w:name="_i2ppocmlrsaj" w:colFirst="0" w:colLast="0"/>
      <w:bookmarkStart w:id="3" w:name="_Toc102482072"/>
      <w:bookmarkEnd w:id="2"/>
      <w:r>
        <w:t>Critically analyses reasons why BP corporation internationalised</w:t>
      </w:r>
      <w:bookmarkEnd w:id="3"/>
    </w:p>
    <w:p w14:paraId="7F1DAA82" w14:textId="6BC80DC9" w:rsidR="006450FC" w:rsidRDefault="00E90353" w:rsidP="006450FC">
      <w:pPr>
        <w:ind w:firstLine="720"/>
      </w:pPr>
      <w:r>
        <w:t xml:space="preserve">The Anglo </w:t>
      </w:r>
      <w:r w:rsidR="00CE1F3D">
        <w:t>Persian</w:t>
      </w:r>
      <w:r>
        <w:t xml:space="preserve"> Oil company Ltd. became BP Amoco after it merged with Amoco Corporation of the United States. BP Amoco has been one of the leading oil corporation and gas companies, operating in over 80 countries after Internationalising the organisation with the aim of gaining a competitive edge in the global oil market. The British Petroleum company merges with the US based Amoco in bringing the assets into a larger and a comprehensive enhanced structure. Another main motive of the merger was to allow the company to consolidate their spending on exploration. The BP PLC merger with Amoco had been the largest merger of the time with a $48.2 billion transformative deal (BP, 2022a). </w:t>
      </w:r>
    </w:p>
    <w:p w14:paraId="28C5A965" w14:textId="77777777" w:rsidR="00DF1E56" w:rsidRDefault="00E90353" w:rsidP="00DF1E56">
      <w:pPr>
        <w:ind w:firstLine="720"/>
      </w:pPr>
      <w:r>
        <w:rPr>
          <w:b/>
          <w:i/>
        </w:rPr>
        <w:t>Internationalisation</w:t>
      </w:r>
      <w:r>
        <w:t xml:space="preserve"> is made when a company is willing to increase their business involvement in international markets either with the aim of sharing a large market size that would impart global dominance or competitive advantage to them or would help them in creating a substantial brand image and reputation in the Global market. As per the scholarly review of Eduardsen and Marinova (2020), the real reason of internationalising organisations is to </w:t>
      </w:r>
      <w:r>
        <w:rPr>
          <w:b/>
          <w:i/>
        </w:rPr>
        <w:t>generate value creating opportunities</w:t>
      </w:r>
      <w:r>
        <w:t xml:space="preserve"> and the aforementioned organisation that is BP PLC internationalised their organisation with the very aim of emerging as one of the market </w:t>
      </w:r>
      <w:r w:rsidR="00CE1F3D">
        <w:t>leaders</w:t>
      </w:r>
      <w:r>
        <w:t xml:space="preserve"> through their remarkable and unique work in the oil and gas producing industry, embracing sustainable procedures while cutting down on costs and innovating new sources of renewable energies. The company is mainly focussed on two of the main areas which comprises </w:t>
      </w:r>
      <w:r>
        <w:rPr>
          <w:b/>
          <w:i/>
        </w:rPr>
        <w:t xml:space="preserve">“Exploration and </w:t>
      </w:r>
      <w:r>
        <w:rPr>
          <w:b/>
          <w:i/>
        </w:rPr>
        <w:lastRenderedPageBreak/>
        <w:t>Production” and “Refining and Marketing”</w:t>
      </w:r>
      <w:r>
        <w:t xml:space="preserve">. The sustainable procedure of the company involves, integrating resilient Hydrocarbons, offering Convenience and mobility and Low Carbon energy that has been one of the most unique operational activities of the company, making them one of the most prominent companies in the energy producing sector globally. Internationalisation has helped the British Energy Producing company to get access to a broader market. </w:t>
      </w:r>
    </w:p>
    <w:p w14:paraId="444DFF1D" w14:textId="18C123DD" w:rsidR="006450FC" w:rsidRDefault="00E90353" w:rsidP="006450FC">
      <w:pPr>
        <w:ind w:firstLine="720"/>
      </w:pPr>
      <w:r>
        <w:t xml:space="preserve">The process has helped improve the company's general image while enhancing their productive capacity leading to increased spending on research and development to produce clean energy from renewable sources. </w:t>
      </w:r>
      <w:r w:rsidR="00CE1F3D">
        <w:t>Thus,</w:t>
      </w:r>
      <w:r>
        <w:t xml:space="preserve"> there have been a vast range of opportunities for BP Amoco after internationalising their activities. It is further laid to diminishing cost by </w:t>
      </w:r>
      <w:r>
        <w:rPr>
          <w:b/>
          <w:i/>
        </w:rPr>
        <w:t>“virtue of enhancing productive efficiency”</w:t>
      </w:r>
      <w:r>
        <w:t xml:space="preserve">. The other big factor that has been accelerated in the procedure is effectively and efficiently allocating the scarce resources. The company further has a rigid sustainability framework that has helped them in reaching millions of people around the globe. The company has three focus areas complying to the </w:t>
      </w:r>
      <w:r>
        <w:rPr>
          <w:b/>
          <w:i/>
        </w:rPr>
        <w:t>“</w:t>
      </w:r>
      <w:r>
        <w:rPr>
          <w:b/>
          <w:i/>
          <w:highlight w:val="white"/>
        </w:rPr>
        <w:t>UN Sustainable Development Goals</w:t>
      </w:r>
      <w:r>
        <w:rPr>
          <w:b/>
          <w:i/>
        </w:rPr>
        <w:t xml:space="preserve">” </w:t>
      </w:r>
      <w:r>
        <w:t xml:space="preserve">which are net zero, people and planet; embedding sustainability in the company operating model, culture and governance (BP, 2022b). The company has been offering an exciting world of opportunities with a huge workforce working different roles which demonstrates the work diversity of BP PLC globally which is again a consequence of Internationalisation. The company is walking towards the path of integrated Energy towards their </w:t>
      </w:r>
      <w:r>
        <w:rPr>
          <w:b/>
          <w:i/>
        </w:rPr>
        <w:t>Net Zero Ambition</w:t>
      </w:r>
      <w:r>
        <w:t xml:space="preserve">. The international activities and the aim and purpose of the company has made it one of the world’s seven oil and gas </w:t>
      </w:r>
      <w:r>
        <w:rPr>
          <w:b/>
          <w:i/>
        </w:rPr>
        <w:t>“supermajors” which</w:t>
      </w:r>
      <w:r>
        <w:t xml:space="preserve"> would not have been possible without embracing the strategies of </w:t>
      </w:r>
      <w:r>
        <w:rPr>
          <w:b/>
          <w:i/>
        </w:rPr>
        <w:t xml:space="preserve">Internationalisation </w:t>
      </w:r>
      <w:r>
        <w:t>(Oilnow, 2017)</w:t>
      </w:r>
      <w:r>
        <w:rPr>
          <w:b/>
          <w:i/>
        </w:rPr>
        <w:t>.</w:t>
      </w:r>
      <w:r w:rsidR="006450FC">
        <w:rPr>
          <w:b/>
          <w:i/>
        </w:rPr>
        <w:t xml:space="preserve"> </w:t>
      </w:r>
      <w:r w:rsidR="006450FC">
        <w:t>Whether or whether BPs will be able to internationalize will be determined by the strength of their institutional roots and the ability of those foundations to absorb predictable mistakes while maintaining cohesive oversight of a long-term internationalization strategy. At two distinct levels of governance, at the national level and the bureaucratic level, there may be differing degrees of competition among principals, depending on the circumstances.</w:t>
      </w:r>
    </w:p>
    <w:p w14:paraId="448983AA" w14:textId="6A8CFB4E" w:rsidR="006450FC" w:rsidRDefault="006450FC" w:rsidP="006450FC"/>
    <w:p w14:paraId="3D91C46A" w14:textId="77777777" w:rsidR="006450FC" w:rsidRDefault="006450FC" w:rsidP="006450FC"/>
    <w:p w14:paraId="55E5A004" w14:textId="77777777" w:rsidR="00DF1E56" w:rsidRDefault="00DF1E56" w:rsidP="00DF1E56">
      <w:pPr>
        <w:ind w:firstLine="720"/>
        <w:rPr>
          <w:b/>
          <w:i/>
        </w:rPr>
      </w:pPr>
    </w:p>
    <w:p w14:paraId="364469A0" w14:textId="33E97F2D" w:rsidR="00DF1E56" w:rsidRPr="00DF1E56" w:rsidRDefault="00E90353" w:rsidP="002876EB">
      <w:pPr>
        <w:pStyle w:val="Heading1"/>
        <w:ind w:firstLine="720"/>
        <w:jc w:val="center"/>
      </w:pPr>
      <w:bookmarkStart w:id="4" w:name="_c7pp5j9nbkv9" w:colFirst="0" w:colLast="0"/>
      <w:bookmarkStart w:id="5" w:name="_Toc102482073"/>
      <w:bookmarkEnd w:id="4"/>
      <w:r>
        <w:lastRenderedPageBreak/>
        <w:t xml:space="preserve">Critically analyses and evaluates the strategies that BP corporation has adopted </w:t>
      </w:r>
      <w:r w:rsidR="00CE1F3D">
        <w:t>in managing</w:t>
      </w:r>
      <w:r>
        <w:t xml:space="preserve"> their financial risks</w:t>
      </w:r>
      <w:bookmarkEnd w:id="5"/>
      <w:r w:rsidR="006450FC">
        <w:t xml:space="preserve"> (</w:t>
      </w:r>
      <w:r w:rsidR="006450FC" w:rsidRPr="00DF1E56">
        <w:rPr>
          <w:bCs/>
        </w:rPr>
        <w:t>Florin Ciobu (1913409)</w:t>
      </w:r>
    </w:p>
    <w:p w14:paraId="0000000B" w14:textId="0C8E0444" w:rsidR="003E6AAD" w:rsidRPr="00CE1F3D" w:rsidRDefault="00E90353" w:rsidP="00DF1E56">
      <w:pPr>
        <w:ind w:firstLine="720"/>
      </w:pPr>
      <w:bookmarkStart w:id="6" w:name="_5tl0ffd7h23f" w:colFirst="0" w:colLast="0"/>
      <w:bookmarkEnd w:id="6"/>
      <w:r w:rsidRPr="00CE1F3D">
        <w:t xml:space="preserve">Managing finances is one of the core </w:t>
      </w:r>
      <w:r w:rsidR="00CE1F3D" w:rsidRPr="00CE1F3D">
        <w:t>responsibilities</w:t>
      </w:r>
      <w:r w:rsidRPr="00CE1F3D">
        <w:t xml:space="preserve"> that guides a company’s financial performance to protect it from different risks. As per the given case study, the offshore drilling rig of BP collapsed in 2010, that resulted a huge loss faced by the company. More than 4.9 million barrels were released into Mexico Gulf that resulted in a tremendous financial risk. Other than that, in 2020, the company witnessed a profit of 5,690 million USD which was almost 50% less than the previous years (</w:t>
      </w:r>
      <w:r w:rsidRPr="00CE1F3D">
        <w:rPr>
          <w:highlight w:val="white"/>
        </w:rPr>
        <w:t>BP, 2021)</w:t>
      </w:r>
      <w:r w:rsidRPr="00CE1F3D">
        <w:t>. BP also acknowledged climate change issues that drove their strategic implementations in their business functions. However, integration of strategic transformations in the company has reshaped the company’s capability to overcome the challenges.</w:t>
      </w:r>
    </w:p>
    <w:p w14:paraId="0000000C" w14:textId="77777777" w:rsidR="003E6AAD" w:rsidRDefault="00E90353" w:rsidP="00DF1E56">
      <w:pPr>
        <w:ind w:firstLine="720"/>
        <w:rPr>
          <w:b/>
          <w:i/>
        </w:rPr>
      </w:pPr>
      <w:r>
        <w:rPr>
          <w:b/>
          <w:i/>
        </w:rPr>
        <w:t>Disciplined strategic progress</w:t>
      </w:r>
    </w:p>
    <w:p w14:paraId="0000000D" w14:textId="228E2FBC" w:rsidR="003E6AAD" w:rsidRDefault="00E90353" w:rsidP="00DF1E56">
      <w:pPr>
        <w:ind w:firstLine="720"/>
      </w:pPr>
      <w:r>
        <w:t xml:space="preserve">BP has accelerated three strategic progress areas in their operations that has targeted to be able to meet the targets that the company has set for 2022. </w:t>
      </w:r>
      <w:r>
        <w:rPr>
          <w:b/>
          <w:i/>
        </w:rPr>
        <w:t xml:space="preserve">Resilient hydrocarbons </w:t>
      </w:r>
      <w:r w:rsidR="003B6235">
        <w:t>have</w:t>
      </w:r>
      <w:r>
        <w:t xml:space="preserve"> been one of the major projects in the company that aims to </w:t>
      </w:r>
      <w:r w:rsidR="00CE1F3D">
        <w:t>limit</w:t>
      </w:r>
      <w:r>
        <w:t xml:space="preserve"> and schedule its budget </w:t>
      </w:r>
      <w:r w:rsidR="00CE1F3D">
        <w:t>up to</w:t>
      </w:r>
      <w:r>
        <w:t xml:space="preserve"> 15%. </w:t>
      </w:r>
      <w:r>
        <w:rPr>
          <w:b/>
          <w:i/>
        </w:rPr>
        <w:t xml:space="preserve">Maintaining a range of 30-35 billion USD </w:t>
      </w:r>
      <w:r>
        <w:t xml:space="preserve">to sustain EBITDA from resilient carbons that can be one of the major factors in the </w:t>
      </w:r>
      <w:r w:rsidR="00CE1F3D">
        <w:t>project</w:t>
      </w:r>
      <w:r>
        <w:t xml:space="preserve"> (</w:t>
      </w:r>
      <w:r>
        <w:rPr>
          <w:highlight w:val="white"/>
        </w:rPr>
        <w:t xml:space="preserve">BP, 2022c). </w:t>
      </w:r>
      <w:r>
        <w:rPr>
          <w:b/>
          <w:i/>
          <w:highlight w:val="white"/>
        </w:rPr>
        <w:t>Growing the margin share</w:t>
      </w:r>
      <w:r>
        <w:rPr>
          <w:highlight w:val="white"/>
        </w:rPr>
        <w:t xml:space="preserve"> in </w:t>
      </w:r>
      <w:r>
        <w:rPr>
          <w:b/>
          <w:i/>
          <w:highlight w:val="white"/>
        </w:rPr>
        <w:t xml:space="preserve">convenience and mobility </w:t>
      </w:r>
      <w:r>
        <w:rPr>
          <w:highlight w:val="white"/>
        </w:rPr>
        <w:t xml:space="preserve">that the customer has to offer, the company has almost </w:t>
      </w:r>
      <w:r>
        <w:rPr>
          <w:b/>
          <w:i/>
          <w:highlight w:val="white"/>
        </w:rPr>
        <w:t xml:space="preserve">doubled its EV charging points </w:t>
      </w:r>
      <w:r>
        <w:rPr>
          <w:highlight w:val="white"/>
        </w:rPr>
        <w:t xml:space="preserve">and established more than 13,000 charging points in the world. </w:t>
      </w:r>
      <w:r>
        <w:rPr>
          <w:b/>
          <w:i/>
          <w:highlight w:val="white"/>
        </w:rPr>
        <w:t xml:space="preserve">Developing renewables </w:t>
      </w:r>
      <w:r>
        <w:rPr>
          <w:highlight w:val="white"/>
        </w:rPr>
        <w:t xml:space="preserve">has also been a major factor that has been integrated in the company’s operations through </w:t>
      </w:r>
      <w:r w:rsidR="00CE1F3D">
        <w:rPr>
          <w:b/>
          <w:i/>
          <w:highlight w:val="white"/>
        </w:rPr>
        <w:t>entry</w:t>
      </w:r>
      <w:r>
        <w:rPr>
          <w:b/>
          <w:i/>
          <w:highlight w:val="white"/>
        </w:rPr>
        <w:t xml:space="preserve"> into the offshore wind and pipeline implementations </w:t>
      </w:r>
      <w:r>
        <w:rPr>
          <w:highlight w:val="white"/>
        </w:rPr>
        <w:t xml:space="preserve">as well. </w:t>
      </w:r>
    </w:p>
    <w:p w14:paraId="0000000E" w14:textId="77777777" w:rsidR="003E6AAD" w:rsidRDefault="00E90353" w:rsidP="00DF1E56">
      <w:pPr>
        <w:ind w:firstLine="720"/>
        <w:rPr>
          <w:b/>
          <w:i/>
        </w:rPr>
      </w:pPr>
      <w:r>
        <w:rPr>
          <w:b/>
          <w:i/>
        </w:rPr>
        <w:t>Investment in Britain</w:t>
      </w:r>
    </w:p>
    <w:p w14:paraId="0000000F" w14:textId="602BEF6A" w:rsidR="003E6AAD" w:rsidRDefault="00E90353" w:rsidP="00DF1E56">
      <w:pPr>
        <w:ind w:firstLine="720"/>
      </w:pPr>
      <w:r>
        <w:rPr>
          <w:b/>
          <w:i/>
        </w:rPr>
        <w:t xml:space="preserve">Producing clean energy </w:t>
      </w:r>
      <w:r>
        <w:t>from the wind in offshore and investing more than doubling the profit in the UK has enabled low-</w:t>
      </w:r>
      <w:r w:rsidR="00CE1F3D">
        <w:t>carbon</w:t>
      </w:r>
      <w:r>
        <w:t xml:space="preserve"> emissions which has increased the brand value of </w:t>
      </w:r>
      <w:r w:rsidR="00CE1F3D">
        <w:t>the</w:t>
      </w:r>
      <w:r>
        <w:t xml:space="preserve"> </w:t>
      </w:r>
      <w:r w:rsidR="00CE1F3D">
        <w:t>companies</w:t>
      </w:r>
      <w:r>
        <w:t xml:space="preserve"> among the worldwide customer base. </w:t>
      </w:r>
      <w:r>
        <w:rPr>
          <w:b/>
          <w:i/>
        </w:rPr>
        <w:t xml:space="preserve">Anticipation of cost reduction profitability by improving pre-tax profitability </w:t>
      </w:r>
      <w:r w:rsidR="00CE1F3D">
        <w:t>up to</w:t>
      </w:r>
      <w:r>
        <w:t xml:space="preserve"> </w:t>
      </w:r>
      <w:r>
        <w:rPr>
          <w:b/>
          <w:i/>
        </w:rPr>
        <w:t xml:space="preserve">3 billion dollars </w:t>
      </w:r>
      <w:r>
        <w:t xml:space="preserve">has resulted in effective boost efficiency in the financial management of the company. Other than that, according to the financial reports, </w:t>
      </w:r>
      <w:r>
        <w:rPr>
          <w:b/>
          <w:i/>
        </w:rPr>
        <w:t xml:space="preserve">the company’s net debt reduced to 30.7 billion dollars </w:t>
      </w:r>
      <w:r>
        <w:t xml:space="preserve">in 2021 by </w:t>
      </w:r>
      <w:r>
        <w:rPr>
          <w:b/>
          <w:i/>
        </w:rPr>
        <w:t xml:space="preserve">extending medium-term </w:t>
      </w:r>
      <w:r w:rsidR="00DF1E56">
        <w:rPr>
          <w:b/>
          <w:i/>
        </w:rPr>
        <w:t>oil</w:t>
      </w:r>
      <w:r>
        <w:rPr>
          <w:b/>
          <w:i/>
        </w:rPr>
        <w:t xml:space="preserve"> and gas production in the recent years </w:t>
      </w:r>
      <w:r>
        <w:t>(</w:t>
      </w:r>
      <w:r>
        <w:rPr>
          <w:highlight w:val="white"/>
        </w:rPr>
        <w:t xml:space="preserve">BP, 2021). The company has established strong momentum by reducing cost and improving financial performance in the past few years that has reduced the net debt of the company and excels in future performance as well. </w:t>
      </w:r>
    </w:p>
    <w:p w14:paraId="00000010" w14:textId="77777777" w:rsidR="003E6AAD" w:rsidRDefault="00E90353" w:rsidP="00DF1E56">
      <w:pPr>
        <w:ind w:firstLine="720"/>
        <w:rPr>
          <w:b/>
          <w:i/>
        </w:rPr>
      </w:pPr>
      <w:r>
        <w:rPr>
          <w:b/>
          <w:i/>
        </w:rPr>
        <w:lastRenderedPageBreak/>
        <w:t>Acceleration of transition growth engines</w:t>
      </w:r>
    </w:p>
    <w:p w14:paraId="00000011" w14:textId="4DFB11F8" w:rsidR="003E6AAD" w:rsidRDefault="00E90353" w:rsidP="00DF1E56">
      <w:pPr>
        <w:ind w:firstLine="720"/>
      </w:pPr>
      <w:r>
        <w:t xml:space="preserve">Energy transition in the company can reduce cost in the business operations that can influence the organisation to adapt to cost-effect strategies to manage financial risks. BP has adapted to low carbon </w:t>
      </w:r>
      <w:r w:rsidR="00CE1F3D">
        <w:t>emissions</w:t>
      </w:r>
      <w:r>
        <w:t xml:space="preserve"> in the production that has not only reduced their production expenses but also increases brand visibility at the same time. According to Pham </w:t>
      </w:r>
      <w:r>
        <w:rPr>
          <w:i/>
        </w:rPr>
        <w:t xml:space="preserve">et al. </w:t>
      </w:r>
      <w:r>
        <w:t xml:space="preserve"> (2019), </w:t>
      </w:r>
      <w:r>
        <w:rPr>
          <w:b/>
          <w:i/>
        </w:rPr>
        <w:t xml:space="preserve">multi-grid approach </w:t>
      </w:r>
      <w:r>
        <w:t xml:space="preserve">in the company’s production can influence different financial benefits in an </w:t>
      </w:r>
      <w:r w:rsidR="00DF1E56">
        <w:t>organisation</w:t>
      </w:r>
      <w:r>
        <w:t>. Influenced b</w:t>
      </w:r>
      <w:r w:rsidR="00DF1E56">
        <w:t>y</w:t>
      </w:r>
      <w:r>
        <w:t xml:space="preserve"> the latest technological progress, </w:t>
      </w:r>
      <w:r>
        <w:rPr>
          <w:b/>
          <w:i/>
        </w:rPr>
        <w:t xml:space="preserve">operating cash flow increased to 12,815 million USD </w:t>
      </w:r>
      <w:r>
        <w:t xml:space="preserve">that has created several opportunities for the company to accelerate new ventures in sustained and cost-effective </w:t>
      </w:r>
      <w:r w:rsidR="00CE1F3D">
        <w:t>strategies</w:t>
      </w:r>
      <w:r>
        <w:t xml:space="preserve"> as well. </w:t>
      </w:r>
    </w:p>
    <w:p w14:paraId="00000012" w14:textId="77777777" w:rsidR="003E6AAD" w:rsidRDefault="00E90353" w:rsidP="00DF1E56">
      <w:pPr>
        <w:ind w:firstLine="720"/>
        <w:rPr>
          <w:b/>
          <w:i/>
        </w:rPr>
      </w:pPr>
      <w:r>
        <w:rPr>
          <w:b/>
          <w:i/>
        </w:rPr>
        <w:t>Earning and distribution growth</w:t>
      </w:r>
    </w:p>
    <w:p w14:paraId="00000013" w14:textId="33ED423E" w:rsidR="003E6AAD" w:rsidRDefault="00E90353" w:rsidP="00DF1E56">
      <w:pPr>
        <w:ind w:firstLine="720"/>
      </w:pPr>
      <w:r>
        <w:rPr>
          <w:b/>
          <w:i/>
        </w:rPr>
        <w:t xml:space="preserve">Implementing strict capital discipline </w:t>
      </w:r>
      <w:r>
        <w:t xml:space="preserve">has been one of the most effective strategies that have enhanced the growing </w:t>
      </w:r>
      <w:r>
        <w:rPr>
          <w:b/>
          <w:i/>
        </w:rPr>
        <w:t xml:space="preserve">EBIDA per share at a 9% CAGR </w:t>
      </w:r>
      <w:r>
        <w:t>(</w:t>
      </w:r>
      <w:r>
        <w:rPr>
          <w:highlight w:val="white"/>
        </w:rPr>
        <w:t>BP, 2022c)</w:t>
      </w:r>
      <w:r>
        <w:t xml:space="preserve">. The growth in the proportion of capital employed in transition in businesses. Increasing dividend per share </w:t>
      </w:r>
      <w:r>
        <w:rPr>
          <w:b/>
          <w:i/>
        </w:rPr>
        <w:t xml:space="preserve">4% that has </w:t>
      </w:r>
      <w:r w:rsidR="00CE1F3D">
        <w:rPr>
          <w:b/>
          <w:i/>
        </w:rPr>
        <w:t>surpluses</w:t>
      </w:r>
      <w:r>
        <w:rPr>
          <w:b/>
          <w:i/>
        </w:rPr>
        <w:t xml:space="preserve"> cash flows through buyback the company shares. </w:t>
      </w:r>
      <w:r>
        <w:t xml:space="preserve">Retaining the </w:t>
      </w:r>
      <w:r>
        <w:rPr>
          <w:b/>
          <w:i/>
        </w:rPr>
        <w:t xml:space="preserve">grade credit rate </w:t>
      </w:r>
      <w:r>
        <w:t xml:space="preserve">can influence lower pri2ce production that can be an effective measurement to the company’s performance. Investor proposition in the company and adding value to the shareholders has widened the opportunities for the company to enhance sustainable value and cost value in the organisational operations. </w:t>
      </w:r>
    </w:p>
    <w:p w14:paraId="301314A0" w14:textId="77777777" w:rsidR="00DF1E56" w:rsidRDefault="00DF1E56" w:rsidP="00DF1E56">
      <w:pPr>
        <w:ind w:firstLine="720"/>
      </w:pPr>
    </w:p>
    <w:p w14:paraId="48CA7B26" w14:textId="1FC0BC76" w:rsidR="00DF1E56" w:rsidRPr="006450FC" w:rsidRDefault="00E90353" w:rsidP="006450FC">
      <w:pPr>
        <w:pStyle w:val="Heading1"/>
        <w:jc w:val="center"/>
      </w:pPr>
      <w:bookmarkStart w:id="7" w:name="_w57gutgz79qa" w:colFirst="0" w:colLast="0"/>
      <w:bookmarkStart w:id="8" w:name="_Toc102482074"/>
      <w:bookmarkEnd w:id="7"/>
      <w:r>
        <w:t xml:space="preserve">Critically </w:t>
      </w:r>
      <w:r w:rsidRPr="00CE1F3D">
        <w:t>analyses</w:t>
      </w:r>
      <w:r>
        <w:t xml:space="preserve"> how country risks may affect BP’s investments opportunities in host countries</w:t>
      </w:r>
      <w:bookmarkEnd w:id="8"/>
      <w:r w:rsidR="00DF1E56">
        <w:t xml:space="preserve"> (Andreeea Tomus (1916189)</w:t>
      </w:r>
    </w:p>
    <w:p w14:paraId="00000015" w14:textId="46736558" w:rsidR="003E6AAD" w:rsidRDefault="00E90353" w:rsidP="00DF1E56">
      <w:pPr>
        <w:ind w:firstLine="720"/>
      </w:pPr>
      <w:r>
        <w:rPr>
          <w:b/>
          <w:i/>
        </w:rPr>
        <w:t xml:space="preserve">Country Risk </w:t>
      </w:r>
      <w:r>
        <w:t xml:space="preserve">can be defined as the uncertainty which is associated with investing in a particular country and more specifically to the rate of loss that uncertainty could lead to. One of the biggest barriers to investing in the international markets is the higher transaction cost, liquidity risk and currency volatility. The risks could spring up from a wider network of areas that might be political, </w:t>
      </w:r>
      <w:r w:rsidR="00CE1F3D">
        <w:t>economic</w:t>
      </w:r>
      <w:r>
        <w:t xml:space="preserve">, exchange rates, legislative, technological, environmental </w:t>
      </w:r>
      <w:r w:rsidR="00CE1F3D">
        <w:t>laws. Thus,</w:t>
      </w:r>
      <w:r>
        <w:t xml:space="preserve"> before investing in any of the Host </w:t>
      </w:r>
      <w:r w:rsidR="00CE1F3D">
        <w:t>countries,</w:t>
      </w:r>
      <w:r>
        <w:t xml:space="preserve"> it is important for the oil company to assess the possible risk areas that might greatly impact the investment of the company in the future. The riskiness of the investment climate should thus be addressed above all when deciding to invest in a foreign market. </w:t>
      </w:r>
    </w:p>
    <w:p w14:paraId="00000016" w14:textId="1F808DDE" w:rsidR="003E6AAD" w:rsidRPr="00234EB3" w:rsidRDefault="00E90353" w:rsidP="00DF1E56">
      <w:pPr>
        <w:ind w:firstLine="720"/>
      </w:pPr>
      <w:r>
        <w:lastRenderedPageBreak/>
        <w:t xml:space="preserve">The economic scenario of a company is defined by its ability to pay back its debts. A country which has stable finance and a stronger economy is more reliable than a country with a weak economy. </w:t>
      </w:r>
      <w:r w:rsidR="00CE1F3D">
        <w:t>Thus,</w:t>
      </w:r>
      <w:r>
        <w:t xml:space="preserve"> it is essential for BP to analyse the economic scenario at first to ensure that the investment of the company does not suffer. </w:t>
      </w:r>
      <w:r w:rsidR="00234EB3">
        <w:t xml:space="preserve">Further the </w:t>
      </w:r>
      <w:r w:rsidR="00234EB3">
        <w:rPr>
          <w:b/>
          <w:i/>
        </w:rPr>
        <w:t xml:space="preserve">theory of Purchasing Power Parity </w:t>
      </w:r>
      <w:r w:rsidR="003B6235">
        <w:t>assists</w:t>
      </w:r>
      <w:r w:rsidR="00234EB3">
        <w:t xml:space="preserve"> a great deal in measuring the </w:t>
      </w:r>
      <w:r w:rsidR="008A307B">
        <w:t>price</w:t>
      </w:r>
      <w:r w:rsidR="00234EB3">
        <w:t xml:space="preserve"> rates of the host </w:t>
      </w:r>
      <w:r w:rsidR="008A307B">
        <w:t>countries</w:t>
      </w:r>
      <w:r w:rsidR="00234EB3">
        <w:t xml:space="preserve"> that would further help the company in comprehending the </w:t>
      </w:r>
      <w:r w:rsidR="008A307B">
        <w:t xml:space="preserve">absolute purchasing power of the chosen country’s currencies. </w:t>
      </w:r>
    </w:p>
    <w:p w14:paraId="00000017" w14:textId="4097759F" w:rsidR="003E6AAD" w:rsidRDefault="00E90353" w:rsidP="005079C2">
      <w:r>
        <w:t xml:space="preserve">Next is the </w:t>
      </w:r>
      <w:r w:rsidRPr="00234EB3">
        <w:rPr>
          <w:b/>
          <w:i/>
        </w:rPr>
        <w:t>political factor</w:t>
      </w:r>
      <w:r>
        <w:t xml:space="preserve"> which is another most influencing area determining if a company should make or avoid investments in the given area. As per Beazer </w:t>
      </w:r>
      <w:r>
        <w:rPr>
          <w:i/>
        </w:rPr>
        <w:t xml:space="preserve">et al. </w:t>
      </w:r>
      <w:r>
        <w:t xml:space="preserve">(2018), while investing in a host country it is important for BP to evaluate and assess if the political condition of a </w:t>
      </w:r>
      <w:r w:rsidR="003B6235">
        <w:t>nation,</w:t>
      </w:r>
      <w:r>
        <w:t xml:space="preserve"> they are investing in is stable or not. This is because given a strong economic background, if the political factors of the country are unfavourable and unstable it might prove to be risky for outside investors which could largely hamper the investment ratio of the company. </w:t>
      </w:r>
      <w:r w:rsidR="00237F9A">
        <w:t>As per Herzog (</w:t>
      </w:r>
      <w:r w:rsidR="00237F9A" w:rsidRPr="00804148">
        <w:t>2019</w:t>
      </w:r>
      <w:r w:rsidR="00237F9A">
        <w:t xml:space="preserve">), </w:t>
      </w:r>
      <w:r w:rsidR="00237F9A" w:rsidRPr="00237F9A">
        <w:rPr>
          <w:b/>
          <w:i/>
        </w:rPr>
        <w:t>Expectations theory</w:t>
      </w:r>
      <w:r w:rsidR="00237F9A">
        <w:t xml:space="preserve"> helps in predicting what short term interest rates might prevail in the future based on the current long term interest rates. This can potentially help the aforementioned company to analyse the rate of returns they might get on their investments, helping them to make the right investment decisions. </w:t>
      </w:r>
    </w:p>
    <w:p w14:paraId="00000018" w14:textId="175CC2DF" w:rsidR="003E6AAD" w:rsidRDefault="00E90353" w:rsidP="00DF1E56">
      <w:pPr>
        <w:ind w:firstLine="720"/>
      </w:pPr>
      <w:r w:rsidRPr="00234EB3">
        <w:rPr>
          <w:b/>
          <w:i/>
        </w:rPr>
        <w:t xml:space="preserve">Sovereign </w:t>
      </w:r>
      <w:r w:rsidR="00CE1F3D" w:rsidRPr="00234EB3">
        <w:rPr>
          <w:b/>
          <w:i/>
        </w:rPr>
        <w:t>risk</w:t>
      </w:r>
      <w:r w:rsidR="00CE1F3D">
        <w:t xml:space="preserve"> is</w:t>
      </w:r>
      <w:r>
        <w:t xml:space="preserve"> the other major area of threat that can over time threaten the investments of a company. Cavusgil </w:t>
      </w:r>
      <w:r>
        <w:rPr>
          <w:i/>
        </w:rPr>
        <w:t xml:space="preserve">et al. </w:t>
      </w:r>
      <w:r>
        <w:t xml:space="preserve">(2020), stated that the foreign central bank under this might alter their foreign exchange regulations nullifying or reducing the value of their foreign exchange contracts. </w:t>
      </w:r>
      <w:r w:rsidR="00CE1F3D">
        <w:t>Thus,</w:t>
      </w:r>
      <w:r>
        <w:t xml:space="preserve"> analysing the sovereign factor of a host country before making investments can prove to be beneficial for both equity and bond investors.  BP PLC can choose to invest in emerging markets since they are the ideal markets that assists in rapid industrialisation with high economic growth rate which can result in stronger investment returns than that in the developed markets. Thus economic, financial and market fundamentals are the key areas that serve as important deciding factors for a company’s investment. </w:t>
      </w:r>
      <w:r w:rsidR="00CE1F3D">
        <w:t>Thus,</w:t>
      </w:r>
      <w:r>
        <w:t xml:space="preserve"> BP PLC must be considering the above factors for analysing country risk while making investment decisions in host countries. One of the most effective strategies to reduce country risks is for buyers and suppliers to come to an agreement. For example, BP may design a mutually acceptable </w:t>
      </w:r>
      <w:r w:rsidR="00CE1F3D">
        <w:t>services</w:t>
      </w:r>
      <w:r>
        <w:t xml:space="preserve"> that could be used for transition. The company's payment method with their supplier, as well as depreciation and devaluation of the foreign currency, might result in a loss. One of the most effective strategies to prevent swings is to quote a price and transact in dollars. As per the view of the authors </w:t>
      </w:r>
      <w:r>
        <w:rPr>
          <w:color w:val="222222"/>
          <w:highlight w:val="white"/>
        </w:rPr>
        <w:t xml:space="preserve">Saleh and </w:t>
      </w:r>
      <w:r>
        <w:rPr>
          <w:color w:val="222222"/>
          <w:highlight w:val="white"/>
        </w:rPr>
        <w:lastRenderedPageBreak/>
        <w:t>Abu Afifa (2020</w:t>
      </w:r>
      <w:r>
        <w:t>)</w:t>
      </w:r>
      <w:r w:rsidR="006E0A15">
        <w:t>,</w:t>
      </w:r>
      <w:r>
        <w:t xml:space="preserve"> investors generally place a portion of their “</w:t>
      </w:r>
      <w:r>
        <w:rPr>
          <w:b/>
          <w:i/>
        </w:rPr>
        <w:t>portfolios in foreign securities</w:t>
      </w:r>
      <w:r>
        <w:t>” and this portfolio mostly involves an analysis of multiple mutual</w:t>
      </w:r>
      <w:r>
        <w:rPr>
          <w:b/>
          <w:i/>
        </w:rPr>
        <w:t xml:space="preserve"> funds, exchange traded funds, stocks</w:t>
      </w:r>
      <w:r>
        <w:t xml:space="preserve">” as well as bond offerings. </w:t>
      </w:r>
    </w:p>
    <w:p w14:paraId="345E0E71" w14:textId="77777777" w:rsidR="00DF1E56" w:rsidRDefault="00DF1E56" w:rsidP="006450FC"/>
    <w:p w14:paraId="3571F7DC" w14:textId="719F5BB0" w:rsidR="00DF1E56" w:rsidRDefault="00E90353" w:rsidP="00DF1E56">
      <w:pPr>
        <w:pStyle w:val="Heading1"/>
        <w:jc w:val="center"/>
      </w:pPr>
      <w:bookmarkStart w:id="9" w:name="_n5gu6s34ar6m" w:colFirst="0" w:colLast="0"/>
      <w:bookmarkStart w:id="10" w:name="_Toc102482075"/>
      <w:bookmarkEnd w:id="9"/>
      <w:r>
        <w:t xml:space="preserve">Critically analyses </w:t>
      </w:r>
      <w:r w:rsidRPr="00CE1F3D">
        <w:t>and</w:t>
      </w:r>
      <w:r>
        <w:t xml:space="preserve"> evaluates BP Corporation’s sources of finance</w:t>
      </w:r>
      <w:bookmarkEnd w:id="10"/>
    </w:p>
    <w:p w14:paraId="5C9C57EC" w14:textId="7A317B11" w:rsidR="00DF1E56" w:rsidRPr="006450FC" w:rsidRDefault="00DF1E56" w:rsidP="006450FC">
      <w:pPr>
        <w:pStyle w:val="Heading1"/>
        <w:jc w:val="center"/>
        <w:rPr>
          <w:bCs/>
        </w:rPr>
      </w:pPr>
      <w:r>
        <w:t>(Alexandru</w:t>
      </w:r>
      <w:r w:rsidRPr="00DF1E56">
        <w:rPr>
          <w:bCs/>
        </w:rPr>
        <w:t>-Ionut Stefaroi (1914985)</w:t>
      </w:r>
    </w:p>
    <w:p w14:paraId="0000001A" w14:textId="00892623" w:rsidR="003E6AAD" w:rsidRDefault="00E90353" w:rsidP="00DF1E56">
      <w:pPr>
        <w:ind w:firstLine="720"/>
      </w:pPr>
      <w:r>
        <w:t>Financial analysis of a corporation is conducted on the rationale of the “</w:t>
      </w:r>
      <w:r>
        <w:rPr>
          <w:b/>
          <w:i/>
        </w:rPr>
        <w:t>relevant financial ratios</w:t>
      </w:r>
      <w:r>
        <w:t>”. As opined by the authors Nguyen, and Nguyen (2020)</w:t>
      </w:r>
      <w:r w:rsidR="006E0A15">
        <w:t>,</w:t>
      </w:r>
      <w:r>
        <w:t xml:space="preserve"> investors, in order to determine how financially stable a corporation is, critically overviews the financial statements like “</w:t>
      </w:r>
      <w:r>
        <w:rPr>
          <w:b/>
          <w:i/>
        </w:rPr>
        <w:t>Balance sheet, Income statement</w:t>
      </w:r>
      <w:r>
        <w:t>” as well “</w:t>
      </w:r>
      <w:r>
        <w:rPr>
          <w:b/>
          <w:i/>
        </w:rPr>
        <w:t>cash flow statement</w:t>
      </w:r>
      <w:r>
        <w:t>”.  An organisation's position with respect to its liquidity, profitability, working capital management, long term capital, inflow and outflow of cash is determined from the numeric figures provided on the financial statements</w:t>
      </w:r>
      <w:r w:rsidR="0057606C">
        <w:t xml:space="preserve"> (Eun </w:t>
      </w:r>
      <w:r w:rsidR="0057606C" w:rsidRPr="0057606C">
        <w:rPr>
          <w:i/>
          <w:iCs/>
        </w:rPr>
        <w:t>et al.</w:t>
      </w:r>
      <w:r w:rsidR="0057606C">
        <w:t xml:space="preserve"> 2017)</w:t>
      </w:r>
      <w:r>
        <w:t xml:space="preserve">. Ratios are interpreted in order to acquire a clear insight of the financial health of the corporation and interpretations are done based on the data provided by the finance associates and the executives of the financial department of the organisation. </w:t>
      </w:r>
    </w:p>
    <w:p w14:paraId="611EA791" w14:textId="504A17B0" w:rsidR="00DF1E56" w:rsidRDefault="00E90353" w:rsidP="00DF1E56">
      <w:pPr>
        <w:ind w:firstLine="720"/>
      </w:pPr>
      <w:r>
        <w:t>Referring to the case scenario of the organisation British Petroleum, in the financial year 1914 the United Kingdom’s legal directorate became the corporation’s “</w:t>
      </w:r>
      <w:r>
        <w:rPr>
          <w:b/>
          <w:i/>
        </w:rPr>
        <w:t>principal stakeholders</w:t>
      </w:r>
      <w:r>
        <w:t>” the authority is now one of the major stakeholders of the organisation. The organisation British Petroleum is now recognised as a “</w:t>
      </w:r>
      <w:r>
        <w:rPr>
          <w:b/>
          <w:i/>
        </w:rPr>
        <w:t>holding company</w:t>
      </w:r>
      <w:r>
        <w:t>” and at the beginning of the financial year 1977, the British authority has decreased its proprietorship of the concerned organisation “by</w:t>
      </w:r>
      <w:r>
        <w:rPr>
          <w:b/>
          <w:i/>
        </w:rPr>
        <w:t xml:space="preserve"> selling 28.5 per cent shares to the public</w:t>
      </w:r>
      <w:r>
        <w:t>”. It can also be observed that the British authority turned over the concerned company entirely to “</w:t>
      </w:r>
      <w:r>
        <w:rPr>
          <w:b/>
          <w:i/>
        </w:rPr>
        <w:t>private ownership by selling its remaining 17 per cent shares</w:t>
      </w:r>
      <w:r>
        <w:t xml:space="preserve">”. This government regulation has cleared all the barriers from the roadway of the British Petroleum and after that the corporation is able to acquire </w:t>
      </w:r>
      <w:r w:rsidR="00CE1F3D">
        <w:t>Britoil</w:t>
      </w:r>
      <w:r>
        <w:t xml:space="preserve"> PLC, which is mostly an independent oil company that generally manufactures crude oil from the “</w:t>
      </w:r>
      <w:r>
        <w:rPr>
          <w:b/>
          <w:i/>
        </w:rPr>
        <w:t>North Sea fields</w:t>
      </w:r>
      <w:r>
        <w:t>”. Being a renowned corporation in the major “</w:t>
      </w:r>
      <w:r>
        <w:rPr>
          <w:b/>
          <w:i/>
        </w:rPr>
        <w:t>integrated oil and gas industry</w:t>
      </w:r>
      <w:r>
        <w:t xml:space="preserve">” the company mostly serves lubricants, fuels, energy as well as petrochemical products and services. The organisation has always </w:t>
      </w:r>
      <w:r w:rsidR="00CE1F3D">
        <w:t>tried to</w:t>
      </w:r>
      <w:r>
        <w:t xml:space="preserve"> suffice the requirements of its clients and also maintained its “</w:t>
      </w:r>
      <w:r>
        <w:rPr>
          <w:b/>
          <w:i/>
        </w:rPr>
        <w:t>eminent image</w:t>
      </w:r>
      <w:r>
        <w:t>” including “</w:t>
      </w:r>
      <w:r>
        <w:rPr>
          <w:b/>
          <w:i/>
        </w:rPr>
        <w:t>exploration, production, marketing, refining and distribution</w:t>
      </w:r>
      <w:r>
        <w:t xml:space="preserve">” of gas and </w:t>
      </w:r>
      <w:r w:rsidR="00DF1E56">
        <w:t>oil.</w:t>
      </w:r>
      <w:r>
        <w:t xml:space="preserve"> In the financial year 2013 the organisation also excelled to maintain its eminent brand image through its petrochemical and power marketing and production (British Petroleum, 2013). The organisation </w:t>
      </w:r>
      <w:r>
        <w:lastRenderedPageBreak/>
        <w:t>currently operates in the “</w:t>
      </w:r>
      <w:r>
        <w:rPr>
          <w:b/>
          <w:i/>
        </w:rPr>
        <w:t>three main segments</w:t>
      </w:r>
      <w:r>
        <w:t>” which involves “</w:t>
      </w:r>
      <w:r>
        <w:rPr>
          <w:b/>
          <w:i/>
        </w:rPr>
        <w:t>upstream, midstream and downstream</w:t>
      </w:r>
      <w:r>
        <w:t xml:space="preserve">”. Considering the upstream </w:t>
      </w:r>
      <w:r w:rsidR="00CE1F3D">
        <w:t>segment,</w:t>
      </w:r>
      <w:r>
        <w:t xml:space="preserve"> the operational activities of the organisation include the exploration of natural gas and oil, field development as well as production. Midstream segment of the organisation is associated with “</w:t>
      </w:r>
      <w:r>
        <w:rPr>
          <w:b/>
          <w:i/>
        </w:rPr>
        <w:t>processing, storing, trade and marketing</w:t>
      </w:r>
      <w:r>
        <w:t xml:space="preserve">” of liquified natural gas. Organisation’s downstream is engaged in the petrochemicals and petroleum products and the downstream procedure mostly includes manufacturing transportation as well as refining. </w:t>
      </w:r>
    </w:p>
    <w:p w14:paraId="0000001B" w14:textId="03798098" w:rsidR="003E6AAD" w:rsidRDefault="00E90353" w:rsidP="00DF1E56">
      <w:pPr>
        <w:ind w:firstLine="720"/>
      </w:pPr>
      <w:r>
        <w:t xml:space="preserve">The oil fields and the refineries developed by the organisation in multiple countries are its </w:t>
      </w:r>
      <w:r>
        <w:rPr>
          <w:b/>
          <w:i/>
        </w:rPr>
        <w:t>major sources of finance</w:t>
      </w:r>
      <w:r>
        <w:t>, as the organisation acquired a revenue of 157.7 billion US dollars in the financial year 2021, the revenue rate is 49 per cent more than the previous year (Statista, 2022).  Most of the oil fields of the concerned organisation are located in “</w:t>
      </w:r>
      <w:r>
        <w:rPr>
          <w:b/>
          <w:i/>
        </w:rPr>
        <w:t>Alaska’s Prudhoe Bay in the United States</w:t>
      </w:r>
      <w:r>
        <w:t>” and in the “</w:t>
      </w:r>
      <w:r>
        <w:rPr>
          <w:b/>
          <w:i/>
        </w:rPr>
        <w:t>United Kingdom’s sector of the North Sea</w:t>
      </w:r>
      <w:r>
        <w:t>”, in these two countries the organisation’s “commercial discovery of natural gas” was observed in the financial year 1970 and this discovery became a major financial turnover for the organisation. At the first quarter of the financial year the organisation merged its assets in the “United States with those of the Standard Oil Company (Ohio)”, and this merger and acquisition the organisation was able to acquire high rate of controlling interest and became more financially stabled. The remainder of the organisation “</w:t>
      </w:r>
      <w:r>
        <w:rPr>
          <w:b/>
          <w:i/>
        </w:rPr>
        <w:t>Standard Oil</w:t>
      </w:r>
      <w:r>
        <w:t xml:space="preserve">” was acquired by the concerned company British </w:t>
      </w:r>
      <w:r w:rsidR="00CE1F3D">
        <w:t>Petroleum</w:t>
      </w:r>
      <w:r>
        <w:t xml:space="preserve"> for 8 US billion dollars (British Petroleum, 2013). The British Petroleum firm merges with Amoco, a US-based company, to create a larger and more comprehensive structure. Another major reason for the merger was to allow the firm to pool its exploratory spending. With a $48.2 billion transformational deal, the BP PLC merger with Amoco was the largest merger at the time (British Petroleum, 2022).  </w:t>
      </w:r>
    </w:p>
    <w:p w14:paraId="674700FD" w14:textId="77777777" w:rsidR="00DF1E56" w:rsidRDefault="00DF1E56" w:rsidP="00DF1E56">
      <w:pPr>
        <w:ind w:firstLine="720"/>
      </w:pPr>
    </w:p>
    <w:p w14:paraId="61C99256" w14:textId="400ACFE9" w:rsidR="006450FC" w:rsidRPr="006450FC" w:rsidRDefault="00E90353" w:rsidP="006450FC">
      <w:pPr>
        <w:pStyle w:val="Heading1"/>
        <w:jc w:val="center"/>
        <w:rPr>
          <w:bCs/>
        </w:rPr>
      </w:pPr>
      <w:bookmarkStart w:id="11" w:name="_Toc102482076"/>
      <w:r>
        <w:t>Evaluates the different strategies that BP Corporation uses to manage their exposure to foreign exchange risks</w:t>
      </w:r>
      <w:bookmarkEnd w:id="11"/>
      <w:r w:rsidR="00DF1E56">
        <w:t xml:space="preserve"> (</w:t>
      </w:r>
      <w:r w:rsidR="006450FC">
        <w:t>Oana Balaban 1911819</w:t>
      </w:r>
      <w:r w:rsidR="00DF1E56" w:rsidRPr="00DF1E56">
        <w:rPr>
          <w:bCs/>
        </w:rPr>
        <w:t>)</w:t>
      </w:r>
    </w:p>
    <w:p w14:paraId="078D8B73" w14:textId="7A7F401D" w:rsidR="00DF1E56" w:rsidRPr="006450FC" w:rsidRDefault="006450FC" w:rsidP="006450FC">
      <w:pPr>
        <w:ind w:firstLine="720"/>
      </w:pPr>
      <w:r w:rsidRPr="00C30769">
        <w:t>After figuring out which types of exchange rate risk there are and how much risk exp</w:t>
      </w:r>
      <w:r>
        <w:t>osure they have, BP</w:t>
      </w:r>
      <w:r w:rsidRPr="00C30769">
        <w:t xml:space="preserve"> decide</w:t>
      </w:r>
      <w:r>
        <w:t>s</w:t>
      </w:r>
      <w:r w:rsidRPr="00C30769">
        <w:t xml:space="preserve"> whether or not to hedge these risk exposures. Hedg</w:t>
      </w:r>
      <w:r>
        <w:t>ing is any action that BP</w:t>
      </w:r>
      <w:r w:rsidRPr="00C30769">
        <w:t xml:space="preserve"> does to change the value of its assets in a single currency or a group of currencies</w:t>
      </w:r>
      <w:r>
        <w:t xml:space="preserve"> (Arnold, 2013)</w:t>
      </w:r>
      <w:r w:rsidRPr="00C30769">
        <w:t>. People in the world of international finance aren't sure yet what the best way is to manage (hedged) different types of exchange rate risk.</w:t>
      </w:r>
    </w:p>
    <w:p w14:paraId="0000001D" w14:textId="702ED0BC" w:rsidR="003E6AAD" w:rsidRDefault="00E90353" w:rsidP="00DF1E56">
      <w:pPr>
        <w:ind w:firstLine="720"/>
        <w:rPr>
          <w:highlight w:val="black"/>
        </w:rPr>
      </w:pPr>
      <w:r>
        <w:lastRenderedPageBreak/>
        <w:t>As stated by the authors Okwo</w:t>
      </w:r>
      <w:r>
        <w:rPr>
          <w:i/>
        </w:rPr>
        <w:t xml:space="preserve"> et al</w:t>
      </w:r>
      <w:r>
        <w:t>. (2019)</w:t>
      </w:r>
      <w:r w:rsidR="007F4BFC">
        <w:t>,</w:t>
      </w:r>
      <w:r>
        <w:t xml:space="preserve"> there are mostly three major types of foreign risks faced by the multinational organisations in while conducting the business operations. The risks mostly involved are “</w:t>
      </w:r>
      <w:r>
        <w:rPr>
          <w:b/>
          <w:i/>
        </w:rPr>
        <w:t>transaction exposure, translation exposure, and mostly the economic exposure</w:t>
      </w:r>
      <w:r>
        <w:t xml:space="preserve">”. </w:t>
      </w:r>
      <w:r w:rsidR="00CE1F3D">
        <w:t>This type of exposure</w:t>
      </w:r>
      <w:r>
        <w:t xml:space="preserve"> generally takes place “</w:t>
      </w:r>
      <w:r>
        <w:rPr>
          <w:b/>
          <w:i/>
          <w:highlight w:val="white"/>
        </w:rPr>
        <w:t>due to the time difference between an entitlement to receive cash from a customer and the actual physical receipt of the cash or, in the case of a payable, the time between placing the purchase order and settlement of the invoice</w:t>
      </w:r>
      <w:r>
        <w:rPr>
          <w:highlight w:val="white"/>
        </w:rPr>
        <w:t>”. As per the view of the authors Kim</w:t>
      </w:r>
      <w:r>
        <w:rPr>
          <w:i/>
          <w:highlight w:val="white"/>
        </w:rPr>
        <w:t xml:space="preserve"> et al</w:t>
      </w:r>
      <w:r>
        <w:rPr>
          <w:highlight w:val="white"/>
        </w:rPr>
        <w:t>. (2021)</w:t>
      </w:r>
      <w:r w:rsidR="00013AE7">
        <w:rPr>
          <w:highlight w:val="white"/>
        </w:rPr>
        <w:t>,</w:t>
      </w:r>
      <w:r>
        <w:rPr>
          <w:highlight w:val="white"/>
        </w:rPr>
        <w:t xml:space="preserve"> financial risks can only be avoided in case a company reports an </w:t>
      </w:r>
      <w:r w:rsidR="00CE1F3D">
        <w:rPr>
          <w:highlight w:val="white"/>
        </w:rPr>
        <w:t>obligation</w:t>
      </w:r>
      <w:r>
        <w:rPr>
          <w:highlight w:val="white"/>
        </w:rPr>
        <w:t xml:space="preserve"> in front of its </w:t>
      </w:r>
      <w:r w:rsidR="00CE1F3D">
        <w:rPr>
          <w:highlight w:val="white"/>
        </w:rPr>
        <w:t>shareholders</w:t>
      </w:r>
      <w:r>
        <w:rPr>
          <w:highlight w:val="white"/>
        </w:rPr>
        <w:t xml:space="preserve"> as well as its regulators. This aspect can only be conducted in case a company provides a “</w:t>
      </w:r>
      <w:r>
        <w:rPr>
          <w:b/>
          <w:i/>
          <w:highlight w:val="white"/>
        </w:rPr>
        <w:t>consolidated set of accounts</w:t>
      </w:r>
      <w:r>
        <w:rPr>
          <w:highlight w:val="white"/>
        </w:rPr>
        <w:t xml:space="preserve">” in its reporting currency to all of its subsidiaries. </w:t>
      </w:r>
    </w:p>
    <w:p w14:paraId="0000001E" w14:textId="1CBF897A" w:rsidR="003E6AAD" w:rsidRPr="001A3810" w:rsidRDefault="00E90353" w:rsidP="00DF1E56">
      <w:pPr>
        <w:ind w:firstLine="720"/>
      </w:pPr>
      <w:r>
        <w:t xml:space="preserve">The pace of the changes that the current business environment has been growing through in recent years is rapid and dynamic. </w:t>
      </w:r>
      <w:r w:rsidR="001A3810">
        <w:rPr>
          <w:b/>
          <w:i/>
          <w:color w:val="222222"/>
          <w:highlight w:val="white"/>
        </w:rPr>
        <w:t>T</w:t>
      </w:r>
      <w:r>
        <w:rPr>
          <w:b/>
          <w:i/>
          <w:color w:val="222222"/>
          <w:highlight w:val="white"/>
        </w:rPr>
        <w:t>he forign-exchnage market is a marketplace where over-the-counter market and decentralised market where the currency of trades takes place</w:t>
      </w:r>
      <w:r w:rsidR="001A3810">
        <w:rPr>
          <w:b/>
          <w:i/>
          <w:color w:val="222222"/>
          <w:highlight w:val="white"/>
        </w:rPr>
        <w:t xml:space="preserve"> </w:t>
      </w:r>
      <w:r w:rsidR="001A3810">
        <w:rPr>
          <w:bCs/>
          <w:iCs/>
          <w:color w:val="222222"/>
          <w:highlight w:val="white"/>
        </w:rPr>
        <w:t>(Bloomberg, 2022)</w:t>
      </w:r>
      <w:r>
        <w:rPr>
          <w:b/>
          <w:i/>
          <w:color w:val="222222"/>
          <w:highlight w:val="white"/>
        </w:rPr>
        <w:t xml:space="preserve">. </w:t>
      </w:r>
      <w:r>
        <w:rPr>
          <w:color w:val="222222"/>
          <w:highlight w:val="white"/>
        </w:rPr>
        <w:t>Transaction exposure and financial exposure can be considered as the main functions of the foreign exchange rate that has grown over the decades</w:t>
      </w:r>
      <w:r w:rsidR="00CD5A83">
        <w:rPr>
          <w:color w:val="222222"/>
          <w:highlight w:val="white"/>
        </w:rPr>
        <w:t xml:space="preserve"> (Bloomberg, 2022)</w:t>
      </w:r>
      <w:r>
        <w:rPr>
          <w:color w:val="222222"/>
          <w:highlight w:val="white"/>
        </w:rPr>
        <w:t xml:space="preserve">. Some of the most crucial risks that are faced by leading organisations such as British Petroleum are; </w:t>
      </w:r>
      <w:r>
        <w:rPr>
          <w:b/>
          <w:i/>
          <w:color w:val="222222"/>
          <w:highlight w:val="white"/>
        </w:rPr>
        <w:t xml:space="preserve">Interest rate risk, Exchange rate risk, Liquidity risk, Marginal risk, credit risk, and transactional risks. </w:t>
      </w:r>
      <w:r>
        <w:rPr>
          <w:color w:val="222222"/>
          <w:highlight w:val="white"/>
        </w:rPr>
        <w:t>Several types of strategies can be incorporated in the organisational functions that can be aligned with BP’s further integrations and implications.</w:t>
      </w:r>
    </w:p>
    <w:p w14:paraId="0000001F" w14:textId="1CE0CBE3" w:rsidR="003E6AAD" w:rsidRDefault="00E90353" w:rsidP="005079C2">
      <w:pPr>
        <w:rPr>
          <w:color w:val="222222"/>
          <w:highlight w:val="white"/>
        </w:rPr>
      </w:pPr>
      <w:r>
        <w:rPr>
          <w:color w:val="222222"/>
          <w:highlight w:val="white"/>
        </w:rPr>
        <w:t xml:space="preserve">According to International trade administration, </w:t>
      </w:r>
      <w:r>
        <w:rPr>
          <w:b/>
          <w:i/>
          <w:color w:val="222222"/>
          <w:highlight w:val="white"/>
        </w:rPr>
        <w:t xml:space="preserve">mutual agreement between the buyers and suppliers </w:t>
      </w:r>
      <w:r>
        <w:rPr>
          <w:color w:val="222222"/>
          <w:highlight w:val="white"/>
        </w:rPr>
        <w:t>can be one of the most effective ways to avoid currency risks. For instance, BP can establish a</w:t>
      </w:r>
      <w:r>
        <w:rPr>
          <w:b/>
          <w:i/>
          <w:color w:val="222222"/>
          <w:highlight w:val="white"/>
        </w:rPr>
        <w:t xml:space="preserve"> mutual acceptable currency </w:t>
      </w:r>
      <w:r>
        <w:rPr>
          <w:color w:val="222222"/>
          <w:highlight w:val="white"/>
        </w:rPr>
        <w:t xml:space="preserve">which can be used for the payments in the transitions. The payment mode through which the company has been operating with their supplier, </w:t>
      </w:r>
      <w:r>
        <w:rPr>
          <w:b/>
          <w:i/>
          <w:color w:val="222222"/>
          <w:highlight w:val="white"/>
        </w:rPr>
        <w:t xml:space="preserve">the depreciation and devaluation of the foreign currency can result in loss. Quoting price and transacting in dollars </w:t>
      </w:r>
      <w:r>
        <w:rPr>
          <w:color w:val="222222"/>
          <w:highlight w:val="white"/>
        </w:rPr>
        <w:t xml:space="preserve">can be one of the most effective ways to avoid fluctuations (ITA, 2022). </w:t>
      </w:r>
      <w:r>
        <w:rPr>
          <w:b/>
          <w:i/>
          <w:color w:val="222222"/>
          <w:highlight w:val="white"/>
        </w:rPr>
        <w:t xml:space="preserve">Being aware regarding currency convertibility </w:t>
      </w:r>
      <w:r>
        <w:rPr>
          <w:color w:val="222222"/>
          <w:highlight w:val="white"/>
        </w:rPr>
        <w:t xml:space="preserve">can also be considered to be one of the most effective strategies that can be integrated in the company’s operations to create and evaluate a successful transaction. It has to be considered that not all the currencies in the world </w:t>
      </w:r>
      <w:r w:rsidR="00CE1F3D">
        <w:rPr>
          <w:color w:val="222222"/>
          <w:highlight w:val="white"/>
        </w:rPr>
        <w:t>are</w:t>
      </w:r>
      <w:r>
        <w:rPr>
          <w:color w:val="222222"/>
          <w:highlight w:val="white"/>
        </w:rPr>
        <w:t xml:space="preserve"> easily converted in US currency, as a result, many suppliers and buyers face issues </w:t>
      </w:r>
      <w:r w:rsidR="00CE1F3D">
        <w:rPr>
          <w:color w:val="222222"/>
          <w:highlight w:val="white"/>
        </w:rPr>
        <w:t>regarding</w:t>
      </w:r>
      <w:r>
        <w:rPr>
          <w:color w:val="222222"/>
          <w:highlight w:val="white"/>
        </w:rPr>
        <w:t xml:space="preserve"> the exchange risk. </w:t>
      </w:r>
      <w:r>
        <w:rPr>
          <w:b/>
          <w:i/>
          <w:color w:val="222222"/>
          <w:highlight w:val="white"/>
        </w:rPr>
        <w:t xml:space="preserve">Consultation with international banker </w:t>
      </w:r>
      <w:r>
        <w:rPr>
          <w:color w:val="222222"/>
          <w:highlight w:val="white"/>
        </w:rPr>
        <w:t xml:space="preserve">is another effective strategy that is followed by BP which can be used as an effective measure to know about the international currency </w:t>
      </w:r>
      <w:r>
        <w:rPr>
          <w:color w:val="222222"/>
          <w:highlight w:val="white"/>
        </w:rPr>
        <w:lastRenderedPageBreak/>
        <w:t xml:space="preserve">structure. </w:t>
      </w:r>
      <w:r>
        <w:rPr>
          <w:b/>
          <w:i/>
          <w:color w:val="222222"/>
          <w:highlight w:val="white"/>
        </w:rPr>
        <w:t xml:space="preserve">Investing countries with strong currencies </w:t>
      </w:r>
      <w:r>
        <w:rPr>
          <w:color w:val="222222"/>
          <w:highlight w:val="white"/>
        </w:rPr>
        <w:t xml:space="preserve">can be another essential footstep that is taken by BP. BP has invested a significant amount of money in Britain in order to expand their market. As a result, the company has improved </w:t>
      </w:r>
      <w:r w:rsidR="00CE1F3D">
        <w:rPr>
          <w:color w:val="222222"/>
          <w:highlight w:val="white"/>
        </w:rPr>
        <w:t>its</w:t>
      </w:r>
      <w:r>
        <w:rPr>
          <w:color w:val="222222"/>
          <w:highlight w:val="white"/>
        </w:rPr>
        <w:t xml:space="preserve"> foreign bonds and has established an effective </w:t>
      </w:r>
      <w:r>
        <w:rPr>
          <w:b/>
          <w:i/>
          <w:color w:val="222222"/>
          <w:highlight w:val="white"/>
        </w:rPr>
        <w:t xml:space="preserve">investment plan. </w:t>
      </w:r>
      <w:r>
        <w:rPr>
          <w:color w:val="222222"/>
          <w:highlight w:val="white"/>
        </w:rPr>
        <w:t xml:space="preserve">Investing </w:t>
      </w:r>
      <w:r w:rsidR="00CE1F3D">
        <w:rPr>
          <w:color w:val="222222"/>
          <w:highlight w:val="white"/>
        </w:rPr>
        <w:t xml:space="preserve">in </w:t>
      </w:r>
      <w:r>
        <w:rPr>
          <w:color w:val="222222"/>
          <w:highlight w:val="white"/>
        </w:rPr>
        <w:t xml:space="preserve">currency in hedge funds can also be defined as one of the most effective factors that </w:t>
      </w:r>
      <w:r w:rsidR="00CE1F3D">
        <w:rPr>
          <w:color w:val="222222"/>
          <w:highlight w:val="white"/>
        </w:rPr>
        <w:t>have</w:t>
      </w:r>
      <w:r>
        <w:rPr>
          <w:color w:val="222222"/>
          <w:highlight w:val="white"/>
        </w:rPr>
        <w:t xml:space="preserve"> enabled the company’s foreign relationships and improved </w:t>
      </w:r>
      <w:r w:rsidR="00CE1F3D">
        <w:rPr>
          <w:color w:val="222222"/>
          <w:highlight w:val="white"/>
        </w:rPr>
        <w:t>globalisation</w:t>
      </w:r>
      <w:r>
        <w:rPr>
          <w:color w:val="222222"/>
          <w:highlight w:val="white"/>
        </w:rPr>
        <w:t xml:space="preserve"> as well</w:t>
      </w:r>
      <w:r w:rsidR="007E7CF1">
        <w:rPr>
          <w:color w:val="222222"/>
          <w:highlight w:val="white"/>
        </w:rPr>
        <w:t xml:space="preserve"> (</w:t>
      </w:r>
      <w:r w:rsidR="007E7CF1" w:rsidRPr="007E7CF1">
        <w:t>Stiglitz</w:t>
      </w:r>
      <w:r w:rsidR="007E7CF1">
        <w:t xml:space="preserve"> and Joseph, 2002</w:t>
      </w:r>
      <w:r w:rsidR="007E7CF1">
        <w:rPr>
          <w:color w:val="222222"/>
          <w:highlight w:val="white"/>
        </w:rPr>
        <w:t>)</w:t>
      </w:r>
      <w:r>
        <w:rPr>
          <w:color w:val="222222"/>
          <w:highlight w:val="white"/>
        </w:rPr>
        <w:t xml:space="preserve">. </w:t>
      </w:r>
    </w:p>
    <w:p w14:paraId="00000020" w14:textId="3541B35A" w:rsidR="003E6AAD" w:rsidRPr="00DF1E56" w:rsidRDefault="00E90353" w:rsidP="00DF1E56">
      <w:pPr>
        <w:pStyle w:val="Heading1"/>
        <w:jc w:val="center"/>
        <w:rPr>
          <w:sz w:val="24"/>
          <w:szCs w:val="24"/>
          <w:highlight w:val="white"/>
        </w:rPr>
      </w:pPr>
      <w:bookmarkStart w:id="12" w:name="_Toc102482077"/>
      <w:r w:rsidRPr="00DF1E56">
        <w:rPr>
          <w:sz w:val="24"/>
          <w:szCs w:val="24"/>
          <w:highlight w:val="white"/>
        </w:rPr>
        <w:t>Conclusion</w:t>
      </w:r>
      <w:bookmarkEnd w:id="12"/>
    </w:p>
    <w:p w14:paraId="477CB9B8" w14:textId="22A5D0F4" w:rsidR="00CE1F3D" w:rsidRPr="00DF1E56" w:rsidRDefault="00E90353" w:rsidP="00DF1E56">
      <w:pPr>
        <w:ind w:firstLine="720"/>
        <w:rPr>
          <w:color w:val="222222"/>
          <w:highlight w:val="white"/>
        </w:rPr>
      </w:pPr>
      <w:r w:rsidRPr="00DF1E56">
        <w:rPr>
          <w:color w:val="222222"/>
          <w:highlight w:val="white"/>
        </w:rPr>
        <w:t xml:space="preserve">It can be concluded from the overall analysis that financial risk management in a company can be influenced by different strategies. Foreign exchange risk management can also be considered one of the most crucial aspects of </w:t>
      </w:r>
      <w:r w:rsidR="00CE1F3D" w:rsidRPr="00DF1E56">
        <w:rPr>
          <w:color w:val="222222"/>
          <w:highlight w:val="white"/>
        </w:rPr>
        <w:t xml:space="preserve">a </w:t>
      </w:r>
      <w:r w:rsidRPr="00DF1E56">
        <w:rPr>
          <w:color w:val="222222"/>
          <w:highlight w:val="white"/>
        </w:rPr>
        <w:t xml:space="preserve">company’s operations. </w:t>
      </w:r>
      <w:r w:rsidR="00CE1F3D" w:rsidRPr="00DF1E56">
        <w:rPr>
          <w:color w:val="222222"/>
          <w:highlight w:val="white"/>
        </w:rPr>
        <w:t xml:space="preserve">Other than that, </w:t>
      </w:r>
      <w:r w:rsidR="00CE1F3D" w:rsidRPr="00DF1E56">
        <w:rPr>
          <w:b/>
          <w:i/>
          <w:color w:val="222222"/>
          <w:highlight w:val="white"/>
        </w:rPr>
        <w:t xml:space="preserve">effective diversification and globalisation </w:t>
      </w:r>
      <w:r w:rsidR="00CE1F3D" w:rsidRPr="00DF1E56">
        <w:rPr>
          <w:color w:val="222222"/>
          <w:highlight w:val="white"/>
        </w:rPr>
        <w:t xml:space="preserve">have also been some of the most effective strategies that can be </w:t>
      </w:r>
      <w:r w:rsidR="00A830B2" w:rsidRPr="00DF1E56">
        <w:rPr>
          <w:color w:val="222222"/>
          <w:highlight w:val="white"/>
        </w:rPr>
        <w:t>influence</w:t>
      </w:r>
      <w:r w:rsidR="00CE1F3D" w:rsidRPr="00DF1E56">
        <w:rPr>
          <w:color w:val="222222"/>
          <w:highlight w:val="white"/>
        </w:rPr>
        <w:t xml:space="preserve"> the company’s operations. </w:t>
      </w:r>
    </w:p>
    <w:p w14:paraId="00000021" w14:textId="16EDB132" w:rsidR="003E6AAD" w:rsidRDefault="003E6AAD" w:rsidP="005079C2">
      <w:pPr>
        <w:rPr>
          <w:color w:val="222222"/>
          <w:highlight w:val="white"/>
        </w:rPr>
      </w:pPr>
    </w:p>
    <w:p w14:paraId="00000022" w14:textId="77777777" w:rsidR="003E6AAD" w:rsidRDefault="00E90353" w:rsidP="005079C2">
      <w:pPr>
        <w:rPr>
          <w:color w:val="222222"/>
          <w:highlight w:val="white"/>
        </w:rPr>
      </w:pPr>
      <w:r>
        <w:br w:type="page"/>
      </w:r>
    </w:p>
    <w:p w14:paraId="7F0F38E3" w14:textId="0E80D7F0" w:rsidR="00CE1F3D" w:rsidRDefault="00E90353" w:rsidP="00DF1E56">
      <w:pPr>
        <w:pStyle w:val="Heading1"/>
        <w:jc w:val="center"/>
      </w:pPr>
      <w:bookmarkStart w:id="13" w:name="_pa5nnwynmv3t" w:colFirst="0" w:colLast="0"/>
      <w:bookmarkStart w:id="14" w:name="_Toc102482078"/>
      <w:bookmarkEnd w:id="13"/>
      <w:r w:rsidRPr="00CE1F3D">
        <w:lastRenderedPageBreak/>
        <w:t>Reference List</w:t>
      </w:r>
      <w:bookmarkEnd w:id="14"/>
    </w:p>
    <w:p w14:paraId="7FE8CF07" w14:textId="59F4A780" w:rsidR="006450FC" w:rsidRPr="006450FC" w:rsidRDefault="006450FC" w:rsidP="006450FC">
      <w:r w:rsidRPr="003B373F">
        <w:t>Arnold, G., 2013. </w:t>
      </w:r>
      <w:r w:rsidRPr="003B373F">
        <w:rPr>
          <w:i/>
          <w:iCs/>
        </w:rPr>
        <w:t>Essentials of corporate financial management</w:t>
      </w:r>
      <w:r w:rsidRPr="003B373F">
        <w:t>. Harlow, England: Pearson.</w:t>
      </w:r>
    </w:p>
    <w:p w14:paraId="59C2A31C" w14:textId="59F4A780" w:rsidR="001E7A94" w:rsidRDefault="001E7A94" w:rsidP="005079C2">
      <w:pPr>
        <w:spacing w:before="240" w:after="240"/>
      </w:pPr>
      <w:r>
        <w:t xml:space="preserve">Beazer, Q.H. and Blake, D.J., 2018. The conditional nature of political risk: How home institutions influence the location of foreign direct investment. </w:t>
      </w:r>
      <w:r>
        <w:rPr>
          <w:i/>
        </w:rPr>
        <w:t>American Journal of Political Science,</w:t>
      </w:r>
      <w:r>
        <w:t xml:space="preserve"> 62(2), pp.470-485.</w:t>
      </w:r>
    </w:p>
    <w:p w14:paraId="1AF84184" w14:textId="77777777" w:rsidR="001E7A94" w:rsidRPr="006C5C1D" w:rsidRDefault="001E7A94" w:rsidP="005079C2">
      <w:pPr>
        <w:spacing w:before="240" w:after="240"/>
      </w:pPr>
      <w:r>
        <w:t xml:space="preserve">Bloomberg, 2022. </w:t>
      </w:r>
      <w:r w:rsidRPr="006C5C1D">
        <w:rPr>
          <w:i/>
          <w:iCs/>
        </w:rPr>
        <w:t>Exploring-changing-global-forex-market</w:t>
      </w:r>
      <w:r>
        <w:rPr>
          <w:i/>
          <w:iCs/>
        </w:rPr>
        <w:t xml:space="preserve">. </w:t>
      </w:r>
      <w:r>
        <w:t>[Online] Available at: &lt;</w:t>
      </w:r>
      <w:r w:rsidRPr="006C5C1D">
        <w:t>https://www.bloomberg.com/professional/blog/exploring-changing-global-forex-market/</w:t>
      </w:r>
      <w:r>
        <w:t>&gt; [Accessed on: 25</w:t>
      </w:r>
      <w:r w:rsidRPr="006C5C1D">
        <w:rPr>
          <w:vertAlign w:val="superscript"/>
        </w:rPr>
        <w:t>th</w:t>
      </w:r>
      <w:r>
        <w:t xml:space="preserve"> April, 2022]</w:t>
      </w:r>
    </w:p>
    <w:p w14:paraId="40F61E59" w14:textId="77777777" w:rsidR="001E7A94" w:rsidRDefault="001E7A94" w:rsidP="005079C2">
      <w:pPr>
        <w:spacing w:before="240" w:after="240"/>
      </w:pPr>
      <w:r>
        <w:rPr>
          <w:highlight w:val="white"/>
        </w:rPr>
        <w:t xml:space="preserve">BP, 2021. </w:t>
      </w:r>
      <w:r>
        <w:rPr>
          <w:i/>
        </w:rPr>
        <w:t>Fourth quarter and full year 2021 results</w:t>
      </w:r>
      <w:r>
        <w:t>. [online] BP. Available at: &lt;https://www.bp.com/en/global/corporate/news-and-insights/press-releases/fourth-quarter-2021-results.html&gt; [Accessed 3 May 2022].</w:t>
      </w:r>
    </w:p>
    <w:p w14:paraId="3CF71B6B" w14:textId="77777777" w:rsidR="001E7A94" w:rsidRDefault="001E7A94" w:rsidP="005079C2">
      <w:pPr>
        <w:spacing w:before="240" w:after="240"/>
      </w:pPr>
      <w:r>
        <w:t xml:space="preserve">BP, 2022a, </w:t>
      </w:r>
      <w:r>
        <w:rPr>
          <w:i/>
        </w:rPr>
        <w:t>News and Insights.</w:t>
      </w:r>
      <w:r>
        <w:t xml:space="preserve"> [Online]. Available at: https://www.bp.com/en/global/corporate/news-and-insights/reimagining-energy/20-year-anniversary-bp-amoco-merger.html [Accessed on 22nd April 2022]</w:t>
      </w:r>
    </w:p>
    <w:p w14:paraId="6EE39E9A" w14:textId="77777777" w:rsidR="001E7A94" w:rsidRDefault="001E7A94" w:rsidP="005079C2">
      <w:pPr>
        <w:spacing w:before="240" w:after="240"/>
      </w:pPr>
      <w:r>
        <w:t xml:space="preserve">BP, 2022b. </w:t>
      </w:r>
      <w:r>
        <w:rPr>
          <w:i/>
        </w:rPr>
        <w:t>Our Strategy.</w:t>
      </w:r>
      <w:r>
        <w:t xml:space="preserve"> [Online]. Available at: https://www.bp.com/en/global/corporate/what-we-do/our-strategy.html [Accessed on 22nd April 2022]</w:t>
      </w:r>
    </w:p>
    <w:p w14:paraId="2D4865C5" w14:textId="77777777" w:rsidR="001E7A94" w:rsidRDefault="001E7A94" w:rsidP="005079C2">
      <w:pPr>
        <w:spacing w:before="240" w:after="240"/>
      </w:pPr>
      <w:r>
        <w:rPr>
          <w:highlight w:val="white"/>
        </w:rPr>
        <w:t xml:space="preserve">BP, 2022c. </w:t>
      </w:r>
      <w:r>
        <w:rPr>
          <w:i/>
        </w:rPr>
        <w:t>bp update on strategic progress</w:t>
      </w:r>
      <w:r>
        <w:t>. [online] BP. Available at: &lt;https://www.bp.com/en/global/corporate/news-and-insights/press-releases/bp-update-on-strategic-progress.html&gt; [Accessed 3 May 2022].</w:t>
      </w:r>
    </w:p>
    <w:p w14:paraId="4D74F8BA" w14:textId="77777777" w:rsidR="001E7A94" w:rsidRDefault="001E7A94" w:rsidP="005079C2">
      <w:pPr>
        <w:spacing w:before="240" w:after="240"/>
      </w:pPr>
      <w:r>
        <w:t xml:space="preserve">British Petroleum, 2013. </w:t>
      </w:r>
      <w:r>
        <w:rPr>
          <w:i/>
        </w:rPr>
        <w:t>Performing while transforming</w:t>
      </w:r>
      <w:r>
        <w:t>. [online] Available at: &lt;https://www.bp.com/&gt; [Accessed 29 April 2022].</w:t>
      </w:r>
    </w:p>
    <w:p w14:paraId="1B76E053" w14:textId="77777777" w:rsidR="001E7A94" w:rsidRDefault="001E7A94" w:rsidP="005079C2">
      <w:pPr>
        <w:spacing w:before="240" w:after="240"/>
      </w:pPr>
      <w:r>
        <w:t xml:space="preserve">British Petroleum, 2022. </w:t>
      </w:r>
      <w:r>
        <w:rPr>
          <w:i/>
        </w:rPr>
        <w:t>Accopunting and finance management</w:t>
      </w:r>
      <w:r>
        <w:t>. [online] Available at: &lt;https://www.bp.com/&gt; [Accessed 28 April 2022].</w:t>
      </w:r>
    </w:p>
    <w:p w14:paraId="3A888115" w14:textId="77777777" w:rsidR="001E7A94" w:rsidRDefault="001E7A94" w:rsidP="005079C2">
      <w:pPr>
        <w:spacing w:before="240" w:after="240"/>
      </w:pPr>
      <w:r>
        <w:t xml:space="preserve">Cavusgil, S.T., Deligonul, S., Ghauri, P.N., Bamiatzi, V., Park, B.I. and Mellahi, K., 2020. Risk in international business and its mitigation. </w:t>
      </w:r>
      <w:r>
        <w:rPr>
          <w:i/>
        </w:rPr>
        <w:t>Journal of World Business</w:t>
      </w:r>
      <w:r>
        <w:t>, 55(2), p.101078.</w:t>
      </w:r>
    </w:p>
    <w:p w14:paraId="21CCCD8F" w14:textId="77777777" w:rsidR="001E7A94" w:rsidRDefault="001E7A94" w:rsidP="005079C2">
      <w:pPr>
        <w:spacing w:before="240" w:after="240"/>
      </w:pPr>
      <w:r>
        <w:lastRenderedPageBreak/>
        <w:t xml:space="preserve">Eduardsen, J. and Marinova, S., 2020. Internationalisation and risk: Literature review, integrative framework and research agenda. </w:t>
      </w:r>
      <w:r>
        <w:rPr>
          <w:i/>
        </w:rPr>
        <w:t>International Business Review</w:t>
      </w:r>
      <w:r>
        <w:t>, 29(3), p.101688.</w:t>
      </w:r>
    </w:p>
    <w:p w14:paraId="48F6B300" w14:textId="77777777" w:rsidR="001E7A94" w:rsidRDefault="001E7A94" w:rsidP="005079C2">
      <w:pPr>
        <w:spacing w:before="240" w:after="240"/>
      </w:pPr>
      <w:r w:rsidRPr="007E7CF1">
        <w:t>Eun, C.S., Resnick, B.G. and Sabherwal, S., 2012. </w:t>
      </w:r>
      <w:r w:rsidRPr="007E7CF1">
        <w:rPr>
          <w:i/>
          <w:iCs/>
        </w:rPr>
        <w:t>International financial: global edition</w:t>
      </w:r>
      <w:r w:rsidRPr="007E7CF1">
        <w:t>. McGraw Hill.</w:t>
      </w:r>
    </w:p>
    <w:p w14:paraId="3B3DEEDA" w14:textId="77777777" w:rsidR="001E7A94" w:rsidRDefault="001E7A94" w:rsidP="005079C2">
      <w:pPr>
        <w:spacing w:before="240" w:after="240"/>
      </w:pPr>
      <w:r w:rsidRPr="00804148">
        <w:t>Herzog, B., 2019. Dynamic expectation theory: insights for market participants. Journal of Risk and Financial Management, 12(2), p.77.</w:t>
      </w:r>
    </w:p>
    <w:p w14:paraId="5200F198" w14:textId="77777777" w:rsidR="001E7A94" w:rsidRDefault="001E7A94" w:rsidP="005079C2">
      <w:pPr>
        <w:spacing w:before="240" w:after="240"/>
      </w:pPr>
      <w:r>
        <w:rPr>
          <w:highlight w:val="white"/>
        </w:rPr>
        <w:t xml:space="preserve">ITA, 2022. </w:t>
      </w:r>
      <w:r>
        <w:rPr>
          <w:i/>
        </w:rPr>
        <w:t>Foreign Exchange Risk</w:t>
      </w:r>
      <w:r>
        <w:t>. [online] International Trade Administration | Trade.gov. Available at: &lt;https://www.trade.gov/foreign-exchange-risk&gt; [Accessed 3 May 2022].</w:t>
      </w:r>
    </w:p>
    <w:p w14:paraId="09412A3D" w14:textId="77777777" w:rsidR="001E7A94" w:rsidRDefault="001E7A94" w:rsidP="005079C2">
      <w:pPr>
        <w:spacing w:before="240" w:after="240"/>
      </w:pPr>
      <w:r>
        <w:t xml:space="preserve">Kim, S., Lee, G. and Kang, H.G., 2021. Risk management and corporate social responsibility. </w:t>
      </w:r>
      <w:r>
        <w:rPr>
          <w:i/>
        </w:rPr>
        <w:t>Strategic Management Journal</w:t>
      </w:r>
      <w:r>
        <w:t xml:space="preserve">, </w:t>
      </w:r>
      <w:r>
        <w:rPr>
          <w:i/>
        </w:rPr>
        <w:t>42</w:t>
      </w:r>
      <w:r>
        <w:t>(1), pp.202-230.</w:t>
      </w:r>
    </w:p>
    <w:p w14:paraId="23FE2DB8" w14:textId="77777777" w:rsidR="001E7A94" w:rsidRDefault="001E7A94" w:rsidP="005079C2">
      <w:pPr>
        <w:spacing w:before="240" w:after="240"/>
        <w:rPr>
          <w:color w:val="222222"/>
          <w:highlight w:val="white"/>
        </w:rPr>
      </w:pPr>
      <w:r>
        <w:rPr>
          <w:color w:val="222222"/>
          <w:highlight w:val="white"/>
        </w:rPr>
        <w:t>Nguyen, D.D. and Nguyen, A.H., 2020. The impact of cash flow statement on lending decision of commercial:</w:t>
      </w:r>
      <w:r>
        <w:rPr>
          <w:i/>
          <w:color w:val="222222"/>
          <w:highlight w:val="white"/>
        </w:rPr>
        <w:t>The Journal of Finance, Economics and Business</w:t>
      </w:r>
      <w:r>
        <w:rPr>
          <w:color w:val="222222"/>
          <w:highlight w:val="white"/>
        </w:rPr>
        <w:t xml:space="preserve">, </w:t>
      </w:r>
      <w:r>
        <w:rPr>
          <w:i/>
          <w:color w:val="222222"/>
          <w:highlight w:val="white"/>
        </w:rPr>
        <w:t>7</w:t>
      </w:r>
      <w:r>
        <w:rPr>
          <w:color w:val="222222"/>
          <w:highlight w:val="white"/>
        </w:rPr>
        <w:t>(6), pp.85-93.</w:t>
      </w:r>
    </w:p>
    <w:p w14:paraId="692CB13A" w14:textId="77777777" w:rsidR="001E7A94" w:rsidRDefault="001E7A94" w:rsidP="005079C2">
      <w:pPr>
        <w:spacing w:before="240" w:after="240"/>
      </w:pPr>
      <w:r>
        <w:t xml:space="preserve">Oilnow, 2017. </w:t>
      </w:r>
      <w:r>
        <w:rPr>
          <w:i/>
        </w:rPr>
        <w:t xml:space="preserve">The super-majors…what and who are they?. </w:t>
      </w:r>
      <w:r>
        <w:t>[Online]. Available at:  https://oilnow.gy/uncategorized/the-super-majors-what-and-who-are-they/ [Accessed on 22nd April 2022]</w:t>
      </w:r>
    </w:p>
    <w:p w14:paraId="7297DF8D" w14:textId="77777777" w:rsidR="001E7A94" w:rsidRDefault="001E7A94" w:rsidP="005079C2">
      <w:pPr>
        <w:spacing w:before="240" w:after="240"/>
      </w:pPr>
      <w:r>
        <w:t xml:space="preserve">Okwo, H., Ezenwakwelu, C., Igwe, A. and Imhanrenialena, B., 2019. Firm size and age mediating the firm survival-hedging effect: Hayes’3-Way parallel approach. </w:t>
      </w:r>
      <w:r>
        <w:rPr>
          <w:i/>
        </w:rPr>
        <w:t>Sustainability</w:t>
      </w:r>
      <w:r>
        <w:t xml:space="preserve">, </w:t>
      </w:r>
      <w:r>
        <w:rPr>
          <w:i/>
        </w:rPr>
        <w:t>11</w:t>
      </w:r>
      <w:r>
        <w:t>(3), p.887.</w:t>
      </w:r>
    </w:p>
    <w:p w14:paraId="47680A20" w14:textId="77777777" w:rsidR="001E7A94" w:rsidRDefault="001E7A94" w:rsidP="005079C2">
      <w:pPr>
        <w:spacing w:before="240" w:after="240"/>
      </w:pPr>
      <w:r>
        <w:rPr>
          <w:color w:val="222222"/>
          <w:highlight w:val="white"/>
        </w:rPr>
        <w:t xml:space="preserve">Pham, A., Jin, T., Novoa, C. and Qin, J., 2019. A multi-site production and microgrid planning model for net-zero energy operations. </w:t>
      </w:r>
      <w:r>
        <w:rPr>
          <w:i/>
        </w:rPr>
        <w:t>International Journal of Production Economics</w:t>
      </w:r>
      <w:r>
        <w:t xml:space="preserve">, </w:t>
      </w:r>
      <w:r>
        <w:rPr>
          <w:i/>
        </w:rPr>
        <w:t>218</w:t>
      </w:r>
      <w:r>
        <w:t>, pp.260-274.</w:t>
      </w:r>
    </w:p>
    <w:p w14:paraId="7D5948A9" w14:textId="77777777" w:rsidR="001E7A94" w:rsidRDefault="001E7A94" w:rsidP="005079C2">
      <w:pPr>
        <w:spacing w:before="240" w:after="240"/>
      </w:pPr>
      <w:r>
        <w:rPr>
          <w:color w:val="222222"/>
          <w:highlight w:val="white"/>
        </w:rPr>
        <w:t xml:space="preserve">Saleh, I. and Abu Afifa, M., 2020. The effect of credit risk, liquidity risk and bank capital on bank profitability: Evidence from an emerging market. </w:t>
      </w:r>
      <w:r>
        <w:rPr>
          <w:i/>
        </w:rPr>
        <w:t>Cogent Economics &amp; Finance</w:t>
      </w:r>
      <w:r>
        <w:t xml:space="preserve">, </w:t>
      </w:r>
      <w:r>
        <w:rPr>
          <w:i/>
        </w:rPr>
        <w:t>8</w:t>
      </w:r>
      <w:r>
        <w:t>(1), p.1814509.</w:t>
      </w:r>
    </w:p>
    <w:p w14:paraId="65456FD5" w14:textId="77777777" w:rsidR="001E7A94" w:rsidRDefault="001E7A94" w:rsidP="005079C2">
      <w:pPr>
        <w:spacing w:before="240" w:after="240"/>
      </w:pPr>
      <w:r>
        <w:t xml:space="preserve">Statista, 2022. </w:t>
      </w:r>
      <w:r>
        <w:rPr>
          <w:i/>
        </w:rPr>
        <w:t>BP: revenue 2021 | Statista</w:t>
      </w:r>
      <w:r>
        <w:t>. [online] Available at: &lt;https://www.statista.com/statistics/264185/bp-group-revenue-since-</w:t>
      </w:r>
      <w:r>
        <w:lastRenderedPageBreak/>
        <w:t>2003/#:~:text=BP%20generated%20an%20operating%20revenue,public%20companies%20within%20the%20industry.&gt; [Accessed 19 April 2022].</w:t>
      </w:r>
    </w:p>
    <w:p w14:paraId="00000260" w14:textId="0545E434" w:rsidR="003E6AAD" w:rsidRPr="008F5702" w:rsidRDefault="001E7A94" w:rsidP="008F5702">
      <w:pPr>
        <w:spacing w:before="240" w:after="240"/>
      </w:pPr>
      <w:r w:rsidRPr="007E7CF1">
        <w:t xml:space="preserve">Stiglitz, Joseph E., 2002, Globalization and Its Discontents, New York: W.W. Norton and Company Additional sources </w:t>
      </w:r>
    </w:p>
    <w:p w14:paraId="00000261" w14:textId="77777777" w:rsidR="003E6AAD" w:rsidRDefault="003E6AAD" w:rsidP="005079C2">
      <w:pPr>
        <w:rPr>
          <w:color w:val="222222"/>
          <w:highlight w:val="white"/>
        </w:rPr>
      </w:pPr>
    </w:p>
    <w:p w14:paraId="00000262" w14:textId="77777777" w:rsidR="003E6AAD" w:rsidRDefault="003E6AAD" w:rsidP="005079C2">
      <w:pPr>
        <w:rPr>
          <w:color w:val="222222"/>
          <w:highlight w:val="white"/>
        </w:rPr>
      </w:pPr>
    </w:p>
    <w:p w14:paraId="00000263" w14:textId="77777777" w:rsidR="003E6AAD" w:rsidRDefault="003E6AAD" w:rsidP="005079C2">
      <w:pPr>
        <w:rPr>
          <w:color w:val="222222"/>
          <w:highlight w:val="white"/>
        </w:rPr>
      </w:pPr>
    </w:p>
    <w:p w14:paraId="00000264" w14:textId="77777777" w:rsidR="003E6AAD" w:rsidRDefault="003E6AAD" w:rsidP="005079C2">
      <w:pPr>
        <w:rPr>
          <w:color w:val="222222"/>
          <w:highlight w:val="white"/>
        </w:rPr>
      </w:pPr>
    </w:p>
    <w:p w14:paraId="00000265" w14:textId="77777777" w:rsidR="003E6AAD" w:rsidRDefault="003E6AAD" w:rsidP="005079C2">
      <w:pPr>
        <w:rPr>
          <w:color w:val="222222"/>
          <w:highlight w:val="white"/>
        </w:rPr>
      </w:pPr>
    </w:p>
    <w:p w14:paraId="00000266" w14:textId="77777777" w:rsidR="003E6AAD" w:rsidRDefault="003E6AAD" w:rsidP="005079C2">
      <w:pPr>
        <w:rPr>
          <w:color w:val="222222"/>
          <w:highlight w:val="white"/>
        </w:rPr>
      </w:pPr>
    </w:p>
    <w:p w14:paraId="00000267" w14:textId="77777777" w:rsidR="003E6AAD" w:rsidRDefault="003E6AAD" w:rsidP="005079C2">
      <w:pPr>
        <w:rPr>
          <w:color w:val="222222"/>
          <w:highlight w:val="white"/>
        </w:rPr>
      </w:pPr>
    </w:p>
    <w:p w14:paraId="00000268" w14:textId="77777777" w:rsidR="003E6AAD" w:rsidRDefault="003E6AAD" w:rsidP="005079C2">
      <w:pPr>
        <w:rPr>
          <w:color w:val="222222"/>
          <w:highlight w:val="white"/>
        </w:rPr>
      </w:pPr>
    </w:p>
    <w:p w14:paraId="00000269" w14:textId="77777777" w:rsidR="003E6AAD" w:rsidRDefault="003E6AAD" w:rsidP="005079C2">
      <w:pPr>
        <w:rPr>
          <w:color w:val="222222"/>
          <w:highlight w:val="white"/>
        </w:rPr>
      </w:pPr>
    </w:p>
    <w:p w14:paraId="0000026A" w14:textId="77777777" w:rsidR="003E6AAD" w:rsidRDefault="003E6AAD" w:rsidP="005079C2">
      <w:pPr>
        <w:rPr>
          <w:color w:val="222222"/>
          <w:highlight w:val="white"/>
        </w:rPr>
      </w:pPr>
    </w:p>
    <w:p w14:paraId="0000026B" w14:textId="77777777" w:rsidR="003E6AAD" w:rsidRDefault="003E6AAD" w:rsidP="005079C2">
      <w:pPr>
        <w:rPr>
          <w:color w:val="222222"/>
          <w:highlight w:val="white"/>
        </w:rPr>
      </w:pPr>
    </w:p>
    <w:p w14:paraId="0000026C" w14:textId="77777777" w:rsidR="003E6AAD" w:rsidRDefault="003E6AAD" w:rsidP="005079C2">
      <w:pPr>
        <w:rPr>
          <w:color w:val="222222"/>
          <w:highlight w:val="white"/>
        </w:rPr>
      </w:pPr>
    </w:p>
    <w:p w14:paraId="0000026D" w14:textId="77777777" w:rsidR="003E6AAD" w:rsidRDefault="003E6AAD" w:rsidP="005079C2">
      <w:pPr>
        <w:rPr>
          <w:color w:val="222222"/>
          <w:highlight w:val="white"/>
        </w:rPr>
      </w:pPr>
    </w:p>
    <w:p w14:paraId="0000026E" w14:textId="77777777" w:rsidR="003E6AAD" w:rsidRDefault="003E6AAD" w:rsidP="005079C2">
      <w:pPr>
        <w:rPr>
          <w:color w:val="222222"/>
          <w:highlight w:val="white"/>
        </w:rPr>
      </w:pPr>
    </w:p>
    <w:p w14:paraId="0000026F" w14:textId="77777777" w:rsidR="003E6AAD" w:rsidRDefault="003E6AAD" w:rsidP="005079C2">
      <w:pPr>
        <w:rPr>
          <w:color w:val="222222"/>
          <w:highlight w:val="white"/>
        </w:rPr>
      </w:pPr>
    </w:p>
    <w:p w14:paraId="00000270" w14:textId="77777777" w:rsidR="003E6AAD" w:rsidRDefault="003E6AAD" w:rsidP="005079C2">
      <w:pPr>
        <w:rPr>
          <w:color w:val="222222"/>
          <w:highlight w:val="white"/>
        </w:rPr>
      </w:pPr>
    </w:p>
    <w:p w14:paraId="00000271" w14:textId="77777777" w:rsidR="003E6AAD" w:rsidRDefault="003E6AAD" w:rsidP="005079C2">
      <w:pPr>
        <w:rPr>
          <w:color w:val="222222"/>
          <w:highlight w:val="white"/>
        </w:rPr>
      </w:pPr>
    </w:p>
    <w:p w14:paraId="00000410" w14:textId="75CFF4AB" w:rsidR="003E6AAD" w:rsidRDefault="003E6AAD" w:rsidP="008F5702">
      <w:pPr>
        <w:pStyle w:val="Heading1"/>
      </w:pPr>
      <w:bookmarkStart w:id="15" w:name="_t4qxfikcw08j" w:colFirst="0" w:colLast="0"/>
      <w:bookmarkStart w:id="16" w:name="_wkgqyx2xpue" w:colFirst="0" w:colLast="0"/>
      <w:bookmarkStart w:id="17" w:name="_r0fdeth60wyc" w:colFirst="0" w:colLast="0"/>
      <w:bookmarkStart w:id="18" w:name="_jukvdms5n92" w:colFirst="0" w:colLast="0"/>
      <w:bookmarkStart w:id="19" w:name="_wqzbkophw67o" w:colFirst="0" w:colLast="0"/>
      <w:bookmarkStart w:id="20" w:name="_3bzfjse3cc0p" w:colFirst="0" w:colLast="0"/>
      <w:bookmarkStart w:id="21" w:name="_iqa9c5aq7vx7" w:colFirst="0" w:colLast="0"/>
      <w:bookmarkStart w:id="22" w:name="_tajargrrvtpj" w:colFirst="0" w:colLast="0"/>
      <w:bookmarkStart w:id="23" w:name="_vz9e08bw5im" w:colFirst="0" w:colLast="0"/>
      <w:bookmarkStart w:id="24" w:name="_6ya0ifo4k19" w:colFirst="0" w:colLast="0"/>
      <w:bookmarkStart w:id="25" w:name="_j7kublfeorw1" w:colFirst="0" w:colLast="0"/>
      <w:bookmarkStart w:id="26" w:name="_9yi9y3btrcmt" w:colFirst="0" w:colLast="0"/>
      <w:bookmarkStart w:id="27" w:name="_x1qx2ejc1i38" w:colFirst="0" w:colLast="0"/>
      <w:bookmarkStart w:id="28" w:name="_ogdxfhvjx50e" w:colFirst="0" w:colLast="0"/>
      <w:bookmarkStart w:id="29" w:name="_5gg8e4lfokfd" w:colFirst="0" w:colLast="0"/>
      <w:bookmarkStart w:id="30" w:name="_1dfsphlb561z" w:colFirst="0" w:colLast="0"/>
      <w:bookmarkStart w:id="31" w:name="_i0agqbi3vgf1" w:colFirst="0" w:colLast="0"/>
      <w:bookmarkStart w:id="32" w:name="_36q54ox6kmlw" w:colFirst="0" w:colLast="0"/>
      <w:bookmarkStart w:id="33" w:name="_r8117575ac43" w:colFirst="0" w:colLast="0"/>
      <w:bookmarkStart w:id="34" w:name="_7rm65ifjn8j5" w:colFirst="0" w:colLast="0"/>
      <w:bookmarkStart w:id="35" w:name="_dtkw2fbj6lxx" w:colFirst="0" w:colLast="0"/>
      <w:bookmarkStart w:id="36" w:name="_lken2h727e70" w:colFirst="0" w:colLast="0"/>
      <w:bookmarkStart w:id="37" w:name="_mj512rry0xi8" w:colFirst="0" w:colLast="0"/>
      <w:bookmarkStart w:id="38" w:name="_wgldxbz35631" w:colFirst="0" w:colLast="0"/>
      <w:bookmarkStart w:id="39" w:name="_3rgynesfqyc" w:colFirst="0" w:colLast="0"/>
      <w:bookmarkStart w:id="40" w:name="_1mfuz76lz5tf" w:colFirst="0" w:colLast="0"/>
      <w:bookmarkStart w:id="41" w:name="_6n8vi2i4oofv" w:colFirst="0" w:colLast="0"/>
      <w:bookmarkStart w:id="42" w:name="_wbg3vo4sssek" w:colFirst="0" w:colLast="0"/>
      <w:bookmarkStart w:id="43" w:name="_4i1zzzmavsqm" w:colFirst="0" w:colLast="0"/>
      <w:bookmarkStart w:id="44" w:name="_2kilu8t5hp4h" w:colFirst="0" w:colLast="0"/>
      <w:bookmarkStart w:id="45" w:name="_7znscn96utc2" w:colFirst="0" w:colLast="0"/>
      <w:bookmarkStart w:id="46" w:name="_kqrq7wvcff7n" w:colFirst="0" w:colLast="0"/>
      <w:bookmarkStart w:id="47" w:name="_6p0asgb3pugy" w:colFirst="0" w:colLast="0"/>
      <w:bookmarkStart w:id="48" w:name="_kkiuuk911c2h" w:colFirst="0" w:colLast="0"/>
      <w:bookmarkStart w:id="49" w:name="_9b3ldvucto2" w:colFirst="0" w:colLast="0"/>
      <w:bookmarkStart w:id="50" w:name="_e1r55fxs40i" w:colFirst="0" w:colLast="0"/>
      <w:bookmarkStart w:id="51" w:name="_8piz0lrzisk3" w:colFirst="0" w:colLast="0"/>
      <w:bookmarkStart w:id="52" w:name="_2zpd118hgcfi" w:colFirst="0" w:colLast="0"/>
      <w:bookmarkStart w:id="53" w:name="_4gta8fa8wp24" w:colFirst="0" w:colLast="0"/>
      <w:bookmarkStart w:id="54" w:name="_z1r6muyqql1w" w:colFirst="0" w:colLast="0"/>
      <w:bookmarkStart w:id="55" w:name="_otlsxai2bw7r" w:colFirst="0" w:colLast="0"/>
      <w:bookmarkStart w:id="56" w:name="_o3a9bykatn7t" w:colFirst="0" w:colLast="0"/>
      <w:bookmarkStart w:id="57" w:name="_1yj0hw1bo47" w:colFirst="0" w:colLast="0"/>
      <w:bookmarkStart w:id="58" w:name="_6cgzdblz4k6j" w:colFirst="0" w:colLast="0"/>
      <w:bookmarkStart w:id="59" w:name="_oaupiqstrbq9" w:colFirst="0" w:colLast="0"/>
      <w:bookmarkStart w:id="60" w:name="_1jdt1tmqn04e" w:colFirst="0" w:colLast="0"/>
      <w:bookmarkStart w:id="61" w:name="_3uw25cvl9mch" w:colFirst="0" w:colLast="0"/>
      <w:bookmarkStart w:id="62" w:name="_npyzpeod2dw" w:colFirst="0" w:colLast="0"/>
      <w:bookmarkStart w:id="63" w:name="_jfwnvtp6nkvg" w:colFirst="0" w:colLast="0"/>
      <w:bookmarkStart w:id="64" w:name="_utn767wt9f5d" w:colFirst="0" w:colLast="0"/>
      <w:bookmarkStart w:id="65" w:name="_qaydxcdartyc" w:colFirst="0" w:colLast="0"/>
      <w:bookmarkStart w:id="66" w:name="_bnnuauz2lr2z" w:colFirst="0" w:colLast="0"/>
      <w:bookmarkStart w:id="67" w:name="_fv5ec1bgtlbg" w:colFirst="0" w:colLast="0"/>
      <w:bookmarkStart w:id="68" w:name="_rme4lucwgz2s" w:colFirst="0" w:colLast="0"/>
      <w:bookmarkStart w:id="69" w:name="_hibx4k12pnyo" w:colFirst="0" w:colLast="0"/>
      <w:bookmarkStart w:id="70" w:name="_rn9rqugqed8c" w:colFirst="0" w:colLast="0"/>
      <w:bookmarkStart w:id="71" w:name="_x2la50bs89t9" w:colFirst="0" w:colLast="0"/>
      <w:bookmarkStart w:id="72" w:name="_vt905foug9k0" w:colFirst="0" w:colLast="0"/>
      <w:bookmarkStart w:id="73" w:name="_ny3sa7wgrlh" w:colFirst="0" w:colLast="0"/>
      <w:bookmarkStart w:id="74" w:name="_i2lpwzf8xi7f" w:colFirst="0" w:colLast="0"/>
      <w:bookmarkStart w:id="75" w:name="_ydvmlym7x5sg" w:colFirst="0" w:colLast="0"/>
      <w:bookmarkStart w:id="76" w:name="_m9dzbuf8tytj" w:colFirst="0" w:colLast="0"/>
      <w:bookmarkStart w:id="77" w:name="_8zfz4y7nfdp5" w:colFirst="0" w:colLast="0"/>
      <w:bookmarkStart w:id="78" w:name="_eix7fqo5wrr1" w:colFirst="0" w:colLast="0"/>
      <w:bookmarkStart w:id="79" w:name="_mfwrf5c2850z" w:colFirst="0" w:colLast="0"/>
      <w:bookmarkStart w:id="80" w:name="_wwgv1xt25fgb" w:colFirst="0" w:colLast="0"/>
      <w:bookmarkStart w:id="81" w:name="_iyi42vpfvzeo" w:colFirst="0" w:colLast="0"/>
      <w:bookmarkStart w:id="82" w:name="_z1yv4sl9dnr0" w:colFirst="0" w:colLast="0"/>
      <w:bookmarkStart w:id="83" w:name="_pr0pua4d992d" w:colFirst="0" w:colLast="0"/>
      <w:bookmarkStart w:id="84" w:name="_re6zbiyhuw57" w:colFirst="0" w:colLast="0"/>
      <w:bookmarkStart w:id="85" w:name="_76dvqq8mtujf" w:colFirst="0" w:colLast="0"/>
      <w:bookmarkStart w:id="86" w:name="_d7o5c1fjupuz" w:colFirst="0" w:colLast="0"/>
      <w:bookmarkStart w:id="87" w:name="_q21jbv4cn0la" w:colFirst="0" w:colLast="0"/>
      <w:bookmarkStart w:id="88" w:name="_kiuku2ekm6mf" w:colFirst="0" w:colLast="0"/>
      <w:bookmarkStart w:id="89" w:name="_15aicehx327j" w:colFirst="0" w:colLast="0"/>
      <w:bookmarkStart w:id="90" w:name="_iv9yiqro4y6h" w:colFirst="0" w:colLast="0"/>
      <w:bookmarkStart w:id="91" w:name="_b33qmvxao2q6" w:colFirst="0" w:colLast="0"/>
      <w:bookmarkStart w:id="92" w:name="_9bqmkee9ths8" w:colFirst="0" w:colLast="0"/>
      <w:bookmarkStart w:id="93" w:name="_p1t8lso3bucs" w:colFirst="0" w:colLast="0"/>
      <w:bookmarkStart w:id="94" w:name="_o1n8nu8uqg4r" w:colFirst="0" w:colLast="0"/>
      <w:bookmarkStart w:id="95" w:name="_ydt1xf8ztw0s" w:colFirst="0" w:colLast="0"/>
      <w:bookmarkStart w:id="96" w:name="_el3o4i8evhna" w:colFirst="0" w:colLast="0"/>
      <w:bookmarkStart w:id="97" w:name="_kx657i4cnxjc" w:colFirst="0" w:colLast="0"/>
      <w:bookmarkStart w:id="98" w:name="_b5cp62uu3o0y" w:colFirst="0" w:colLast="0"/>
      <w:bookmarkStart w:id="99" w:name="_efgkev2szis5" w:colFirst="0" w:colLast="0"/>
      <w:bookmarkStart w:id="100" w:name="_rzx3nk2mvnln" w:colFirst="0" w:colLast="0"/>
      <w:bookmarkStart w:id="101" w:name="_jxr01t3ngmzs" w:colFirst="0" w:colLast="0"/>
      <w:bookmarkStart w:id="102" w:name="_xomxc9fsqjs0" w:colFirst="0" w:colLast="0"/>
      <w:bookmarkStart w:id="103" w:name="_1sjo7jcg1sw3" w:colFirst="0" w:colLast="0"/>
      <w:bookmarkStart w:id="104" w:name="_p0oddtaizuz0" w:colFirst="0" w:colLast="0"/>
      <w:bookmarkStart w:id="105" w:name="_9y48k96obvk" w:colFirst="0" w:colLast="0"/>
      <w:bookmarkStart w:id="106" w:name="_11rxi43unmk" w:colFirst="0" w:colLast="0"/>
      <w:bookmarkStart w:id="107" w:name="_yvp0s317xikv" w:colFirst="0" w:colLast="0"/>
      <w:bookmarkStart w:id="108" w:name="_7jy2nzdr6g8j" w:colFirst="0" w:colLast="0"/>
      <w:bookmarkStart w:id="109" w:name="_xr92h4vt0447" w:colFirst="0" w:colLast="0"/>
      <w:bookmarkStart w:id="110" w:name="_7k7dgipnfywi" w:colFirst="0" w:colLast="0"/>
      <w:bookmarkStart w:id="111" w:name="_vskwllh3bds" w:colFirst="0" w:colLast="0"/>
      <w:bookmarkStart w:id="112" w:name="_nr1if3z2j6l8" w:colFirst="0" w:colLast="0"/>
      <w:bookmarkStart w:id="113" w:name="_150f8dhpbvaa" w:colFirst="0" w:colLast="0"/>
      <w:bookmarkStart w:id="114" w:name="_3heqmiwnib1h" w:colFirst="0" w:colLast="0"/>
      <w:bookmarkStart w:id="115" w:name="_drjqv0ufemd5" w:colFirst="0" w:colLast="0"/>
      <w:bookmarkStart w:id="116" w:name="_qyzkcxbntkrw" w:colFirst="0" w:colLast="0"/>
      <w:bookmarkStart w:id="117" w:name="_gpur3zzghurm" w:colFirst="0" w:colLast="0"/>
      <w:bookmarkStart w:id="118" w:name="_ugfiknucece7" w:colFirst="0" w:colLast="0"/>
      <w:bookmarkStart w:id="119" w:name="_tv24wkx7wzhm" w:colFirst="0" w:colLast="0"/>
      <w:bookmarkStart w:id="120" w:name="_atgoa3lcagkz" w:colFirst="0" w:colLast="0"/>
      <w:bookmarkStart w:id="121" w:name="_l0ad6i37u6nz" w:colFirst="0" w:colLast="0"/>
      <w:bookmarkStart w:id="122" w:name="_f1lwrdp58tg" w:colFirst="0" w:colLast="0"/>
      <w:bookmarkStart w:id="123" w:name="_734o8vpeclt7" w:colFirst="0" w:colLast="0"/>
      <w:bookmarkStart w:id="124" w:name="_u8esuz1g7s1w" w:colFirst="0" w:colLast="0"/>
      <w:bookmarkStart w:id="125" w:name="_rqnagxotwt9v" w:colFirst="0" w:colLast="0"/>
      <w:bookmarkStart w:id="126" w:name="_b8wnsvya40j2" w:colFirst="0" w:colLast="0"/>
      <w:bookmarkStart w:id="127" w:name="_9kaxduf0cn4w" w:colFirst="0" w:colLast="0"/>
      <w:bookmarkStart w:id="128" w:name="_33coc9gqbnzr" w:colFirst="0" w:colLast="0"/>
      <w:bookmarkStart w:id="129" w:name="_1rczkui7vrko" w:colFirst="0" w:colLast="0"/>
      <w:bookmarkStart w:id="130" w:name="_blv5qfpck9z1" w:colFirst="0" w:colLast="0"/>
      <w:bookmarkStart w:id="131" w:name="_gw1sms19b9v4" w:colFirst="0" w:colLast="0"/>
      <w:bookmarkStart w:id="132" w:name="_lkvwu0qt9uuc" w:colFirst="0" w:colLast="0"/>
      <w:bookmarkStart w:id="133" w:name="_gp0wpjutiept" w:colFirst="0" w:colLast="0"/>
      <w:bookmarkStart w:id="134" w:name="_3ra3881exymg" w:colFirst="0" w:colLast="0"/>
      <w:bookmarkStart w:id="135" w:name="_me7me1n93n0q" w:colFirst="0" w:colLast="0"/>
      <w:bookmarkStart w:id="136" w:name="_sqw0d7sawntx" w:colFirst="0" w:colLast="0"/>
      <w:bookmarkStart w:id="137" w:name="_zx06jnxqo44" w:colFirst="0" w:colLast="0"/>
      <w:bookmarkStart w:id="138" w:name="_4zejo7eu5zf3" w:colFirst="0" w:colLast="0"/>
      <w:bookmarkStart w:id="139" w:name="_hyvlh0hdcgqu" w:colFirst="0" w:colLast="0"/>
      <w:bookmarkStart w:id="140" w:name="_kjba9ie3rsx6" w:colFirst="0" w:colLast="0"/>
      <w:bookmarkStart w:id="141" w:name="_k8rtuw3xn7uf" w:colFirst="0" w:colLast="0"/>
      <w:bookmarkStart w:id="142" w:name="_e2h4tsoin39t" w:colFirst="0" w:colLast="0"/>
      <w:bookmarkStart w:id="143" w:name="_cdo1ecxxn6th" w:colFirst="0" w:colLast="0"/>
      <w:bookmarkStart w:id="144" w:name="_y3mn30gd17nd" w:colFirst="0" w:colLast="0"/>
      <w:bookmarkStart w:id="145" w:name="_ja0j3m4npvw2" w:colFirst="0" w:colLast="0"/>
      <w:bookmarkStart w:id="146" w:name="_pov8kqkypcyr" w:colFirst="0" w:colLast="0"/>
      <w:bookmarkStart w:id="147" w:name="_kahmlsn4pzxe" w:colFirst="0" w:colLast="0"/>
      <w:bookmarkStart w:id="148" w:name="_loylm4o0064v" w:colFirst="0" w:colLast="0"/>
      <w:bookmarkStart w:id="149" w:name="_axx2nfemee6g" w:colFirst="0" w:colLast="0"/>
      <w:bookmarkStart w:id="150" w:name="_vea9inirlf0w" w:colFirst="0" w:colLast="0"/>
      <w:bookmarkStart w:id="151" w:name="_f1iut04humqj" w:colFirst="0" w:colLast="0"/>
      <w:bookmarkStart w:id="152" w:name="_avji7jf9qkn" w:colFirst="0" w:colLast="0"/>
      <w:bookmarkStart w:id="153" w:name="_iqsqmm2rwmmp" w:colFirst="0" w:colLast="0"/>
      <w:bookmarkStart w:id="154" w:name="_ajsghed0ekqy" w:colFirst="0" w:colLast="0"/>
      <w:bookmarkStart w:id="155" w:name="_xt62saz8dksr" w:colFirst="0" w:colLast="0"/>
      <w:bookmarkStart w:id="156" w:name="_kqj7n938ji45" w:colFirst="0" w:colLast="0"/>
      <w:bookmarkStart w:id="157" w:name="_9c5pi2j0t8bm" w:colFirst="0" w:colLast="0"/>
      <w:bookmarkStart w:id="158" w:name="_vec4qvyas6hg" w:colFirst="0" w:colLast="0"/>
      <w:bookmarkStart w:id="159" w:name="_19vnruxei140" w:colFirst="0" w:colLast="0"/>
      <w:bookmarkStart w:id="160" w:name="_lux1ea73taj1" w:colFirst="0" w:colLast="0"/>
      <w:bookmarkStart w:id="161" w:name="_shoes2pfriml" w:colFirst="0" w:colLast="0"/>
      <w:bookmarkStart w:id="162" w:name="_sngnl8unl1hp" w:colFirst="0" w:colLast="0"/>
      <w:bookmarkStart w:id="163" w:name="_nxa4lwwmyf3m" w:colFirst="0" w:colLast="0"/>
      <w:bookmarkStart w:id="164" w:name="_n4fce94tjoqz" w:colFirst="0" w:colLast="0"/>
      <w:bookmarkStart w:id="165" w:name="_83idgqvy8fwp" w:colFirst="0" w:colLast="0"/>
      <w:bookmarkStart w:id="166" w:name="_g0227wl7nlwe" w:colFirst="0" w:colLast="0"/>
      <w:bookmarkStart w:id="167" w:name="_9qm5knnqmo67" w:colFirst="0" w:colLast="0"/>
      <w:bookmarkStart w:id="168" w:name="_yqqmqaqnwjzq" w:colFirst="0" w:colLast="0"/>
      <w:bookmarkStart w:id="169" w:name="_dn0c77lytgso" w:colFirst="0" w:colLast="0"/>
      <w:bookmarkStart w:id="170" w:name="_r0ppuqdi9mfg" w:colFirst="0" w:colLast="0"/>
      <w:bookmarkStart w:id="171" w:name="_sqq7fu880tvp" w:colFirst="0" w:colLast="0"/>
      <w:bookmarkStart w:id="172" w:name="_oi2t4om0u0vt" w:colFirst="0" w:colLast="0"/>
      <w:bookmarkStart w:id="173" w:name="_xc3jq1va7m1p" w:colFirst="0" w:colLast="0"/>
      <w:bookmarkStart w:id="174" w:name="_8dhx69idhs8a" w:colFirst="0" w:colLast="0"/>
      <w:bookmarkStart w:id="175" w:name="_nvp3ymce81hu" w:colFirst="0" w:colLast="0"/>
      <w:bookmarkStart w:id="176" w:name="_cshfbi887vby" w:colFirst="0" w:colLast="0"/>
      <w:bookmarkStart w:id="177" w:name="_6jip5jve9wfw" w:colFirst="0" w:colLast="0"/>
      <w:bookmarkStart w:id="178" w:name="_hqh5fdlyqy7" w:colFirst="0" w:colLast="0"/>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p>
    <w:p w14:paraId="00000411" w14:textId="77777777" w:rsidR="003E6AAD" w:rsidRDefault="003E6AAD" w:rsidP="005079C2"/>
    <w:sectPr w:rsidR="003E6AAD" w:rsidSect="00CE1F3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76500" w14:textId="77777777" w:rsidR="003C788C" w:rsidRDefault="003C788C" w:rsidP="00CE1F3D">
      <w:pPr>
        <w:spacing w:line="240" w:lineRule="auto"/>
      </w:pPr>
      <w:r>
        <w:separator/>
      </w:r>
    </w:p>
  </w:endnote>
  <w:endnote w:type="continuationSeparator" w:id="0">
    <w:p w14:paraId="4D2668E0" w14:textId="77777777" w:rsidR="003C788C" w:rsidRDefault="003C788C" w:rsidP="00CE1F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200529"/>
      <w:docPartObj>
        <w:docPartGallery w:val="Page Numbers (Bottom of Page)"/>
        <w:docPartUnique/>
      </w:docPartObj>
    </w:sdtPr>
    <w:sdtEndPr>
      <w:rPr>
        <w:noProof/>
        <w:sz w:val="20"/>
        <w:szCs w:val="20"/>
      </w:rPr>
    </w:sdtEndPr>
    <w:sdtContent>
      <w:p w14:paraId="176DA089" w14:textId="191D5190" w:rsidR="00CE1F3D" w:rsidRPr="00CE1F3D" w:rsidRDefault="00CE1F3D">
        <w:pPr>
          <w:pStyle w:val="Footer"/>
          <w:jc w:val="right"/>
          <w:rPr>
            <w:sz w:val="20"/>
            <w:szCs w:val="20"/>
          </w:rPr>
        </w:pPr>
        <w:r w:rsidRPr="00CE1F3D">
          <w:rPr>
            <w:sz w:val="20"/>
            <w:szCs w:val="20"/>
          </w:rPr>
          <w:fldChar w:fldCharType="begin"/>
        </w:r>
        <w:r w:rsidRPr="00CE1F3D">
          <w:rPr>
            <w:sz w:val="20"/>
            <w:szCs w:val="20"/>
          </w:rPr>
          <w:instrText xml:space="preserve"> PAGE   \* MERGEFORMAT </w:instrText>
        </w:r>
        <w:r w:rsidRPr="00CE1F3D">
          <w:rPr>
            <w:sz w:val="20"/>
            <w:szCs w:val="20"/>
          </w:rPr>
          <w:fldChar w:fldCharType="separate"/>
        </w:r>
        <w:r w:rsidR="00A01E55">
          <w:rPr>
            <w:noProof/>
            <w:sz w:val="20"/>
            <w:szCs w:val="20"/>
          </w:rPr>
          <w:t>1</w:t>
        </w:r>
        <w:r w:rsidRPr="00CE1F3D">
          <w:rPr>
            <w:noProof/>
            <w:sz w:val="20"/>
            <w:szCs w:val="20"/>
          </w:rPr>
          <w:fldChar w:fldCharType="end"/>
        </w:r>
      </w:p>
    </w:sdtContent>
  </w:sdt>
  <w:p w14:paraId="3DF81CA2" w14:textId="77777777" w:rsidR="00CE1F3D" w:rsidRDefault="00CE1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E6E75" w14:textId="77777777" w:rsidR="003C788C" w:rsidRDefault="003C788C" w:rsidP="00CE1F3D">
      <w:pPr>
        <w:spacing w:line="240" w:lineRule="auto"/>
      </w:pPr>
      <w:r>
        <w:separator/>
      </w:r>
    </w:p>
  </w:footnote>
  <w:footnote w:type="continuationSeparator" w:id="0">
    <w:p w14:paraId="478CF8CB" w14:textId="77777777" w:rsidR="003C788C" w:rsidRDefault="003C788C" w:rsidP="00CE1F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AAD"/>
    <w:rsid w:val="00013AE7"/>
    <w:rsid w:val="001A3810"/>
    <w:rsid w:val="001E7A94"/>
    <w:rsid w:val="002336A0"/>
    <w:rsid w:val="00234EB3"/>
    <w:rsid w:val="00237F9A"/>
    <w:rsid w:val="002876EB"/>
    <w:rsid w:val="00330E1D"/>
    <w:rsid w:val="003B6235"/>
    <w:rsid w:val="003C788C"/>
    <w:rsid w:val="003E6AAD"/>
    <w:rsid w:val="003F4AA0"/>
    <w:rsid w:val="004C1E00"/>
    <w:rsid w:val="004C43A6"/>
    <w:rsid w:val="005079C2"/>
    <w:rsid w:val="005235D9"/>
    <w:rsid w:val="0057606C"/>
    <w:rsid w:val="00591364"/>
    <w:rsid w:val="006450FC"/>
    <w:rsid w:val="006C5C1D"/>
    <w:rsid w:val="006E0A15"/>
    <w:rsid w:val="007E7CF1"/>
    <w:rsid w:val="007F4BFC"/>
    <w:rsid w:val="00804148"/>
    <w:rsid w:val="008A307B"/>
    <w:rsid w:val="008D7730"/>
    <w:rsid w:val="008F5702"/>
    <w:rsid w:val="009A6320"/>
    <w:rsid w:val="00A01E55"/>
    <w:rsid w:val="00A830B2"/>
    <w:rsid w:val="00B574A3"/>
    <w:rsid w:val="00C91779"/>
    <w:rsid w:val="00CD5A83"/>
    <w:rsid w:val="00CE1F3D"/>
    <w:rsid w:val="00D8520C"/>
    <w:rsid w:val="00D90DDC"/>
    <w:rsid w:val="00DF1E56"/>
    <w:rsid w:val="00E85152"/>
    <w:rsid w:val="00E90353"/>
    <w:rsid w:val="00E931BB"/>
    <w:rsid w:val="00EC2B8E"/>
    <w:rsid w:val="00F658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B52F0"/>
  <w15:docId w15:val="{7C21371C-3D84-46BA-9A28-F0A510098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E1F3D"/>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E1F3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E1F3D"/>
    <w:pPr>
      <w:spacing w:after="100"/>
    </w:pPr>
  </w:style>
  <w:style w:type="paragraph" w:styleId="TOC2">
    <w:name w:val="toc 2"/>
    <w:basedOn w:val="Normal"/>
    <w:next w:val="Normal"/>
    <w:autoRedefine/>
    <w:uiPriority w:val="39"/>
    <w:unhideWhenUsed/>
    <w:rsid w:val="00CE1F3D"/>
    <w:pPr>
      <w:spacing w:after="100"/>
      <w:ind w:left="240"/>
    </w:pPr>
  </w:style>
  <w:style w:type="character" w:styleId="Hyperlink">
    <w:name w:val="Hyperlink"/>
    <w:basedOn w:val="DefaultParagraphFont"/>
    <w:uiPriority w:val="99"/>
    <w:unhideWhenUsed/>
    <w:rsid w:val="00CE1F3D"/>
    <w:rPr>
      <w:color w:val="0000FF" w:themeColor="hyperlink"/>
      <w:u w:val="single"/>
    </w:rPr>
  </w:style>
  <w:style w:type="paragraph" w:styleId="Header">
    <w:name w:val="header"/>
    <w:basedOn w:val="Normal"/>
    <w:link w:val="HeaderChar"/>
    <w:uiPriority w:val="99"/>
    <w:unhideWhenUsed/>
    <w:rsid w:val="00CE1F3D"/>
    <w:pPr>
      <w:tabs>
        <w:tab w:val="center" w:pos="4513"/>
        <w:tab w:val="right" w:pos="9026"/>
      </w:tabs>
      <w:spacing w:line="240" w:lineRule="auto"/>
    </w:pPr>
  </w:style>
  <w:style w:type="character" w:customStyle="1" w:styleId="HeaderChar">
    <w:name w:val="Header Char"/>
    <w:basedOn w:val="DefaultParagraphFont"/>
    <w:link w:val="Header"/>
    <w:uiPriority w:val="99"/>
    <w:rsid w:val="00CE1F3D"/>
  </w:style>
  <w:style w:type="paragraph" w:styleId="Footer">
    <w:name w:val="footer"/>
    <w:basedOn w:val="Normal"/>
    <w:link w:val="FooterChar"/>
    <w:uiPriority w:val="99"/>
    <w:unhideWhenUsed/>
    <w:rsid w:val="00CE1F3D"/>
    <w:pPr>
      <w:tabs>
        <w:tab w:val="center" w:pos="4513"/>
        <w:tab w:val="right" w:pos="9026"/>
      </w:tabs>
      <w:spacing w:line="240" w:lineRule="auto"/>
    </w:pPr>
  </w:style>
  <w:style w:type="character" w:customStyle="1" w:styleId="FooterChar">
    <w:name w:val="Footer Char"/>
    <w:basedOn w:val="DefaultParagraphFont"/>
    <w:link w:val="Footer"/>
    <w:uiPriority w:val="99"/>
    <w:rsid w:val="00CE1F3D"/>
  </w:style>
  <w:style w:type="character" w:styleId="UnresolvedMention">
    <w:name w:val="Unresolved Mention"/>
    <w:basedOn w:val="DefaultParagraphFont"/>
    <w:uiPriority w:val="99"/>
    <w:semiHidden/>
    <w:unhideWhenUsed/>
    <w:rsid w:val="006C5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442663">
      <w:bodyDiv w:val="1"/>
      <w:marLeft w:val="0"/>
      <w:marRight w:val="0"/>
      <w:marTop w:val="0"/>
      <w:marBottom w:val="0"/>
      <w:divBdr>
        <w:top w:val="none" w:sz="0" w:space="0" w:color="auto"/>
        <w:left w:val="none" w:sz="0" w:space="0" w:color="auto"/>
        <w:bottom w:val="none" w:sz="0" w:space="0" w:color="auto"/>
        <w:right w:val="none" w:sz="0" w:space="0" w:color="auto"/>
      </w:divBdr>
      <w:divsChild>
        <w:div w:id="1274362248">
          <w:marLeft w:val="0"/>
          <w:marRight w:val="0"/>
          <w:marTop w:val="0"/>
          <w:marBottom w:val="0"/>
          <w:divBdr>
            <w:top w:val="none" w:sz="0" w:space="0" w:color="auto"/>
            <w:left w:val="none" w:sz="0" w:space="0" w:color="auto"/>
            <w:bottom w:val="none" w:sz="0" w:space="0" w:color="auto"/>
            <w:right w:val="none" w:sz="0" w:space="0" w:color="auto"/>
          </w:divBdr>
        </w:div>
      </w:divsChild>
    </w:div>
    <w:div w:id="1453939969">
      <w:bodyDiv w:val="1"/>
      <w:marLeft w:val="0"/>
      <w:marRight w:val="0"/>
      <w:marTop w:val="0"/>
      <w:marBottom w:val="0"/>
      <w:divBdr>
        <w:top w:val="none" w:sz="0" w:space="0" w:color="auto"/>
        <w:left w:val="none" w:sz="0" w:space="0" w:color="auto"/>
        <w:bottom w:val="none" w:sz="0" w:space="0" w:color="auto"/>
        <w:right w:val="none" w:sz="0" w:space="0" w:color="auto"/>
      </w:divBdr>
      <w:divsChild>
        <w:div w:id="1218274754">
          <w:marLeft w:val="0"/>
          <w:marRight w:val="0"/>
          <w:marTop w:val="0"/>
          <w:marBottom w:val="0"/>
          <w:divBdr>
            <w:top w:val="none" w:sz="0" w:space="0" w:color="auto"/>
            <w:left w:val="none" w:sz="0" w:space="0" w:color="auto"/>
            <w:bottom w:val="none" w:sz="0" w:space="0" w:color="auto"/>
            <w:right w:val="none" w:sz="0" w:space="0" w:color="auto"/>
          </w:divBdr>
          <w:divsChild>
            <w:div w:id="1288583817">
              <w:marLeft w:val="0"/>
              <w:marRight w:val="0"/>
              <w:marTop w:val="0"/>
              <w:marBottom w:val="0"/>
              <w:divBdr>
                <w:top w:val="none" w:sz="0" w:space="0" w:color="auto"/>
                <w:left w:val="none" w:sz="0" w:space="0" w:color="auto"/>
                <w:bottom w:val="none" w:sz="0" w:space="0" w:color="auto"/>
                <w:right w:val="none" w:sz="0" w:space="0" w:color="auto"/>
              </w:divBdr>
              <w:divsChild>
                <w:div w:id="1926069349">
                  <w:marLeft w:val="0"/>
                  <w:marRight w:val="0"/>
                  <w:marTop w:val="0"/>
                  <w:marBottom w:val="0"/>
                  <w:divBdr>
                    <w:top w:val="none" w:sz="0" w:space="0" w:color="auto"/>
                    <w:left w:val="none" w:sz="0" w:space="0" w:color="auto"/>
                    <w:bottom w:val="none" w:sz="0" w:space="0" w:color="auto"/>
                    <w:right w:val="none" w:sz="0" w:space="0" w:color="auto"/>
                  </w:divBdr>
                </w:div>
              </w:divsChild>
            </w:div>
            <w:div w:id="1009871438">
              <w:marLeft w:val="0"/>
              <w:marRight w:val="0"/>
              <w:marTop w:val="0"/>
              <w:marBottom w:val="0"/>
              <w:divBdr>
                <w:top w:val="none" w:sz="0" w:space="0" w:color="auto"/>
                <w:left w:val="none" w:sz="0" w:space="0" w:color="auto"/>
                <w:bottom w:val="none" w:sz="0" w:space="0" w:color="auto"/>
                <w:right w:val="none" w:sz="0" w:space="0" w:color="auto"/>
              </w:divBdr>
              <w:divsChild>
                <w:div w:id="1068917808">
                  <w:marLeft w:val="0"/>
                  <w:marRight w:val="0"/>
                  <w:marTop w:val="0"/>
                  <w:marBottom w:val="0"/>
                  <w:divBdr>
                    <w:top w:val="none" w:sz="0" w:space="0" w:color="auto"/>
                    <w:left w:val="none" w:sz="0" w:space="0" w:color="auto"/>
                    <w:bottom w:val="none" w:sz="0" w:space="0" w:color="auto"/>
                    <w:right w:val="none" w:sz="0" w:space="0" w:color="auto"/>
                  </w:divBdr>
                </w:div>
              </w:divsChild>
            </w:div>
            <w:div w:id="987444813">
              <w:marLeft w:val="0"/>
              <w:marRight w:val="0"/>
              <w:marTop w:val="0"/>
              <w:marBottom w:val="0"/>
              <w:divBdr>
                <w:top w:val="none" w:sz="0" w:space="0" w:color="auto"/>
                <w:left w:val="none" w:sz="0" w:space="0" w:color="auto"/>
                <w:bottom w:val="none" w:sz="0" w:space="0" w:color="auto"/>
                <w:right w:val="none" w:sz="0" w:space="0" w:color="auto"/>
              </w:divBdr>
              <w:divsChild>
                <w:div w:id="1474643771">
                  <w:marLeft w:val="0"/>
                  <w:marRight w:val="0"/>
                  <w:marTop w:val="0"/>
                  <w:marBottom w:val="0"/>
                  <w:divBdr>
                    <w:top w:val="none" w:sz="0" w:space="0" w:color="auto"/>
                    <w:left w:val="none" w:sz="0" w:space="0" w:color="auto"/>
                    <w:bottom w:val="none" w:sz="0" w:space="0" w:color="auto"/>
                    <w:right w:val="none" w:sz="0" w:space="0" w:color="auto"/>
                  </w:divBdr>
                </w:div>
              </w:divsChild>
            </w:div>
            <w:div w:id="1337150791">
              <w:marLeft w:val="0"/>
              <w:marRight w:val="0"/>
              <w:marTop w:val="0"/>
              <w:marBottom w:val="0"/>
              <w:divBdr>
                <w:top w:val="none" w:sz="0" w:space="0" w:color="auto"/>
                <w:left w:val="none" w:sz="0" w:space="0" w:color="auto"/>
                <w:bottom w:val="none" w:sz="0" w:space="0" w:color="auto"/>
                <w:right w:val="none" w:sz="0" w:space="0" w:color="auto"/>
              </w:divBdr>
              <w:divsChild>
                <w:div w:id="85230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878541">
      <w:bodyDiv w:val="1"/>
      <w:marLeft w:val="0"/>
      <w:marRight w:val="0"/>
      <w:marTop w:val="0"/>
      <w:marBottom w:val="0"/>
      <w:divBdr>
        <w:top w:val="none" w:sz="0" w:space="0" w:color="auto"/>
        <w:left w:val="none" w:sz="0" w:space="0" w:color="auto"/>
        <w:bottom w:val="none" w:sz="0" w:space="0" w:color="auto"/>
        <w:right w:val="none" w:sz="0" w:space="0" w:color="auto"/>
      </w:divBdr>
    </w:div>
    <w:div w:id="2137482311">
      <w:bodyDiv w:val="1"/>
      <w:marLeft w:val="0"/>
      <w:marRight w:val="0"/>
      <w:marTop w:val="0"/>
      <w:marBottom w:val="0"/>
      <w:divBdr>
        <w:top w:val="none" w:sz="0" w:space="0" w:color="auto"/>
        <w:left w:val="none" w:sz="0" w:space="0" w:color="auto"/>
        <w:bottom w:val="none" w:sz="0" w:space="0" w:color="auto"/>
        <w:right w:val="none" w:sz="0" w:space="0" w:color="auto"/>
      </w:divBdr>
      <w:divsChild>
        <w:div w:id="86012377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1BF76-7564-48FE-9240-4CE971A92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14</Pages>
  <Words>4045</Words>
  <Characters>23063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67</cp:revision>
  <dcterms:created xsi:type="dcterms:W3CDTF">2022-05-03T08:57:00Z</dcterms:created>
  <dcterms:modified xsi:type="dcterms:W3CDTF">2022-05-07T08:59:00Z</dcterms:modified>
</cp:coreProperties>
</file>